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7618C45" w14:textId="77777777" w:rsidTr="00B20551">
        <w:trPr>
          <w:cantSplit/>
          <w:trHeight w:hRule="exact" w:val="851"/>
        </w:trPr>
        <w:tc>
          <w:tcPr>
            <w:tcW w:w="1276" w:type="dxa"/>
            <w:tcBorders>
              <w:bottom w:val="single" w:sz="4" w:space="0" w:color="auto"/>
            </w:tcBorders>
            <w:vAlign w:val="bottom"/>
          </w:tcPr>
          <w:p w14:paraId="16031C66" w14:textId="77777777" w:rsidR="009E6CB7" w:rsidRDefault="009E6CB7" w:rsidP="00B20551">
            <w:pPr>
              <w:spacing w:after="80"/>
            </w:pPr>
          </w:p>
        </w:tc>
        <w:tc>
          <w:tcPr>
            <w:tcW w:w="2268" w:type="dxa"/>
            <w:tcBorders>
              <w:bottom w:val="single" w:sz="4" w:space="0" w:color="auto"/>
            </w:tcBorders>
            <w:vAlign w:val="bottom"/>
          </w:tcPr>
          <w:p w14:paraId="10653472"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599C685" w14:textId="05C5D5F1" w:rsidR="009E6CB7" w:rsidRPr="00D47EEA" w:rsidRDefault="006B3551" w:rsidP="006B3551">
            <w:pPr>
              <w:jc w:val="right"/>
            </w:pPr>
            <w:r w:rsidRPr="006B3551">
              <w:rPr>
                <w:sz w:val="40"/>
              </w:rPr>
              <w:t>ECE</w:t>
            </w:r>
            <w:r>
              <w:t>/TRANS/WP.29/202</w:t>
            </w:r>
            <w:r w:rsidR="00DD7B52">
              <w:t>2</w:t>
            </w:r>
            <w:r>
              <w:t>/</w:t>
            </w:r>
            <w:r w:rsidR="00A71F42">
              <w:t>3</w:t>
            </w:r>
          </w:p>
        </w:tc>
      </w:tr>
      <w:tr w:rsidR="009E6CB7" w14:paraId="572DD616" w14:textId="77777777" w:rsidTr="00B20551">
        <w:trPr>
          <w:cantSplit/>
          <w:trHeight w:hRule="exact" w:val="2835"/>
        </w:trPr>
        <w:tc>
          <w:tcPr>
            <w:tcW w:w="1276" w:type="dxa"/>
            <w:tcBorders>
              <w:top w:val="single" w:sz="4" w:space="0" w:color="auto"/>
              <w:bottom w:val="single" w:sz="12" w:space="0" w:color="auto"/>
            </w:tcBorders>
          </w:tcPr>
          <w:p w14:paraId="044F1680" w14:textId="77777777" w:rsidR="009E6CB7" w:rsidRDefault="00686A48" w:rsidP="00B20551">
            <w:pPr>
              <w:spacing w:before="120"/>
            </w:pPr>
            <w:r>
              <w:rPr>
                <w:noProof/>
                <w:lang w:val="fr-CH" w:eastAsia="fr-CH"/>
              </w:rPr>
              <w:drawing>
                <wp:inline distT="0" distB="0" distL="0" distR="0" wp14:anchorId="48D6BBCF" wp14:editId="70EFDEA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91EE16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4DB780E" w14:textId="77777777" w:rsidR="009E6CB7" w:rsidRDefault="006B3551" w:rsidP="006B3551">
            <w:pPr>
              <w:spacing w:before="240" w:line="240" w:lineRule="exact"/>
            </w:pPr>
            <w:r>
              <w:t>Distr.: General</w:t>
            </w:r>
          </w:p>
          <w:p w14:paraId="05AD7E07" w14:textId="4E80A289" w:rsidR="006B3551" w:rsidRDefault="00EA372A" w:rsidP="006B3551">
            <w:pPr>
              <w:spacing w:line="240" w:lineRule="exact"/>
            </w:pPr>
            <w:r>
              <w:t>1</w:t>
            </w:r>
            <w:r w:rsidR="00A52E1A">
              <w:t>4</w:t>
            </w:r>
            <w:r>
              <w:t xml:space="preserve"> </w:t>
            </w:r>
            <w:r w:rsidR="00DD7B52">
              <w:t>Decem</w:t>
            </w:r>
            <w:r w:rsidR="006B3551">
              <w:t>ber 2021</w:t>
            </w:r>
          </w:p>
          <w:p w14:paraId="04C4D6C5" w14:textId="77777777" w:rsidR="006B3551" w:rsidRDefault="006B3551" w:rsidP="006B3551">
            <w:pPr>
              <w:spacing w:line="240" w:lineRule="exact"/>
            </w:pPr>
          </w:p>
          <w:p w14:paraId="60B9E909" w14:textId="0E7003A2" w:rsidR="006B3551" w:rsidRDefault="006B3551" w:rsidP="006B3551">
            <w:pPr>
              <w:spacing w:line="240" w:lineRule="exact"/>
            </w:pPr>
            <w:r>
              <w:t>Original: English</w:t>
            </w:r>
          </w:p>
        </w:tc>
      </w:tr>
    </w:tbl>
    <w:p w14:paraId="078E7222" w14:textId="77777777" w:rsidR="006B3551" w:rsidRPr="00525E6C" w:rsidRDefault="006B3551" w:rsidP="006B3551">
      <w:pPr>
        <w:spacing w:before="120"/>
        <w:rPr>
          <w:b/>
          <w:sz w:val="28"/>
          <w:szCs w:val="28"/>
        </w:rPr>
      </w:pPr>
      <w:r w:rsidRPr="00525E6C">
        <w:rPr>
          <w:b/>
          <w:sz w:val="28"/>
          <w:szCs w:val="28"/>
        </w:rPr>
        <w:t>Economic Commission for Europe</w:t>
      </w:r>
    </w:p>
    <w:p w14:paraId="7EBD463C" w14:textId="77777777" w:rsidR="006B3551" w:rsidRPr="00525E6C" w:rsidRDefault="006B3551" w:rsidP="006B3551">
      <w:pPr>
        <w:spacing w:before="120"/>
        <w:rPr>
          <w:sz w:val="28"/>
          <w:szCs w:val="28"/>
        </w:rPr>
      </w:pPr>
      <w:r w:rsidRPr="00525E6C">
        <w:rPr>
          <w:sz w:val="28"/>
          <w:szCs w:val="28"/>
        </w:rPr>
        <w:t>Inland Transport Committee</w:t>
      </w:r>
    </w:p>
    <w:p w14:paraId="3E3C5B5E" w14:textId="77777777" w:rsidR="006B3551" w:rsidRPr="00525E6C" w:rsidRDefault="006B3551" w:rsidP="006B3551">
      <w:pPr>
        <w:spacing w:before="120"/>
        <w:rPr>
          <w:b/>
          <w:sz w:val="24"/>
          <w:szCs w:val="24"/>
        </w:rPr>
      </w:pPr>
      <w:r w:rsidRPr="00525E6C">
        <w:rPr>
          <w:b/>
          <w:sz w:val="24"/>
          <w:szCs w:val="24"/>
        </w:rPr>
        <w:t>World Forum for Harmonization of Vehicle Regulations</w:t>
      </w:r>
    </w:p>
    <w:p w14:paraId="2C89EA75" w14:textId="19C129DD" w:rsidR="006B3551" w:rsidRDefault="006B3551" w:rsidP="006B3551">
      <w:pPr>
        <w:tabs>
          <w:tab w:val="center" w:pos="4819"/>
        </w:tabs>
        <w:spacing w:before="120"/>
        <w:rPr>
          <w:b/>
          <w:lang w:val="en-US"/>
        </w:rPr>
      </w:pPr>
      <w:r>
        <w:rPr>
          <w:b/>
          <w:lang w:val="en-US"/>
        </w:rPr>
        <w:t>18</w:t>
      </w:r>
      <w:r w:rsidR="00E854EC">
        <w:rPr>
          <w:b/>
          <w:lang w:val="en-US"/>
        </w:rPr>
        <w:t>6</w:t>
      </w:r>
      <w:r>
        <w:rPr>
          <w:b/>
          <w:lang w:val="en-US"/>
        </w:rPr>
        <w:t>th session</w:t>
      </w:r>
    </w:p>
    <w:p w14:paraId="41F46504" w14:textId="269CF8B0" w:rsidR="006B3551" w:rsidRDefault="006B3551" w:rsidP="006B3551">
      <w:pPr>
        <w:rPr>
          <w:lang w:val="en-US"/>
        </w:rPr>
      </w:pPr>
      <w:r>
        <w:rPr>
          <w:lang w:val="en-US"/>
        </w:rPr>
        <w:t xml:space="preserve">Geneva, </w:t>
      </w:r>
      <w:r w:rsidR="00E854EC">
        <w:rPr>
          <w:lang w:val="en-US"/>
        </w:rPr>
        <w:t>8</w:t>
      </w:r>
      <w:r>
        <w:rPr>
          <w:lang w:val="en-US"/>
        </w:rPr>
        <w:t>-</w:t>
      </w:r>
      <w:r w:rsidR="00E854EC">
        <w:rPr>
          <w:lang w:val="en-US"/>
        </w:rPr>
        <w:t>11</w:t>
      </w:r>
      <w:r>
        <w:rPr>
          <w:lang w:val="en-US"/>
        </w:rPr>
        <w:t xml:space="preserve"> </w:t>
      </w:r>
      <w:r w:rsidR="00E854EC">
        <w:rPr>
          <w:lang w:val="en-US"/>
        </w:rPr>
        <w:t>March</w:t>
      </w:r>
      <w:r>
        <w:rPr>
          <w:lang w:val="en-US"/>
        </w:rPr>
        <w:t xml:space="preserve"> 202</w:t>
      </w:r>
      <w:r w:rsidR="00E854EC">
        <w:rPr>
          <w:lang w:val="en-US"/>
        </w:rPr>
        <w:t>2</w:t>
      </w:r>
    </w:p>
    <w:p w14:paraId="57D4347A" w14:textId="69BE97DF" w:rsidR="006B3551" w:rsidRDefault="006B3551" w:rsidP="006B3551">
      <w:r w:rsidRPr="00E958C3">
        <w:t>Item 4.</w:t>
      </w:r>
      <w:r w:rsidR="00E958C3" w:rsidRPr="00E958C3">
        <w:t>6</w:t>
      </w:r>
      <w:r w:rsidRPr="00E958C3">
        <w:t>.</w:t>
      </w:r>
      <w:r w:rsidR="00E958C3" w:rsidRPr="00E958C3">
        <w:t>1</w:t>
      </w:r>
      <w:r w:rsidRPr="00E958C3">
        <w:t xml:space="preserve"> of the provisional agenda</w:t>
      </w:r>
    </w:p>
    <w:p w14:paraId="02EE06FD" w14:textId="0CFC25BA" w:rsidR="006B3551" w:rsidRDefault="006B3551" w:rsidP="006B3551">
      <w:pPr>
        <w:rPr>
          <w:b/>
        </w:rPr>
      </w:pPr>
      <w:r>
        <w:rPr>
          <w:b/>
        </w:rPr>
        <w:t>1958 Agreement:</w:t>
      </w:r>
      <w:r>
        <w:rPr>
          <w:b/>
        </w:rPr>
        <w:br/>
      </w:r>
      <w:r w:rsidRPr="008405E4">
        <w:rPr>
          <w:b/>
        </w:rPr>
        <w:t>Consideration of</w:t>
      </w:r>
      <w:r>
        <w:rPr>
          <w:b/>
        </w:rPr>
        <w:t xml:space="preserve"> draft amendments to existing </w:t>
      </w:r>
      <w:r>
        <w:rPr>
          <w:b/>
        </w:rPr>
        <w:br/>
      </w:r>
      <w:r w:rsidRPr="008405E4">
        <w:rPr>
          <w:b/>
        </w:rPr>
        <w:t>UN Regulations submitted</w:t>
      </w:r>
      <w:r>
        <w:rPr>
          <w:b/>
        </w:rPr>
        <w:t xml:space="preserve"> </w:t>
      </w:r>
      <w:r w:rsidRPr="008405E4">
        <w:rPr>
          <w:b/>
        </w:rPr>
        <w:t>by</w:t>
      </w:r>
      <w:r>
        <w:rPr>
          <w:b/>
        </w:rPr>
        <w:t xml:space="preserve"> </w:t>
      </w:r>
      <w:r w:rsidR="00E958C3">
        <w:rPr>
          <w:b/>
        </w:rPr>
        <w:t>GRBP</w:t>
      </w:r>
    </w:p>
    <w:p w14:paraId="008EC326" w14:textId="725AE8F4" w:rsidR="006B3551" w:rsidRDefault="006B3551" w:rsidP="006B3551">
      <w:pPr>
        <w:pStyle w:val="HChG"/>
      </w:pPr>
      <w:r>
        <w:tab/>
      </w:r>
      <w:r>
        <w:tab/>
      </w:r>
      <w:r w:rsidRPr="00FE2BBC">
        <w:t>Proposal for</w:t>
      </w:r>
      <w:r>
        <w:t xml:space="preserve"> </w:t>
      </w:r>
      <w:r w:rsidR="00DE16E5" w:rsidRPr="00DE16E5">
        <w:t>Supplement 2 to the 08 series of amendments to UN Regulation No. 9 (Noise of three-wheeled vehicles)</w:t>
      </w:r>
      <w:r>
        <w:t xml:space="preserve"> </w:t>
      </w:r>
    </w:p>
    <w:p w14:paraId="7FE134DC" w14:textId="78E7B937" w:rsidR="006B3551" w:rsidRDefault="006B3551" w:rsidP="006B3551">
      <w:pPr>
        <w:pStyle w:val="H1G"/>
        <w:rPr>
          <w:szCs w:val="24"/>
        </w:rPr>
      </w:pPr>
      <w:r>
        <w:tab/>
      </w:r>
      <w:r>
        <w:tab/>
      </w:r>
      <w:r w:rsidRPr="00A96F13">
        <w:rPr>
          <w:szCs w:val="24"/>
        </w:rPr>
        <w:t>Submitted</w:t>
      </w:r>
      <w:r w:rsidRPr="0036339F">
        <w:rPr>
          <w:szCs w:val="24"/>
        </w:rPr>
        <w:t xml:space="preserve"> by the </w:t>
      </w:r>
      <w:r>
        <w:rPr>
          <w:szCs w:val="24"/>
        </w:rPr>
        <w:t>Working Party on</w:t>
      </w:r>
      <w:r w:rsidR="00DE16E5">
        <w:rPr>
          <w:szCs w:val="24"/>
        </w:rPr>
        <w:t xml:space="preserve"> Noise and Tyres</w:t>
      </w:r>
      <w:r w:rsidRPr="005F3E9A">
        <w:rPr>
          <w:rStyle w:val="FootnoteReference"/>
          <w:sz w:val="20"/>
        </w:rPr>
        <w:footnoteReference w:customMarkFollows="1" w:id="2"/>
        <w:t>*</w:t>
      </w:r>
    </w:p>
    <w:p w14:paraId="7DB5EBA0" w14:textId="38A9EE34" w:rsidR="006B3551" w:rsidRDefault="006B3551" w:rsidP="006B3551">
      <w:pPr>
        <w:pStyle w:val="SingleTxtG"/>
        <w:ind w:firstLine="567"/>
        <w:rPr>
          <w:lang w:val="en-US"/>
        </w:rPr>
      </w:pPr>
      <w:r w:rsidRPr="008405E4">
        <w:rPr>
          <w:lang w:val="en-US"/>
        </w:rPr>
        <w:t>The text reproduced below was adopted by the Working Party on</w:t>
      </w:r>
      <w:r w:rsidR="00DE16E5">
        <w:rPr>
          <w:lang w:val="en-US"/>
        </w:rPr>
        <w:t xml:space="preserve"> Noise </w:t>
      </w:r>
      <w:r w:rsidR="00CD36A0">
        <w:rPr>
          <w:lang w:val="en-US"/>
        </w:rPr>
        <w:t xml:space="preserve">and </w:t>
      </w:r>
      <w:proofErr w:type="spellStart"/>
      <w:r w:rsidR="00CD36A0">
        <w:rPr>
          <w:lang w:val="en-US"/>
        </w:rPr>
        <w:t>Tyres</w:t>
      </w:r>
      <w:proofErr w:type="spellEnd"/>
      <w:r w:rsidR="00CD36A0">
        <w:rPr>
          <w:lang w:val="en-US"/>
        </w:rPr>
        <w:t xml:space="preserve"> (GRBP) at its seventy-fourth session </w:t>
      </w:r>
      <w:r w:rsidR="00DB1488">
        <w:rPr>
          <w:lang w:val="en-US"/>
        </w:rPr>
        <w:t>(</w:t>
      </w:r>
      <w:r w:rsidR="00DB1488" w:rsidRPr="00DB1488">
        <w:rPr>
          <w:lang w:val="en-US"/>
        </w:rPr>
        <w:t>ECE/TRANS/WP.29/GRBP/72, para. 3</w:t>
      </w:r>
      <w:r w:rsidR="00496D41">
        <w:rPr>
          <w:lang w:val="en-US"/>
        </w:rPr>
        <w:t>). It is</w:t>
      </w:r>
      <w:r w:rsidR="00DB1488" w:rsidRPr="00DB1488">
        <w:rPr>
          <w:lang w:val="en-US"/>
        </w:rPr>
        <w:t xml:space="preserve"> based on ECE/TRANS/WP.29/GRBP/2021/23 </w:t>
      </w:r>
      <w:r w:rsidR="008D6158">
        <w:rPr>
          <w:lang w:val="en-US"/>
        </w:rPr>
        <w:t xml:space="preserve">and </w:t>
      </w:r>
      <w:r w:rsidR="00F04B11">
        <w:rPr>
          <w:lang w:val="en-US"/>
        </w:rPr>
        <w:t>I</w:t>
      </w:r>
      <w:r w:rsidR="00496D41">
        <w:rPr>
          <w:lang w:val="en-US"/>
        </w:rPr>
        <w:t xml:space="preserve">nformal document </w:t>
      </w:r>
      <w:r w:rsidR="00DB1488" w:rsidRPr="00DB1488">
        <w:rPr>
          <w:lang w:val="en-US"/>
        </w:rPr>
        <w:t>GRBP-74-43</w:t>
      </w:r>
      <w:r w:rsidR="00956560">
        <w:rPr>
          <w:lang w:val="en-US"/>
        </w:rPr>
        <w:t>.</w:t>
      </w:r>
      <w:r w:rsidR="00496D41" w:rsidRPr="00496D41">
        <w:t xml:space="preserve"> </w:t>
      </w:r>
      <w:r w:rsidR="00496D41" w:rsidRPr="00496D41">
        <w:rPr>
          <w:lang w:val="en-US"/>
        </w:rPr>
        <w:t xml:space="preserve">It is submitted to the World Forum for Harmonization of Vehicle Regulations (WP.29) and to the Administrative Committee (AC.1) for consideration at their </w:t>
      </w:r>
      <w:r w:rsidR="00496D41">
        <w:rPr>
          <w:lang w:val="en-US"/>
        </w:rPr>
        <w:t xml:space="preserve">March </w:t>
      </w:r>
      <w:r w:rsidR="00496D41" w:rsidRPr="00496D41">
        <w:rPr>
          <w:lang w:val="en-US"/>
        </w:rPr>
        <w:t>202</w:t>
      </w:r>
      <w:r w:rsidR="00496D41">
        <w:rPr>
          <w:lang w:val="en-US"/>
        </w:rPr>
        <w:t>2</w:t>
      </w:r>
      <w:r w:rsidR="00496D41" w:rsidRPr="00496D41">
        <w:rPr>
          <w:lang w:val="en-US"/>
        </w:rPr>
        <w:t xml:space="preserve"> sessions. </w:t>
      </w:r>
    </w:p>
    <w:p w14:paraId="471D5522" w14:textId="77777777" w:rsidR="006B3551" w:rsidRDefault="006B3551" w:rsidP="006B3551">
      <w:pPr>
        <w:pStyle w:val="SingleTxtG"/>
        <w:ind w:firstLine="567"/>
        <w:rPr>
          <w:lang w:val="en-US"/>
        </w:rPr>
      </w:pPr>
    </w:p>
    <w:p w14:paraId="4B57C481" w14:textId="77777777" w:rsidR="006B3551" w:rsidRDefault="006B3551" w:rsidP="006B3551">
      <w:pPr>
        <w:pStyle w:val="SingleTxtG"/>
        <w:ind w:firstLine="567"/>
      </w:pPr>
      <w:r>
        <w:br w:type="page"/>
      </w:r>
    </w:p>
    <w:p w14:paraId="35F77523" w14:textId="77777777" w:rsidR="0097744A" w:rsidRPr="00004EE2" w:rsidRDefault="0097744A" w:rsidP="0097744A">
      <w:pPr>
        <w:pStyle w:val="SingleTxtG"/>
        <w:ind w:left="2268" w:right="1133" w:hanging="1134"/>
        <w:rPr>
          <w:i/>
          <w:color w:val="000000" w:themeColor="text1"/>
        </w:rPr>
      </w:pPr>
      <w:r w:rsidRPr="00004EE2">
        <w:rPr>
          <w:rFonts w:eastAsia="Yu Mincho"/>
          <w:i/>
          <w:color w:val="000000" w:themeColor="text1"/>
          <w:lang w:eastAsia="ja-JP"/>
        </w:rPr>
        <w:lastRenderedPageBreak/>
        <w:t xml:space="preserve">Table of Contents, Annexes, </w:t>
      </w:r>
      <w:r w:rsidRPr="00004EE2">
        <w:rPr>
          <w:rFonts w:eastAsia="Yu Mincho"/>
          <w:iCs/>
          <w:color w:val="000000" w:themeColor="text1"/>
          <w:lang w:eastAsia="ja-JP"/>
        </w:rPr>
        <w:t>amend to read:</w:t>
      </w:r>
    </w:p>
    <w:p w14:paraId="71558D1D" w14:textId="6C8E2AEF" w:rsidR="0097744A" w:rsidRPr="00675625" w:rsidRDefault="0097744A" w:rsidP="0097744A">
      <w:pPr>
        <w:pStyle w:val="SingleTxtG"/>
        <w:ind w:left="1701" w:right="1133" w:hanging="567"/>
        <w:rPr>
          <w:color w:val="000000" w:themeColor="text1"/>
        </w:rPr>
      </w:pPr>
      <w:r w:rsidRPr="00675625">
        <w:rPr>
          <w:color w:val="000000" w:themeColor="text1"/>
        </w:rPr>
        <w:t>"5</w:t>
      </w:r>
      <w:r w:rsidRPr="00675625">
        <w:rPr>
          <w:color w:val="000000" w:themeColor="text1"/>
        </w:rPr>
        <w:tab/>
        <w:t>Test track layout"</w:t>
      </w:r>
    </w:p>
    <w:p w14:paraId="7A1383B9" w14:textId="77777777" w:rsidR="0097744A" w:rsidRPr="00675625" w:rsidRDefault="0097744A" w:rsidP="0097744A">
      <w:pPr>
        <w:pStyle w:val="SingleTxtG"/>
        <w:ind w:left="2268" w:right="1133" w:hanging="1134"/>
        <w:rPr>
          <w:rFonts w:eastAsia="Yu Mincho"/>
          <w:iCs/>
          <w:color w:val="000000" w:themeColor="text1"/>
          <w:lang w:eastAsia="ja-JP"/>
        </w:rPr>
      </w:pPr>
      <w:r w:rsidRPr="00675625">
        <w:rPr>
          <w:rFonts w:eastAsia="Yu Mincho"/>
          <w:i/>
          <w:color w:val="000000" w:themeColor="text1"/>
          <w:lang w:eastAsia="ja-JP"/>
        </w:rPr>
        <w:t xml:space="preserve">Paragraph 11., </w:t>
      </w:r>
      <w:r w:rsidRPr="00675625">
        <w:rPr>
          <w:rFonts w:eastAsia="Yu Mincho"/>
          <w:iCs/>
          <w:color w:val="000000" w:themeColor="text1"/>
          <w:lang w:eastAsia="ja-JP"/>
        </w:rPr>
        <w:t>amend to read:</w:t>
      </w:r>
    </w:p>
    <w:p w14:paraId="36312EF7" w14:textId="37DFD586" w:rsidR="007A71EF" w:rsidRPr="00E3526A" w:rsidRDefault="007A71EF" w:rsidP="007A71EF">
      <w:pPr>
        <w:pStyle w:val="SingleTxtG"/>
        <w:ind w:left="2268" w:hanging="1134"/>
        <w:rPr>
          <w:iCs/>
          <w:color w:val="000000"/>
        </w:rPr>
      </w:pPr>
      <w:r>
        <w:rPr>
          <w:iCs/>
          <w:color w:val="000000"/>
        </w:rPr>
        <w:t>"</w:t>
      </w:r>
      <w:r w:rsidRPr="00E3526A">
        <w:rPr>
          <w:iCs/>
          <w:color w:val="000000"/>
        </w:rPr>
        <w:t>11.1.</w:t>
      </w:r>
      <w:r w:rsidRPr="00E3526A">
        <w:rPr>
          <w:iCs/>
          <w:color w:val="000000"/>
        </w:rPr>
        <w:tab/>
        <w:t>As from the official date of entry into force of the 08 series of amendments, no Contracting Party applying this Regulation shall refuse to grant or refuse to accept type approvals under this Regulation as amended by the 08 series of amendments.</w:t>
      </w:r>
    </w:p>
    <w:p w14:paraId="17E3893B" w14:textId="3413495A" w:rsidR="007A71EF" w:rsidRPr="00E53AEE" w:rsidRDefault="007A71EF" w:rsidP="007A71EF">
      <w:pPr>
        <w:pStyle w:val="SingleTxtG"/>
        <w:ind w:left="2268" w:right="1133" w:hanging="1134"/>
        <w:rPr>
          <w:iCs/>
          <w:color w:val="000000"/>
        </w:rPr>
      </w:pPr>
      <w:r w:rsidRPr="00E3526A">
        <w:rPr>
          <w:iCs/>
          <w:color w:val="000000"/>
        </w:rPr>
        <w:t>11.2.</w:t>
      </w:r>
      <w:r w:rsidRPr="00E3526A">
        <w:rPr>
          <w:iCs/>
          <w:color w:val="000000"/>
        </w:rPr>
        <w:tab/>
        <w:t>As from</w:t>
      </w:r>
      <w:r w:rsidRPr="00947E7D">
        <w:rPr>
          <w:iCs/>
          <w:color w:val="000000"/>
        </w:rPr>
        <w:t xml:space="preserve"> 1 </w:t>
      </w:r>
      <w:r w:rsidRPr="00E53AEE">
        <w:rPr>
          <w:iCs/>
          <w:color w:val="000000"/>
        </w:rPr>
        <w:t>September 2021, Contracting Parties applying this Regulation shall not be obliged to accept UN type approvals to the preceding series of amendments, first issued after that date.</w:t>
      </w:r>
    </w:p>
    <w:p w14:paraId="0F146B90" w14:textId="77777777" w:rsidR="007A71EF" w:rsidRPr="00E53AEE" w:rsidRDefault="007A71EF" w:rsidP="007A71EF">
      <w:pPr>
        <w:pStyle w:val="SingleTxtG"/>
        <w:ind w:left="2268" w:right="1133" w:hanging="1134"/>
        <w:rPr>
          <w:color w:val="000000"/>
        </w:rPr>
      </w:pPr>
      <w:r w:rsidRPr="00E53AEE">
        <w:rPr>
          <w:rFonts w:eastAsia="Yu Mincho"/>
          <w:iCs/>
          <w:color w:val="000000"/>
          <w:lang w:eastAsia="ja-JP"/>
        </w:rPr>
        <w:t>11.3.</w:t>
      </w:r>
      <w:r w:rsidRPr="00E53AEE">
        <w:rPr>
          <w:rFonts w:eastAsia="Yu Mincho"/>
          <w:iCs/>
          <w:color w:val="000000"/>
          <w:lang w:eastAsia="ja-JP"/>
        </w:rPr>
        <w:tab/>
      </w:r>
      <w:r w:rsidRPr="00E53AEE">
        <w:rPr>
          <w:color w:val="000000"/>
        </w:rPr>
        <w:t>Contracting Parties applying this Regulation may grant type approvals according to any preceding series of amendments to this Regulation. However, the specification of the test track may conform to ISO 10844:2014.</w:t>
      </w:r>
    </w:p>
    <w:p w14:paraId="1D6F1F99" w14:textId="77777777" w:rsidR="007A71EF" w:rsidRPr="00E53AEE" w:rsidRDefault="007A71EF" w:rsidP="007A71EF">
      <w:pPr>
        <w:pStyle w:val="SingleTxtG"/>
        <w:ind w:left="2268" w:right="1133" w:hanging="1134"/>
        <w:rPr>
          <w:iCs/>
          <w:strike/>
          <w:color w:val="000000"/>
        </w:rPr>
      </w:pPr>
      <w:r w:rsidRPr="00E53AEE">
        <w:rPr>
          <w:color w:val="000000"/>
        </w:rPr>
        <w:t>11.4.</w:t>
      </w:r>
      <w:r w:rsidRPr="00E53AEE">
        <w:rPr>
          <w:color w:val="000000"/>
        </w:rPr>
        <w:tab/>
        <w:t>Contracting Parties applying this Regulation shall continue to grant extensions of existing approvals to any preceding series of amendments to this Regulation. However, the specification of the test track may conform to ISO 10844:2014.</w:t>
      </w:r>
    </w:p>
    <w:p w14:paraId="4B1BF178" w14:textId="2B0AD0CC" w:rsidR="007A71EF" w:rsidRPr="00E53AEE" w:rsidRDefault="007A71EF" w:rsidP="007A71EF">
      <w:pPr>
        <w:pStyle w:val="SingleTxtG"/>
        <w:ind w:left="2268" w:right="1133" w:hanging="1134"/>
        <w:rPr>
          <w:iCs/>
          <w:color w:val="000000"/>
        </w:rPr>
      </w:pPr>
      <w:r w:rsidRPr="00E53AEE">
        <w:rPr>
          <w:iCs/>
          <w:color w:val="000000"/>
        </w:rPr>
        <w:t>11.5.</w:t>
      </w:r>
      <w:r w:rsidRPr="00E53AEE">
        <w:rPr>
          <w:iCs/>
          <w:color w:val="000000"/>
        </w:rPr>
        <w:tab/>
        <w:t>Until 1 September 2024, Contracting Parties applying this Regulation shall accept UN type approvals to the preceding series of amendments, first issued before 1 September 2021.</w:t>
      </w:r>
    </w:p>
    <w:p w14:paraId="0A0B6DFA" w14:textId="60B34C4F" w:rsidR="007A71EF" w:rsidRPr="00E3526A" w:rsidRDefault="007A71EF" w:rsidP="007A71EF">
      <w:pPr>
        <w:pStyle w:val="SingleTxtG"/>
        <w:ind w:left="2268" w:right="1133" w:hanging="1134"/>
        <w:rPr>
          <w:iCs/>
          <w:color w:val="000000"/>
        </w:rPr>
      </w:pPr>
      <w:r w:rsidRPr="00E53AEE">
        <w:rPr>
          <w:iCs/>
          <w:color w:val="000000"/>
        </w:rPr>
        <w:t>11.6.</w:t>
      </w:r>
      <w:r w:rsidRPr="00E53AEE">
        <w:rPr>
          <w:iCs/>
          <w:color w:val="000000"/>
        </w:rPr>
        <w:tab/>
        <w:t>As from 1 September 2024, Contracting Parties applying this Regulation shall not be obliged to accept UN type</w:t>
      </w:r>
      <w:r w:rsidRPr="00E3526A">
        <w:rPr>
          <w:iCs/>
          <w:color w:val="000000"/>
        </w:rPr>
        <w:t xml:space="preserve"> approvals issued to the preceding series of amendments to this Regulation.</w:t>
      </w:r>
    </w:p>
    <w:p w14:paraId="7386BA14" w14:textId="2AEB23CE" w:rsidR="007A71EF" w:rsidRPr="00E3526A" w:rsidRDefault="007A71EF" w:rsidP="007A71EF">
      <w:pPr>
        <w:pStyle w:val="SingleTxtG"/>
        <w:ind w:left="2268" w:right="1133" w:hanging="1134"/>
        <w:rPr>
          <w:iCs/>
          <w:color w:val="000000"/>
        </w:rPr>
      </w:pPr>
      <w:r w:rsidRPr="00E3526A">
        <w:rPr>
          <w:iCs/>
          <w:color w:val="000000"/>
        </w:rPr>
        <w:t>11.7.</w:t>
      </w:r>
      <w:r w:rsidRPr="00E3526A">
        <w:rPr>
          <w:iCs/>
          <w:color w:val="000000"/>
        </w:rPr>
        <w:tab/>
        <w:t>Notwithstanding the transitional provisions above, Contracting Parties who start to apply this Regulation after the date of entry into force of the most recent series of amendments are not obliged to accept UN type</w:t>
      </w:r>
      <w:r w:rsidR="00E53AEE">
        <w:rPr>
          <w:iCs/>
          <w:color w:val="000000"/>
        </w:rPr>
        <w:t xml:space="preserve"> </w:t>
      </w:r>
      <w:r w:rsidRPr="00E3526A">
        <w:rPr>
          <w:iCs/>
          <w:color w:val="000000"/>
        </w:rPr>
        <w:t>approvals which were granted in accordance with any of the preceding series of amendments to this Regulation.</w:t>
      </w:r>
    </w:p>
    <w:p w14:paraId="529D0CE3" w14:textId="79F12B33" w:rsidR="007A71EF" w:rsidRDefault="007A71EF" w:rsidP="007A71EF">
      <w:pPr>
        <w:pStyle w:val="SingleTxtG"/>
        <w:ind w:left="2268" w:right="1133" w:hanging="1134"/>
        <w:rPr>
          <w:rFonts w:eastAsia="Yu Mincho"/>
          <w:iCs/>
          <w:color w:val="000000" w:themeColor="text1"/>
          <w:lang w:eastAsia="ja-JP"/>
        </w:rPr>
      </w:pPr>
      <w:r w:rsidRPr="00E3526A">
        <w:rPr>
          <w:iCs/>
          <w:color w:val="000000"/>
        </w:rPr>
        <w:t>11.8.</w:t>
      </w:r>
      <w:r w:rsidRPr="00E3526A">
        <w:rPr>
          <w:iCs/>
          <w:color w:val="000000"/>
        </w:rPr>
        <w:tab/>
        <w:t>Notwithstanding paragraph 11.6., Contracting Parties applying this Regulation shall continue to accept UN type approvals issued according to the preceding series of amendments to this Regulation, for the vehicles/vehicle systems which are not affected by the changes introduced by the 08 series of amendments."</w:t>
      </w:r>
    </w:p>
    <w:p w14:paraId="5E522546" w14:textId="77777777" w:rsidR="0097744A" w:rsidRPr="00004EE2" w:rsidRDefault="0097744A" w:rsidP="0097744A">
      <w:pPr>
        <w:pStyle w:val="SingleTxtG"/>
        <w:ind w:left="2268" w:right="1133" w:hanging="1134"/>
        <w:rPr>
          <w:i/>
          <w:color w:val="000000" w:themeColor="text1"/>
        </w:rPr>
      </w:pPr>
      <w:r w:rsidRPr="00004EE2">
        <w:rPr>
          <w:i/>
          <w:color w:val="000000" w:themeColor="text1"/>
        </w:rPr>
        <w:t xml:space="preserve">Annex 3, </w:t>
      </w:r>
    </w:p>
    <w:p w14:paraId="106CD3E3" w14:textId="77777777" w:rsidR="0097744A" w:rsidRPr="00004EE2" w:rsidRDefault="0097744A" w:rsidP="0097744A">
      <w:pPr>
        <w:pStyle w:val="SingleTxtG"/>
        <w:ind w:left="2268" w:right="1133" w:hanging="1134"/>
        <w:rPr>
          <w:rFonts w:eastAsia="Yu Mincho"/>
          <w:iCs/>
          <w:color w:val="000000" w:themeColor="text1"/>
          <w:lang w:eastAsia="ja-JP"/>
        </w:rPr>
      </w:pPr>
      <w:r w:rsidRPr="00004EE2">
        <w:rPr>
          <w:rFonts w:eastAsia="Yu Mincho"/>
          <w:i/>
          <w:color w:val="000000" w:themeColor="text1"/>
          <w:lang w:eastAsia="ja-JP"/>
        </w:rPr>
        <w:t xml:space="preserve">Paragraph </w:t>
      </w:r>
      <w:r w:rsidRPr="00004EE2">
        <w:rPr>
          <w:rFonts w:eastAsia="Yu Mincho" w:hint="eastAsia"/>
          <w:i/>
          <w:color w:val="000000" w:themeColor="text1"/>
          <w:lang w:eastAsia="ja-JP"/>
        </w:rPr>
        <w:t>2.1.1.</w:t>
      </w:r>
      <w:r w:rsidRPr="00004EE2">
        <w:rPr>
          <w:rFonts w:eastAsia="Yu Mincho"/>
          <w:iCs/>
          <w:color w:val="000000" w:themeColor="text1"/>
          <w:lang w:eastAsia="ja-JP"/>
        </w:rPr>
        <w:t>, amend to read:</w:t>
      </w:r>
    </w:p>
    <w:p w14:paraId="3A095CB2" w14:textId="7FEC1AB1" w:rsidR="0097744A" w:rsidRPr="00004EE2" w:rsidRDefault="0097744A" w:rsidP="0097744A">
      <w:pPr>
        <w:pStyle w:val="SingleTxtG"/>
        <w:ind w:left="2268" w:right="1133" w:hanging="1134"/>
        <w:rPr>
          <w:rFonts w:eastAsia="Yu Mincho"/>
          <w:iCs/>
          <w:color w:val="000000" w:themeColor="text1"/>
          <w:lang w:eastAsia="ja-JP"/>
        </w:rPr>
      </w:pPr>
      <w:r w:rsidRPr="00004EE2">
        <w:rPr>
          <w:rFonts w:eastAsia="Yu Mincho"/>
          <w:iCs/>
          <w:color w:val="000000" w:themeColor="text1"/>
          <w:lang w:eastAsia="ja-JP"/>
        </w:rPr>
        <w:t>"2.1.1.</w:t>
      </w:r>
      <w:r w:rsidRPr="00004EE2">
        <w:rPr>
          <w:rFonts w:eastAsia="Yu Mincho"/>
          <w:iCs/>
          <w:color w:val="000000" w:themeColor="text1"/>
          <w:lang w:eastAsia="ja-JP"/>
        </w:rPr>
        <w:tab/>
        <w:t xml:space="preserve">Test site </w:t>
      </w:r>
    </w:p>
    <w:p w14:paraId="1435D91B" w14:textId="77777777" w:rsidR="0097744A" w:rsidRPr="00004EE2" w:rsidRDefault="0097744A" w:rsidP="0097744A">
      <w:pPr>
        <w:pStyle w:val="SingleTxtG"/>
        <w:ind w:left="2268"/>
        <w:rPr>
          <w:rFonts w:eastAsiaTheme="minorHAnsi"/>
          <w:color w:val="000000" w:themeColor="text1"/>
        </w:rPr>
      </w:pPr>
      <w:r w:rsidRPr="00004EE2">
        <w:rPr>
          <w:rFonts w:eastAsiaTheme="minorHAnsi"/>
          <w:color w:val="000000" w:themeColor="text1"/>
        </w:rPr>
        <w:t xml:space="preserve">The test site shall consist of a central acceleration track surrounded by a substantially level test area. The test track shall be level; the track surface shall be dry and so designed that tyre sound remains low. </w:t>
      </w:r>
    </w:p>
    <w:p w14:paraId="70D69C60" w14:textId="646D897B" w:rsidR="0097744A" w:rsidRPr="00004EE2" w:rsidRDefault="0097744A" w:rsidP="0097744A">
      <w:pPr>
        <w:autoSpaceDE w:val="0"/>
        <w:autoSpaceDN w:val="0"/>
        <w:adjustRightInd w:val="0"/>
        <w:spacing w:after="120"/>
        <w:ind w:left="2268" w:right="1133"/>
        <w:jc w:val="both"/>
        <w:rPr>
          <w:rFonts w:eastAsiaTheme="minorHAnsi"/>
          <w:color w:val="000000" w:themeColor="text1"/>
        </w:rPr>
      </w:pPr>
      <w:r w:rsidRPr="00004EE2">
        <w:rPr>
          <w:rFonts w:eastAsiaTheme="minorHAnsi"/>
          <w:color w:val="000000" w:themeColor="text1"/>
        </w:rPr>
        <w:t xml:space="preserve">On the test site, free sound field conditions shall be maintained to within ±1 dB between the sound source placed in the middle of the acceleration section and the microphone. This condition shall be deemed to be met if there are no large sound-reflecting objects such as fences, rocks, </w:t>
      </w:r>
      <w:proofErr w:type="gramStart"/>
      <w:r w:rsidRPr="00004EE2">
        <w:rPr>
          <w:rFonts w:eastAsiaTheme="minorHAnsi"/>
          <w:color w:val="000000" w:themeColor="text1"/>
        </w:rPr>
        <w:t>bridges</w:t>
      </w:r>
      <w:proofErr w:type="gramEnd"/>
      <w:r w:rsidRPr="00004EE2">
        <w:rPr>
          <w:rFonts w:eastAsiaTheme="minorHAnsi"/>
          <w:color w:val="000000" w:themeColor="text1"/>
        </w:rPr>
        <w:t xml:space="preserve"> or buildings within 50 m of the centre of the acceleration section. </w:t>
      </w:r>
    </w:p>
    <w:p w14:paraId="7439F839" w14:textId="77777777" w:rsidR="0097744A" w:rsidRPr="00004EE2" w:rsidRDefault="0097744A" w:rsidP="0097744A">
      <w:pPr>
        <w:autoSpaceDE w:val="0"/>
        <w:autoSpaceDN w:val="0"/>
        <w:adjustRightInd w:val="0"/>
        <w:spacing w:after="120"/>
        <w:ind w:left="2268" w:right="1133"/>
        <w:jc w:val="both"/>
        <w:rPr>
          <w:rFonts w:eastAsiaTheme="minorHAnsi"/>
          <w:color w:val="000000" w:themeColor="text1"/>
        </w:rPr>
      </w:pPr>
      <w:r w:rsidRPr="00004EE2">
        <w:rPr>
          <w:rFonts w:eastAsiaTheme="minorHAnsi"/>
          <w:color w:val="000000" w:themeColor="text1"/>
        </w:rPr>
        <w:t xml:space="preserve">No obstacle likely to affect the sound field shall be close to the microphone and no one shall come between the microphone and the sound source. The observer taking the measurements shall take up position </w:t>
      </w:r>
      <w:proofErr w:type="gramStart"/>
      <w:r w:rsidRPr="00004EE2">
        <w:rPr>
          <w:rFonts w:eastAsiaTheme="minorHAnsi"/>
          <w:color w:val="000000" w:themeColor="text1"/>
        </w:rPr>
        <w:t>so as to</w:t>
      </w:r>
      <w:proofErr w:type="gramEnd"/>
      <w:r w:rsidRPr="00004EE2">
        <w:rPr>
          <w:rFonts w:eastAsiaTheme="minorHAnsi"/>
          <w:color w:val="000000" w:themeColor="text1"/>
        </w:rPr>
        <w:t xml:space="preserve"> avoid influencing the metre readings. </w:t>
      </w:r>
    </w:p>
    <w:p w14:paraId="6EF48B87" w14:textId="0B8CC5C0" w:rsidR="0097744A" w:rsidRPr="00E272E9" w:rsidRDefault="0097744A" w:rsidP="00C4688A">
      <w:pPr>
        <w:autoSpaceDE w:val="0"/>
        <w:autoSpaceDN w:val="0"/>
        <w:adjustRightInd w:val="0"/>
        <w:spacing w:after="120"/>
        <w:ind w:left="2268" w:right="1133"/>
        <w:jc w:val="both"/>
        <w:rPr>
          <w:rFonts w:eastAsia="Yu Mincho"/>
          <w:iCs/>
          <w:color w:val="000000" w:themeColor="text1"/>
          <w:lang w:eastAsia="ja-JP"/>
        </w:rPr>
      </w:pPr>
      <w:r w:rsidRPr="00004EE2">
        <w:rPr>
          <w:rFonts w:eastAsiaTheme="minorHAnsi"/>
          <w:color w:val="000000" w:themeColor="text1"/>
        </w:rPr>
        <w:t xml:space="preserve">The surface of the test track shall conform to ISO10844:2014. </w:t>
      </w:r>
    </w:p>
    <w:p w14:paraId="3699BEBE" w14:textId="77777777" w:rsidR="0097744A" w:rsidRPr="00004EE2" w:rsidRDefault="0097744A" w:rsidP="00750222">
      <w:pPr>
        <w:pStyle w:val="SingleTxtG"/>
        <w:keepNext/>
        <w:keepLines/>
        <w:ind w:left="2268" w:hanging="1134"/>
        <w:rPr>
          <w:i/>
          <w:color w:val="000000" w:themeColor="text1"/>
        </w:rPr>
      </w:pPr>
      <w:r w:rsidRPr="00004EE2">
        <w:rPr>
          <w:i/>
          <w:color w:val="000000" w:themeColor="text1"/>
        </w:rPr>
        <w:lastRenderedPageBreak/>
        <w:t>Annex 5,</w:t>
      </w:r>
    </w:p>
    <w:p w14:paraId="43374CE0" w14:textId="77777777" w:rsidR="0097744A" w:rsidRPr="00004EE2" w:rsidRDefault="0097744A" w:rsidP="00750222">
      <w:pPr>
        <w:pStyle w:val="SingleTxtG"/>
        <w:keepNext/>
        <w:keepLines/>
        <w:ind w:left="2268" w:hanging="1134"/>
        <w:rPr>
          <w:i/>
          <w:color w:val="000000" w:themeColor="text1"/>
        </w:rPr>
      </w:pPr>
      <w:r w:rsidRPr="00004EE2">
        <w:rPr>
          <w:i/>
          <w:color w:val="000000" w:themeColor="text1"/>
        </w:rPr>
        <w:t>Title,</w:t>
      </w:r>
      <w:r w:rsidRPr="00004EE2">
        <w:rPr>
          <w:iCs/>
          <w:color w:val="000000" w:themeColor="text1"/>
        </w:rPr>
        <w:t xml:space="preserve"> amend to read:</w:t>
      </w:r>
    </w:p>
    <w:p w14:paraId="3B8CFCA6" w14:textId="67366C4E" w:rsidR="0097744A" w:rsidRPr="00675625" w:rsidRDefault="001952D7" w:rsidP="0097744A">
      <w:pPr>
        <w:pStyle w:val="SingleTxtG"/>
        <w:ind w:left="2268" w:right="1133" w:hanging="1134"/>
        <w:rPr>
          <w:color w:val="000000" w:themeColor="text1"/>
        </w:rPr>
      </w:pPr>
      <w:r>
        <w:rPr>
          <w:color w:val="000000" w:themeColor="text1"/>
        </w:rPr>
        <w:t>"</w:t>
      </w:r>
      <w:r w:rsidR="0097744A" w:rsidRPr="00675625">
        <w:rPr>
          <w:color w:val="000000" w:themeColor="text1"/>
        </w:rPr>
        <w:t>Test track layout</w:t>
      </w:r>
      <w:r>
        <w:rPr>
          <w:color w:val="000000" w:themeColor="text1"/>
        </w:rPr>
        <w:t>"</w:t>
      </w:r>
    </w:p>
    <w:p w14:paraId="2AC54CE4" w14:textId="3D16C308" w:rsidR="0097744A" w:rsidRPr="00004EE2" w:rsidRDefault="0097744A" w:rsidP="0097744A">
      <w:pPr>
        <w:keepNext/>
        <w:keepLines/>
        <w:spacing w:after="120"/>
        <w:ind w:left="1134" w:right="1133"/>
        <w:outlineLvl w:val="0"/>
        <w:rPr>
          <w:color w:val="000000" w:themeColor="text1"/>
        </w:rPr>
      </w:pPr>
      <w:r w:rsidRPr="00004EE2">
        <w:rPr>
          <w:i/>
          <w:iCs/>
          <w:color w:val="000000" w:themeColor="text1"/>
        </w:rPr>
        <w:t xml:space="preserve">Footnote 1 to the title, </w:t>
      </w:r>
      <w:r w:rsidRPr="00004EE2">
        <w:rPr>
          <w:color w:val="000000" w:themeColor="text1"/>
        </w:rPr>
        <w:t>delete.</w:t>
      </w:r>
    </w:p>
    <w:p w14:paraId="6E237F79" w14:textId="6BA5806E" w:rsidR="0097744A" w:rsidRPr="00004EE2" w:rsidRDefault="0097744A" w:rsidP="0097744A">
      <w:pPr>
        <w:keepNext/>
        <w:keepLines/>
        <w:spacing w:after="120"/>
        <w:ind w:left="1134" w:right="1133"/>
        <w:outlineLvl w:val="0"/>
        <w:rPr>
          <w:color w:val="000000" w:themeColor="text1"/>
        </w:rPr>
      </w:pPr>
      <w:r w:rsidRPr="00004EE2">
        <w:rPr>
          <w:i/>
          <w:iCs/>
          <w:color w:val="000000" w:themeColor="text1"/>
        </w:rPr>
        <w:t xml:space="preserve">Footnote 2 to paragraph 1., </w:t>
      </w:r>
      <w:r w:rsidRPr="00004EE2">
        <w:rPr>
          <w:color w:val="000000" w:themeColor="text1"/>
        </w:rPr>
        <w:t>delete.</w:t>
      </w:r>
    </w:p>
    <w:p w14:paraId="62DE2B15" w14:textId="472591CA" w:rsidR="0097744A" w:rsidRPr="00004EE2" w:rsidRDefault="0097744A" w:rsidP="0097744A">
      <w:pPr>
        <w:keepNext/>
        <w:keepLines/>
        <w:spacing w:after="120"/>
        <w:ind w:left="1134" w:right="1133"/>
        <w:outlineLvl w:val="0"/>
        <w:rPr>
          <w:color w:val="000000" w:themeColor="text1"/>
        </w:rPr>
      </w:pPr>
      <w:r w:rsidRPr="00004EE2">
        <w:rPr>
          <w:i/>
          <w:iCs/>
          <w:color w:val="000000" w:themeColor="text1"/>
        </w:rPr>
        <w:t xml:space="preserve">Footnote 3 to paragraph 2.2., </w:t>
      </w:r>
      <w:r w:rsidRPr="00004EE2">
        <w:rPr>
          <w:color w:val="000000" w:themeColor="text1"/>
        </w:rPr>
        <w:t>delete.</w:t>
      </w:r>
    </w:p>
    <w:p w14:paraId="0027B4A7" w14:textId="0689BB8B" w:rsidR="0097744A" w:rsidRPr="00004EE2" w:rsidRDefault="0097744A" w:rsidP="0097744A">
      <w:pPr>
        <w:keepNext/>
        <w:keepLines/>
        <w:spacing w:after="120"/>
        <w:ind w:left="1134" w:right="1133"/>
        <w:outlineLvl w:val="0"/>
        <w:rPr>
          <w:color w:val="000000" w:themeColor="text1"/>
        </w:rPr>
      </w:pPr>
      <w:r w:rsidRPr="00004EE2">
        <w:rPr>
          <w:i/>
          <w:iCs/>
          <w:color w:val="000000" w:themeColor="text1"/>
        </w:rPr>
        <w:t>Paragraph</w:t>
      </w:r>
      <w:r w:rsidR="00563605">
        <w:rPr>
          <w:i/>
          <w:iCs/>
          <w:color w:val="000000" w:themeColor="text1"/>
        </w:rPr>
        <w:t>s</w:t>
      </w:r>
      <w:r w:rsidRPr="00004EE2">
        <w:rPr>
          <w:i/>
          <w:iCs/>
          <w:color w:val="000000" w:themeColor="text1"/>
        </w:rPr>
        <w:t xml:space="preserve"> 1., 2., and 2.1. to 2.5., </w:t>
      </w:r>
      <w:r w:rsidRPr="00004EE2">
        <w:rPr>
          <w:color w:val="000000" w:themeColor="text1"/>
        </w:rPr>
        <w:t>delete.</w:t>
      </w:r>
    </w:p>
    <w:p w14:paraId="0E4A0CFD" w14:textId="70DEA207" w:rsidR="0097744A" w:rsidRPr="00004EE2" w:rsidRDefault="0097744A" w:rsidP="0097744A">
      <w:pPr>
        <w:keepNext/>
        <w:keepLines/>
        <w:spacing w:after="120"/>
        <w:ind w:left="1134" w:right="1133"/>
        <w:outlineLvl w:val="0"/>
        <w:rPr>
          <w:color w:val="000000" w:themeColor="text1"/>
        </w:rPr>
      </w:pPr>
      <w:r w:rsidRPr="00004EE2">
        <w:rPr>
          <w:i/>
          <w:iCs/>
          <w:color w:val="000000" w:themeColor="text1"/>
        </w:rPr>
        <w:t xml:space="preserve">Paragraphs 3., 3.1., 3.2., 3.2.1., 3.2.1.1. to 3.2.1.4., and 3.2.2., </w:t>
      </w:r>
      <w:r w:rsidRPr="00004EE2">
        <w:rPr>
          <w:color w:val="000000" w:themeColor="text1"/>
        </w:rPr>
        <w:t>delet</w:t>
      </w:r>
      <w:r w:rsidR="00563605">
        <w:rPr>
          <w:color w:val="000000" w:themeColor="text1"/>
        </w:rPr>
        <w:t>e</w:t>
      </w:r>
      <w:r w:rsidRPr="00004EE2">
        <w:rPr>
          <w:color w:val="000000" w:themeColor="text1"/>
        </w:rPr>
        <w:t>.</w:t>
      </w:r>
    </w:p>
    <w:p w14:paraId="49E100BB" w14:textId="77777777" w:rsidR="0097744A" w:rsidRDefault="0097744A" w:rsidP="0097744A">
      <w:pPr>
        <w:keepNext/>
        <w:keepLines/>
        <w:spacing w:after="120"/>
        <w:ind w:left="1134" w:right="1133"/>
        <w:outlineLvl w:val="0"/>
        <w:rPr>
          <w:color w:val="000000" w:themeColor="text1"/>
        </w:rPr>
      </w:pPr>
      <w:r w:rsidRPr="00004EE2">
        <w:rPr>
          <w:i/>
          <w:iCs/>
          <w:color w:val="000000" w:themeColor="text1"/>
        </w:rPr>
        <w:t>Figure 1</w:t>
      </w:r>
      <w:r w:rsidRPr="00004EE2">
        <w:rPr>
          <w:color w:val="000000" w:themeColor="text1"/>
        </w:rPr>
        <w:t>, amend to read:</w:t>
      </w:r>
    </w:p>
    <w:p w14:paraId="288F2B1D" w14:textId="657A20CA" w:rsidR="0097744A" w:rsidRPr="00004EE2" w:rsidRDefault="001952D7" w:rsidP="0097744A">
      <w:pPr>
        <w:pStyle w:val="SingleTxtG"/>
        <w:spacing w:after="0"/>
        <w:ind w:left="2268" w:hanging="1134"/>
        <w:rPr>
          <w:bCs/>
          <w:color w:val="000000" w:themeColor="text1"/>
        </w:rPr>
      </w:pPr>
      <w:r>
        <w:rPr>
          <w:bCs/>
          <w:color w:val="000000" w:themeColor="text1"/>
        </w:rPr>
        <w:t>"</w:t>
      </w:r>
      <w:r w:rsidR="0097744A" w:rsidRPr="00004EE2">
        <w:rPr>
          <w:bCs/>
          <w:color w:val="000000" w:themeColor="text1"/>
        </w:rPr>
        <w:t xml:space="preserve">Figure 1 </w:t>
      </w:r>
    </w:p>
    <w:p w14:paraId="1775AEE9" w14:textId="77777777" w:rsidR="0097744A" w:rsidRPr="00004EE2" w:rsidRDefault="0097744A" w:rsidP="0097744A">
      <w:pPr>
        <w:pStyle w:val="SingleTxtG"/>
        <w:ind w:left="2268" w:right="1133" w:hanging="1134"/>
        <w:rPr>
          <w:b/>
          <w:color w:val="000000" w:themeColor="text1"/>
        </w:rPr>
      </w:pPr>
      <w:r w:rsidRPr="00004EE2">
        <w:rPr>
          <w:b/>
          <w:color w:val="000000" w:themeColor="text1"/>
        </w:rPr>
        <w:t>Test track layout with dimensions in meters</w:t>
      </w:r>
    </w:p>
    <w:p w14:paraId="18C3DD0A" w14:textId="77777777" w:rsidR="0097744A" w:rsidRPr="00004EE2" w:rsidRDefault="0097744A" w:rsidP="0097744A">
      <w:pPr>
        <w:ind w:left="284"/>
        <w:jc w:val="center"/>
        <w:rPr>
          <w:color w:val="000000" w:themeColor="text1"/>
        </w:rPr>
      </w:pPr>
      <w:r w:rsidRPr="00004EE2">
        <w:rPr>
          <w:noProof/>
          <w:color w:val="000000" w:themeColor="text1"/>
        </w:rPr>
        <w:drawing>
          <wp:inline distT="0" distB="0" distL="0" distR="0" wp14:anchorId="1972C992" wp14:editId="63ABB28A">
            <wp:extent cx="5334000" cy="3033338"/>
            <wp:effectExtent l="19050" t="19050" r="19050"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141" b="14264"/>
                    <a:stretch/>
                  </pic:blipFill>
                  <pic:spPr bwMode="auto">
                    <a:xfrm>
                      <a:off x="0" y="0"/>
                      <a:ext cx="5361483" cy="3048967"/>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D038B8C" w14:textId="77777777" w:rsidR="0097744A" w:rsidRPr="00004EE2" w:rsidRDefault="0097744A" w:rsidP="0097744A">
      <w:pPr>
        <w:keepNext/>
        <w:keepLines/>
        <w:spacing w:before="240" w:line="240" w:lineRule="auto"/>
        <w:ind w:left="1134" w:right="850"/>
        <w:outlineLvl w:val="0"/>
        <w:rPr>
          <w:color w:val="000000" w:themeColor="text1"/>
        </w:rPr>
      </w:pPr>
      <w:r w:rsidRPr="00004EE2">
        <w:rPr>
          <w:color w:val="000000" w:themeColor="text1"/>
        </w:rPr>
        <w:t>Key</w:t>
      </w:r>
    </w:p>
    <w:tbl>
      <w:tblPr>
        <w:tblStyle w:val="TableGrid"/>
        <w:tblW w:w="0" w:type="auto"/>
        <w:tblInd w:w="1134" w:type="dxa"/>
        <w:tblLayout w:type="fixed"/>
        <w:tblLook w:val="04A0" w:firstRow="1" w:lastRow="0" w:firstColumn="1" w:lastColumn="0" w:noHBand="0" w:noVBand="1"/>
      </w:tblPr>
      <w:tblGrid>
        <w:gridCol w:w="1129"/>
        <w:gridCol w:w="7082"/>
      </w:tblGrid>
      <w:tr w:rsidR="0097744A" w:rsidRPr="00E272E9" w14:paraId="32B111FE" w14:textId="77777777" w:rsidTr="004B5220">
        <w:trPr>
          <w:trHeight w:val="567"/>
        </w:trPr>
        <w:tc>
          <w:tcPr>
            <w:tcW w:w="1129" w:type="dxa"/>
            <w:vAlign w:val="center"/>
          </w:tcPr>
          <w:p w14:paraId="7C0D3533" w14:textId="77777777" w:rsidR="0097744A" w:rsidRPr="00004EE2" w:rsidRDefault="0097744A" w:rsidP="004B5220">
            <w:pPr>
              <w:keepNext/>
              <w:keepLines/>
              <w:spacing w:before="240"/>
              <w:ind w:right="850"/>
              <w:jc w:val="center"/>
              <w:outlineLvl w:val="0"/>
              <w:rPr>
                <w:color w:val="000000" w:themeColor="text1"/>
              </w:rPr>
            </w:pPr>
            <w:r w:rsidRPr="00004EE2">
              <w:rPr>
                <w:noProof/>
                <w:color w:val="000000" w:themeColor="text1"/>
              </w:rPr>
              <w:drawing>
                <wp:anchor distT="0" distB="0" distL="114300" distR="114300" simplePos="0" relativeHeight="251659264" behindDoc="1" locked="0" layoutInCell="1" allowOverlap="1" wp14:anchorId="4CED436E" wp14:editId="4540B0FF">
                  <wp:simplePos x="0" y="0"/>
                  <wp:positionH relativeFrom="column">
                    <wp:posOffset>120015</wp:posOffset>
                  </wp:positionH>
                  <wp:positionV relativeFrom="paragraph">
                    <wp:posOffset>484505</wp:posOffset>
                  </wp:positionV>
                  <wp:extent cx="374650" cy="3556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4060" t="63074" r="66006" b="5500"/>
                          <a:stretch/>
                        </pic:blipFill>
                        <pic:spPr bwMode="auto">
                          <a:xfrm>
                            <a:off x="0" y="0"/>
                            <a:ext cx="374650" cy="35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4EE2">
              <w:rPr>
                <w:noProof/>
                <w:color w:val="000000" w:themeColor="text1"/>
              </w:rPr>
              <w:drawing>
                <wp:inline distT="0" distB="0" distL="0" distR="0" wp14:anchorId="5DD2FEE7" wp14:editId="0289BCB6">
                  <wp:extent cx="539750" cy="328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789" cy="334045"/>
                          </a:xfrm>
                          <a:prstGeom prst="rect">
                            <a:avLst/>
                          </a:prstGeom>
                        </pic:spPr>
                      </pic:pic>
                    </a:graphicData>
                  </a:graphic>
                </wp:inline>
              </w:drawing>
            </w:r>
          </w:p>
        </w:tc>
        <w:tc>
          <w:tcPr>
            <w:tcW w:w="7082" w:type="dxa"/>
            <w:vAlign w:val="center"/>
          </w:tcPr>
          <w:p w14:paraId="21BEE056" w14:textId="77777777" w:rsidR="0097744A" w:rsidRPr="00004EE2" w:rsidRDefault="0097744A" w:rsidP="004B5220">
            <w:pPr>
              <w:keepNext/>
              <w:keepLines/>
              <w:spacing w:before="240"/>
              <w:ind w:right="850"/>
              <w:outlineLvl w:val="0"/>
              <w:rPr>
                <w:color w:val="000000" w:themeColor="text1"/>
                <w:lang w:val="en-US"/>
              </w:rPr>
            </w:pPr>
            <w:r w:rsidRPr="00004EE2">
              <w:rPr>
                <w:color w:val="000000" w:themeColor="text1"/>
              </w:rPr>
              <w:t xml:space="preserve">Minimum area covered with test road surface, </w:t>
            </w:r>
            <w:proofErr w:type="gramStart"/>
            <w:r w:rsidRPr="00004EE2">
              <w:rPr>
                <w:color w:val="000000" w:themeColor="text1"/>
              </w:rPr>
              <w:t>i.e.</w:t>
            </w:r>
            <w:proofErr w:type="gramEnd"/>
            <w:r w:rsidRPr="00004EE2">
              <w:rPr>
                <w:color w:val="000000" w:themeColor="text1"/>
              </w:rPr>
              <w:t xml:space="preserve"> test area</w:t>
            </w:r>
          </w:p>
        </w:tc>
      </w:tr>
      <w:tr w:rsidR="0097744A" w:rsidRPr="00004EE2" w14:paraId="15C3FD3C" w14:textId="77777777" w:rsidTr="004B5220">
        <w:trPr>
          <w:trHeight w:val="663"/>
        </w:trPr>
        <w:tc>
          <w:tcPr>
            <w:tcW w:w="1129" w:type="dxa"/>
            <w:vAlign w:val="center"/>
          </w:tcPr>
          <w:p w14:paraId="4E0C1371" w14:textId="77777777" w:rsidR="0097744A" w:rsidRPr="00004EE2" w:rsidRDefault="0097744A" w:rsidP="004B5220">
            <w:pPr>
              <w:keepNext/>
              <w:keepLines/>
              <w:spacing w:before="100" w:beforeAutospacing="1"/>
              <w:ind w:right="33"/>
              <w:outlineLvl w:val="0"/>
              <w:rPr>
                <w:color w:val="000000" w:themeColor="text1"/>
              </w:rPr>
            </w:pPr>
          </w:p>
        </w:tc>
        <w:tc>
          <w:tcPr>
            <w:tcW w:w="7082" w:type="dxa"/>
          </w:tcPr>
          <w:p w14:paraId="3E8BD700" w14:textId="77777777" w:rsidR="0097744A" w:rsidRPr="00004EE2" w:rsidRDefault="0097744A" w:rsidP="004B338E">
            <w:pPr>
              <w:keepNext/>
              <w:keepLines/>
              <w:spacing w:before="240"/>
              <w:ind w:right="850"/>
              <w:outlineLvl w:val="0"/>
              <w:rPr>
                <w:color w:val="000000" w:themeColor="text1"/>
              </w:rPr>
            </w:pPr>
            <w:r w:rsidRPr="00004EE2">
              <w:rPr>
                <w:color w:val="000000" w:themeColor="text1"/>
              </w:rPr>
              <w:t>Microphone positions (height 1,2m)</w:t>
            </w:r>
          </w:p>
        </w:tc>
      </w:tr>
    </w:tbl>
    <w:p w14:paraId="1AD69F4C" w14:textId="1AF3104F" w:rsidR="0097744A" w:rsidRPr="005F3652" w:rsidRDefault="0097744A" w:rsidP="0097744A">
      <w:pPr>
        <w:keepNext/>
        <w:keepLines/>
        <w:spacing w:before="120" w:after="120"/>
        <w:ind w:left="1134" w:right="851"/>
        <w:outlineLvl w:val="0"/>
        <w:rPr>
          <w:color w:val="000000" w:themeColor="text1"/>
        </w:rPr>
      </w:pPr>
      <w:r w:rsidRPr="005F3652">
        <w:t>Source: ISO 10844</w:t>
      </w:r>
      <w:r w:rsidRPr="005F3652">
        <w:rPr>
          <w:color w:val="000000" w:themeColor="text1"/>
        </w:rPr>
        <w:t>:1994, with modifications.</w:t>
      </w:r>
      <w:r w:rsidR="001952D7">
        <w:rPr>
          <w:color w:val="000000" w:themeColor="text1"/>
        </w:rPr>
        <w:t>"</w:t>
      </w:r>
    </w:p>
    <w:p w14:paraId="36A9D870" w14:textId="5DDC66E4" w:rsidR="0097744A" w:rsidRPr="00004EE2" w:rsidRDefault="0097744A" w:rsidP="0097744A">
      <w:pPr>
        <w:keepNext/>
        <w:keepLines/>
        <w:spacing w:before="120" w:after="120"/>
        <w:ind w:left="1134" w:right="851"/>
        <w:outlineLvl w:val="0"/>
        <w:rPr>
          <w:color w:val="000000" w:themeColor="text1"/>
        </w:rPr>
      </w:pPr>
      <w:r w:rsidRPr="00004EE2">
        <w:rPr>
          <w:i/>
          <w:iCs/>
          <w:color w:val="000000" w:themeColor="text1"/>
        </w:rPr>
        <w:t xml:space="preserve">Figure 2 and Table 1, </w:t>
      </w:r>
      <w:r w:rsidRPr="00004EE2">
        <w:rPr>
          <w:color w:val="000000" w:themeColor="text1"/>
        </w:rPr>
        <w:t>delete.</w:t>
      </w:r>
    </w:p>
    <w:p w14:paraId="2CE11283" w14:textId="05AF9E8D" w:rsidR="0097744A" w:rsidRPr="00004EE2" w:rsidRDefault="0097744A" w:rsidP="0097744A">
      <w:pPr>
        <w:keepNext/>
        <w:keepLines/>
        <w:spacing w:after="120"/>
        <w:ind w:left="1134" w:right="851"/>
        <w:outlineLvl w:val="0"/>
        <w:rPr>
          <w:color w:val="000000" w:themeColor="text1"/>
        </w:rPr>
      </w:pPr>
      <w:r w:rsidRPr="00004EE2">
        <w:rPr>
          <w:i/>
          <w:iCs/>
          <w:color w:val="000000" w:themeColor="text1"/>
        </w:rPr>
        <w:t>Paragraph</w:t>
      </w:r>
      <w:r>
        <w:rPr>
          <w:i/>
          <w:iCs/>
          <w:color w:val="000000" w:themeColor="text1"/>
        </w:rPr>
        <w:t>s</w:t>
      </w:r>
      <w:r w:rsidRPr="00004EE2">
        <w:rPr>
          <w:i/>
          <w:iCs/>
          <w:color w:val="000000" w:themeColor="text1"/>
        </w:rPr>
        <w:t xml:space="preserve"> 4., 4.1. to 4.3., 5. and 5.1. to 5.3., </w:t>
      </w:r>
      <w:r w:rsidRPr="00004EE2">
        <w:rPr>
          <w:color w:val="000000" w:themeColor="text1"/>
        </w:rPr>
        <w:t>delete.</w:t>
      </w:r>
    </w:p>
    <w:p w14:paraId="59BD8590" w14:textId="42EE65D2" w:rsidR="006B3551" w:rsidRDefault="0097744A" w:rsidP="005F3652">
      <w:pPr>
        <w:keepNext/>
        <w:keepLines/>
        <w:spacing w:after="120"/>
        <w:ind w:left="1134" w:right="851"/>
        <w:outlineLvl w:val="0"/>
      </w:pPr>
      <w:r w:rsidRPr="00004EE2">
        <w:rPr>
          <w:i/>
          <w:iCs/>
          <w:color w:val="000000" w:themeColor="text1"/>
        </w:rPr>
        <w:t>Paragraph</w:t>
      </w:r>
      <w:r>
        <w:rPr>
          <w:i/>
          <w:iCs/>
          <w:color w:val="000000" w:themeColor="text1"/>
        </w:rPr>
        <w:t>s</w:t>
      </w:r>
      <w:r w:rsidRPr="00004EE2">
        <w:rPr>
          <w:i/>
          <w:iCs/>
          <w:color w:val="000000" w:themeColor="text1"/>
        </w:rPr>
        <w:t xml:space="preserve"> 6., 6.1., 6.1.1. to 6.1.6., 6.1.6.1. to 6.1.6.7. and 6.2., </w:t>
      </w:r>
      <w:r w:rsidRPr="00004EE2">
        <w:rPr>
          <w:color w:val="000000" w:themeColor="text1"/>
        </w:rPr>
        <w:t>delete.</w:t>
      </w:r>
    </w:p>
    <w:p w14:paraId="7A5E94CC" w14:textId="77777777" w:rsidR="006B3551" w:rsidRPr="00EE5A92" w:rsidRDefault="006B3551" w:rsidP="006B3551">
      <w:pPr>
        <w:spacing w:before="240"/>
        <w:jc w:val="center"/>
        <w:rPr>
          <w:u w:val="single"/>
        </w:rPr>
      </w:pPr>
      <w:r>
        <w:rPr>
          <w:u w:val="single"/>
        </w:rPr>
        <w:tab/>
      </w:r>
      <w:r>
        <w:rPr>
          <w:u w:val="single"/>
        </w:rPr>
        <w:tab/>
      </w:r>
      <w:r>
        <w:rPr>
          <w:u w:val="single"/>
        </w:rPr>
        <w:tab/>
      </w:r>
    </w:p>
    <w:p w14:paraId="43E7FB10" w14:textId="77777777" w:rsidR="001C6663" w:rsidRPr="006B3551" w:rsidRDefault="001C6663" w:rsidP="00595520"/>
    <w:sectPr w:rsidR="001C6663" w:rsidRPr="006B3551" w:rsidSect="006B3551">
      <w:headerReference w:type="even" r:id="rId15"/>
      <w:headerReference w:type="default" r:id="rId16"/>
      <w:footerReference w:type="even" r:id="rId17"/>
      <w:footerReference w:type="defaul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B1914" w14:textId="77777777" w:rsidR="006A57B3" w:rsidRDefault="006A57B3"/>
  </w:endnote>
  <w:endnote w:type="continuationSeparator" w:id="0">
    <w:p w14:paraId="3DC259A6" w14:textId="77777777" w:rsidR="006A57B3" w:rsidRDefault="006A57B3"/>
  </w:endnote>
  <w:endnote w:type="continuationNotice" w:id="1">
    <w:p w14:paraId="6E90B410" w14:textId="77777777" w:rsidR="006A57B3" w:rsidRDefault="006A5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166F3" w14:textId="09303856" w:rsidR="006B3551" w:rsidRPr="006B3551" w:rsidRDefault="006B3551" w:rsidP="006B3551">
    <w:pPr>
      <w:pStyle w:val="Footer"/>
      <w:tabs>
        <w:tab w:val="right" w:pos="9638"/>
      </w:tabs>
      <w:rPr>
        <w:sz w:val="18"/>
      </w:rPr>
    </w:pP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2</w:t>
    </w:r>
    <w:r w:rsidRPr="006B355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62E01" w14:textId="318A52D6" w:rsidR="006B3551" w:rsidRPr="006B3551" w:rsidRDefault="006B3551" w:rsidP="006B3551">
    <w:pPr>
      <w:pStyle w:val="Footer"/>
      <w:tabs>
        <w:tab w:val="right" w:pos="9638"/>
      </w:tabs>
      <w:rPr>
        <w:b/>
        <w:sz w:val="18"/>
      </w:rPr>
    </w:pPr>
    <w:r>
      <w:tab/>
    </w: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3</w:t>
    </w:r>
    <w:r w:rsidRPr="006B355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6334A" w14:textId="44A3EBD7" w:rsidR="00025612" w:rsidRDefault="00025612" w:rsidP="00025612">
    <w:pPr>
      <w:pStyle w:val="Footer"/>
    </w:pPr>
    <w:r w:rsidRPr="0027112F">
      <w:rPr>
        <w:noProof/>
        <w:lang w:val="en-US"/>
      </w:rPr>
      <w:drawing>
        <wp:anchor distT="0" distB="0" distL="114300" distR="114300" simplePos="0" relativeHeight="251659264" behindDoc="0" locked="1" layoutInCell="1" allowOverlap="1" wp14:anchorId="2C96FA40" wp14:editId="370B3959">
          <wp:simplePos x="0" y="0"/>
          <wp:positionH relativeFrom="column">
            <wp:posOffset>4558030</wp:posOffset>
          </wp:positionH>
          <wp:positionV relativeFrom="page">
            <wp:posOffset>10128250</wp:posOffset>
          </wp:positionV>
          <wp:extent cx="932400" cy="230400"/>
          <wp:effectExtent l="0" t="0" r="1270" b="0"/>
          <wp:wrapNone/>
          <wp:docPr id="6" name="Picture 6"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F9B6F25" w14:textId="3736C2DA" w:rsidR="00025612" w:rsidRPr="00025612" w:rsidRDefault="00025612" w:rsidP="00025612">
    <w:pPr>
      <w:pStyle w:val="Footer"/>
      <w:ind w:right="1134"/>
      <w:rPr>
        <w:sz w:val="20"/>
      </w:rPr>
    </w:pPr>
    <w:r>
      <w:rPr>
        <w:sz w:val="20"/>
      </w:rPr>
      <w:t>GE.21-18882(E)</w:t>
    </w:r>
    <w:r>
      <w:rPr>
        <w:noProof/>
        <w:sz w:val="20"/>
      </w:rPr>
      <w:drawing>
        <wp:anchor distT="0" distB="0" distL="114300" distR="114300" simplePos="0" relativeHeight="251660288" behindDoc="0" locked="0" layoutInCell="1" allowOverlap="1" wp14:anchorId="2BA56952" wp14:editId="6B6A5FF9">
          <wp:simplePos x="0" y="0"/>
          <wp:positionH relativeFrom="margin">
            <wp:posOffset>5615940</wp:posOffset>
          </wp:positionH>
          <wp:positionV relativeFrom="margin">
            <wp:posOffset>8905875</wp:posOffset>
          </wp:positionV>
          <wp:extent cx="561975" cy="561975"/>
          <wp:effectExtent l="0" t="0" r="9525" b="952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ADDAF" w14:textId="77777777" w:rsidR="006A57B3" w:rsidRPr="000B175B" w:rsidRDefault="006A57B3" w:rsidP="000B175B">
      <w:pPr>
        <w:tabs>
          <w:tab w:val="right" w:pos="2155"/>
        </w:tabs>
        <w:spacing w:after="80"/>
        <w:ind w:left="680"/>
        <w:rPr>
          <w:u w:val="single"/>
        </w:rPr>
      </w:pPr>
      <w:r>
        <w:rPr>
          <w:u w:val="single"/>
        </w:rPr>
        <w:tab/>
      </w:r>
    </w:p>
  </w:footnote>
  <w:footnote w:type="continuationSeparator" w:id="0">
    <w:p w14:paraId="4ED76273" w14:textId="77777777" w:rsidR="006A57B3" w:rsidRPr="00FC68B7" w:rsidRDefault="006A57B3" w:rsidP="00FC68B7">
      <w:pPr>
        <w:tabs>
          <w:tab w:val="left" w:pos="2155"/>
        </w:tabs>
        <w:spacing w:after="80"/>
        <w:ind w:left="680"/>
        <w:rPr>
          <w:u w:val="single"/>
        </w:rPr>
      </w:pPr>
      <w:r>
        <w:rPr>
          <w:u w:val="single"/>
        </w:rPr>
        <w:tab/>
      </w:r>
    </w:p>
  </w:footnote>
  <w:footnote w:type="continuationNotice" w:id="1">
    <w:p w14:paraId="7743D3EF" w14:textId="77777777" w:rsidR="006A57B3" w:rsidRDefault="006A57B3"/>
  </w:footnote>
  <w:footnote w:id="2">
    <w:p w14:paraId="011A69D3" w14:textId="16F26C83" w:rsidR="006B3551" w:rsidRPr="00DC2C16" w:rsidRDefault="006B3551" w:rsidP="006B3551">
      <w:pPr>
        <w:pStyle w:val="FootnoteText"/>
      </w:pPr>
      <w:r>
        <w:rPr>
          <w:sz w:val="20"/>
        </w:rPr>
        <w:tab/>
      </w:r>
      <w:r w:rsidRPr="002232AF">
        <w:rPr>
          <w:rStyle w:val="FootnoteReference"/>
          <w:sz w:val="20"/>
        </w:rPr>
        <w:t>*</w:t>
      </w:r>
      <w:r w:rsidRPr="002232AF">
        <w:tab/>
      </w:r>
      <w:r>
        <w:rPr>
          <w:szCs w:val="18"/>
        </w:rPr>
        <w:t xml:space="preserve">In accordance with the programme of work of the Inland Transport Committee for </w:t>
      </w:r>
      <w:r>
        <w:t>202</w:t>
      </w:r>
      <w:r w:rsidR="00720F52">
        <w:t>2</w:t>
      </w:r>
      <w:r>
        <w:t xml:space="preserve"> as outlined in proposed programme budget for 202</w:t>
      </w:r>
      <w:r w:rsidR="00720F52">
        <w:t>2</w:t>
      </w:r>
      <w:r w:rsidRPr="001D00B0">
        <w:t xml:space="preserve"> </w:t>
      </w:r>
      <w:r w:rsidRPr="00202D4A">
        <w:t>(A/7</w:t>
      </w:r>
      <w:r w:rsidR="00216128" w:rsidRPr="00202D4A">
        <w:t>6</w:t>
      </w:r>
      <w:r w:rsidRPr="00202D4A">
        <w:t>/6 (part V sect. 20) para 20.</w:t>
      </w:r>
      <w:r w:rsidR="005A05C8" w:rsidRPr="00202D4A">
        <w:t>76</w:t>
      </w:r>
      <w:r w:rsidRPr="00202D4A">
        <w:t>)</w:t>
      </w:r>
      <w:r w:rsidRPr="00202D4A">
        <w:rPr>
          <w:szCs w:val="18"/>
        </w:rPr>
        <w:t>,</w:t>
      </w:r>
      <w:r>
        <w:rPr>
          <w:szCs w:val="18"/>
        </w:rPr>
        <w:t xml:space="preserve"> the World Forum will develop, </w:t>
      </w:r>
      <w:proofErr w:type="gramStart"/>
      <w:r>
        <w:rPr>
          <w:szCs w:val="18"/>
        </w:rPr>
        <w:t>harmonize</w:t>
      </w:r>
      <w:proofErr w:type="gramEnd"/>
      <w:r>
        <w:rPr>
          <w:szCs w:val="18"/>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93DFD" w14:textId="7A8A28A4" w:rsidR="006B3551" w:rsidRPr="006B3551" w:rsidRDefault="006B3551">
    <w:pPr>
      <w:pStyle w:val="Header"/>
    </w:pPr>
    <w:r>
      <w:t>ECE/TRANS/WP.29/202</w:t>
    </w:r>
    <w:r w:rsidR="00720F52">
      <w:t>2</w:t>
    </w:r>
    <w:r>
      <w:t>/</w:t>
    </w:r>
    <w:r w:rsidR="005F3652">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5660B" w14:textId="02081380" w:rsidR="006B3551" w:rsidRPr="006B3551" w:rsidRDefault="006B3551" w:rsidP="006B3551">
    <w:pPr>
      <w:pStyle w:val="Header"/>
      <w:jc w:val="right"/>
    </w:pPr>
    <w:r>
      <w:t>ECE/TRANS/WP.29/202</w:t>
    </w:r>
    <w:r w:rsidR="0029684D">
      <w:t>2</w:t>
    </w:r>
    <w:r>
      <w:t>/</w:t>
    </w:r>
    <w:r w:rsidR="00A71F4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51"/>
    <w:rsid w:val="00002A7D"/>
    <w:rsid w:val="000038A8"/>
    <w:rsid w:val="00005DF3"/>
    <w:rsid w:val="00006790"/>
    <w:rsid w:val="00025612"/>
    <w:rsid w:val="00027624"/>
    <w:rsid w:val="00050F6B"/>
    <w:rsid w:val="000678CD"/>
    <w:rsid w:val="00072C8C"/>
    <w:rsid w:val="00081CE0"/>
    <w:rsid w:val="00084D30"/>
    <w:rsid w:val="00090320"/>
    <w:rsid w:val="000931C0"/>
    <w:rsid w:val="00097003"/>
    <w:rsid w:val="000A2E09"/>
    <w:rsid w:val="000B175B"/>
    <w:rsid w:val="000B3A0F"/>
    <w:rsid w:val="000E0415"/>
    <w:rsid w:val="000F7715"/>
    <w:rsid w:val="00156B99"/>
    <w:rsid w:val="00166124"/>
    <w:rsid w:val="00184DDA"/>
    <w:rsid w:val="001900CD"/>
    <w:rsid w:val="001952D7"/>
    <w:rsid w:val="001A0452"/>
    <w:rsid w:val="001B4B04"/>
    <w:rsid w:val="001B5875"/>
    <w:rsid w:val="001B5F8C"/>
    <w:rsid w:val="001C2AB4"/>
    <w:rsid w:val="001C4B9C"/>
    <w:rsid w:val="001C6663"/>
    <w:rsid w:val="001C7895"/>
    <w:rsid w:val="001D26DF"/>
    <w:rsid w:val="001F1599"/>
    <w:rsid w:val="001F19C4"/>
    <w:rsid w:val="00202D4A"/>
    <w:rsid w:val="002043F0"/>
    <w:rsid w:val="00211E0B"/>
    <w:rsid w:val="00216128"/>
    <w:rsid w:val="00232575"/>
    <w:rsid w:val="00247258"/>
    <w:rsid w:val="00257CAC"/>
    <w:rsid w:val="0027237A"/>
    <w:rsid w:val="0029684D"/>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1BAE"/>
    <w:rsid w:val="00413520"/>
    <w:rsid w:val="004325CB"/>
    <w:rsid w:val="00440A07"/>
    <w:rsid w:val="00462880"/>
    <w:rsid w:val="00476F24"/>
    <w:rsid w:val="00496D41"/>
    <w:rsid w:val="004A5D33"/>
    <w:rsid w:val="004B338E"/>
    <w:rsid w:val="004C55B0"/>
    <w:rsid w:val="004F6BA0"/>
    <w:rsid w:val="00503BEA"/>
    <w:rsid w:val="00533616"/>
    <w:rsid w:val="00535ABA"/>
    <w:rsid w:val="0053768B"/>
    <w:rsid w:val="005420F2"/>
    <w:rsid w:val="0054285C"/>
    <w:rsid w:val="00563605"/>
    <w:rsid w:val="00584173"/>
    <w:rsid w:val="005845BB"/>
    <w:rsid w:val="00595520"/>
    <w:rsid w:val="005A05C8"/>
    <w:rsid w:val="005A44B9"/>
    <w:rsid w:val="005B1BA0"/>
    <w:rsid w:val="005B3DB3"/>
    <w:rsid w:val="005C0268"/>
    <w:rsid w:val="005D15CA"/>
    <w:rsid w:val="005F08DF"/>
    <w:rsid w:val="005F3066"/>
    <w:rsid w:val="005F3652"/>
    <w:rsid w:val="005F3E61"/>
    <w:rsid w:val="00601EBC"/>
    <w:rsid w:val="00604DDD"/>
    <w:rsid w:val="006115CC"/>
    <w:rsid w:val="00611FC4"/>
    <w:rsid w:val="006176FB"/>
    <w:rsid w:val="00630FCB"/>
    <w:rsid w:val="00640B26"/>
    <w:rsid w:val="0065766B"/>
    <w:rsid w:val="00657D97"/>
    <w:rsid w:val="00675625"/>
    <w:rsid w:val="006770B2"/>
    <w:rsid w:val="00686A48"/>
    <w:rsid w:val="0068763C"/>
    <w:rsid w:val="006940E1"/>
    <w:rsid w:val="006A3C72"/>
    <w:rsid w:val="006A57B3"/>
    <w:rsid w:val="006A7392"/>
    <w:rsid w:val="006B03A1"/>
    <w:rsid w:val="006B3551"/>
    <w:rsid w:val="006B67D9"/>
    <w:rsid w:val="006C5535"/>
    <w:rsid w:val="006D0589"/>
    <w:rsid w:val="006D707A"/>
    <w:rsid w:val="006E564B"/>
    <w:rsid w:val="006E7154"/>
    <w:rsid w:val="006F5CE9"/>
    <w:rsid w:val="007003CD"/>
    <w:rsid w:val="0070701E"/>
    <w:rsid w:val="00720F52"/>
    <w:rsid w:val="0072632A"/>
    <w:rsid w:val="007358E8"/>
    <w:rsid w:val="00736ECE"/>
    <w:rsid w:val="0074533B"/>
    <w:rsid w:val="00750222"/>
    <w:rsid w:val="007643BC"/>
    <w:rsid w:val="00780C68"/>
    <w:rsid w:val="007959FE"/>
    <w:rsid w:val="007A0CF1"/>
    <w:rsid w:val="007A71EF"/>
    <w:rsid w:val="007B6BA5"/>
    <w:rsid w:val="007C3390"/>
    <w:rsid w:val="007C42D8"/>
    <w:rsid w:val="007C4F4B"/>
    <w:rsid w:val="007D6F65"/>
    <w:rsid w:val="007D7362"/>
    <w:rsid w:val="007F3892"/>
    <w:rsid w:val="007F5CE2"/>
    <w:rsid w:val="007F6611"/>
    <w:rsid w:val="00810BAC"/>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D6158"/>
    <w:rsid w:val="008E0E46"/>
    <w:rsid w:val="008E7116"/>
    <w:rsid w:val="008F143B"/>
    <w:rsid w:val="008F3882"/>
    <w:rsid w:val="008F4B7C"/>
    <w:rsid w:val="00926E47"/>
    <w:rsid w:val="00947162"/>
    <w:rsid w:val="00956560"/>
    <w:rsid w:val="009610D0"/>
    <w:rsid w:val="0096375C"/>
    <w:rsid w:val="009662E6"/>
    <w:rsid w:val="0097095E"/>
    <w:rsid w:val="0097744A"/>
    <w:rsid w:val="0098592B"/>
    <w:rsid w:val="00985FC4"/>
    <w:rsid w:val="00990766"/>
    <w:rsid w:val="00991261"/>
    <w:rsid w:val="009964C4"/>
    <w:rsid w:val="009A7B81"/>
    <w:rsid w:val="009B7EB7"/>
    <w:rsid w:val="009D01C0"/>
    <w:rsid w:val="009D6A08"/>
    <w:rsid w:val="009E0A16"/>
    <w:rsid w:val="009E6CB7"/>
    <w:rsid w:val="009E7970"/>
    <w:rsid w:val="009F2EAC"/>
    <w:rsid w:val="009F57E3"/>
    <w:rsid w:val="00A10F4F"/>
    <w:rsid w:val="00A11067"/>
    <w:rsid w:val="00A1704A"/>
    <w:rsid w:val="00A36AC2"/>
    <w:rsid w:val="00A425EB"/>
    <w:rsid w:val="00A52E1A"/>
    <w:rsid w:val="00A62486"/>
    <w:rsid w:val="00A71F42"/>
    <w:rsid w:val="00A72F22"/>
    <w:rsid w:val="00A733BC"/>
    <w:rsid w:val="00A748A6"/>
    <w:rsid w:val="00A76A69"/>
    <w:rsid w:val="00A86B3F"/>
    <w:rsid w:val="00A879A4"/>
    <w:rsid w:val="00AA0FF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4688A"/>
    <w:rsid w:val="00C51C20"/>
    <w:rsid w:val="00C745C3"/>
    <w:rsid w:val="00C978F5"/>
    <w:rsid w:val="00CA24A4"/>
    <w:rsid w:val="00CB348D"/>
    <w:rsid w:val="00CB7E05"/>
    <w:rsid w:val="00CD36A0"/>
    <w:rsid w:val="00CD46F5"/>
    <w:rsid w:val="00CE4A8F"/>
    <w:rsid w:val="00CF071D"/>
    <w:rsid w:val="00D0123D"/>
    <w:rsid w:val="00D15B04"/>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B1488"/>
    <w:rsid w:val="00DC18AD"/>
    <w:rsid w:val="00DD7B52"/>
    <w:rsid w:val="00DE16E5"/>
    <w:rsid w:val="00DF7CAE"/>
    <w:rsid w:val="00E423C0"/>
    <w:rsid w:val="00E53AEE"/>
    <w:rsid w:val="00E6414C"/>
    <w:rsid w:val="00E7260F"/>
    <w:rsid w:val="00E854EC"/>
    <w:rsid w:val="00E8702D"/>
    <w:rsid w:val="00E905F4"/>
    <w:rsid w:val="00E916A9"/>
    <w:rsid w:val="00E916DE"/>
    <w:rsid w:val="00E925AD"/>
    <w:rsid w:val="00E958C3"/>
    <w:rsid w:val="00E96630"/>
    <w:rsid w:val="00EA372A"/>
    <w:rsid w:val="00ED18DC"/>
    <w:rsid w:val="00ED6201"/>
    <w:rsid w:val="00ED7A2A"/>
    <w:rsid w:val="00EF1D7F"/>
    <w:rsid w:val="00F0137E"/>
    <w:rsid w:val="00F04B11"/>
    <w:rsid w:val="00F04E44"/>
    <w:rsid w:val="00F20966"/>
    <w:rsid w:val="00F21786"/>
    <w:rsid w:val="00F25D06"/>
    <w:rsid w:val="00F31CFF"/>
    <w:rsid w:val="00F3742B"/>
    <w:rsid w:val="00F41FDB"/>
    <w:rsid w:val="00F50597"/>
    <w:rsid w:val="00F56D63"/>
    <w:rsid w:val="00F609A9"/>
    <w:rsid w:val="00F80C99"/>
    <w:rsid w:val="00F867EC"/>
    <w:rsid w:val="00F91B2B"/>
    <w:rsid w:val="00F9430D"/>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F2CE41D"/>
  <w15:docId w15:val="{AA305347-9893-4186-90EC-F9A76E5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qFormat/>
    <w:rsid w:val="0097744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6A4D0D14-E6D3-44A9-9A1A-D89694D11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0AE45-67E1-406E-95F0-2F225F3EF431}">
  <ds:schemaRefs>
    <ds:schemaRef ds:uri="http://schemas.microsoft.com/sharepoint/v3/contenttype/forms"/>
  </ds:schemaRefs>
</ds:datastoreItem>
</file>

<file path=customXml/itemProps4.xml><?xml version="1.0" encoding="utf-8"?>
<ds:datastoreItem xmlns:ds="http://schemas.openxmlformats.org/officeDocument/2006/customXml" ds:itemID="{29BDD6F4-96B9-4328-B66B-C1940BDB77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3894</Characters>
  <Application>Microsoft Office Word</Application>
  <DocSecurity>0</DocSecurity>
  <Lines>98</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ECE/TRANS/WP.29/2022/3</dc:title>
  <dc:subject>2118882</dc:subject>
  <dc:creator>Lucille</dc:creator>
  <cp:keywords/>
  <dc:description/>
  <cp:lastModifiedBy>Don MARTIN</cp:lastModifiedBy>
  <cp:revision>2</cp:revision>
  <cp:lastPrinted>2009-02-18T09:36:00Z</cp:lastPrinted>
  <dcterms:created xsi:type="dcterms:W3CDTF">2021-12-14T10:48:00Z</dcterms:created>
  <dcterms:modified xsi:type="dcterms:W3CDTF">2021-12-14T10:48:00Z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