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148F85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9191FA1" w14:textId="77777777" w:rsidR="002D5AAC" w:rsidRDefault="002D5AAC" w:rsidP="00662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3DF4AD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8460560" w14:textId="309C806F" w:rsidR="002D5AAC" w:rsidRDefault="00662A70" w:rsidP="00662A70">
            <w:pPr>
              <w:jc w:val="right"/>
            </w:pPr>
            <w:r w:rsidRPr="00662A70">
              <w:rPr>
                <w:sz w:val="40"/>
              </w:rPr>
              <w:t>ECE</w:t>
            </w:r>
            <w:r>
              <w:t>/TRANS/WP.29/2022/18</w:t>
            </w:r>
          </w:p>
        </w:tc>
      </w:tr>
      <w:tr w:rsidR="002D5AAC" w14:paraId="3ACD5DF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76CBC0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A364356" wp14:editId="7EC1F82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17589B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B63889A" w14:textId="77777777" w:rsidR="002D5AAC" w:rsidRDefault="00662A70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4F91014" w14:textId="77777777" w:rsidR="00662A70" w:rsidRDefault="00662A70" w:rsidP="00662A7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23 December 2021</w:t>
            </w:r>
          </w:p>
          <w:p w14:paraId="5E0F9DEA" w14:textId="77777777" w:rsidR="00662A70" w:rsidRDefault="00662A70" w:rsidP="00662A7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5312E63" w14:textId="1D17D686" w:rsidR="00662A70" w:rsidRPr="008D53B6" w:rsidRDefault="00662A70" w:rsidP="00662A7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3998F1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B78D9DB" w14:textId="77777777" w:rsidR="00662A70" w:rsidRPr="00662A70" w:rsidRDefault="00662A70" w:rsidP="00662A70">
      <w:pPr>
        <w:spacing w:before="120"/>
        <w:rPr>
          <w:sz w:val="28"/>
          <w:szCs w:val="28"/>
        </w:rPr>
      </w:pPr>
      <w:r w:rsidRPr="00662A70">
        <w:rPr>
          <w:sz w:val="28"/>
          <w:szCs w:val="28"/>
        </w:rPr>
        <w:t>Комитет по внутреннему транспорту</w:t>
      </w:r>
    </w:p>
    <w:p w14:paraId="464A8545" w14:textId="3D9CD5B8" w:rsidR="00662A70" w:rsidRPr="00662A70" w:rsidRDefault="00662A70" w:rsidP="00662A70">
      <w:pPr>
        <w:spacing w:before="120"/>
        <w:rPr>
          <w:b/>
          <w:sz w:val="24"/>
          <w:szCs w:val="24"/>
        </w:rPr>
      </w:pPr>
      <w:r w:rsidRPr="00662A70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662A70">
        <w:rPr>
          <w:b/>
          <w:bCs/>
          <w:sz w:val="24"/>
          <w:szCs w:val="24"/>
        </w:rPr>
        <w:t>в области транспортных средств</w:t>
      </w:r>
    </w:p>
    <w:p w14:paraId="33E77252" w14:textId="77777777" w:rsidR="00662A70" w:rsidRPr="00061520" w:rsidRDefault="00662A70" w:rsidP="00662A70">
      <w:pPr>
        <w:tabs>
          <w:tab w:val="center" w:pos="4819"/>
        </w:tabs>
        <w:spacing w:before="120"/>
        <w:rPr>
          <w:b/>
        </w:rPr>
      </w:pPr>
      <w:r>
        <w:rPr>
          <w:b/>
          <w:bCs/>
        </w:rPr>
        <w:t>Сто восемьдесят шестая сессия</w:t>
      </w:r>
    </w:p>
    <w:p w14:paraId="51198DDA" w14:textId="77777777" w:rsidR="00662A70" w:rsidRPr="00061520" w:rsidRDefault="00662A70" w:rsidP="00662A70">
      <w:r>
        <w:t>Женева, 8–11 марта 2022 года</w:t>
      </w:r>
    </w:p>
    <w:p w14:paraId="5C63CAC5" w14:textId="77777777" w:rsidR="00662A70" w:rsidRPr="00061520" w:rsidRDefault="00662A70" w:rsidP="00662A70">
      <w:r>
        <w:t>Пункт 4.7.7 предварительной повестки дня</w:t>
      </w:r>
    </w:p>
    <w:p w14:paraId="7B66DAF4" w14:textId="44BFC238" w:rsidR="00662A70" w:rsidRPr="00061520" w:rsidRDefault="00662A70" w:rsidP="00662A70">
      <w:pPr>
        <w:rPr>
          <w:b/>
        </w:rPr>
      </w:pPr>
      <w:r>
        <w:rPr>
          <w:b/>
          <w:bCs/>
        </w:rPr>
        <w:t>Соглашение 1958 года:</w:t>
      </w:r>
      <w:r>
        <w:rPr>
          <w:b/>
          <w:bCs/>
        </w:rPr>
        <w:br/>
        <w:t>Рассмотрение проектов поправок к существующим</w:t>
      </w:r>
      <w:r>
        <w:rPr>
          <w:b/>
          <w:bCs/>
        </w:rPr>
        <w:br/>
        <w:t>правилам ООН, представленных GRVA</w:t>
      </w:r>
    </w:p>
    <w:p w14:paraId="33EAB85B" w14:textId="77777777" w:rsidR="00662A70" w:rsidRPr="00061520" w:rsidRDefault="00662A70" w:rsidP="00662A70">
      <w:pPr>
        <w:pStyle w:val="HChG"/>
      </w:pPr>
      <w:r>
        <w:tab/>
      </w:r>
      <w:r>
        <w:tab/>
      </w:r>
      <w:r>
        <w:rPr>
          <w:bCs/>
        </w:rPr>
        <w:t>Предложение по дополнению 5 к первоначальному варианту Правил № 152 ООН (САЭТ для транспортных средств категорий M</w:t>
      </w:r>
      <w:r>
        <w:rPr>
          <w:bCs/>
          <w:vertAlign w:val="subscript"/>
        </w:rPr>
        <w:t>1</w:t>
      </w:r>
      <w:r>
        <w:rPr>
          <w:bCs/>
        </w:rPr>
        <w:t xml:space="preserve"> и N</w:t>
      </w:r>
      <w:r>
        <w:rPr>
          <w:bCs/>
          <w:vertAlign w:val="subscript"/>
        </w:rPr>
        <w:t>1</w:t>
      </w:r>
      <w:r>
        <w:rPr>
          <w:bCs/>
        </w:rPr>
        <w:t>)</w:t>
      </w:r>
    </w:p>
    <w:p w14:paraId="4EAF3C52" w14:textId="0B8AB809" w:rsidR="00662A70" w:rsidRPr="00061520" w:rsidRDefault="00662A70" w:rsidP="00662A70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автоматизированным/</w:t>
      </w:r>
      <w:r w:rsidRPr="00662A70">
        <w:rPr>
          <w:bCs/>
        </w:rPr>
        <w:t xml:space="preserve"> </w:t>
      </w:r>
      <w:r>
        <w:rPr>
          <w:bCs/>
        </w:rPr>
        <w:t>автономным и подключенным транспортным средствам</w:t>
      </w:r>
      <w:r w:rsidRPr="00662A70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>
        <w:t xml:space="preserve"> </w:t>
      </w:r>
    </w:p>
    <w:p w14:paraId="33A9F7A6" w14:textId="3DE4E455" w:rsidR="00662A70" w:rsidRPr="00061520" w:rsidRDefault="00662A70" w:rsidP="00662A70">
      <w:pPr>
        <w:pStyle w:val="SingleTxtG"/>
        <w:ind w:firstLine="567"/>
        <w:rPr>
          <w:szCs w:val="24"/>
        </w:rPr>
      </w:pPr>
      <w:r>
        <w:t>Воспроизведенный ниже текст был принят Рабочей группой по автоматизированным/автономным и подключенным транспортным средствам (GRVA) на ее одиннадцатой сессии (см. документ ECE/TRANS/WP.29/GRVA/11, пункт 78. В его основу положен документ ECE/TRANS/WP.29/GRVA/2021/22 с поправками, содержащимися в приложении IV к докладу о работе сессии).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марте 2022 года.</w:t>
      </w:r>
    </w:p>
    <w:p w14:paraId="1A8E5753" w14:textId="77777777" w:rsidR="00662A70" w:rsidRPr="00061520" w:rsidRDefault="00662A70" w:rsidP="00662A70">
      <w:pPr>
        <w:pStyle w:val="SingleTxtG"/>
        <w:ind w:firstLine="567"/>
      </w:pPr>
      <w:r w:rsidRPr="00061520">
        <w:br w:type="page"/>
      </w:r>
    </w:p>
    <w:p w14:paraId="61B8D195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hAnsiTheme="majorBidi"/>
          <w:i/>
        </w:rPr>
      </w:pPr>
      <w:r>
        <w:rPr>
          <w:i/>
          <w:iCs/>
        </w:rPr>
        <w:lastRenderedPageBreak/>
        <w:t>Пункт 2.12</w:t>
      </w:r>
      <w:r>
        <w:t xml:space="preserve"> изменить следующим образом (в том числе изменить нумерацию прежней сноски 3): </w:t>
      </w:r>
    </w:p>
    <w:p w14:paraId="0A4D3772" w14:textId="07A248D0" w:rsidR="00662A70" w:rsidRPr="00061520" w:rsidRDefault="00662A70" w:rsidP="00662A70">
      <w:pPr>
        <w:spacing w:after="120"/>
        <w:ind w:left="2268" w:right="1134" w:hanging="1134"/>
        <w:jc w:val="both"/>
        <w:rPr>
          <w:rFonts w:asciiTheme="majorBidi" w:eastAsiaTheme="minorEastAsia" w:hAnsiTheme="majorBidi"/>
        </w:rPr>
      </w:pPr>
      <w:r>
        <w:t>«</w:t>
      </w:r>
      <w:r>
        <w:t>2.12</w:t>
      </w:r>
      <w:r>
        <w:tab/>
      </w:r>
      <w:r w:rsidRPr="00662A70">
        <w:t>“</w:t>
      </w:r>
      <w:r>
        <w:rPr>
          <w:i/>
          <w:iCs/>
        </w:rPr>
        <w:t>сухая дорога, обеспечивающая хорошее сцепление</w:t>
      </w:r>
      <w:r w:rsidRPr="00662A70">
        <w:t>”</w:t>
      </w:r>
      <w:r>
        <w:t xml:space="preserve"> означает дорогу с достаточным номинальным</w:t>
      </w:r>
      <w:r>
        <w:rPr>
          <w:vertAlign w:val="superscript"/>
        </w:rPr>
        <w:t>2</w:t>
      </w:r>
      <w:r>
        <w:t xml:space="preserve"> пиковым коэффициентом торможения (ПКТ), на которой может достигаться: </w:t>
      </w:r>
    </w:p>
    <w:p w14:paraId="4F54BC9F" w14:textId="535540DF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a)</w:t>
      </w:r>
      <w:r>
        <w:tab/>
        <w:t>среднее значение предельного замедления не менее 9 м/с</w:t>
      </w:r>
      <w:r>
        <w:rPr>
          <w:vertAlign w:val="superscript"/>
        </w:rPr>
        <w:t>2</w:t>
      </w:r>
      <w:r w:rsidR="00392CF3">
        <w:t>;</w:t>
      </w:r>
      <w:r>
        <w:t xml:space="preserve"> или</w:t>
      </w:r>
    </w:p>
    <w:p w14:paraId="00D5000C" w14:textId="77777777" w:rsidR="00662A70" w:rsidRPr="00061520" w:rsidRDefault="00662A70" w:rsidP="00392CF3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b)</w:t>
      </w:r>
      <w:r>
        <w:tab/>
        <w:t>расчетное максимальное значение замедления соответствующего транспортного средства, —</w:t>
      </w:r>
    </w:p>
    <w:p w14:paraId="066F8F80" w14:textId="43CB098C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в зависимости от того, какая величина меньше.</w:t>
      </w:r>
    </w:p>
    <w:p w14:paraId="00E0CB64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eastAsiaTheme="minorEastAsia" w:hAnsiTheme="majorBidi"/>
        </w:rPr>
      </w:pPr>
      <w:r>
        <w:rPr>
          <w:i/>
          <w:iCs/>
        </w:rPr>
        <w:t>Сноска 2</w:t>
      </w:r>
      <w:r>
        <w:t>, изменить нумерацию на 3.</w:t>
      </w:r>
    </w:p>
    <w:p w14:paraId="4AE7688B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eastAsiaTheme="minorEastAsia" w:hAnsiTheme="majorBidi"/>
        </w:rPr>
      </w:pPr>
      <w:r>
        <w:rPr>
          <w:i/>
          <w:iCs/>
        </w:rPr>
        <w:t>Сноска 3</w:t>
      </w:r>
      <w:r>
        <w:t>, изменить нумерацию на 2».</w:t>
      </w:r>
    </w:p>
    <w:p w14:paraId="2AA27351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eastAsiaTheme="minorEastAsia" w:hAnsiTheme="majorBidi"/>
          <w:bCs/>
        </w:rPr>
      </w:pPr>
      <w:r>
        <w:rPr>
          <w:i/>
          <w:iCs/>
        </w:rPr>
        <w:t>Пункт 2.14</w:t>
      </w:r>
      <w:r>
        <w:t xml:space="preserve"> изменить следующим образом: </w:t>
      </w:r>
    </w:p>
    <w:p w14:paraId="352EBD99" w14:textId="49E7B620" w:rsidR="00662A70" w:rsidRPr="00061520" w:rsidRDefault="00392CF3" w:rsidP="00662A70">
      <w:pPr>
        <w:spacing w:after="120"/>
        <w:ind w:left="2268" w:right="1134" w:hanging="1134"/>
        <w:jc w:val="both"/>
        <w:rPr>
          <w:rFonts w:asciiTheme="majorBidi" w:hAnsiTheme="majorBidi"/>
          <w:strike/>
        </w:rPr>
      </w:pPr>
      <w:r>
        <w:t>«</w:t>
      </w:r>
      <w:r w:rsidR="00662A70">
        <w:t>2.13</w:t>
      </w:r>
      <w:r w:rsidR="00662A70">
        <w:tab/>
      </w:r>
      <w:r w:rsidR="00662A70" w:rsidRPr="00662A70">
        <w:t>“</w:t>
      </w:r>
      <w:r w:rsidR="00662A70">
        <w:rPr>
          <w:i/>
          <w:iCs/>
        </w:rPr>
        <w:t>достаточный номинальный пиковый коэффициент торможения (ПКТ)</w:t>
      </w:r>
      <w:r w:rsidR="00662A70" w:rsidRPr="00662A70">
        <w:t>”</w:t>
      </w:r>
      <w:r w:rsidR="00662A70">
        <w:t xml:space="preserve"> означает коэффициент трения с поверхностью дороги, равный:</w:t>
      </w:r>
    </w:p>
    <w:p w14:paraId="5D2C61E2" w14:textId="77777777" w:rsidR="00662A70" w:rsidRPr="00061520" w:rsidRDefault="00662A70" w:rsidP="00662A70">
      <w:pPr>
        <w:tabs>
          <w:tab w:val="left" w:pos="2835"/>
        </w:tabs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a)</w:t>
      </w:r>
      <w:r>
        <w:tab/>
        <w:t>0,9 — при измерении с использованием эталонной испытательной шины, соответствующей стандарту E1136-19 Американского общества по испытаниям и материалам (ASTM), по методу ASTM E1337-19 на скорости 40 миль/ч;</w:t>
      </w:r>
    </w:p>
    <w:p w14:paraId="0AB40A00" w14:textId="08A6950A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b)</w:t>
      </w:r>
      <w:r>
        <w:tab/>
        <w:t>1,017 — при измерении с использованием либо</w:t>
      </w:r>
      <w:r w:rsidR="00392CF3">
        <w:t>:</w:t>
      </w:r>
    </w:p>
    <w:p w14:paraId="37F04EE2" w14:textId="7CB7266B" w:rsidR="00662A70" w:rsidRPr="00061520" w:rsidRDefault="00662A70" w:rsidP="00392CF3">
      <w:pPr>
        <w:tabs>
          <w:tab w:val="left" w:pos="3402"/>
        </w:tabs>
        <w:spacing w:after="120"/>
        <w:ind w:left="3402" w:right="1134" w:hanging="567"/>
        <w:jc w:val="both"/>
        <w:rPr>
          <w:rFonts w:asciiTheme="majorBidi" w:eastAsiaTheme="minorEastAsia" w:hAnsiTheme="majorBidi"/>
        </w:rPr>
      </w:pPr>
      <w:r>
        <w:t>i)</w:t>
      </w:r>
      <w:r>
        <w:tab/>
        <w:t>эталонной испытательной шины, соответствующей стандарту F2493-20 Американского общества по испытаниям и материалам (ASTM), по методу ASTM</w:t>
      </w:r>
      <w:r w:rsidR="00392CF3">
        <w:t> </w:t>
      </w:r>
      <w:r>
        <w:t>E1337-19 на скорости 40 миль/ч; либо</w:t>
      </w:r>
    </w:p>
    <w:p w14:paraId="190F0660" w14:textId="229A1A4D" w:rsidR="00662A70" w:rsidRPr="00061520" w:rsidRDefault="00662A70" w:rsidP="00392CF3">
      <w:pPr>
        <w:tabs>
          <w:tab w:val="left" w:pos="3402"/>
        </w:tabs>
        <w:spacing w:after="120"/>
        <w:ind w:left="3402" w:right="1134" w:hanging="567"/>
        <w:jc w:val="both"/>
        <w:rPr>
          <w:rFonts w:asciiTheme="majorBidi" w:eastAsiaTheme="minorEastAsia" w:hAnsiTheme="majorBidi"/>
        </w:rPr>
      </w:pPr>
      <w:proofErr w:type="spellStart"/>
      <w:r>
        <w:t>ii</w:t>
      </w:r>
      <w:proofErr w:type="spellEnd"/>
      <w:r>
        <w:t>)</w:t>
      </w:r>
      <w:r>
        <w:tab/>
        <w:t>метода определения значения коэффициента k, указанного в добавлении 2 к приложению 6 к Правилам № 13-Н ООН</w:t>
      </w:r>
      <w:r w:rsidR="00392CF3">
        <w:t>»</w:t>
      </w:r>
      <w:r>
        <w:t>.</w:t>
      </w:r>
    </w:p>
    <w:p w14:paraId="70745548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eastAsiaTheme="minorEastAsia" w:hAnsiTheme="majorBidi"/>
          <w:bCs/>
        </w:rPr>
      </w:pPr>
      <w:r>
        <w:rPr>
          <w:i/>
          <w:iCs/>
        </w:rPr>
        <w:t>Включить новый пункт 2.18</w:t>
      </w:r>
      <w:r>
        <w:t xml:space="preserve"> следующего содержания: </w:t>
      </w:r>
    </w:p>
    <w:p w14:paraId="39F8A524" w14:textId="43375C0D" w:rsidR="00662A70" w:rsidRPr="00061520" w:rsidRDefault="00392CF3" w:rsidP="00662A70">
      <w:pPr>
        <w:pStyle w:val="SingleTxtG"/>
        <w:tabs>
          <w:tab w:val="clear" w:pos="1701"/>
        </w:tabs>
        <w:ind w:left="2268" w:hanging="1134"/>
        <w:rPr>
          <w:rFonts w:asciiTheme="majorBidi" w:eastAsiaTheme="minorEastAsia" w:hAnsiTheme="majorBidi" w:cstheme="minorBidi"/>
          <w:bCs/>
          <w:szCs w:val="22"/>
        </w:rPr>
      </w:pPr>
      <w:r>
        <w:t>«</w:t>
      </w:r>
      <w:r w:rsidR="00662A70">
        <w:t>2.17</w:t>
      </w:r>
      <w:r w:rsidR="00662A70">
        <w:tab/>
        <w:t>“</w:t>
      </w:r>
      <w:r>
        <w:rPr>
          <w:i/>
          <w:iCs/>
        </w:rPr>
        <w:t>среднее</w:t>
      </w:r>
      <w:r w:rsidR="00662A70">
        <w:rPr>
          <w:i/>
          <w:iCs/>
        </w:rPr>
        <w:t xml:space="preserve"> значение предельного замедления (</w:t>
      </w:r>
      <w:proofErr w:type="spellStart"/>
      <w:r w:rsidR="00662A70">
        <w:rPr>
          <w:i/>
          <w:iCs/>
        </w:rPr>
        <w:t>d</w:t>
      </w:r>
      <w:r w:rsidR="00662A70">
        <w:rPr>
          <w:i/>
          <w:iCs/>
          <w:vertAlign w:val="subscript"/>
        </w:rPr>
        <w:t>m</w:t>
      </w:r>
      <w:proofErr w:type="spellEnd"/>
      <w:r w:rsidR="00662A70">
        <w:rPr>
          <w:i/>
          <w:iCs/>
        </w:rPr>
        <w:t>)</w:t>
      </w:r>
      <w:r w:rsidR="00662A70">
        <w:t xml:space="preserve">” рассчитывают как отношение среднего замедления к расстоянию в интервале </w:t>
      </w:r>
      <w:proofErr w:type="spellStart"/>
      <w:r w:rsidR="00662A70">
        <w:t>v</w:t>
      </w:r>
      <w:r w:rsidR="00662A70">
        <w:rPr>
          <w:vertAlign w:val="subscript"/>
        </w:rPr>
        <w:t>b</w:t>
      </w:r>
      <w:proofErr w:type="spellEnd"/>
      <w:r w:rsidR="00662A70">
        <w:t>–</w:t>
      </w:r>
      <w:proofErr w:type="spellStart"/>
      <w:r w:rsidR="00662A70">
        <w:t>v</w:t>
      </w:r>
      <w:r w:rsidR="00662A70">
        <w:rPr>
          <w:vertAlign w:val="subscript"/>
        </w:rPr>
        <w:t>e</w:t>
      </w:r>
      <w:proofErr w:type="spellEnd"/>
      <w:r w:rsidR="00662A70">
        <w:t xml:space="preserve"> по следующей формуле:</w:t>
      </w:r>
    </w:p>
    <w:p w14:paraId="12E424D5" w14:textId="6A78A621" w:rsidR="00662A70" w:rsidRPr="00363E19" w:rsidRDefault="00662A70" w:rsidP="00662A70">
      <w:pPr>
        <w:pStyle w:val="SingleTxtG"/>
        <w:ind w:left="2268" w:hanging="1134"/>
        <w:rPr>
          <w:rFonts w:asciiTheme="majorBidi" w:eastAsiaTheme="minorEastAsia" w:hAnsiTheme="majorBidi" w:cstheme="minorBidi"/>
          <w:bCs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Bidi"/>
                  <w:bCs/>
                  <w:i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szCs w:val="22"/>
                </w:rPr>
                <m:t>d</m:t>
              </m:r>
            </m:e>
            <m:sub>
              <m:r>
                <w:rPr>
                  <w:rFonts w:ascii="Cambria Math" w:eastAsiaTheme="minorEastAsia" w:hAnsi="Cambria Math" w:cstheme="minorBidi"/>
                  <w:szCs w:val="22"/>
                </w:rPr>
                <m:t>m</m:t>
              </m:r>
            </m:sub>
          </m:sSub>
          <m:r>
            <w:rPr>
              <w:rFonts w:ascii="Cambria Math" w:eastAsiaTheme="minorEastAsia" w:hAnsi="Cambria Math" w:cstheme="minorBidi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bCs/>
                  <w:i/>
                  <w:szCs w:val="22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Bidi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szCs w:val="22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theme="minorBidi"/>
                      <w:szCs w:val="22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Bidi"/>
                  <w:szCs w:val="22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Bidi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szCs w:val="22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 w:cstheme="minorBidi"/>
                      <w:szCs w:val="22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theme="minorBidi"/>
                  <w:szCs w:val="22"/>
                </w:rPr>
                <m:t>25</m:t>
              </m:r>
              <m:r>
                <w:rPr>
                  <w:rFonts w:ascii="Cambria Math" w:eastAsiaTheme="minorEastAsia" w:hAnsi="Cambria Math" w:cstheme="minorBidi"/>
                  <w:szCs w:val="22"/>
                </w:rPr>
                <m:t>,</m:t>
              </m:r>
              <m:r>
                <w:rPr>
                  <w:rFonts w:ascii="Cambria Math" w:eastAsiaTheme="minorEastAsia" w:hAnsi="Cambria Math" w:cstheme="minorBidi"/>
                  <w:szCs w:val="22"/>
                </w:rPr>
                <m:t>92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bCs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Bidi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szCs w:val="22"/>
                        </w:rPr>
                        <m:t>e</m:t>
                      </m:r>
                    </m:sub>
                  </m:sSub>
                  <m:r>
                    <w:rPr>
                      <w:rFonts w:ascii="Cambria Math" w:eastAsiaTheme="minorEastAsia" w:hAnsi="Cambria Math" w:cstheme="minorBidi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bCs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Bidi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szCs w:val="22"/>
                        </w:rPr>
                        <m:t xml:space="preserve">b 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theme="minorBidi"/>
              <w:szCs w:val="22"/>
            </w:rPr>
            <m:t xml:space="preserve"> ,</m:t>
          </m:r>
        </m:oMath>
      </m:oMathPara>
    </w:p>
    <w:p w14:paraId="5565AF2F" w14:textId="77777777" w:rsidR="00662A70" w:rsidRPr="00061520" w:rsidRDefault="00662A70" w:rsidP="00662A70">
      <w:pPr>
        <w:pStyle w:val="SingleTxtG"/>
        <w:ind w:left="2268"/>
        <w:rPr>
          <w:rFonts w:asciiTheme="majorBidi" w:eastAsiaTheme="minorEastAsia" w:hAnsiTheme="majorBidi" w:cstheme="minorBidi"/>
          <w:bCs/>
          <w:szCs w:val="22"/>
        </w:rPr>
      </w:pPr>
      <w:r>
        <w:t>где:</w:t>
      </w:r>
    </w:p>
    <w:p w14:paraId="38FE7391" w14:textId="77777777" w:rsidR="00662A70" w:rsidRPr="00061520" w:rsidRDefault="00662A70" w:rsidP="00662A70">
      <w:pPr>
        <w:pStyle w:val="SingleTxtG"/>
        <w:ind w:left="2268"/>
        <w:rPr>
          <w:rFonts w:asciiTheme="majorBidi" w:eastAsiaTheme="minorEastAsia" w:hAnsiTheme="majorBidi" w:cstheme="minorBidi"/>
          <w:bCs/>
          <w:szCs w:val="22"/>
        </w:rPr>
      </w:pP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‒‒ начальная скорость транспортного средства в км/ч;</w:t>
      </w:r>
    </w:p>
    <w:p w14:paraId="14A4652F" w14:textId="77777777" w:rsidR="00662A70" w:rsidRPr="00061520" w:rsidRDefault="00662A70" w:rsidP="00662A70">
      <w:pPr>
        <w:pStyle w:val="SingleTxtG"/>
        <w:ind w:left="2268"/>
        <w:rPr>
          <w:rFonts w:asciiTheme="majorBidi" w:eastAsiaTheme="minorEastAsia" w:hAnsiTheme="majorBidi" w:cstheme="minorBidi"/>
          <w:bCs/>
          <w:szCs w:val="22"/>
        </w:rPr>
      </w:pPr>
      <w:proofErr w:type="spellStart"/>
      <w:r>
        <w:t>v</w:t>
      </w:r>
      <w:r>
        <w:rPr>
          <w:vertAlign w:val="subscript"/>
        </w:rPr>
        <w:t>b</w:t>
      </w:r>
      <w:proofErr w:type="spellEnd"/>
      <w:r>
        <w:t xml:space="preserve"> ‒‒ скорость транспортного средства при 0,8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в км/ч;</w:t>
      </w:r>
    </w:p>
    <w:p w14:paraId="01CA77F2" w14:textId="77777777" w:rsidR="00662A70" w:rsidRPr="00061520" w:rsidRDefault="00662A70" w:rsidP="00662A70">
      <w:pPr>
        <w:pStyle w:val="SingleTxtG"/>
        <w:ind w:left="2268"/>
        <w:rPr>
          <w:rFonts w:asciiTheme="majorBidi" w:eastAsiaTheme="minorEastAsia" w:hAnsiTheme="majorBidi" w:cstheme="minorBidi"/>
          <w:bCs/>
          <w:szCs w:val="22"/>
        </w:rPr>
      </w:pPr>
      <w:proofErr w:type="spellStart"/>
      <w:r>
        <w:t>v</w:t>
      </w:r>
      <w:r>
        <w:rPr>
          <w:vertAlign w:val="subscript"/>
        </w:rPr>
        <w:t>e</w:t>
      </w:r>
      <w:proofErr w:type="spellEnd"/>
      <w:r>
        <w:t xml:space="preserve"> ‒‒ скорость транспортного средства при 0,1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в км/ч;</w:t>
      </w:r>
    </w:p>
    <w:p w14:paraId="4F683769" w14:textId="77777777" w:rsidR="00662A70" w:rsidRPr="00061520" w:rsidRDefault="00662A70" w:rsidP="00662A70">
      <w:pPr>
        <w:pStyle w:val="SingleTxtG"/>
        <w:ind w:left="2268"/>
        <w:rPr>
          <w:rFonts w:asciiTheme="majorBidi" w:eastAsiaTheme="minorEastAsia" w:hAnsiTheme="majorBidi" w:cstheme="minorBidi"/>
          <w:bCs/>
          <w:szCs w:val="22"/>
        </w:rPr>
      </w:pPr>
      <w:proofErr w:type="spellStart"/>
      <w:r>
        <w:t>s</w:t>
      </w:r>
      <w:r>
        <w:rPr>
          <w:vertAlign w:val="subscript"/>
        </w:rPr>
        <w:t>b</w:t>
      </w:r>
      <w:proofErr w:type="spellEnd"/>
      <w:r>
        <w:t xml:space="preserve"> ‒‒ расстояние, пройденное между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и </w:t>
      </w:r>
      <w:proofErr w:type="spellStart"/>
      <w:r>
        <w:t>v</w:t>
      </w:r>
      <w:r>
        <w:rPr>
          <w:vertAlign w:val="subscript"/>
        </w:rPr>
        <w:t>b</w:t>
      </w:r>
      <w:proofErr w:type="spellEnd"/>
      <w:r>
        <w:t>, в метрах;</w:t>
      </w:r>
    </w:p>
    <w:p w14:paraId="6C228F56" w14:textId="77777777" w:rsidR="00662A70" w:rsidRPr="00061520" w:rsidRDefault="00662A70" w:rsidP="00662A70">
      <w:pPr>
        <w:pStyle w:val="SingleTxtG"/>
        <w:ind w:left="2268"/>
        <w:rPr>
          <w:rFonts w:asciiTheme="majorBidi" w:eastAsiaTheme="minorEastAsia" w:hAnsiTheme="majorBidi" w:cstheme="minorBidi"/>
          <w:bCs/>
          <w:szCs w:val="22"/>
        </w:rPr>
      </w:pPr>
      <w:proofErr w:type="spellStart"/>
      <w:r>
        <w:t>s</w:t>
      </w:r>
      <w:r>
        <w:rPr>
          <w:vertAlign w:val="subscript"/>
        </w:rPr>
        <w:t>e</w:t>
      </w:r>
      <w:proofErr w:type="spellEnd"/>
      <w:r>
        <w:t xml:space="preserve"> ‒‒ расстояние, пройденное между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и </w:t>
      </w:r>
      <w:proofErr w:type="spellStart"/>
      <w:r>
        <w:t>v</w:t>
      </w:r>
      <w:r>
        <w:rPr>
          <w:vertAlign w:val="subscript"/>
        </w:rPr>
        <w:t>е</w:t>
      </w:r>
      <w:proofErr w:type="spellEnd"/>
      <w:r>
        <w:t>, в метрах.</w:t>
      </w:r>
    </w:p>
    <w:p w14:paraId="04E1BF12" w14:textId="77777777" w:rsidR="00662A70" w:rsidRPr="00061520" w:rsidRDefault="00662A70" w:rsidP="00662A70">
      <w:pPr>
        <w:pStyle w:val="SingleTxtG"/>
        <w:ind w:left="2268"/>
        <w:rPr>
          <w:rFonts w:asciiTheme="majorBidi" w:eastAsiaTheme="minorEastAsia" w:hAnsiTheme="majorBidi" w:cstheme="minorBidi"/>
          <w:bCs/>
          <w:szCs w:val="22"/>
        </w:rPr>
      </w:pPr>
      <w:r>
        <w:t xml:space="preserve">Скорость и расстояние определяют с помощью измерительных приборов с точностью ±1 % при скорости, предписанной для данного испытания. Среднее значение </w:t>
      </w:r>
      <w:proofErr w:type="spellStart"/>
      <w:r>
        <w:t>d</w:t>
      </w:r>
      <w:r>
        <w:rPr>
          <w:vertAlign w:val="subscript"/>
        </w:rPr>
        <w:t>m</w:t>
      </w:r>
      <w:proofErr w:type="spellEnd"/>
      <w:r>
        <w:t xml:space="preserve"> может определяться при помощи других способов, помимо измерения скорости и расстояния; в этом случае среднее значение </w:t>
      </w:r>
      <w:proofErr w:type="spellStart"/>
      <w:r>
        <w:t>d</w:t>
      </w:r>
      <w:r>
        <w:rPr>
          <w:vertAlign w:val="subscript"/>
        </w:rPr>
        <w:t>m</w:t>
      </w:r>
      <w:proofErr w:type="spellEnd"/>
      <w:r>
        <w:t xml:space="preserve"> определяют с точностью ±3 %». </w:t>
      </w:r>
    </w:p>
    <w:p w14:paraId="636BCD82" w14:textId="77777777" w:rsidR="00662A70" w:rsidRPr="00061520" w:rsidRDefault="00662A70" w:rsidP="00662A70">
      <w:pPr>
        <w:keepNext/>
        <w:keepLines/>
        <w:spacing w:after="120"/>
        <w:ind w:left="1134" w:right="1134"/>
        <w:jc w:val="both"/>
        <w:rPr>
          <w:rFonts w:asciiTheme="majorBidi" w:hAnsiTheme="majorBidi"/>
          <w:i/>
        </w:rPr>
      </w:pPr>
      <w:r>
        <w:rPr>
          <w:i/>
          <w:iCs/>
        </w:rPr>
        <w:t>Пункт 5.2.1.4</w:t>
      </w:r>
      <w:r>
        <w:t xml:space="preserve"> изменить следующим образом: </w:t>
      </w:r>
    </w:p>
    <w:p w14:paraId="39B7E85E" w14:textId="68269B36" w:rsidR="00662A70" w:rsidRPr="00061520" w:rsidRDefault="00392CF3" w:rsidP="00662A70">
      <w:pPr>
        <w:spacing w:after="120"/>
        <w:ind w:left="2268" w:right="1134" w:hanging="1134"/>
        <w:jc w:val="both"/>
        <w:rPr>
          <w:rFonts w:asciiTheme="majorBidi" w:eastAsiaTheme="minorEastAsia" w:hAnsiTheme="majorBidi"/>
        </w:rPr>
      </w:pPr>
      <w:r>
        <w:t>«</w:t>
      </w:r>
      <w:r w:rsidR="00662A70">
        <w:t>5.2.1.4</w:t>
      </w:r>
      <w:r w:rsidR="00662A70">
        <w:tab/>
        <w:t xml:space="preserve">Снижение скорости путем запроса на применение тормоза </w:t>
      </w:r>
    </w:p>
    <w:p w14:paraId="5F5A2674" w14:textId="77777777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 xml:space="preserve">При отсутствии со стороны водителя действий, приводящих к вмешательству по смыслу пункта 5.3.2, САЭТ должна быть способна </w:t>
      </w:r>
      <w:r>
        <w:lastRenderedPageBreak/>
        <w:t xml:space="preserve">достигать относительной скорости при ударе, которая не выше максимальной относительной скорости при ударе, как показано в нижеследующей таблице: </w:t>
      </w:r>
    </w:p>
    <w:p w14:paraId="208214D9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a)</w:t>
      </w:r>
      <w:r>
        <w:tab/>
        <w:t>при столкновениях с незащищенными ограждением и постоянно движущимися или неподвижными объектами;</w:t>
      </w:r>
    </w:p>
    <w:p w14:paraId="3966811B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  <w:bCs/>
        </w:rPr>
      </w:pPr>
      <w:r>
        <w:t>b)</w:t>
      </w:r>
      <w:r>
        <w:tab/>
        <w:t>на ровных, горизонтальных и сухих дорогах, обеспечивающих хорошее сцепление;</w:t>
      </w:r>
    </w:p>
    <w:p w14:paraId="2C73AC19" w14:textId="77777777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c)</w:t>
      </w:r>
      <w:r>
        <w:tab/>
        <w:t>при максимальной массе и массе в снаряженном состоянии;</w:t>
      </w:r>
    </w:p>
    <w:p w14:paraId="6C9DF2E7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d)</w:t>
      </w:r>
      <w:r>
        <w:tab/>
        <w:t>в ситуациях, когда продольные центральные плоскости транспортного средства смещены не более чем на 0,2 м;</w:t>
      </w:r>
    </w:p>
    <w:p w14:paraId="027C6E20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e)</w:t>
      </w:r>
      <w:r>
        <w:tab/>
        <w:t>в условиях окружающего освещения не менее 1000 люксов без ослепляющего воздействия на датчики (например, без прямого ослепляющего солнечного света);</w:t>
      </w:r>
    </w:p>
    <w:p w14:paraId="7A996BCE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f)</w:t>
      </w:r>
      <w:r>
        <w:tab/>
        <w:t>при отсутствии погодных условий, которые влияли бы на динамические характеристики транспортного средства (например, отсутствие бури, температура не ниже 0 °C); а также</w:t>
      </w:r>
    </w:p>
    <w:p w14:paraId="6AC9C827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g)</w:t>
      </w:r>
      <w:r>
        <w:tab/>
        <w:t>при движении по прямой без искривления траектории и без поворота на перекрестке.</w:t>
      </w:r>
    </w:p>
    <w:p w14:paraId="5A107CEC" w14:textId="4244ED2D" w:rsidR="00662A70" w:rsidRPr="00061520" w:rsidRDefault="00662A70" w:rsidP="00662A70">
      <w:pPr>
        <w:spacing w:after="120"/>
        <w:ind w:left="2268" w:right="1134" w:hanging="1134"/>
        <w:jc w:val="both"/>
        <w:rPr>
          <w:rFonts w:asciiTheme="majorBidi" w:eastAsiaTheme="minorEastAsia" w:hAnsiTheme="majorBidi"/>
        </w:rPr>
      </w:pPr>
      <w:r>
        <w:tab/>
        <w:t>Признается, что…</w:t>
      </w:r>
      <w:r w:rsidR="00392CF3">
        <w:t>».</w:t>
      </w:r>
    </w:p>
    <w:p w14:paraId="45955435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hAnsiTheme="majorBidi"/>
          <w:i/>
        </w:rPr>
      </w:pPr>
      <w:r>
        <w:rPr>
          <w:i/>
          <w:iCs/>
        </w:rPr>
        <w:t>Пункт 5.2.2.4</w:t>
      </w:r>
      <w:r>
        <w:t xml:space="preserve"> изменить следующим образом: </w:t>
      </w:r>
    </w:p>
    <w:p w14:paraId="0CCC535E" w14:textId="74AC33F3" w:rsidR="00662A70" w:rsidRPr="00061520" w:rsidRDefault="00392CF3" w:rsidP="00662A70">
      <w:pPr>
        <w:spacing w:after="120"/>
        <w:ind w:left="2268" w:right="1134" w:hanging="1134"/>
        <w:jc w:val="both"/>
        <w:rPr>
          <w:rFonts w:asciiTheme="majorBidi" w:eastAsiaTheme="minorEastAsia" w:hAnsiTheme="majorBidi"/>
        </w:rPr>
      </w:pPr>
      <w:r>
        <w:t>«</w:t>
      </w:r>
      <w:r w:rsidR="00662A70">
        <w:t>5.2.2.4</w:t>
      </w:r>
      <w:r w:rsidR="00662A70">
        <w:tab/>
        <w:t xml:space="preserve">Снижение скорости путем запроса на применение тормоза </w:t>
      </w:r>
    </w:p>
    <w:p w14:paraId="15A6F606" w14:textId="77777777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При отсутствии со стороны водителя действий, приводящих к вмешательству по смыслу пункта 5.3.2, САЭТ должна быть способна достигать скорости при ударе, которая не выше максимальной относительной скорости при ударе, как показано в следующей таблице:</w:t>
      </w:r>
    </w:p>
    <w:p w14:paraId="4138F27C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a)</w:t>
      </w:r>
      <w:r>
        <w:tab/>
        <w:t>при перпендикулярном пересечении дороги не защищенными ограждением пешеходами со скоростью горизонтального перемещения не более 5 км/ч;</w:t>
      </w:r>
    </w:p>
    <w:p w14:paraId="40BB62A0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b)</w:t>
      </w:r>
      <w:r>
        <w:tab/>
        <w:t xml:space="preserve">в недвусмысленных ситуациях (например, при наличии немногочисленных пешеходов); </w:t>
      </w:r>
    </w:p>
    <w:p w14:paraId="6FC37D52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  <w:bCs/>
        </w:rPr>
      </w:pPr>
      <w:r>
        <w:t>c)</w:t>
      </w:r>
      <w:r>
        <w:tab/>
        <w:t>на ровных, горизонтальных и сухих дорогах, обеспечивающих хорошее сцепление;</w:t>
      </w:r>
    </w:p>
    <w:p w14:paraId="39ABB3E4" w14:textId="77777777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d)</w:t>
      </w:r>
      <w:r>
        <w:tab/>
        <w:t>при максимальной массе и массе в снаряженном состоянии;</w:t>
      </w:r>
    </w:p>
    <w:p w14:paraId="0B210A79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e)</w:t>
      </w:r>
      <w:r>
        <w:tab/>
        <w:t xml:space="preserve">в ситуациях, когда ожидаемая точка удара смещена не более чем на 0,2 м по отношению к продольной центральной плоскости транспортного средства; </w:t>
      </w:r>
    </w:p>
    <w:p w14:paraId="0D9B72DE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f)</w:t>
      </w:r>
      <w:r>
        <w:tab/>
        <w:t xml:space="preserve">в условиях окружающего освещения не менее 2000 люксов без ослепляющего воздействия на датчики (например, без прямого ослепляющего солнечного света); </w:t>
      </w:r>
    </w:p>
    <w:p w14:paraId="1F9256E3" w14:textId="78AE8163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g)</w:t>
      </w:r>
      <w:r>
        <w:tab/>
        <w:t>при отсутствии погодных условий, которые влияли бы на динамические характеристики транспортного средства (например, отсутствие бури, температура не ниже 0 °C); а также</w:t>
      </w:r>
    </w:p>
    <w:p w14:paraId="4C1C0AB2" w14:textId="77777777" w:rsidR="00662A70" w:rsidRPr="00061520" w:rsidRDefault="00662A70" w:rsidP="00662A70">
      <w:pPr>
        <w:spacing w:after="120"/>
        <w:ind w:left="2835" w:right="1134" w:hanging="567"/>
        <w:jc w:val="both"/>
        <w:rPr>
          <w:rFonts w:asciiTheme="majorBidi" w:eastAsiaTheme="minorEastAsia" w:hAnsiTheme="majorBidi"/>
        </w:rPr>
      </w:pPr>
      <w:r>
        <w:t>h)</w:t>
      </w:r>
      <w:r>
        <w:tab/>
        <w:t>при движении по прямой без искривления траектории и без поворота на перекрестке.</w:t>
      </w:r>
    </w:p>
    <w:p w14:paraId="6AD32C66" w14:textId="58CACA60" w:rsidR="00662A70" w:rsidRPr="00061520" w:rsidRDefault="00662A70" w:rsidP="00662A70">
      <w:pPr>
        <w:spacing w:after="120"/>
        <w:ind w:left="2268" w:right="1134"/>
        <w:jc w:val="both"/>
        <w:rPr>
          <w:rFonts w:asciiTheme="majorBidi" w:eastAsiaTheme="minorEastAsia" w:hAnsiTheme="majorBidi"/>
        </w:rPr>
      </w:pPr>
      <w:r>
        <w:t>Признается, что…</w:t>
      </w:r>
      <w:r w:rsidR="00F9659B">
        <w:t>».</w:t>
      </w:r>
    </w:p>
    <w:p w14:paraId="425B27CF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hAnsiTheme="majorBidi"/>
          <w:i/>
        </w:rPr>
      </w:pPr>
      <w:r>
        <w:rPr>
          <w:i/>
          <w:iCs/>
        </w:rPr>
        <w:t>Пункт 6.1.1 и подпункты</w:t>
      </w:r>
      <w:r>
        <w:t xml:space="preserve"> изменить следующим образом:</w:t>
      </w:r>
    </w:p>
    <w:p w14:paraId="3E1319A0" w14:textId="4FFE47CA" w:rsidR="00662A70" w:rsidRPr="00061520" w:rsidRDefault="00F9659B" w:rsidP="00662A70">
      <w:pPr>
        <w:pStyle w:val="SingleTxtG"/>
        <w:tabs>
          <w:tab w:val="clear" w:pos="1701"/>
        </w:tabs>
        <w:ind w:left="2268" w:hanging="1134"/>
        <w:rPr>
          <w:rFonts w:eastAsiaTheme="minorEastAsia"/>
          <w:bCs/>
        </w:rPr>
      </w:pPr>
      <w:r>
        <w:t>«</w:t>
      </w:r>
      <w:r w:rsidR="00662A70">
        <w:t>6.1.1</w:t>
      </w:r>
      <w:r w:rsidR="00662A70">
        <w:tab/>
        <w:t>Испытание проводится на гладкой, сухой, бетонной или асфальтовой дороге, обеспечивающей хорошее сцепление</w:t>
      </w:r>
      <w:r>
        <w:t>»</w:t>
      </w:r>
      <w:r w:rsidR="00662A70">
        <w:t>.</w:t>
      </w:r>
    </w:p>
    <w:p w14:paraId="7DCAD867" w14:textId="77777777" w:rsidR="00662A70" w:rsidRPr="00061520" w:rsidRDefault="00662A70" w:rsidP="00662A70">
      <w:pPr>
        <w:spacing w:after="120"/>
        <w:ind w:left="1134" w:right="1134"/>
        <w:jc w:val="both"/>
        <w:rPr>
          <w:rFonts w:asciiTheme="majorBidi" w:hAnsiTheme="majorBidi"/>
        </w:rPr>
      </w:pPr>
      <w:r>
        <w:rPr>
          <w:i/>
          <w:iCs/>
        </w:rPr>
        <w:lastRenderedPageBreak/>
        <w:t>Пункт 6.3.1</w:t>
      </w:r>
      <w:r>
        <w:t xml:space="preserve"> изменить следующим образом:</w:t>
      </w:r>
    </w:p>
    <w:p w14:paraId="69DCD9FB" w14:textId="18F729DC" w:rsidR="00662A70" w:rsidRPr="00061520" w:rsidRDefault="00F9659B" w:rsidP="00662A70">
      <w:pPr>
        <w:ind w:left="2268" w:right="1134" w:hanging="1134"/>
        <w:jc w:val="both"/>
        <w:rPr>
          <w:rFonts w:asciiTheme="majorBidi" w:eastAsiaTheme="minorEastAsia" w:hAnsiTheme="majorBidi"/>
        </w:rPr>
      </w:pPr>
      <w:r>
        <w:t>«</w:t>
      </w:r>
      <w:r w:rsidR="00662A70">
        <w:t>6.3.1</w:t>
      </w:r>
      <w:r w:rsidR="00662A70">
        <w:tab/>
        <w:t>Объект, используемый в ходе испытания на обнаружение транспортного средства, должен представлять собой обычный легковой автомобиль массового производства категории М</w:t>
      </w:r>
      <w:r w:rsidR="00662A70">
        <w:rPr>
          <w:vertAlign w:val="subscript"/>
        </w:rPr>
        <w:t>1</w:t>
      </w:r>
      <w:r w:rsidR="00662A70">
        <w:t xml:space="preserve"> либо, в качестве альтернативы, мягкий объект, соответствующий пассажирскому транспортному средству с точки зрения его характеристик для обнаружения, используемых в системе датчиков САЭТ, которая подлежит испытанию, в соответствии с ISO 19206-3:2021. Контрольной точкой для определения местоположения транспортного средства должна быть наиболее удаленная в заднем направлении точка на осевой линии транспортного средства</w:t>
      </w:r>
      <w:r>
        <w:t>»</w:t>
      </w:r>
      <w:r w:rsidR="00662A70">
        <w:t>.</w:t>
      </w:r>
    </w:p>
    <w:p w14:paraId="58A3680B" w14:textId="77777777" w:rsidR="00662A70" w:rsidRPr="00061520" w:rsidRDefault="00662A70" w:rsidP="00662A70">
      <w:pPr>
        <w:spacing w:before="240"/>
        <w:jc w:val="center"/>
        <w:rPr>
          <w:u w:val="single"/>
        </w:rPr>
      </w:pPr>
      <w:r w:rsidRPr="00061520">
        <w:rPr>
          <w:u w:val="single"/>
        </w:rPr>
        <w:tab/>
      </w:r>
      <w:r w:rsidRPr="00061520">
        <w:rPr>
          <w:u w:val="single"/>
        </w:rPr>
        <w:tab/>
      </w:r>
      <w:r w:rsidRPr="00061520">
        <w:rPr>
          <w:u w:val="single"/>
        </w:rPr>
        <w:tab/>
      </w:r>
    </w:p>
    <w:sectPr w:rsidR="00662A70" w:rsidRPr="00061520" w:rsidSect="00662A7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13670" w14:textId="77777777" w:rsidR="007A688F" w:rsidRPr="00A312BC" w:rsidRDefault="007A688F" w:rsidP="00A312BC"/>
  </w:endnote>
  <w:endnote w:type="continuationSeparator" w:id="0">
    <w:p w14:paraId="7CC153F4" w14:textId="77777777" w:rsidR="007A688F" w:rsidRPr="00A312BC" w:rsidRDefault="007A688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47417" w14:textId="691E7F5B" w:rsidR="00662A70" w:rsidRPr="00662A70" w:rsidRDefault="00662A70">
    <w:pPr>
      <w:pStyle w:val="a8"/>
    </w:pPr>
    <w:r w:rsidRPr="00662A70">
      <w:rPr>
        <w:b/>
        <w:sz w:val="18"/>
      </w:rPr>
      <w:fldChar w:fldCharType="begin"/>
    </w:r>
    <w:r w:rsidRPr="00662A70">
      <w:rPr>
        <w:b/>
        <w:sz w:val="18"/>
      </w:rPr>
      <w:instrText xml:space="preserve"> PAGE  \* MERGEFORMAT </w:instrText>
    </w:r>
    <w:r w:rsidRPr="00662A70">
      <w:rPr>
        <w:b/>
        <w:sz w:val="18"/>
      </w:rPr>
      <w:fldChar w:fldCharType="separate"/>
    </w:r>
    <w:r w:rsidRPr="00662A70">
      <w:rPr>
        <w:b/>
        <w:noProof/>
        <w:sz w:val="18"/>
      </w:rPr>
      <w:t>2</w:t>
    </w:r>
    <w:r w:rsidRPr="00662A70">
      <w:rPr>
        <w:b/>
        <w:sz w:val="18"/>
      </w:rPr>
      <w:fldChar w:fldCharType="end"/>
    </w:r>
    <w:r>
      <w:rPr>
        <w:b/>
        <w:sz w:val="18"/>
      </w:rPr>
      <w:tab/>
    </w:r>
    <w:r>
      <w:t>GE.21-19586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33F2" w14:textId="19C97C11" w:rsidR="00662A70" w:rsidRPr="00662A70" w:rsidRDefault="00662A70" w:rsidP="00662A70">
    <w:pPr>
      <w:pStyle w:val="a8"/>
      <w:tabs>
        <w:tab w:val="clear" w:pos="9639"/>
        <w:tab w:val="right" w:pos="9638"/>
      </w:tabs>
      <w:rPr>
        <w:b/>
        <w:sz w:val="18"/>
      </w:rPr>
    </w:pPr>
    <w:r>
      <w:t>GE.21-19586</w:t>
    </w:r>
    <w:r>
      <w:tab/>
    </w:r>
    <w:r w:rsidRPr="00662A70">
      <w:rPr>
        <w:b/>
        <w:sz w:val="18"/>
      </w:rPr>
      <w:fldChar w:fldCharType="begin"/>
    </w:r>
    <w:r w:rsidRPr="00662A70">
      <w:rPr>
        <w:b/>
        <w:sz w:val="18"/>
      </w:rPr>
      <w:instrText xml:space="preserve"> PAGE  \* MERGEFORMAT </w:instrText>
    </w:r>
    <w:r w:rsidRPr="00662A70">
      <w:rPr>
        <w:b/>
        <w:sz w:val="18"/>
      </w:rPr>
      <w:fldChar w:fldCharType="separate"/>
    </w:r>
    <w:r w:rsidRPr="00662A70">
      <w:rPr>
        <w:b/>
        <w:noProof/>
        <w:sz w:val="18"/>
      </w:rPr>
      <w:t>3</w:t>
    </w:r>
    <w:r w:rsidRPr="00662A7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6AF4" w14:textId="6308B064" w:rsidR="00042B72" w:rsidRPr="00662A70" w:rsidRDefault="00662A70" w:rsidP="00662A70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E8E4CFB" wp14:editId="664F26D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19586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1E93525" wp14:editId="0660CD8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120122  120122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90B89" w14:textId="77777777" w:rsidR="007A688F" w:rsidRPr="001075E9" w:rsidRDefault="007A688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C90C53" w14:textId="77777777" w:rsidR="007A688F" w:rsidRDefault="007A688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E845EB1" w14:textId="77777777" w:rsidR="00662A70" w:rsidRPr="00DC2C16" w:rsidRDefault="00662A70" w:rsidP="00662A70">
      <w:pPr>
        <w:pStyle w:val="ad"/>
      </w:pPr>
      <w:r>
        <w:tab/>
      </w:r>
      <w:r w:rsidRPr="00662A70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 20.76),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5BB81" w14:textId="57E2180F" w:rsidR="00662A70" w:rsidRPr="00662A70" w:rsidRDefault="00662A70">
    <w:pPr>
      <w:pStyle w:val="a5"/>
    </w:pPr>
    <w:fldSimple w:instr=" TITLE  \* MERGEFORMAT ">
      <w:r w:rsidR="008F2F17">
        <w:t>ECE/TRANS/WP.29/2022/18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FD5AC" w14:textId="03360229" w:rsidR="00662A70" w:rsidRPr="00662A70" w:rsidRDefault="00662A70" w:rsidP="00662A70">
    <w:pPr>
      <w:pStyle w:val="a5"/>
      <w:jc w:val="right"/>
    </w:pPr>
    <w:fldSimple w:instr=" TITLE  \* MERGEFORMAT ">
      <w:r w:rsidR="008F2F17">
        <w:t>ECE/TRANS/WP.29/2022/18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8F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2CF3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62A70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A688F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2F17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264BE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659B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87E3FE"/>
  <w15:docId w15:val="{F740B8AB-EB6B-4DBE-BD8D-7B2CBA8F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662A70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80C55-12EA-4F6F-B05F-7BFED6CBB528}"/>
</file>

<file path=customXml/itemProps2.xml><?xml version="1.0" encoding="utf-8"?>
<ds:datastoreItem xmlns:ds="http://schemas.openxmlformats.org/officeDocument/2006/customXml" ds:itemID="{B8F6BBB2-9CE6-4849-8716-D100A2D6DCEA}"/>
</file>

<file path=customXml/itemProps3.xml><?xml version="1.0" encoding="utf-8"?>
<ds:datastoreItem xmlns:ds="http://schemas.openxmlformats.org/officeDocument/2006/customXml" ds:itemID="{C93711B2-0BB1-4CAD-8A76-8AE805E2E06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4</Pages>
  <Words>868</Words>
  <Characters>5734</Characters>
  <Application>Microsoft Office Word</Application>
  <DocSecurity>0</DocSecurity>
  <Lines>143</Lines>
  <Paragraphs>77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ECE/TRANS/WP.29/2022/18</vt:lpstr>
      <vt:lpstr>A/</vt:lpstr>
      <vt:lpstr>A/</vt:lpstr>
    </vt:vector>
  </TitlesOfParts>
  <Company>DCM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ECE/TRANS/WP.29/2022/18</dc:title>
  <dc:subject/>
  <dc:creator>Svetlana PROKOUDINA</dc:creator>
  <cp:keywords/>
  <cp:lastModifiedBy>Svetlana Prokoudina</cp:lastModifiedBy>
  <cp:revision>3</cp:revision>
  <cp:lastPrinted>2022-01-12T13:29:00Z</cp:lastPrinted>
  <dcterms:created xsi:type="dcterms:W3CDTF">2022-01-12T13:29:00Z</dcterms:created>
  <dcterms:modified xsi:type="dcterms:W3CDTF">2022-01-12T13:29:00Z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