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D19350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1E3D578" w14:textId="77777777" w:rsidR="00F35BAF" w:rsidRPr="00DB58B5" w:rsidRDefault="00F35BAF" w:rsidP="00F6246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8124A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68D0A6" w14:textId="1E8E7D5F" w:rsidR="00F35BAF" w:rsidRPr="00DB58B5" w:rsidRDefault="00F6246E" w:rsidP="00F6246E">
            <w:pPr>
              <w:jc w:val="right"/>
            </w:pPr>
            <w:r w:rsidRPr="00F6246E">
              <w:rPr>
                <w:sz w:val="40"/>
              </w:rPr>
              <w:t>ECE</w:t>
            </w:r>
            <w:r>
              <w:t>/TRANS/WP.29/2022/14</w:t>
            </w:r>
          </w:p>
        </w:tc>
      </w:tr>
      <w:tr w:rsidR="00F35BAF" w:rsidRPr="00DB58B5" w14:paraId="10C45BC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13A39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C1094FB" wp14:editId="333045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776FC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416F1F" w14:textId="77777777" w:rsidR="00F35BAF" w:rsidRDefault="00F6246E" w:rsidP="00C97039">
            <w:pPr>
              <w:spacing w:before="240"/>
            </w:pPr>
            <w:r>
              <w:t>Distr. générale</w:t>
            </w:r>
          </w:p>
          <w:p w14:paraId="09DB71C5" w14:textId="77777777" w:rsidR="00F6246E" w:rsidRDefault="00F6246E" w:rsidP="00F6246E">
            <w:pPr>
              <w:spacing w:line="240" w:lineRule="exact"/>
            </w:pPr>
            <w:r>
              <w:t>30 décembre 2021</w:t>
            </w:r>
          </w:p>
          <w:p w14:paraId="184FA83A" w14:textId="77777777" w:rsidR="00F6246E" w:rsidRDefault="00F6246E" w:rsidP="00F6246E">
            <w:pPr>
              <w:spacing w:line="240" w:lineRule="exact"/>
            </w:pPr>
            <w:r>
              <w:t>Français</w:t>
            </w:r>
          </w:p>
          <w:p w14:paraId="60073D37" w14:textId="5CFBA0E6" w:rsidR="00F6246E" w:rsidRPr="00DB58B5" w:rsidRDefault="00F6246E" w:rsidP="00F6246E">
            <w:pPr>
              <w:spacing w:line="240" w:lineRule="exact"/>
            </w:pPr>
            <w:r>
              <w:t>Original : anglais</w:t>
            </w:r>
          </w:p>
        </w:tc>
      </w:tr>
    </w:tbl>
    <w:p w14:paraId="58025B6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D79646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0262F13" w14:textId="77777777" w:rsidR="00F6246E" w:rsidRDefault="00F6246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83697BB" w14:textId="77777777" w:rsidR="00F6246E" w:rsidRPr="0038526E" w:rsidRDefault="00F6246E" w:rsidP="00F6246E">
      <w:pPr>
        <w:tabs>
          <w:tab w:val="center" w:pos="4819"/>
        </w:tabs>
        <w:spacing w:before="120"/>
        <w:rPr>
          <w:b/>
        </w:rPr>
      </w:pPr>
      <w:r w:rsidRPr="0038526E">
        <w:rPr>
          <w:b/>
        </w:rPr>
        <w:t>186</w:t>
      </w:r>
      <w:r w:rsidRPr="0038526E">
        <w:rPr>
          <w:b/>
          <w:vertAlign w:val="superscript"/>
        </w:rPr>
        <w:t>e</w:t>
      </w:r>
      <w:r w:rsidRPr="0038526E">
        <w:rPr>
          <w:b/>
        </w:rPr>
        <w:t xml:space="preserve"> session</w:t>
      </w:r>
    </w:p>
    <w:p w14:paraId="7167C389" w14:textId="77777777" w:rsidR="00F6246E" w:rsidRPr="0038526E" w:rsidRDefault="00F6246E" w:rsidP="00F6246E">
      <w:r w:rsidRPr="0038526E">
        <w:t>Genève, 8-11 mars 2022</w:t>
      </w:r>
    </w:p>
    <w:p w14:paraId="34C56079" w14:textId="77777777" w:rsidR="00F6246E" w:rsidRPr="0038526E" w:rsidRDefault="00F6246E" w:rsidP="00F6246E">
      <w:r w:rsidRPr="0038526E">
        <w:t>Point 4.7.</w:t>
      </w:r>
      <w:r>
        <w:t>3</w:t>
      </w:r>
      <w:r w:rsidRPr="0038526E">
        <w:t xml:space="preserve"> de l</w:t>
      </w:r>
      <w:r>
        <w:t>’</w:t>
      </w:r>
      <w:r w:rsidRPr="0038526E">
        <w:t>ordre du jour provisoire</w:t>
      </w:r>
    </w:p>
    <w:p w14:paraId="1312C59F" w14:textId="10AFDEA5" w:rsidR="00F6246E" w:rsidRPr="0038526E" w:rsidRDefault="00F6246E" w:rsidP="00F6246E">
      <w:pPr>
        <w:rPr>
          <w:b/>
        </w:rPr>
      </w:pPr>
      <w:r w:rsidRPr="0038526E">
        <w:rPr>
          <w:b/>
        </w:rPr>
        <w:t>Accord de 1958 :</w:t>
      </w:r>
      <w:r w:rsidRPr="0038526E">
        <w:rPr>
          <w:b/>
        </w:rPr>
        <w:br/>
        <w:t>Examen de projets d</w:t>
      </w:r>
      <w:r>
        <w:rPr>
          <w:b/>
        </w:rPr>
        <w:t>’</w:t>
      </w:r>
      <w:r w:rsidRPr="0038526E">
        <w:rPr>
          <w:b/>
        </w:rPr>
        <w:t xml:space="preserve">amendements à des Règlements ONU </w:t>
      </w:r>
      <w:r>
        <w:rPr>
          <w:b/>
        </w:rPr>
        <w:br/>
      </w:r>
      <w:r w:rsidRPr="0038526E">
        <w:rPr>
          <w:b/>
        </w:rPr>
        <w:t>existants,</w:t>
      </w:r>
      <w:r>
        <w:rPr>
          <w:b/>
        </w:rPr>
        <w:t xml:space="preserve"> </w:t>
      </w:r>
      <w:r w:rsidRPr="0038526E">
        <w:rPr>
          <w:b/>
        </w:rPr>
        <w:t>soumis par le GRVA</w:t>
      </w:r>
    </w:p>
    <w:p w14:paraId="52341910" w14:textId="45FD2CBE" w:rsidR="00F6246E" w:rsidRPr="0038526E" w:rsidRDefault="00F6246E" w:rsidP="00F6246E">
      <w:pPr>
        <w:pStyle w:val="HChG"/>
      </w:pPr>
      <w:r w:rsidRPr="0038526E">
        <w:tab/>
      </w:r>
      <w:r w:rsidRPr="0038526E">
        <w:tab/>
        <w:t>Proposition de complément </w:t>
      </w:r>
      <w:r>
        <w:t>4</w:t>
      </w:r>
      <w:r w:rsidRPr="0038526E">
        <w:t xml:space="preserve"> à la série 0</w:t>
      </w:r>
      <w:r>
        <w:t>2</w:t>
      </w:r>
      <w:r w:rsidRPr="0038526E">
        <w:t xml:space="preserve"> d</w:t>
      </w:r>
      <w:r>
        <w:t>’</w:t>
      </w:r>
      <w:r w:rsidRPr="0038526E">
        <w:t xml:space="preserve">amendements </w:t>
      </w:r>
      <w:r>
        <w:br/>
      </w:r>
      <w:r w:rsidRPr="0038526E">
        <w:t>au Règlement ONU n</w:t>
      </w:r>
      <w:r w:rsidRPr="0038526E">
        <w:rPr>
          <w:vertAlign w:val="superscript"/>
        </w:rPr>
        <w:t>o</w:t>
      </w:r>
      <w:r w:rsidRPr="0038526E">
        <w:t> 79 (Équipement de direction)</w:t>
      </w:r>
    </w:p>
    <w:p w14:paraId="33B24C69" w14:textId="47826803" w:rsidR="00F6246E" w:rsidRPr="0038526E" w:rsidRDefault="00F6246E" w:rsidP="00F6246E">
      <w:pPr>
        <w:pStyle w:val="H1G"/>
      </w:pPr>
      <w:r w:rsidRPr="0038526E">
        <w:tab/>
      </w:r>
      <w:r w:rsidRPr="0038526E">
        <w:tab/>
        <w:t>Communication du Groupe de travail des véhicules automatisés/autonomes et connectés</w:t>
      </w:r>
      <w:r w:rsidRPr="00F6246E">
        <w:rPr>
          <w:rStyle w:val="Appelnotedebasdep"/>
          <w:b w:val="0"/>
          <w:bCs/>
          <w:sz w:val="20"/>
          <w:szCs w:val="24"/>
          <w:vertAlign w:val="baseline"/>
        </w:rPr>
        <w:footnoteReference w:customMarkFollows="1" w:id="2"/>
        <w:t>*</w:t>
      </w:r>
      <w:r w:rsidRPr="00F6246E">
        <w:rPr>
          <w:b w:val="0"/>
          <w:bCs/>
          <w:sz w:val="20"/>
          <w:vertAlign w:val="superscript"/>
        </w:rPr>
        <w:t>,</w:t>
      </w:r>
      <w:r>
        <w:rPr>
          <w:b w:val="0"/>
          <w:bCs/>
          <w:sz w:val="20"/>
        </w:rPr>
        <w:t xml:space="preserve"> </w:t>
      </w:r>
      <w:r w:rsidRPr="00F6246E">
        <w:rPr>
          <w:rStyle w:val="Appelnotedebasdep"/>
          <w:b w:val="0"/>
          <w:bCs/>
          <w:sz w:val="20"/>
          <w:szCs w:val="24"/>
          <w:vertAlign w:val="baseline"/>
        </w:rPr>
        <w:footnoteReference w:customMarkFollows="1" w:id="3"/>
        <w:t>**</w:t>
      </w:r>
    </w:p>
    <w:p w14:paraId="5A2A2A90" w14:textId="7E16DFED" w:rsidR="00F6246E" w:rsidRPr="0038526E" w:rsidRDefault="00F6246E" w:rsidP="00F6246E">
      <w:pPr>
        <w:pStyle w:val="SingleTxtG"/>
      </w:pPr>
      <w:r>
        <w:tab/>
      </w:r>
      <w:r>
        <w:tab/>
      </w:r>
      <w:r w:rsidRPr="0038526E">
        <w:t>Le texte ci-après, adopté par le Groupe de travail des véhicules automatisés/autonomes et connectés (GRVA) à sa onzième session (voir ECE/TRANS/</w:t>
      </w:r>
      <w:r>
        <w:br/>
      </w:r>
      <w:r w:rsidRPr="0038526E">
        <w:t>WP.29/GRVA/11</w:t>
      </w:r>
      <w:r>
        <w:t>,</w:t>
      </w:r>
      <w:r w:rsidRPr="0038526E">
        <w:t xml:space="preserve"> par. 72), est fondé sur le document ECE/TRANS/WP.29/GRVA/2021/8 tel que modifié par l</w:t>
      </w:r>
      <w:r>
        <w:t>’</w:t>
      </w:r>
      <w:r w:rsidRPr="0038526E">
        <w:t xml:space="preserve">annexe III du rapport de la session. Il est soumis au Forum </w:t>
      </w:r>
      <w:r>
        <w:t>m</w:t>
      </w:r>
      <w:r w:rsidRPr="0038526E">
        <w:t>ondial de l</w:t>
      </w:r>
      <w:r>
        <w:t>’</w:t>
      </w:r>
      <w:r w:rsidRPr="0038526E">
        <w:t>harmonisation des Règlements concernant les véhicules (WP.29) et au Comité d</w:t>
      </w:r>
      <w:r>
        <w:t>’</w:t>
      </w:r>
      <w:r w:rsidRPr="0038526E">
        <w:t xml:space="preserve">administration </w:t>
      </w:r>
      <w:r w:rsidRPr="002E7B4E">
        <w:t>de l</w:t>
      </w:r>
      <w:r>
        <w:t>’</w:t>
      </w:r>
      <w:r w:rsidRPr="002E7B4E">
        <w:t xml:space="preserve">Accord de 1958 </w:t>
      </w:r>
      <w:r w:rsidRPr="0038526E">
        <w:t>(AC.1) pour examen à leurs sessions de mars 2022.</w:t>
      </w:r>
    </w:p>
    <w:p w14:paraId="1EAFCF06" w14:textId="77777777" w:rsidR="00F6246E" w:rsidRPr="0038526E" w:rsidRDefault="00F6246E" w:rsidP="00F6246E">
      <w:pPr>
        <w:pStyle w:val="SingleTxtG"/>
        <w:ind w:firstLine="567"/>
      </w:pPr>
      <w:r w:rsidRPr="0038526E">
        <w:br w:type="page"/>
      </w:r>
    </w:p>
    <w:p w14:paraId="59A5E48E" w14:textId="77777777" w:rsidR="00F6246E" w:rsidRPr="0038526E" w:rsidRDefault="00F6246E" w:rsidP="00F6246E">
      <w:pPr>
        <w:pStyle w:val="SingleTxtG"/>
        <w:ind w:left="2268" w:hanging="1134"/>
        <w:rPr>
          <w:rFonts w:eastAsia="Yu Mincho"/>
        </w:rPr>
      </w:pPr>
      <w:r w:rsidRPr="0038526E">
        <w:rPr>
          <w:rFonts w:eastAsia="Yu Mincho"/>
          <w:i/>
          <w:iCs/>
        </w:rPr>
        <w:lastRenderedPageBreak/>
        <w:t>Paragraphe 5.6.2.2.3</w:t>
      </w:r>
      <w:r w:rsidRPr="0038526E">
        <w:rPr>
          <w:rFonts w:eastAsia="Yu Mincho"/>
        </w:rPr>
        <w:t>,</w:t>
      </w:r>
      <w:r w:rsidRPr="0038526E">
        <w:rPr>
          <w:rFonts w:eastAsia="Yu Mincho"/>
          <w:i/>
          <w:iCs/>
        </w:rPr>
        <w:t xml:space="preserve"> </w:t>
      </w:r>
      <w:r w:rsidRPr="0038526E">
        <w:rPr>
          <w:rFonts w:eastAsia="Yu Mincho"/>
        </w:rPr>
        <w:t>lire :</w:t>
      </w:r>
    </w:p>
    <w:p w14:paraId="4C3E1173" w14:textId="77777777" w:rsidR="00F6246E" w:rsidRPr="0038526E" w:rsidRDefault="00F6246E" w:rsidP="00F6246E">
      <w:pPr>
        <w:pStyle w:val="SingleTxtG"/>
        <w:ind w:left="2268" w:hanging="1134"/>
        <w:rPr>
          <w:rFonts w:eastAsia="Yu Mincho"/>
        </w:rPr>
      </w:pPr>
      <w:r>
        <w:rPr>
          <w:rFonts w:eastAsia="Yu Mincho"/>
        </w:rPr>
        <w:t>« </w:t>
      </w:r>
      <w:r w:rsidRPr="0038526E">
        <w:rPr>
          <w:rFonts w:eastAsia="Yu Mincho"/>
        </w:rPr>
        <w:t>5.6.2.2.3</w:t>
      </w:r>
      <w:r w:rsidRPr="0038526E">
        <w:rPr>
          <w:rFonts w:eastAsia="Yu Mincho"/>
        </w:rPr>
        <w:tab/>
        <w:t>Lorsqu</w:t>
      </w:r>
      <w:r>
        <w:rPr>
          <w:rFonts w:eastAsia="Yu Mincho"/>
        </w:rPr>
        <w:t>’</w:t>
      </w:r>
      <w:r w:rsidRPr="0038526E">
        <w:rPr>
          <w:rFonts w:eastAsia="Yu Mincho"/>
        </w:rPr>
        <w:t>il atteint les conditions limites visées au paragraphe 5.6.2.3.1.1 du présent Règlement (par exemple, l</w:t>
      </w:r>
      <w:r>
        <w:rPr>
          <w:rFonts w:eastAsia="Yu Mincho"/>
        </w:rPr>
        <w:t>’</w:t>
      </w:r>
      <w:r w:rsidRPr="0038526E">
        <w:rPr>
          <w:rFonts w:eastAsia="Yu Mincho"/>
        </w:rPr>
        <w:t xml:space="preserve">accélération latérale maximale indiquée </w:t>
      </w:r>
      <w:proofErr w:type="spellStart"/>
      <w:r w:rsidRPr="0038526E">
        <w:rPr>
          <w:rFonts w:eastAsia="Yu Mincho"/>
        </w:rPr>
        <w:t>ay</w:t>
      </w:r>
      <w:r w:rsidRPr="0038526E">
        <w:rPr>
          <w:rFonts w:eastAsia="Yu Mincho"/>
          <w:vertAlign w:val="subscript"/>
        </w:rPr>
        <w:t>smax</w:t>
      </w:r>
      <w:proofErr w:type="spellEnd"/>
      <w:r w:rsidRPr="0038526E">
        <w:rPr>
          <w:rFonts w:eastAsia="Yu Mincho"/>
        </w:rPr>
        <w:t>), en l</w:t>
      </w:r>
      <w:r>
        <w:rPr>
          <w:rFonts w:eastAsia="Yu Mincho"/>
        </w:rPr>
        <w:t>’</w:t>
      </w:r>
      <w:r w:rsidRPr="0038526E">
        <w:rPr>
          <w:rFonts w:eastAsia="Yu Mincho"/>
        </w:rPr>
        <w:t>absence de toute action du conducteur sur la commande de direction et lorsqu</w:t>
      </w:r>
      <w:r>
        <w:rPr>
          <w:rFonts w:eastAsia="Yu Mincho"/>
        </w:rPr>
        <w:t>’</w:t>
      </w:r>
      <w:r w:rsidRPr="0038526E">
        <w:rPr>
          <w:rFonts w:eastAsia="Yu Mincho"/>
        </w:rPr>
        <w:t xml:space="preserve">une roue avant du véhicule franchit les </w:t>
      </w:r>
      <w:r>
        <w:rPr>
          <w:rFonts w:eastAsia="Yu Mincho"/>
        </w:rPr>
        <w:t>lignes de délimitation des voies</w:t>
      </w:r>
      <w:r w:rsidRPr="0038526E">
        <w:rPr>
          <w:rFonts w:eastAsia="Yu Mincho"/>
        </w:rPr>
        <w:t xml:space="preserve">, le système doit </w:t>
      </w:r>
      <w:r>
        <w:rPr>
          <w:rFonts w:eastAsia="Yu Mincho"/>
        </w:rPr>
        <w:t>éviter toute perte soudaine de direction en continuant de</w:t>
      </w:r>
      <w:r w:rsidRPr="0038526E">
        <w:rPr>
          <w:rFonts w:eastAsia="Yu Mincho"/>
        </w:rPr>
        <w:t xml:space="preserve"> fournir une assistance dans la mesure du possible, comme décrit dans le concept de sécurité du constructeur du véhicule, et informer clairement le conducteur de </w:t>
      </w:r>
      <w:r>
        <w:rPr>
          <w:rFonts w:eastAsia="Yu Mincho"/>
        </w:rPr>
        <w:t>l’</w:t>
      </w:r>
      <w:r w:rsidRPr="0038526E">
        <w:rPr>
          <w:rFonts w:eastAsia="Yu Mincho"/>
        </w:rPr>
        <w:t xml:space="preserve">état </w:t>
      </w:r>
      <w:r>
        <w:rPr>
          <w:rFonts w:eastAsia="Yu Mincho"/>
        </w:rPr>
        <w:t xml:space="preserve">du système </w:t>
      </w:r>
      <w:r w:rsidRPr="0038526E">
        <w:rPr>
          <w:rFonts w:eastAsia="Yu Mincho"/>
        </w:rPr>
        <w:t>par un signal visuel ainsi que par un signal sonore ou haptique.</w:t>
      </w:r>
    </w:p>
    <w:p w14:paraId="043037E8" w14:textId="77777777" w:rsidR="00F6246E" w:rsidRPr="0038526E" w:rsidRDefault="00F6246E" w:rsidP="00F6246E">
      <w:pPr>
        <w:pStyle w:val="SingleTxtG"/>
        <w:ind w:left="2268"/>
        <w:rPr>
          <w:rFonts w:eastAsia="Yu Mincho"/>
        </w:rPr>
      </w:pPr>
      <w:r w:rsidRPr="0038526E">
        <w:rPr>
          <w:rFonts w:eastAsia="Yu Mincho"/>
        </w:rPr>
        <w:tab/>
        <w:t>Pour les véhicules … Règlement ONU n</w:t>
      </w:r>
      <w:r w:rsidRPr="0038526E">
        <w:rPr>
          <w:rFonts w:eastAsia="Yu Mincho"/>
          <w:vertAlign w:val="superscript"/>
        </w:rPr>
        <w:t>o</w:t>
      </w:r>
      <w:r>
        <w:rPr>
          <w:rFonts w:eastAsia="Yu Mincho"/>
        </w:rPr>
        <w:t> </w:t>
      </w:r>
      <w:r w:rsidRPr="0038526E">
        <w:rPr>
          <w:rFonts w:eastAsia="Yu Mincho"/>
        </w:rPr>
        <w:t>130.</w:t>
      </w:r>
      <w:r>
        <w:rPr>
          <w:rFonts w:eastAsia="Yu Mincho"/>
        </w:rPr>
        <w:t> ».</w:t>
      </w:r>
    </w:p>
    <w:p w14:paraId="48DD6B90" w14:textId="77777777" w:rsidR="00F6246E" w:rsidRPr="0038526E" w:rsidRDefault="00F6246E" w:rsidP="00F6246E">
      <w:pPr>
        <w:spacing w:before="240"/>
        <w:jc w:val="center"/>
        <w:rPr>
          <w:u w:val="single"/>
        </w:rPr>
      </w:pPr>
      <w:r w:rsidRPr="0038526E">
        <w:rPr>
          <w:u w:val="single"/>
        </w:rPr>
        <w:tab/>
      </w:r>
      <w:r w:rsidRPr="0038526E">
        <w:rPr>
          <w:u w:val="single"/>
        </w:rPr>
        <w:tab/>
      </w:r>
      <w:r w:rsidRPr="0038526E">
        <w:rPr>
          <w:u w:val="single"/>
        </w:rPr>
        <w:tab/>
      </w:r>
    </w:p>
    <w:p w14:paraId="080F99CE" w14:textId="77777777" w:rsidR="00F9573C" w:rsidRDefault="00F9573C" w:rsidP="00F6246E">
      <w:pPr>
        <w:spacing w:before="120" w:after="120" w:line="240" w:lineRule="exact"/>
      </w:pPr>
    </w:p>
    <w:sectPr w:rsidR="00F9573C" w:rsidSect="00F624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56C5" w14:textId="77777777" w:rsidR="009D5599" w:rsidRDefault="009D5599" w:rsidP="00F95C08">
      <w:pPr>
        <w:spacing w:line="240" w:lineRule="auto"/>
      </w:pPr>
    </w:p>
  </w:endnote>
  <w:endnote w:type="continuationSeparator" w:id="0">
    <w:p w14:paraId="7E8C3ECA" w14:textId="77777777" w:rsidR="009D5599" w:rsidRPr="00AC3823" w:rsidRDefault="009D5599" w:rsidP="00AC3823">
      <w:pPr>
        <w:pStyle w:val="Pieddepage"/>
      </w:pPr>
    </w:p>
  </w:endnote>
  <w:endnote w:type="continuationNotice" w:id="1">
    <w:p w14:paraId="0C7ADC92" w14:textId="77777777" w:rsidR="009D5599" w:rsidRDefault="009D55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55DB3" w14:textId="0F2C59FC" w:rsidR="00F6246E" w:rsidRPr="00F6246E" w:rsidRDefault="00F6246E" w:rsidP="00F6246E">
    <w:pPr>
      <w:pStyle w:val="Pieddepage"/>
      <w:tabs>
        <w:tab w:val="right" w:pos="9638"/>
      </w:tabs>
    </w:pPr>
    <w:r w:rsidRPr="00F6246E">
      <w:rPr>
        <w:b/>
        <w:sz w:val="18"/>
      </w:rPr>
      <w:fldChar w:fldCharType="begin"/>
    </w:r>
    <w:r w:rsidRPr="00F6246E">
      <w:rPr>
        <w:b/>
        <w:sz w:val="18"/>
      </w:rPr>
      <w:instrText xml:space="preserve"> PAGE  \* MERGEFORMAT </w:instrText>
    </w:r>
    <w:r w:rsidRPr="00F6246E">
      <w:rPr>
        <w:b/>
        <w:sz w:val="18"/>
      </w:rPr>
      <w:fldChar w:fldCharType="separate"/>
    </w:r>
    <w:r w:rsidRPr="00F6246E">
      <w:rPr>
        <w:b/>
        <w:noProof/>
        <w:sz w:val="18"/>
      </w:rPr>
      <w:t>2</w:t>
    </w:r>
    <w:r w:rsidRPr="00F6246E">
      <w:rPr>
        <w:b/>
        <w:sz w:val="18"/>
      </w:rPr>
      <w:fldChar w:fldCharType="end"/>
    </w:r>
    <w:r>
      <w:rPr>
        <w:b/>
        <w:sz w:val="18"/>
      </w:rPr>
      <w:tab/>
    </w:r>
    <w:r>
      <w:t>GE.21-19863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DABE" w14:textId="49DFE6A8" w:rsidR="00F6246E" w:rsidRPr="00F6246E" w:rsidRDefault="00F6246E" w:rsidP="00F6246E">
    <w:pPr>
      <w:pStyle w:val="Pieddepage"/>
      <w:tabs>
        <w:tab w:val="right" w:pos="9638"/>
      </w:tabs>
      <w:rPr>
        <w:b/>
        <w:sz w:val="18"/>
      </w:rPr>
    </w:pPr>
    <w:r>
      <w:t>GE.21-19863</w:t>
    </w:r>
    <w:r>
      <w:tab/>
    </w:r>
    <w:r w:rsidRPr="00F6246E">
      <w:rPr>
        <w:b/>
        <w:sz w:val="18"/>
      </w:rPr>
      <w:fldChar w:fldCharType="begin"/>
    </w:r>
    <w:r w:rsidRPr="00F6246E">
      <w:rPr>
        <w:b/>
        <w:sz w:val="18"/>
      </w:rPr>
      <w:instrText xml:space="preserve"> PAGE  \* MERGEFORMAT </w:instrText>
    </w:r>
    <w:r w:rsidRPr="00F6246E">
      <w:rPr>
        <w:b/>
        <w:sz w:val="18"/>
      </w:rPr>
      <w:fldChar w:fldCharType="separate"/>
    </w:r>
    <w:r w:rsidRPr="00F6246E">
      <w:rPr>
        <w:b/>
        <w:noProof/>
        <w:sz w:val="18"/>
      </w:rPr>
      <w:t>3</w:t>
    </w:r>
    <w:r w:rsidRPr="00F624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D440" w14:textId="17010054" w:rsidR="007F20FA" w:rsidRPr="00F6246E" w:rsidRDefault="00F6246E" w:rsidP="00F6246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EB1781B" wp14:editId="7499C74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21-19863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CC446B" wp14:editId="6C1826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140122    140122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345B" w14:textId="77777777" w:rsidR="009D5599" w:rsidRPr="00AC3823" w:rsidRDefault="009D559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CDDFB6" w14:textId="77777777" w:rsidR="009D5599" w:rsidRPr="00AC3823" w:rsidRDefault="009D559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8E612E" w14:textId="77777777" w:rsidR="009D5599" w:rsidRPr="00AC3823" w:rsidRDefault="009D5599">
      <w:pPr>
        <w:spacing w:line="240" w:lineRule="auto"/>
        <w:rPr>
          <w:sz w:val="2"/>
          <w:szCs w:val="2"/>
        </w:rPr>
      </w:pPr>
    </w:p>
  </w:footnote>
  <w:footnote w:id="2">
    <w:p w14:paraId="71745A90" w14:textId="77777777" w:rsidR="00F6246E" w:rsidRPr="004D6CBA" w:rsidRDefault="00F6246E" w:rsidP="00F6246E">
      <w:pPr>
        <w:pStyle w:val="Notedebasdepage"/>
      </w:pPr>
      <w:r w:rsidRPr="00F6246E">
        <w:rPr>
          <w:rStyle w:val="Appelnotedebasdep"/>
          <w:sz w:val="20"/>
          <w:vertAlign w:val="baseline"/>
        </w:rPr>
        <w:tab/>
        <w:t>*</w:t>
      </w:r>
      <w:r w:rsidRPr="00F6246E">
        <w:rPr>
          <w:rStyle w:val="Appelnotedebasdep"/>
          <w:sz w:val="20"/>
          <w:vertAlign w:val="baseline"/>
        </w:rPr>
        <w:tab/>
      </w:r>
      <w:r w:rsidRPr="00F6246E">
        <w:rPr>
          <w:sz w:val="20"/>
        </w:rPr>
        <w:t>I</w:t>
      </w:r>
      <w:r w:rsidRPr="004D6CBA">
        <w:t>l a été convenu que le présent document serait publié après la date normale de publication en raison de circonstances indépendantes de la volonté du soumetteur.</w:t>
      </w:r>
    </w:p>
  </w:footnote>
  <w:footnote w:id="3">
    <w:p w14:paraId="17C32BB1" w14:textId="40B6D375" w:rsidR="00F6246E" w:rsidRPr="004D6CBA" w:rsidRDefault="00F6246E" w:rsidP="00F6246E">
      <w:pPr>
        <w:pStyle w:val="Notedebasdepage"/>
      </w:pPr>
      <w:r w:rsidRPr="00F6246E">
        <w:rPr>
          <w:rStyle w:val="Appelnotedebasdep"/>
          <w:vertAlign w:val="baseline"/>
        </w:rPr>
        <w:tab/>
      </w:r>
      <w:r w:rsidRPr="00F6246E">
        <w:rPr>
          <w:rStyle w:val="Appelnotedebasdep"/>
          <w:sz w:val="20"/>
          <w:vertAlign w:val="baseline"/>
        </w:rPr>
        <w:t>**</w:t>
      </w:r>
      <w:r w:rsidRPr="004D6CBA">
        <w:rPr>
          <w:rStyle w:val="Appelnotedebasdep"/>
          <w:sz w:val="20"/>
        </w:rPr>
        <w:tab/>
      </w:r>
      <w:r w:rsidRPr="004D6CBA">
        <w:t>Conformément au programme de travail du Comité des transports intérieurs pour 2022 tel qu’il figure dans le projet de budget-programme pour 2022 (A/76/6 (</w:t>
      </w:r>
      <w:r>
        <w:t>sect</w:t>
      </w:r>
      <w:r w:rsidRPr="004D6CBA">
        <w:t>. 20), par. 20</w:t>
      </w:r>
      <w:r>
        <w:t>.</w:t>
      </w:r>
      <w:r w:rsidRPr="004D6CBA">
        <w:t xml:space="preserve">76), le Forum mondial a </w:t>
      </w:r>
      <w:r w:rsidRPr="00F6246E">
        <w:t>pour</w:t>
      </w:r>
      <w:r w:rsidRPr="004D6CBA">
        <w:t xml:space="preserve"> mission d’élaborer, d’harmoniser et de mettre à jour les Règlements ONU en vue d’améliorer les caractéristiques fonctionnelles des véhicules. Le présent document est soumis en vertu de ce mandat.</w:t>
      </w:r>
    </w:p>
    <w:p w14:paraId="356FF600" w14:textId="77777777" w:rsidR="00F6246E" w:rsidRPr="004D6CBA" w:rsidRDefault="00F6246E" w:rsidP="00F6246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093E" w14:textId="1FF35B51" w:rsidR="00F6246E" w:rsidRPr="00F6246E" w:rsidRDefault="00F6246E">
    <w:pPr>
      <w:pStyle w:val="En-tte"/>
    </w:pPr>
    <w:fldSimple w:instr=" TITLE  \* MERGEFORMAT ">
      <w:r>
        <w:t>ECE/TRANS/WP.29/2022/14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57E63" w14:textId="4CCED7A3" w:rsidR="00F6246E" w:rsidRPr="00F6246E" w:rsidRDefault="00F6246E" w:rsidP="00F6246E">
    <w:pPr>
      <w:pStyle w:val="En-tte"/>
      <w:jc w:val="right"/>
    </w:pPr>
    <w:fldSimple w:instr=" TITLE  \* MERGEFORMAT ">
      <w:r>
        <w:t>ECE/TRANS/WP.29/2022/14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9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D5599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246E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31AB02"/>
  <w15:docId w15:val="{0C2EE428-FC4A-418B-A6D9-0FB94CB4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F6246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1B6B8-B640-4E2D-AD36-657C41C64DC8}"/>
</file>

<file path=customXml/itemProps2.xml><?xml version="1.0" encoding="utf-8"?>
<ds:datastoreItem xmlns:ds="http://schemas.openxmlformats.org/officeDocument/2006/customXml" ds:itemID="{FA66B4AC-6ADB-4D52-AB0F-F2855B3504AA}"/>
</file>

<file path=customXml/itemProps3.xml><?xml version="1.0" encoding="utf-8"?>
<ds:datastoreItem xmlns:ds="http://schemas.openxmlformats.org/officeDocument/2006/customXml" ds:itemID="{A8AD51D2-0C8D-4A26-B491-840F10265C7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233</Words>
  <Characters>1632</Characters>
  <Application>Microsoft Office Word</Application>
  <DocSecurity>0</DocSecurity>
  <Lines>136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2022-01-14T10:43:00Z</dcterms:created>
  <dcterms:modified xsi:type="dcterms:W3CDTF">2022-01-14T10:43:00Z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