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382E484" w14:textId="77777777" w:rsidTr="00387CD4">
        <w:trPr>
          <w:trHeight w:hRule="exact" w:val="851"/>
        </w:trPr>
        <w:tc>
          <w:tcPr>
            <w:tcW w:w="142" w:type="dxa"/>
            <w:tcBorders>
              <w:bottom w:val="single" w:sz="4" w:space="0" w:color="auto"/>
            </w:tcBorders>
          </w:tcPr>
          <w:p w14:paraId="2B368597" w14:textId="77777777" w:rsidR="002D5AAC" w:rsidRDefault="002D5AAC" w:rsidP="00B040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5AFBD6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201360A" w14:textId="43478909" w:rsidR="002D5AAC" w:rsidRDefault="00B0401D" w:rsidP="00B0401D">
            <w:pPr>
              <w:jc w:val="right"/>
            </w:pPr>
            <w:r w:rsidRPr="00B0401D">
              <w:rPr>
                <w:sz w:val="40"/>
              </w:rPr>
              <w:t>ECE</w:t>
            </w:r>
            <w:r>
              <w:t>/TRANS/WP.15/AC.2/78</w:t>
            </w:r>
          </w:p>
        </w:tc>
      </w:tr>
      <w:tr w:rsidR="002D5AAC" w:rsidRPr="00220F25" w14:paraId="467D2F34" w14:textId="77777777" w:rsidTr="00387CD4">
        <w:trPr>
          <w:trHeight w:hRule="exact" w:val="2835"/>
        </w:trPr>
        <w:tc>
          <w:tcPr>
            <w:tcW w:w="1280" w:type="dxa"/>
            <w:gridSpan w:val="2"/>
            <w:tcBorders>
              <w:top w:val="single" w:sz="4" w:space="0" w:color="auto"/>
              <w:bottom w:val="single" w:sz="12" w:space="0" w:color="auto"/>
            </w:tcBorders>
          </w:tcPr>
          <w:p w14:paraId="6F856F59" w14:textId="77777777" w:rsidR="002D5AAC" w:rsidRDefault="002E5067" w:rsidP="00387CD4">
            <w:pPr>
              <w:spacing w:before="120"/>
              <w:jc w:val="center"/>
            </w:pPr>
            <w:r>
              <w:rPr>
                <w:noProof/>
                <w:lang w:val="fr-CH" w:eastAsia="fr-CH"/>
              </w:rPr>
              <w:drawing>
                <wp:inline distT="0" distB="0" distL="0" distR="0" wp14:anchorId="205B3BFE" wp14:editId="67193C0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D0D898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D24AD7" w14:textId="77777777" w:rsidR="002D5AAC" w:rsidRDefault="00B0401D" w:rsidP="00387CD4">
            <w:pPr>
              <w:spacing w:before="240"/>
              <w:rPr>
                <w:lang w:val="en-US"/>
              </w:rPr>
            </w:pPr>
            <w:r>
              <w:rPr>
                <w:lang w:val="en-US"/>
              </w:rPr>
              <w:t>Distr.: General</w:t>
            </w:r>
          </w:p>
          <w:p w14:paraId="2D1AC814" w14:textId="77777777" w:rsidR="00B0401D" w:rsidRDefault="00B0401D" w:rsidP="00B0401D">
            <w:pPr>
              <w:spacing w:line="240" w:lineRule="exact"/>
              <w:rPr>
                <w:lang w:val="en-US"/>
              </w:rPr>
            </w:pPr>
            <w:r>
              <w:rPr>
                <w:lang w:val="en-US"/>
              </w:rPr>
              <w:t>28 September 2021</w:t>
            </w:r>
          </w:p>
          <w:p w14:paraId="0C51760A" w14:textId="77777777" w:rsidR="00B0401D" w:rsidRDefault="00B0401D" w:rsidP="00B0401D">
            <w:pPr>
              <w:spacing w:line="240" w:lineRule="exact"/>
              <w:rPr>
                <w:lang w:val="en-US"/>
              </w:rPr>
            </w:pPr>
            <w:r>
              <w:rPr>
                <w:lang w:val="en-US"/>
              </w:rPr>
              <w:t>Russian</w:t>
            </w:r>
          </w:p>
          <w:p w14:paraId="3B6255AA" w14:textId="666EBEDE" w:rsidR="00B0401D" w:rsidRPr="008D53B6" w:rsidRDefault="00B0401D" w:rsidP="00B0401D">
            <w:pPr>
              <w:spacing w:line="240" w:lineRule="exact"/>
              <w:rPr>
                <w:lang w:val="en-US"/>
              </w:rPr>
            </w:pPr>
            <w:r>
              <w:rPr>
                <w:lang w:val="en-US"/>
              </w:rPr>
              <w:t>Original: English</w:t>
            </w:r>
          </w:p>
        </w:tc>
      </w:tr>
    </w:tbl>
    <w:p w14:paraId="4B88AC91" w14:textId="77777777" w:rsidR="008A37C8" w:rsidRDefault="008A37C8" w:rsidP="001E1631">
      <w:pPr>
        <w:spacing w:before="120"/>
        <w:rPr>
          <w:b/>
          <w:sz w:val="28"/>
          <w:szCs w:val="28"/>
        </w:rPr>
      </w:pPr>
      <w:r w:rsidRPr="00245892">
        <w:rPr>
          <w:b/>
          <w:sz w:val="28"/>
          <w:szCs w:val="28"/>
        </w:rPr>
        <w:t>Европейская экономическая комиссия</w:t>
      </w:r>
    </w:p>
    <w:p w14:paraId="3C826186" w14:textId="77777777" w:rsidR="00B0401D" w:rsidRPr="00481383" w:rsidRDefault="00B0401D" w:rsidP="001E1631">
      <w:pPr>
        <w:spacing w:before="120"/>
        <w:rPr>
          <w:sz w:val="28"/>
          <w:szCs w:val="28"/>
        </w:rPr>
      </w:pPr>
      <w:r w:rsidRPr="00481383">
        <w:rPr>
          <w:sz w:val="28"/>
          <w:szCs w:val="28"/>
        </w:rPr>
        <w:t>Комитет по внутреннему транспорту</w:t>
      </w:r>
    </w:p>
    <w:p w14:paraId="70E41809" w14:textId="77777777" w:rsidR="00B0401D" w:rsidRPr="00481383" w:rsidRDefault="00B0401D" w:rsidP="001E1631">
      <w:pPr>
        <w:spacing w:before="120" w:after="120"/>
        <w:rPr>
          <w:b/>
          <w:sz w:val="24"/>
          <w:szCs w:val="24"/>
        </w:rPr>
      </w:pPr>
      <w:r w:rsidRPr="00481383">
        <w:rPr>
          <w:b/>
          <w:bCs/>
          <w:sz w:val="24"/>
          <w:szCs w:val="24"/>
        </w:rPr>
        <w:t>Рабочая группа по перевозкам опасных грузов</w:t>
      </w:r>
    </w:p>
    <w:p w14:paraId="797B009C" w14:textId="497A08FC" w:rsidR="00B0401D" w:rsidRPr="00A23666" w:rsidRDefault="00B0401D" w:rsidP="001E1631">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7ED35DE0" w14:textId="77777777" w:rsidR="00B0401D" w:rsidRPr="00A23666" w:rsidRDefault="00B0401D" w:rsidP="001E1631">
      <w:pPr>
        <w:rPr>
          <w:b/>
          <w:bCs/>
        </w:rPr>
      </w:pPr>
      <w:r>
        <w:rPr>
          <w:b/>
          <w:bCs/>
        </w:rPr>
        <w:t>Тридцать восьмая сессия</w:t>
      </w:r>
    </w:p>
    <w:p w14:paraId="0DC5484C" w14:textId="3E1CC8D7" w:rsidR="00B0401D" w:rsidRPr="00A23666" w:rsidRDefault="00B0401D" w:rsidP="001E1631">
      <w:r>
        <w:t>Женева, 23</w:t>
      </w:r>
      <w:r w:rsidR="00C87A57" w:rsidRPr="00A376D5">
        <w:t>–</w:t>
      </w:r>
      <w:r>
        <w:t>27 августа 2021 года</w:t>
      </w:r>
    </w:p>
    <w:p w14:paraId="64735111" w14:textId="588E2533" w:rsidR="00B0401D" w:rsidRPr="00A23666" w:rsidRDefault="00B0401D" w:rsidP="001E1631">
      <w:pPr>
        <w:pStyle w:val="HChG"/>
        <w:spacing w:before="300" w:line="240" w:lineRule="atLeast"/>
      </w:pPr>
      <w:r>
        <w:tab/>
      </w:r>
      <w:r>
        <w:tab/>
      </w:r>
      <w:r>
        <w:rPr>
          <w:bCs/>
        </w:rPr>
        <w:t xml:space="preserve">Доклад Совместного совещания экспертов </w:t>
      </w:r>
      <w:r>
        <w:rPr>
          <w:bCs/>
        </w:rPr>
        <w:br/>
        <w:t>по Правилам, прилагаемым к Европейскому соглашению о</w:t>
      </w:r>
      <w:r w:rsidRPr="00B0401D">
        <w:rPr>
          <w:bCs/>
        </w:rPr>
        <w:t xml:space="preserve"> </w:t>
      </w:r>
      <w:r>
        <w:rPr>
          <w:bCs/>
        </w:rPr>
        <w:t>международной перевозке опасных грузов по внутренним водным путям (Комитет по вопросам безопасности ВОПОГ), о работе его тридцать восьмой сессии</w:t>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r w:rsidRPr="00B0401D">
        <w:rPr>
          <w:rStyle w:val="aa"/>
          <w:b w:val="0"/>
          <w:bCs/>
          <w:sz w:val="20"/>
          <w:vertAlign w:val="baseline"/>
        </w:rPr>
        <w:footnoteReference w:customMarkFollows="1" w:id="1"/>
        <w:sym w:font="Symbol" w:char="F02A"/>
      </w:r>
    </w:p>
    <w:p w14:paraId="7D3CCFD8" w14:textId="5D7BDF1E" w:rsidR="00B0401D" w:rsidRDefault="00B0401D" w:rsidP="001E1631">
      <w:pPr>
        <w:suppressAutoHyphens w:val="0"/>
        <w:rPr>
          <w:rFonts w:eastAsia="Times New Roman" w:cs="Times New Roman"/>
          <w:szCs w:val="20"/>
        </w:rPr>
      </w:pPr>
      <w:r>
        <w:br w:type="page"/>
      </w:r>
    </w:p>
    <w:p w14:paraId="5C807440" w14:textId="77777777" w:rsidR="00B0401D" w:rsidRDefault="00B0401D" w:rsidP="001E1631">
      <w:pPr>
        <w:spacing w:after="120"/>
        <w:rPr>
          <w:sz w:val="28"/>
        </w:rPr>
      </w:pPr>
      <w:r>
        <w:rPr>
          <w:sz w:val="28"/>
        </w:rPr>
        <w:lastRenderedPageBreak/>
        <w:t>Содержание</w:t>
      </w:r>
    </w:p>
    <w:p w14:paraId="46F8B562" w14:textId="77777777" w:rsidR="00B0401D" w:rsidRDefault="00B0401D" w:rsidP="001E1631">
      <w:pPr>
        <w:tabs>
          <w:tab w:val="right" w:pos="9638"/>
        </w:tabs>
        <w:spacing w:after="120"/>
        <w:ind w:left="283"/>
        <w:rPr>
          <w:sz w:val="18"/>
        </w:rPr>
      </w:pPr>
      <w:r>
        <w:rPr>
          <w:i/>
          <w:sz w:val="18"/>
        </w:rPr>
        <w:tab/>
        <w:t>Стр.</w:t>
      </w:r>
    </w:p>
    <w:p w14:paraId="495F19B0"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tab/>
      </w:r>
      <w:r w:rsidRPr="00B0401D">
        <w:rPr>
          <w:noProof/>
          <w:lang w:val="en-US"/>
        </w:rPr>
        <w:t>I</w:t>
      </w:r>
      <w:r w:rsidRPr="00651223">
        <w:rPr>
          <w:noProof/>
        </w:rPr>
        <w:t>.</w:t>
      </w:r>
      <w:r w:rsidRPr="00651223">
        <w:rPr>
          <w:noProof/>
        </w:rPr>
        <w:tab/>
      </w:r>
      <w:r>
        <w:rPr>
          <w:bCs/>
        </w:rPr>
        <w:t>Участники</w:t>
      </w:r>
      <w:r w:rsidRPr="00651223">
        <w:rPr>
          <w:noProof/>
          <w:webHidden/>
        </w:rPr>
        <w:tab/>
      </w:r>
      <w:r w:rsidRPr="00651223">
        <w:rPr>
          <w:noProof/>
          <w:webHidden/>
        </w:rPr>
        <w:tab/>
        <w:t>4</w:t>
      </w:r>
    </w:p>
    <w:p w14:paraId="60695D76"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B0401D">
        <w:rPr>
          <w:noProof/>
          <w:lang w:val="en-US"/>
        </w:rPr>
        <w:t>II</w:t>
      </w:r>
      <w:r w:rsidRPr="00651223">
        <w:rPr>
          <w:noProof/>
        </w:rPr>
        <w:t>.</w:t>
      </w:r>
      <w:r w:rsidRPr="00651223">
        <w:rPr>
          <w:noProof/>
        </w:rPr>
        <w:tab/>
      </w:r>
      <w:r>
        <w:rPr>
          <w:bCs/>
        </w:rPr>
        <w:t>Организационные вопросы</w:t>
      </w:r>
      <w:r w:rsidRPr="00651223">
        <w:rPr>
          <w:noProof/>
          <w:webHidden/>
        </w:rPr>
        <w:tab/>
      </w:r>
      <w:r w:rsidRPr="00651223">
        <w:rPr>
          <w:noProof/>
          <w:webHidden/>
        </w:rPr>
        <w:tab/>
        <w:t>4</w:t>
      </w:r>
    </w:p>
    <w:p w14:paraId="4533609E"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B0401D">
        <w:rPr>
          <w:noProof/>
          <w:lang w:val="en-US"/>
        </w:rPr>
        <w:t>III</w:t>
      </w:r>
      <w:r w:rsidRPr="00651223">
        <w:rPr>
          <w:noProof/>
        </w:rPr>
        <w:t>.</w:t>
      </w:r>
      <w:r w:rsidRPr="00651223">
        <w:rPr>
          <w:noProof/>
        </w:rPr>
        <w:tab/>
      </w:r>
      <w:r>
        <w:rPr>
          <w:bCs/>
        </w:rPr>
        <w:t>Утверждение повестки дня (пункт 1 повестки дня)</w:t>
      </w:r>
      <w:r w:rsidRPr="00651223">
        <w:rPr>
          <w:noProof/>
          <w:webHidden/>
        </w:rPr>
        <w:tab/>
      </w:r>
      <w:r w:rsidRPr="00651223">
        <w:rPr>
          <w:noProof/>
          <w:webHidden/>
        </w:rPr>
        <w:tab/>
        <w:t>4</w:t>
      </w:r>
    </w:p>
    <w:p w14:paraId="5F0E64B0"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134" w:hanging="1134"/>
        <w:rPr>
          <w:noProof/>
        </w:rPr>
      </w:pPr>
      <w:r w:rsidRPr="00651223">
        <w:rPr>
          <w:noProof/>
        </w:rPr>
        <w:tab/>
      </w:r>
      <w:r w:rsidRPr="00B0401D">
        <w:rPr>
          <w:noProof/>
          <w:lang w:val="en-US"/>
        </w:rPr>
        <w:t>IV</w:t>
      </w:r>
      <w:r w:rsidRPr="00651223">
        <w:rPr>
          <w:noProof/>
        </w:rPr>
        <w:t>.</w:t>
      </w:r>
      <w:r w:rsidRPr="00651223">
        <w:rPr>
          <w:noProof/>
        </w:rPr>
        <w:tab/>
      </w:r>
      <w:r>
        <w:rPr>
          <w:bCs/>
        </w:rPr>
        <w:t xml:space="preserve">Вопросы, вытекающие из работы органов Организации Объединенных Наций </w:t>
      </w:r>
      <w:r>
        <w:rPr>
          <w:bCs/>
        </w:rPr>
        <w:br/>
        <w:t>или других организаций (пункт 2 повестки дня)</w:t>
      </w:r>
      <w:r w:rsidRPr="00651223">
        <w:rPr>
          <w:noProof/>
          <w:webHidden/>
        </w:rPr>
        <w:tab/>
      </w:r>
      <w:r w:rsidRPr="00651223">
        <w:rPr>
          <w:noProof/>
          <w:webHidden/>
        </w:rPr>
        <w:tab/>
      </w:r>
      <w:r w:rsidRPr="00EC687C">
        <w:rPr>
          <w:noProof/>
          <w:webHidden/>
        </w:rPr>
        <w:t>5</w:t>
      </w:r>
    </w:p>
    <w:p w14:paraId="4639A53B"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A</w:t>
      </w:r>
      <w:r w:rsidRPr="00651223">
        <w:rPr>
          <w:noProof/>
        </w:rPr>
        <w:t>.</w:t>
      </w:r>
      <w:r w:rsidRPr="00651223">
        <w:rPr>
          <w:noProof/>
        </w:rPr>
        <w:tab/>
      </w:r>
      <w:r>
        <w:rPr>
          <w:bCs/>
        </w:rPr>
        <w:t>Работа Комитета по внутреннему транспорту</w:t>
      </w:r>
      <w:r w:rsidRPr="00651223">
        <w:rPr>
          <w:noProof/>
          <w:webHidden/>
        </w:rPr>
        <w:tab/>
      </w:r>
      <w:r w:rsidRPr="00651223">
        <w:rPr>
          <w:noProof/>
          <w:webHidden/>
        </w:rPr>
        <w:tab/>
      </w:r>
      <w:r w:rsidRPr="00EC687C">
        <w:rPr>
          <w:noProof/>
          <w:webHidden/>
        </w:rPr>
        <w:t>5</w:t>
      </w:r>
    </w:p>
    <w:p w14:paraId="2C84947D"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B</w:t>
      </w:r>
      <w:r w:rsidRPr="00651223">
        <w:rPr>
          <w:noProof/>
        </w:rPr>
        <w:t>.</w:t>
      </w:r>
      <w:r w:rsidRPr="00651223">
        <w:rPr>
          <w:noProof/>
        </w:rPr>
        <w:tab/>
      </w:r>
      <w:r>
        <w:rPr>
          <w:bCs/>
        </w:rPr>
        <w:t>Статус требований брошюры по остойчивости</w:t>
      </w:r>
      <w:r w:rsidRPr="00651223">
        <w:rPr>
          <w:noProof/>
          <w:webHidden/>
        </w:rPr>
        <w:tab/>
      </w:r>
      <w:r w:rsidRPr="00651223">
        <w:rPr>
          <w:noProof/>
          <w:webHidden/>
        </w:rPr>
        <w:tab/>
        <w:t>5</w:t>
      </w:r>
    </w:p>
    <w:p w14:paraId="754140E5"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C</w:t>
      </w:r>
      <w:r w:rsidRPr="00651223">
        <w:rPr>
          <w:noProof/>
        </w:rPr>
        <w:t>.</w:t>
      </w:r>
      <w:r w:rsidRPr="00651223">
        <w:rPr>
          <w:noProof/>
        </w:rPr>
        <w:tab/>
      </w:r>
      <w:r>
        <w:rPr>
          <w:bCs/>
        </w:rPr>
        <w:t>Документы и другие записи в электронном виде, находящиеся на</w:t>
      </w:r>
      <w:r>
        <w:rPr>
          <w:lang w:val="en-US"/>
        </w:rPr>
        <w:t> </w:t>
      </w:r>
      <w:r>
        <w:rPr>
          <w:bCs/>
        </w:rPr>
        <w:t>борту</w:t>
      </w:r>
      <w:r w:rsidRPr="00651223">
        <w:rPr>
          <w:noProof/>
          <w:webHidden/>
        </w:rPr>
        <w:tab/>
      </w:r>
      <w:r w:rsidRPr="00651223">
        <w:rPr>
          <w:noProof/>
          <w:webHidden/>
        </w:rPr>
        <w:tab/>
        <w:t>5</w:t>
      </w:r>
    </w:p>
    <w:p w14:paraId="636387F3" w14:textId="77777777" w:rsidR="00C67CFF" w:rsidRPr="00C67CFF"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D</w:t>
      </w:r>
      <w:r w:rsidRPr="00651223">
        <w:rPr>
          <w:noProof/>
        </w:rPr>
        <w:t>.</w:t>
      </w:r>
      <w:r w:rsidRPr="00651223">
        <w:rPr>
          <w:noProof/>
        </w:rPr>
        <w:tab/>
      </w:r>
      <w:r>
        <w:rPr>
          <w:bCs/>
        </w:rPr>
        <w:t>Доклад Дунайской комиссии</w:t>
      </w:r>
      <w:r w:rsidRPr="00651223">
        <w:rPr>
          <w:noProof/>
          <w:webHidden/>
        </w:rPr>
        <w:tab/>
      </w:r>
      <w:r w:rsidRPr="00651223">
        <w:rPr>
          <w:noProof/>
          <w:webHidden/>
        </w:rPr>
        <w:tab/>
      </w:r>
      <w:r w:rsidRPr="00C67CFF">
        <w:rPr>
          <w:noProof/>
          <w:webHidden/>
        </w:rPr>
        <w:t>6</w:t>
      </w:r>
    </w:p>
    <w:p w14:paraId="7C6371BB" w14:textId="40A06327" w:rsidR="00C67CFF" w:rsidRPr="00651223" w:rsidRDefault="00C67CFF" w:rsidP="00C67CFF">
      <w:pPr>
        <w:tabs>
          <w:tab w:val="right" w:pos="850"/>
          <w:tab w:val="left" w:pos="1134"/>
          <w:tab w:val="left" w:pos="1559"/>
          <w:tab w:val="left" w:pos="1984"/>
          <w:tab w:val="left" w:leader="dot" w:pos="8929"/>
          <w:tab w:val="right" w:pos="9638"/>
        </w:tabs>
        <w:spacing w:after="120"/>
        <w:ind w:left="1134" w:hanging="1134"/>
        <w:rPr>
          <w:noProof/>
        </w:rPr>
      </w:pPr>
      <w:r w:rsidRPr="00651223">
        <w:rPr>
          <w:noProof/>
        </w:rPr>
        <w:tab/>
      </w:r>
      <w:r w:rsidRPr="00B0401D">
        <w:rPr>
          <w:noProof/>
          <w:lang w:val="en-US"/>
        </w:rPr>
        <w:t>V</w:t>
      </w:r>
      <w:r w:rsidRPr="00651223">
        <w:rPr>
          <w:noProof/>
        </w:rPr>
        <w:t>.</w:t>
      </w:r>
      <w:r w:rsidRPr="00651223">
        <w:rPr>
          <w:noProof/>
        </w:rPr>
        <w:tab/>
      </w:r>
      <w:r>
        <w:rPr>
          <w:bCs/>
        </w:rPr>
        <w:t xml:space="preserve">Применение Европейского соглашения о международной перевозке опасных грузов </w:t>
      </w:r>
      <w:r>
        <w:rPr>
          <w:bCs/>
        </w:rPr>
        <w:br/>
        <w:t>по внутренним водным путям (ВОПОГ) (пункт 3 повестки дня)</w:t>
      </w:r>
      <w:r w:rsidRPr="00651223">
        <w:rPr>
          <w:noProof/>
          <w:webHidden/>
        </w:rPr>
        <w:tab/>
      </w:r>
      <w:r w:rsidRPr="00651223">
        <w:rPr>
          <w:noProof/>
          <w:webHidden/>
        </w:rPr>
        <w:tab/>
        <w:t>6</w:t>
      </w:r>
    </w:p>
    <w:p w14:paraId="0E0F07D3"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A</w:t>
      </w:r>
      <w:r w:rsidRPr="00651223">
        <w:rPr>
          <w:noProof/>
        </w:rPr>
        <w:t>.</w:t>
      </w:r>
      <w:r w:rsidRPr="00651223">
        <w:rPr>
          <w:noProof/>
        </w:rPr>
        <w:tab/>
      </w:r>
      <w:r>
        <w:rPr>
          <w:bCs/>
        </w:rPr>
        <w:t>Состояние ВОПОГ</w:t>
      </w:r>
      <w:r w:rsidRPr="00651223">
        <w:rPr>
          <w:noProof/>
          <w:webHidden/>
        </w:rPr>
        <w:tab/>
      </w:r>
      <w:r w:rsidRPr="00651223">
        <w:rPr>
          <w:noProof/>
          <w:webHidden/>
        </w:rPr>
        <w:tab/>
        <w:t>6</w:t>
      </w:r>
    </w:p>
    <w:p w14:paraId="71ABEAEA" w14:textId="77777777" w:rsidR="00C67CFF" w:rsidRPr="00651223"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B0401D">
        <w:rPr>
          <w:noProof/>
          <w:lang w:val="en-US"/>
        </w:rPr>
        <w:t>B</w:t>
      </w:r>
      <w:r w:rsidRPr="00651223">
        <w:rPr>
          <w:noProof/>
        </w:rPr>
        <w:t>.</w:t>
      </w:r>
      <w:r w:rsidRPr="00651223">
        <w:rPr>
          <w:noProof/>
        </w:rPr>
        <w:tab/>
      </w:r>
      <w:r>
        <w:t>Специальные разрешения, отступления и эквивалентные аналоги</w:t>
      </w:r>
      <w:r w:rsidRPr="00651223">
        <w:rPr>
          <w:noProof/>
          <w:webHidden/>
        </w:rPr>
        <w:tab/>
      </w:r>
      <w:r w:rsidRPr="00651223">
        <w:rPr>
          <w:noProof/>
          <w:webHidden/>
        </w:rPr>
        <w:tab/>
        <w:t>6</w:t>
      </w:r>
    </w:p>
    <w:p w14:paraId="6B5FF4DD" w14:textId="77777777" w:rsidR="00C67CFF" w:rsidRPr="005A4B54" w:rsidRDefault="00C67CFF" w:rsidP="00C67CFF">
      <w:pPr>
        <w:tabs>
          <w:tab w:val="right" w:pos="850"/>
          <w:tab w:val="left" w:pos="1134"/>
          <w:tab w:val="left" w:pos="1559"/>
          <w:tab w:val="left" w:pos="1984"/>
          <w:tab w:val="left" w:leader="dot" w:pos="8929"/>
          <w:tab w:val="right" w:pos="9638"/>
        </w:tabs>
        <w:spacing w:after="120"/>
        <w:rPr>
          <w:noProof/>
        </w:rPr>
      </w:pPr>
      <w:r w:rsidRPr="00651223">
        <w:rPr>
          <w:noProof/>
        </w:rPr>
        <w:tab/>
      </w:r>
      <w:r w:rsidRPr="00651223">
        <w:rPr>
          <w:noProof/>
        </w:rPr>
        <w:tab/>
      </w:r>
      <w:r w:rsidRPr="00651223">
        <w:rPr>
          <w:noProof/>
        </w:rPr>
        <w:tab/>
      </w:r>
      <w:r w:rsidRPr="005A4B54">
        <w:rPr>
          <w:noProof/>
        </w:rPr>
        <w:t>1.</w:t>
      </w:r>
      <w:r w:rsidRPr="005A4B54">
        <w:rPr>
          <w:noProof/>
        </w:rPr>
        <w:tab/>
      </w:r>
      <w:r>
        <w:t>Специальное</w:t>
      </w:r>
      <w:r w:rsidRPr="005A4B54">
        <w:t xml:space="preserve"> </w:t>
      </w:r>
      <w:r>
        <w:t>разрешение</w:t>
      </w:r>
      <w:r w:rsidRPr="005A4B54">
        <w:rPr>
          <w:noProof/>
          <w:webHidden/>
        </w:rPr>
        <w:tab/>
      </w:r>
      <w:r w:rsidRPr="005A4B54">
        <w:rPr>
          <w:noProof/>
          <w:webHidden/>
        </w:rPr>
        <w:tab/>
        <w:t>6</w:t>
      </w:r>
    </w:p>
    <w:p w14:paraId="5B41A4D1" w14:textId="79611556" w:rsidR="00C67CFF" w:rsidRPr="005A4B54" w:rsidRDefault="00C67CFF" w:rsidP="00C67CFF">
      <w:pPr>
        <w:tabs>
          <w:tab w:val="right" w:pos="850"/>
          <w:tab w:val="left" w:pos="1134"/>
          <w:tab w:val="left" w:pos="1559"/>
          <w:tab w:val="left" w:pos="1984"/>
          <w:tab w:val="left" w:leader="dot" w:pos="8929"/>
          <w:tab w:val="right" w:pos="9638"/>
        </w:tabs>
        <w:spacing w:after="120"/>
        <w:rPr>
          <w:noProof/>
        </w:rPr>
      </w:pPr>
      <w:r w:rsidRPr="005A4B54">
        <w:rPr>
          <w:noProof/>
        </w:rPr>
        <w:tab/>
      </w:r>
      <w:r w:rsidRPr="005A4B54">
        <w:rPr>
          <w:noProof/>
        </w:rPr>
        <w:tab/>
      </w:r>
      <w:r w:rsidRPr="005A4B54">
        <w:rPr>
          <w:noProof/>
        </w:rPr>
        <w:tab/>
        <w:t>2.</w:t>
      </w:r>
      <w:r w:rsidRPr="005A4B54">
        <w:rPr>
          <w:noProof/>
        </w:rPr>
        <w:tab/>
      </w:r>
      <w:r>
        <w:rPr>
          <w:bCs/>
        </w:rPr>
        <w:t>Запрос на рекомендацию</w:t>
      </w:r>
      <w:r w:rsidRPr="005A4B54">
        <w:rPr>
          <w:noProof/>
          <w:webHidden/>
        </w:rPr>
        <w:tab/>
      </w:r>
      <w:r w:rsidRPr="005A4B54">
        <w:rPr>
          <w:noProof/>
          <w:webHidden/>
        </w:rPr>
        <w:tab/>
        <w:t>6</w:t>
      </w:r>
    </w:p>
    <w:p w14:paraId="005CBA60"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5A4B54">
        <w:rPr>
          <w:noProof/>
        </w:rPr>
        <w:tab/>
      </w:r>
      <w:r w:rsidRPr="005A4B54">
        <w:rPr>
          <w:noProof/>
        </w:rPr>
        <w:tab/>
      </w:r>
      <w:r w:rsidRPr="00B0401D">
        <w:rPr>
          <w:noProof/>
          <w:lang w:val="en-US"/>
        </w:rPr>
        <w:t>C</w:t>
      </w:r>
      <w:r w:rsidRPr="00EB3B77">
        <w:rPr>
          <w:noProof/>
        </w:rPr>
        <w:t>.</w:t>
      </w:r>
      <w:r w:rsidRPr="00EB3B77">
        <w:rPr>
          <w:noProof/>
        </w:rPr>
        <w:tab/>
      </w:r>
      <w:r>
        <w:rPr>
          <w:bCs/>
        </w:rPr>
        <w:t>Толкование Правил, прилагаемых к ВОПОГ</w:t>
      </w:r>
      <w:r w:rsidRPr="00EB3B77">
        <w:rPr>
          <w:noProof/>
          <w:webHidden/>
        </w:rPr>
        <w:tab/>
      </w:r>
      <w:r w:rsidRPr="00EB3B77">
        <w:rPr>
          <w:noProof/>
          <w:webHidden/>
        </w:rPr>
        <w:tab/>
      </w:r>
      <w:r w:rsidRPr="00EC687C">
        <w:rPr>
          <w:noProof/>
          <w:webHidden/>
        </w:rPr>
        <w:t>7</w:t>
      </w:r>
    </w:p>
    <w:p w14:paraId="00669D31"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B0401D">
        <w:rPr>
          <w:noProof/>
          <w:lang w:val="en-US"/>
        </w:rPr>
        <w:t>D</w:t>
      </w:r>
      <w:r w:rsidRPr="00EB3B77">
        <w:rPr>
          <w:noProof/>
        </w:rPr>
        <w:t>.</w:t>
      </w:r>
      <w:r w:rsidRPr="00EB3B77">
        <w:rPr>
          <w:noProof/>
        </w:rPr>
        <w:tab/>
      </w:r>
      <w:r>
        <w:rPr>
          <w:bCs/>
        </w:rPr>
        <w:t>Подготовка экспертов</w:t>
      </w:r>
      <w:r w:rsidRPr="00EB3B77">
        <w:rPr>
          <w:noProof/>
          <w:webHidden/>
        </w:rPr>
        <w:tab/>
      </w:r>
      <w:r w:rsidRPr="00EB3B77">
        <w:rPr>
          <w:noProof/>
          <w:webHidden/>
        </w:rPr>
        <w:tab/>
      </w:r>
      <w:r w:rsidRPr="00EC687C">
        <w:rPr>
          <w:noProof/>
          <w:webHidden/>
        </w:rPr>
        <w:t>7</w:t>
      </w:r>
    </w:p>
    <w:p w14:paraId="7BA909A3"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1.</w:t>
      </w:r>
      <w:r w:rsidRPr="00EB3B77">
        <w:rPr>
          <w:noProof/>
        </w:rPr>
        <w:tab/>
      </w:r>
      <w:r>
        <w:rPr>
          <w:bCs/>
        </w:rPr>
        <w:t>Каталог вопросов по ВОПОГ 2021 года</w:t>
      </w:r>
      <w:r w:rsidRPr="00EB3B77">
        <w:rPr>
          <w:noProof/>
          <w:webHidden/>
        </w:rPr>
        <w:tab/>
      </w:r>
      <w:r w:rsidRPr="00EB3B77">
        <w:rPr>
          <w:noProof/>
          <w:webHidden/>
        </w:rPr>
        <w:tab/>
      </w:r>
      <w:r w:rsidRPr="00EC687C">
        <w:rPr>
          <w:noProof/>
          <w:webHidden/>
        </w:rPr>
        <w:t>7</w:t>
      </w:r>
    </w:p>
    <w:p w14:paraId="1EE39A35"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EB3B77">
        <w:rPr>
          <w:noProof/>
        </w:rPr>
        <w:tab/>
      </w:r>
      <w:r w:rsidRPr="00EB3B77">
        <w:rPr>
          <w:noProof/>
        </w:rPr>
        <w:tab/>
      </w:r>
      <w:r w:rsidRPr="00EB3B77">
        <w:rPr>
          <w:noProof/>
        </w:rPr>
        <w:tab/>
        <w:t>2.</w:t>
      </w:r>
      <w:r w:rsidRPr="00EB3B77">
        <w:rPr>
          <w:noProof/>
        </w:rPr>
        <w:tab/>
      </w:r>
      <w:r>
        <w:rPr>
          <w:bCs/>
        </w:rPr>
        <w:t xml:space="preserve">Директива по использованию каталога вопросов для </w:t>
      </w:r>
      <w:proofErr w:type="spellStart"/>
      <w:r>
        <w:rPr>
          <w:bCs/>
        </w:rPr>
        <w:t>экзаменования</w:t>
      </w:r>
      <w:proofErr w:type="spellEnd"/>
      <w:r>
        <w:rPr>
          <w:bCs/>
        </w:rPr>
        <w:t xml:space="preserve"> экспертов </w:t>
      </w:r>
      <w:r>
        <w:rPr>
          <w:bCs/>
        </w:rPr>
        <w:br/>
        <w:t>в области ВОПОГ</w:t>
      </w:r>
      <w:r w:rsidRPr="00EB3B77">
        <w:rPr>
          <w:noProof/>
          <w:webHidden/>
        </w:rPr>
        <w:tab/>
      </w:r>
      <w:r w:rsidRPr="00EB3B77">
        <w:rPr>
          <w:noProof/>
          <w:webHidden/>
        </w:rPr>
        <w:tab/>
      </w:r>
      <w:r w:rsidRPr="00EC687C">
        <w:rPr>
          <w:noProof/>
          <w:webHidden/>
        </w:rPr>
        <w:t>7</w:t>
      </w:r>
    </w:p>
    <w:p w14:paraId="1C9F95AF" w14:textId="77777777" w:rsidR="00C67CFF" w:rsidRPr="00EB3B77"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B0401D">
        <w:rPr>
          <w:noProof/>
          <w:lang w:val="en-US"/>
        </w:rPr>
        <w:t>E</w:t>
      </w:r>
      <w:r w:rsidRPr="00EB3B77">
        <w:rPr>
          <w:noProof/>
        </w:rPr>
        <w:t>.</w:t>
      </w:r>
      <w:r w:rsidRPr="00EB3B77">
        <w:rPr>
          <w:noProof/>
        </w:rPr>
        <w:tab/>
      </w:r>
      <w:r>
        <w:rPr>
          <w:bCs/>
        </w:rPr>
        <w:t>Вопросы, касающиеся классификационных обществ</w:t>
      </w:r>
      <w:r w:rsidRPr="00EB3B77">
        <w:rPr>
          <w:noProof/>
          <w:webHidden/>
        </w:rPr>
        <w:tab/>
      </w:r>
      <w:r w:rsidRPr="00EB3B77">
        <w:rPr>
          <w:noProof/>
          <w:webHidden/>
        </w:rPr>
        <w:tab/>
        <w:t>7</w:t>
      </w:r>
    </w:p>
    <w:p w14:paraId="313E176B" w14:textId="77777777" w:rsidR="00C67CFF" w:rsidRPr="00EB3B77" w:rsidRDefault="00C67CFF" w:rsidP="00C67CFF">
      <w:pPr>
        <w:tabs>
          <w:tab w:val="right" w:pos="850"/>
          <w:tab w:val="left" w:pos="1134"/>
          <w:tab w:val="left" w:pos="1559"/>
          <w:tab w:val="left" w:pos="1984"/>
          <w:tab w:val="left" w:leader="dot" w:pos="8929"/>
          <w:tab w:val="right" w:pos="9638"/>
        </w:tabs>
        <w:spacing w:after="120"/>
        <w:ind w:left="1134" w:hanging="1134"/>
        <w:rPr>
          <w:noProof/>
        </w:rPr>
      </w:pPr>
      <w:r w:rsidRPr="00EB3B77">
        <w:rPr>
          <w:noProof/>
        </w:rPr>
        <w:tab/>
      </w:r>
      <w:r w:rsidRPr="00B0401D">
        <w:rPr>
          <w:noProof/>
          <w:lang w:val="en-US"/>
        </w:rPr>
        <w:t>VI</w:t>
      </w:r>
      <w:r w:rsidRPr="00EB3B77">
        <w:rPr>
          <w:noProof/>
        </w:rPr>
        <w:t>.</w:t>
      </w:r>
      <w:r w:rsidRPr="00EB3B77">
        <w:rPr>
          <w:noProof/>
        </w:rPr>
        <w:tab/>
      </w:r>
      <w:r>
        <w:rPr>
          <w:bCs/>
        </w:rPr>
        <w:t xml:space="preserve">Предложения о внесении поправок в Правила, прилагаемые к ВОПОГ </w:t>
      </w:r>
      <w:r>
        <w:rPr>
          <w:bCs/>
        </w:rPr>
        <w:br/>
        <w:t>(пункт 4 повестки дня)</w:t>
      </w:r>
      <w:r w:rsidRPr="00EB3B77">
        <w:rPr>
          <w:noProof/>
          <w:webHidden/>
        </w:rPr>
        <w:tab/>
      </w:r>
      <w:r w:rsidRPr="00EB3B77">
        <w:rPr>
          <w:noProof/>
          <w:webHidden/>
        </w:rPr>
        <w:tab/>
        <w:t>7</w:t>
      </w:r>
    </w:p>
    <w:p w14:paraId="36152A3B" w14:textId="77777777" w:rsidR="00C67CFF" w:rsidRPr="00EB3B77"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B0401D">
        <w:rPr>
          <w:noProof/>
          <w:lang w:val="en-US"/>
        </w:rPr>
        <w:t>A</w:t>
      </w:r>
      <w:r w:rsidRPr="00EB3B77">
        <w:rPr>
          <w:noProof/>
        </w:rPr>
        <w:t>.</w:t>
      </w:r>
      <w:r w:rsidRPr="00EB3B77">
        <w:rPr>
          <w:noProof/>
        </w:rPr>
        <w:tab/>
      </w:r>
      <w:r>
        <w:rPr>
          <w:bCs/>
        </w:rPr>
        <w:t>Работа Совместного совещания МПОГ/ДОПОГ/ВОПОГ</w:t>
      </w:r>
      <w:r w:rsidRPr="00EB3B77">
        <w:rPr>
          <w:noProof/>
          <w:webHidden/>
        </w:rPr>
        <w:tab/>
      </w:r>
      <w:r w:rsidRPr="00EB3B77">
        <w:rPr>
          <w:noProof/>
          <w:webHidden/>
        </w:rPr>
        <w:tab/>
        <w:t>7</w:t>
      </w:r>
    </w:p>
    <w:p w14:paraId="6501E269"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B0401D">
        <w:rPr>
          <w:noProof/>
          <w:lang w:val="en-US"/>
        </w:rPr>
        <w:t>B</w:t>
      </w:r>
      <w:r w:rsidRPr="00EB3B77">
        <w:rPr>
          <w:noProof/>
        </w:rPr>
        <w:t>.</w:t>
      </w:r>
      <w:r w:rsidRPr="00EB3B77">
        <w:rPr>
          <w:noProof/>
        </w:rPr>
        <w:tab/>
      </w:r>
      <w:r>
        <w:rPr>
          <w:bCs/>
        </w:rPr>
        <w:t>Другие предложения</w:t>
      </w:r>
      <w:r w:rsidRPr="00EB3B77">
        <w:rPr>
          <w:noProof/>
          <w:webHidden/>
        </w:rPr>
        <w:tab/>
      </w:r>
      <w:r w:rsidRPr="00EB3B77">
        <w:rPr>
          <w:noProof/>
          <w:webHidden/>
        </w:rPr>
        <w:tab/>
      </w:r>
      <w:r w:rsidRPr="00EC687C">
        <w:rPr>
          <w:noProof/>
          <w:webHidden/>
        </w:rPr>
        <w:t>8</w:t>
      </w:r>
    </w:p>
    <w:p w14:paraId="1457D334"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1.</w:t>
      </w:r>
      <w:r w:rsidRPr="00EB3B77">
        <w:rPr>
          <w:noProof/>
        </w:rPr>
        <w:tab/>
      </w:r>
      <w:r>
        <w:rPr>
          <w:bCs/>
        </w:rPr>
        <w:t>Предложения по поправкам</w:t>
      </w:r>
      <w:r w:rsidRPr="00EB3B77">
        <w:rPr>
          <w:noProof/>
          <w:webHidden/>
        </w:rPr>
        <w:tab/>
      </w:r>
      <w:r w:rsidRPr="00EB3B77">
        <w:rPr>
          <w:noProof/>
          <w:webHidden/>
        </w:rPr>
        <w:tab/>
      </w:r>
      <w:r w:rsidRPr="00EC687C">
        <w:rPr>
          <w:noProof/>
          <w:webHidden/>
        </w:rPr>
        <w:t>8</w:t>
      </w:r>
    </w:p>
    <w:p w14:paraId="084E2B70" w14:textId="77777777" w:rsidR="00C67CFF" w:rsidRPr="00EB3B77"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EB3B77">
        <w:rPr>
          <w:noProof/>
        </w:rPr>
        <w:tab/>
      </w:r>
      <w:r w:rsidRPr="00EB3B77">
        <w:rPr>
          <w:noProof/>
        </w:rPr>
        <w:tab/>
      </w:r>
      <w:r w:rsidRPr="00EB3B77">
        <w:rPr>
          <w:noProof/>
        </w:rPr>
        <w:tab/>
        <w:t>2.</w:t>
      </w:r>
      <w:r w:rsidRPr="00EB3B77">
        <w:rPr>
          <w:noProof/>
        </w:rPr>
        <w:tab/>
      </w:r>
      <w:r>
        <w:rPr>
          <w:bCs/>
        </w:rPr>
        <w:t xml:space="preserve">Предложение о поправке к подразделу 7.2.4.41, касающееся ограничений </w:t>
      </w:r>
      <w:r>
        <w:rPr>
          <w:bCs/>
        </w:rPr>
        <w:br/>
        <w:t>на</w:t>
      </w:r>
      <w:r>
        <w:rPr>
          <w:bCs/>
          <w:lang w:val="en-US"/>
        </w:rPr>
        <w:t> </w:t>
      </w:r>
      <w:r>
        <w:rPr>
          <w:bCs/>
        </w:rPr>
        <w:t>электронные сигареты</w:t>
      </w:r>
      <w:r w:rsidRPr="00EB3B77">
        <w:rPr>
          <w:noProof/>
          <w:webHidden/>
        </w:rPr>
        <w:tab/>
      </w:r>
      <w:r w:rsidRPr="00EB3B77">
        <w:rPr>
          <w:noProof/>
          <w:webHidden/>
        </w:rPr>
        <w:tab/>
        <w:t>8</w:t>
      </w:r>
    </w:p>
    <w:p w14:paraId="39E52E58" w14:textId="77777777" w:rsidR="00C67CFF" w:rsidRPr="00EB3B77"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EB3B77">
        <w:rPr>
          <w:noProof/>
        </w:rPr>
        <w:tab/>
      </w:r>
      <w:r w:rsidRPr="00EB3B77">
        <w:rPr>
          <w:noProof/>
        </w:rPr>
        <w:tab/>
      </w:r>
      <w:r w:rsidRPr="00EB3B77">
        <w:rPr>
          <w:noProof/>
        </w:rPr>
        <w:tab/>
        <w:t>3.</w:t>
      </w:r>
      <w:r w:rsidRPr="00EB3B77">
        <w:rPr>
          <w:noProof/>
        </w:rPr>
        <w:tab/>
      </w:r>
      <w:r>
        <w:rPr>
          <w:bCs/>
        </w:rPr>
        <w:t xml:space="preserve">Различные поправки и исправления к изданию ВОПОГ 2021 года, </w:t>
      </w:r>
      <w:r>
        <w:rPr>
          <w:bCs/>
        </w:rPr>
        <w:br/>
        <w:t>требующие уведомления</w:t>
      </w:r>
      <w:r w:rsidRPr="00EB3B77">
        <w:rPr>
          <w:noProof/>
          <w:webHidden/>
        </w:rPr>
        <w:tab/>
      </w:r>
      <w:r w:rsidRPr="00EB3B77">
        <w:rPr>
          <w:noProof/>
          <w:webHidden/>
        </w:rPr>
        <w:tab/>
        <w:t>8</w:t>
      </w:r>
    </w:p>
    <w:p w14:paraId="282FCAD3" w14:textId="77777777" w:rsidR="00C67CFF" w:rsidRPr="00EB3B77"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4.</w:t>
      </w:r>
      <w:r w:rsidRPr="00EB3B77">
        <w:rPr>
          <w:noProof/>
        </w:rPr>
        <w:tab/>
      </w:r>
      <w:r>
        <w:rPr>
          <w:bCs/>
        </w:rPr>
        <w:t>Раздел 8.2.1 ВОПОГ — Предписания, касающиеся подготовки экспертов</w:t>
      </w:r>
      <w:r w:rsidRPr="00EB3B77">
        <w:rPr>
          <w:noProof/>
          <w:webHidden/>
        </w:rPr>
        <w:tab/>
      </w:r>
      <w:r w:rsidRPr="00EB3B77">
        <w:rPr>
          <w:noProof/>
          <w:webHidden/>
        </w:rPr>
        <w:tab/>
        <w:t>8</w:t>
      </w:r>
    </w:p>
    <w:p w14:paraId="4C84C6DC"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5" w:hanging="1985"/>
        <w:rPr>
          <w:noProof/>
        </w:rPr>
      </w:pPr>
      <w:r w:rsidRPr="00EB3B77">
        <w:rPr>
          <w:noProof/>
        </w:rPr>
        <w:tab/>
      </w:r>
      <w:r w:rsidRPr="00EB3B77">
        <w:rPr>
          <w:noProof/>
        </w:rPr>
        <w:tab/>
      </w:r>
      <w:r w:rsidRPr="00EB3B77">
        <w:rPr>
          <w:noProof/>
        </w:rPr>
        <w:tab/>
        <w:t>5.</w:t>
      </w:r>
      <w:r w:rsidRPr="00EB3B77">
        <w:rPr>
          <w:noProof/>
        </w:rPr>
        <w:tab/>
      </w:r>
      <w:r>
        <w:rPr>
          <w:bCs/>
        </w:rPr>
        <w:t xml:space="preserve">Перевозка </w:t>
      </w:r>
      <w:proofErr w:type="spellStart"/>
      <w:r>
        <w:rPr>
          <w:bCs/>
        </w:rPr>
        <w:t>фумигированных</w:t>
      </w:r>
      <w:proofErr w:type="spellEnd"/>
      <w:r>
        <w:rPr>
          <w:bCs/>
        </w:rPr>
        <w:t xml:space="preserve"> навалочных/насыпных грузов в грузовых трюмах </w:t>
      </w:r>
      <w:r>
        <w:rPr>
          <w:bCs/>
        </w:rPr>
        <w:br/>
        <w:t xml:space="preserve">и </w:t>
      </w:r>
      <w:proofErr w:type="spellStart"/>
      <w:r>
        <w:rPr>
          <w:bCs/>
        </w:rPr>
        <w:t>фумигированных</w:t>
      </w:r>
      <w:proofErr w:type="spellEnd"/>
      <w:r>
        <w:rPr>
          <w:bCs/>
        </w:rPr>
        <w:t xml:space="preserve"> грузовых трюмах сухогрузных судов</w:t>
      </w:r>
      <w:r w:rsidRPr="00EB3B77">
        <w:rPr>
          <w:noProof/>
          <w:webHidden/>
        </w:rPr>
        <w:tab/>
      </w:r>
      <w:r w:rsidRPr="00EB3B77">
        <w:rPr>
          <w:noProof/>
          <w:webHidden/>
        </w:rPr>
        <w:tab/>
      </w:r>
      <w:r w:rsidRPr="00EC687C">
        <w:rPr>
          <w:noProof/>
          <w:webHidden/>
        </w:rPr>
        <w:t>9</w:t>
      </w:r>
    </w:p>
    <w:p w14:paraId="1CCDC755"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5" w:hanging="1985"/>
        <w:rPr>
          <w:noProof/>
        </w:rPr>
      </w:pPr>
      <w:r w:rsidRPr="00EB3B77">
        <w:rPr>
          <w:noProof/>
        </w:rPr>
        <w:tab/>
      </w:r>
      <w:r w:rsidRPr="00EB3B77">
        <w:rPr>
          <w:noProof/>
        </w:rPr>
        <w:tab/>
      </w:r>
      <w:r w:rsidRPr="00EB3B77">
        <w:rPr>
          <w:noProof/>
        </w:rPr>
        <w:tab/>
        <w:t>6.</w:t>
      </w:r>
      <w:r w:rsidRPr="00EB3B77">
        <w:rPr>
          <w:noProof/>
        </w:rPr>
        <w:tab/>
      </w:r>
      <w:r>
        <w:rPr>
          <w:bCs/>
        </w:rPr>
        <w:t xml:space="preserve">Части 4 и 6 ВОПОГ — отступления в связи с многосторонними соглашениями </w:t>
      </w:r>
      <w:r>
        <w:rPr>
          <w:bCs/>
        </w:rPr>
        <w:br/>
        <w:t>в</w:t>
      </w:r>
      <w:r>
        <w:rPr>
          <w:bCs/>
          <w:lang w:val="en-US"/>
        </w:rPr>
        <w:t> </w:t>
      </w:r>
      <w:r>
        <w:rPr>
          <w:bCs/>
        </w:rPr>
        <w:t>соответствии с ДОПОГ/МПОГ</w:t>
      </w:r>
      <w:r w:rsidRPr="00EB3B77">
        <w:rPr>
          <w:noProof/>
          <w:webHidden/>
        </w:rPr>
        <w:tab/>
      </w:r>
      <w:r w:rsidRPr="00EB3B77">
        <w:rPr>
          <w:noProof/>
          <w:webHidden/>
        </w:rPr>
        <w:tab/>
      </w:r>
      <w:r w:rsidRPr="00EC687C">
        <w:rPr>
          <w:noProof/>
          <w:webHidden/>
        </w:rPr>
        <w:t>9</w:t>
      </w:r>
    </w:p>
    <w:p w14:paraId="1D64C074" w14:textId="77777777" w:rsidR="00C67CFF" w:rsidRPr="00EB3B77"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7.</w:t>
      </w:r>
      <w:r w:rsidRPr="00EB3B77">
        <w:rPr>
          <w:noProof/>
        </w:rPr>
        <w:tab/>
      </w:r>
      <w:r>
        <w:rPr>
          <w:bCs/>
        </w:rPr>
        <w:t>Предложение по исправлению текста подраздела 9.3.3.60</w:t>
      </w:r>
      <w:r w:rsidRPr="00EB3B77">
        <w:rPr>
          <w:noProof/>
          <w:webHidden/>
        </w:rPr>
        <w:tab/>
      </w:r>
      <w:r w:rsidRPr="00EB3B77">
        <w:rPr>
          <w:noProof/>
          <w:webHidden/>
        </w:rPr>
        <w:tab/>
        <w:t>9</w:t>
      </w:r>
    </w:p>
    <w:p w14:paraId="3D37DAF0"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8.</w:t>
      </w:r>
      <w:r w:rsidRPr="00EB3B77">
        <w:rPr>
          <w:noProof/>
        </w:rPr>
        <w:tab/>
      </w:r>
      <w:r>
        <w:rPr>
          <w:bCs/>
        </w:rPr>
        <w:t>Положения, касающиеся коффердамов</w:t>
      </w:r>
      <w:r w:rsidRPr="00EB3B77">
        <w:rPr>
          <w:noProof/>
          <w:webHidden/>
        </w:rPr>
        <w:tab/>
      </w:r>
      <w:r w:rsidRPr="00EB3B77">
        <w:rPr>
          <w:noProof/>
          <w:webHidden/>
        </w:rPr>
        <w:tab/>
      </w:r>
      <w:r w:rsidRPr="00EC687C">
        <w:rPr>
          <w:noProof/>
          <w:webHidden/>
        </w:rPr>
        <w:t>10</w:t>
      </w:r>
    </w:p>
    <w:p w14:paraId="22D6F6E4"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t>9.</w:t>
      </w:r>
      <w:r w:rsidRPr="00EB3B77">
        <w:rPr>
          <w:noProof/>
        </w:rPr>
        <w:tab/>
      </w:r>
      <w:r>
        <w:rPr>
          <w:bCs/>
        </w:rPr>
        <w:t>Инструкции по загрузке и разгрузке</w:t>
      </w:r>
      <w:r w:rsidRPr="00EB3B77">
        <w:rPr>
          <w:noProof/>
          <w:webHidden/>
        </w:rPr>
        <w:tab/>
      </w:r>
      <w:r w:rsidRPr="00EB3B77">
        <w:rPr>
          <w:noProof/>
          <w:webHidden/>
        </w:rPr>
        <w:tab/>
      </w:r>
      <w:r w:rsidRPr="00EC687C">
        <w:rPr>
          <w:noProof/>
          <w:webHidden/>
        </w:rPr>
        <w:t>10</w:t>
      </w:r>
    </w:p>
    <w:p w14:paraId="2BCA4A2B" w14:textId="77777777" w:rsidR="00C67CFF" w:rsidRPr="00057FA0" w:rsidRDefault="00C67CFF" w:rsidP="00C67CFF">
      <w:pPr>
        <w:tabs>
          <w:tab w:val="right" w:pos="850"/>
          <w:tab w:val="left" w:pos="1134"/>
          <w:tab w:val="left" w:pos="1559"/>
          <w:tab w:val="left" w:pos="1984"/>
          <w:tab w:val="left" w:leader="dot" w:pos="8929"/>
          <w:tab w:val="right" w:pos="9638"/>
        </w:tabs>
        <w:spacing w:after="120"/>
        <w:rPr>
          <w:noProof/>
        </w:rPr>
      </w:pPr>
      <w:r w:rsidRPr="00EB3B77">
        <w:rPr>
          <w:noProof/>
        </w:rPr>
        <w:tab/>
      </w:r>
      <w:r w:rsidRPr="00EB3B77">
        <w:rPr>
          <w:noProof/>
        </w:rPr>
        <w:tab/>
      </w:r>
      <w:r w:rsidRPr="00EB3B77">
        <w:rPr>
          <w:noProof/>
        </w:rPr>
        <w:tab/>
      </w:r>
      <w:r w:rsidRPr="00057FA0">
        <w:rPr>
          <w:noProof/>
        </w:rPr>
        <w:t>10.</w:t>
      </w:r>
      <w:r w:rsidRPr="00057FA0">
        <w:rPr>
          <w:noProof/>
        </w:rPr>
        <w:tab/>
      </w:r>
      <w:r>
        <w:rPr>
          <w:bCs/>
        </w:rPr>
        <w:t>Схема B в подразделе 3.2.3.3</w:t>
      </w:r>
      <w:r w:rsidRPr="00057FA0">
        <w:rPr>
          <w:noProof/>
          <w:webHidden/>
        </w:rPr>
        <w:tab/>
      </w:r>
      <w:r w:rsidRPr="00057FA0">
        <w:rPr>
          <w:noProof/>
          <w:webHidden/>
        </w:rPr>
        <w:tab/>
        <w:t>10</w:t>
      </w:r>
    </w:p>
    <w:p w14:paraId="0A8C1616" w14:textId="77777777" w:rsidR="00C67CFF" w:rsidRPr="00057FA0"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057FA0">
        <w:rPr>
          <w:noProof/>
        </w:rPr>
        <w:tab/>
      </w:r>
      <w:r w:rsidRPr="00057FA0">
        <w:rPr>
          <w:noProof/>
        </w:rPr>
        <w:tab/>
        <w:t>11.</w:t>
      </w:r>
      <w:r w:rsidRPr="00057FA0">
        <w:rPr>
          <w:noProof/>
        </w:rPr>
        <w:tab/>
      </w:r>
      <w:r>
        <w:rPr>
          <w:bCs/>
        </w:rPr>
        <w:t>Конструкционные материалы</w:t>
      </w:r>
      <w:r w:rsidRPr="00057FA0">
        <w:rPr>
          <w:noProof/>
          <w:webHidden/>
        </w:rPr>
        <w:tab/>
      </w:r>
      <w:r w:rsidRPr="00057FA0">
        <w:rPr>
          <w:noProof/>
          <w:webHidden/>
        </w:rPr>
        <w:tab/>
        <w:t>10</w:t>
      </w:r>
    </w:p>
    <w:p w14:paraId="3B3801E4"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057FA0">
        <w:rPr>
          <w:noProof/>
        </w:rPr>
        <w:lastRenderedPageBreak/>
        <w:tab/>
      </w:r>
      <w:r w:rsidRPr="00057FA0">
        <w:rPr>
          <w:noProof/>
        </w:rPr>
        <w:tab/>
      </w:r>
      <w:r w:rsidRPr="00057FA0">
        <w:rPr>
          <w:noProof/>
        </w:rPr>
        <w:tab/>
        <w:t>12.</w:t>
      </w:r>
      <w:r w:rsidRPr="00057FA0">
        <w:rPr>
          <w:noProof/>
        </w:rPr>
        <w:tab/>
      </w:r>
      <w:r>
        <w:rPr>
          <w:bCs/>
        </w:rPr>
        <w:t xml:space="preserve">Согласование терминологии, используемой в пунктах 8.1.2.2 f) и 8.1.2.3 s) </w:t>
      </w:r>
      <w:r>
        <w:rPr>
          <w:bCs/>
        </w:rPr>
        <w:br/>
        <w:t>ВОПОГ 2021 года</w:t>
      </w:r>
      <w:r w:rsidRPr="00057FA0">
        <w:rPr>
          <w:noProof/>
          <w:webHidden/>
        </w:rPr>
        <w:tab/>
      </w:r>
      <w:r w:rsidRPr="00057FA0">
        <w:rPr>
          <w:noProof/>
          <w:webHidden/>
        </w:rPr>
        <w:tab/>
        <w:t>1</w:t>
      </w:r>
      <w:r w:rsidRPr="00EC687C">
        <w:rPr>
          <w:noProof/>
          <w:webHidden/>
        </w:rPr>
        <w:t>1</w:t>
      </w:r>
    </w:p>
    <w:p w14:paraId="6EAD4EA2" w14:textId="079F9EF0" w:rsidR="00C67CFF" w:rsidRPr="00EC687C" w:rsidRDefault="00C67CFF" w:rsidP="000176B0">
      <w:pPr>
        <w:tabs>
          <w:tab w:val="right" w:pos="850"/>
          <w:tab w:val="left" w:pos="1134"/>
          <w:tab w:val="left" w:pos="1559"/>
          <w:tab w:val="left" w:pos="1984"/>
          <w:tab w:val="left" w:leader="dot" w:pos="8929"/>
          <w:tab w:val="right" w:pos="9638"/>
        </w:tabs>
        <w:spacing w:after="120"/>
        <w:ind w:left="1984" w:hanging="1984"/>
        <w:rPr>
          <w:noProof/>
        </w:rPr>
      </w:pPr>
      <w:r w:rsidRPr="00057FA0">
        <w:rPr>
          <w:noProof/>
        </w:rPr>
        <w:tab/>
      </w:r>
      <w:r w:rsidRPr="00057FA0">
        <w:rPr>
          <w:noProof/>
        </w:rPr>
        <w:tab/>
      </w:r>
      <w:r w:rsidRPr="00057FA0">
        <w:rPr>
          <w:noProof/>
        </w:rPr>
        <w:tab/>
        <w:t>13.</w:t>
      </w:r>
      <w:r w:rsidRPr="00057FA0">
        <w:rPr>
          <w:noProof/>
        </w:rPr>
        <w:tab/>
      </w:r>
      <w:r>
        <w:rPr>
          <w:bCs/>
        </w:rPr>
        <w:t xml:space="preserve">Согласование терминологии, используемой в пункте 1.9.3 c) </w:t>
      </w:r>
      <w:r w:rsidR="000176B0">
        <w:rPr>
          <w:bCs/>
        </w:rPr>
        <w:br/>
      </w:r>
      <w:r>
        <w:rPr>
          <w:bCs/>
        </w:rPr>
        <w:t>ВОПОГ 2021 года</w:t>
      </w:r>
      <w:r w:rsidRPr="00057FA0">
        <w:rPr>
          <w:noProof/>
          <w:webHidden/>
        </w:rPr>
        <w:tab/>
      </w:r>
      <w:r w:rsidRPr="00057FA0">
        <w:rPr>
          <w:noProof/>
          <w:webHidden/>
        </w:rPr>
        <w:tab/>
        <w:t>1</w:t>
      </w:r>
      <w:r w:rsidRPr="00EC687C">
        <w:rPr>
          <w:noProof/>
          <w:webHidden/>
        </w:rPr>
        <w:t>1</w:t>
      </w:r>
    </w:p>
    <w:p w14:paraId="09AE8FA5"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057FA0">
        <w:rPr>
          <w:noProof/>
        </w:rPr>
        <w:tab/>
      </w:r>
      <w:r w:rsidRPr="00057FA0">
        <w:rPr>
          <w:noProof/>
        </w:rPr>
        <w:tab/>
      </w:r>
      <w:r w:rsidRPr="00057FA0">
        <w:rPr>
          <w:noProof/>
        </w:rPr>
        <w:tab/>
        <w:t>14.</w:t>
      </w:r>
      <w:r w:rsidRPr="00057FA0">
        <w:rPr>
          <w:noProof/>
        </w:rPr>
        <w:tab/>
      </w:r>
      <w:r>
        <w:rPr>
          <w:bCs/>
        </w:rPr>
        <w:t xml:space="preserve">Использование согласованной терминологии в положениях по расчету </w:t>
      </w:r>
      <w:r>
        <w:rPr>
          <w:bCs/>
        </w:rPr>
        <w:br/>
        <w:t>аварийной остойчивости в пунктах 9.</w:t>
      </w:r>
      <w:proofErr w:type="gramStart"/>
      <w:r>
        <w:rPr>
          <w:bCs/>
        </w:rPr>
        <w:t>3.x.</w:t>
      </w:r>
      <w:proofErr w:type="gramEnd"/>
      <w:r>
        <w:rPr>
          <w:bCs/>
        </w:rPr>
        <w:t>15.2</w:t>
      </w:r>
      <w:r w:rsidRPr="00057FA0">
        <w:rPr>
          <w:noProof/>
          <w:webHidden/>
        </w:rPr>
        <w:tab/>
      </w:r>
      <w:r w:rsidRPr="00057FA0">
        <w:rPr>
          <w:noProof/>
          <w:webHidden/>
        </w:rPr>
        <w:tab/>
        <w:t>1</w:t>
      </w:r>
      <w:r w:rsidRPr="00EC687C">
        <w:rPr>
          <w:noProof/>
          <w:webHidden/>
        </w:rPr>
        <w:t>1</w:t>
      </w:r>
    </w:p>
    <w:p w14:paraId="08C96AE9"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4" w:hanging="1984"/>
        <w:rPr>
          <w:noProof/>
        </w:rPr>
      </w:pPr>
      <w:r w:rsidRPr="00057FA0">
        <w:rPr>
          <w:noProof/>
        </w:rPr>
        <w:tab/>
      </w:r>
      <w:r w:rsidRPr="00057FA0">
        <w:rPr>
          <w:noProof/>
        </w:rPr>
        <w:tab/>
      </w:r>
      <w:r w:rsidRPr="00057FA0">
        <w:rPr>
          <w:noProof/>
        </w:rPr>
        <w:tab/>
        <w:t>15.</w:t>
      </w:r>
      <w:r w:rsidRPr="00057FA0">
        <w:rPr>
          <w:noProof/>
        </w:rPr>
        <w:tab/>
      </w:r>
      <w:r>
        <w:rPr>
          <w:bCs/>
        </w:rPr>
        <w:t xml:space="preserve">Использование согласованной терминологии в положениях по расчету </w:t>
      </w:r>
      <w:r>
        <w:rPr>
          <w:bCs/>
        </w:rPr>
        <w:br/>
        <w:t>остойчивости неповрежденного судна в пунктах 9.3.x.14.2 a) и b)</w:t>
      </w:r>
      <w:r w:rsidRPr="00057FA0">
        <w:rPr>
          <w:noProof/>
          <w:webHidden/>
        </w:rPr>
        <w:tab/>
      </w:r>
      <w:r w:rsidRPr="00057FA0">
        <w:rPr>
          <w:noProof/>
          <w:webHidden/>
        </w:rPr>
        <w:tab/>
        <w:t>1</w:t>
      </w:r>
      <w:r w:rsidRPr="00EC687C">
        <w:rPr>
          <w:noProof/>
          <w:webHidden/>
        </w:rPr>
        <w:t>1</w:t>
      </w:r>
    </w:p>
    <w:p w14:paraId="32172870"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057FA0">
        <w:rPr>
          <w:noProof/>
        </w:rPr>
        <w:tab/>
      </w:r>
      <w:r w:rsidRPr="00057FA0">
        <w:rPr>
          <w:noProof/>
        </w:rPr>
        <w:tab/>
        <w:t>16.</w:t>
      </w:r>
      <w:r w:rsidRPr="00057FA0">
        <w:rPr>
          <w:noProof/>
        </w:rPr>
        <w:tab/>
      </w:r>
      <w:r>
        <w:rPr>
          <w:bCs/>
        </w:rPr>
        <w:t>Таблица C — № ООН 1202, вторая позиция «ГАЗОЙЛЬ»</w:t>
      </w:r>
      <w:r w:rsidRPr="00057FA0">
        <w:rPr>
          <w:noProof/>
          <w:webHidden/>
        </w:rPr>
        <w:tab/>
      </w:r>
      <w:r w:rsidRPr="00057FA0">
        <w:rPr>
          <w:noProof/>
          <w:webHidden/>
        </w:rPr>
        <w:tab/>
        <w:t>1</w:t>
      </w:r>
      <w:r w:rsidRPr="00EC687C">
        <w:rPr>
          <w:noProof/>
          <w:webHidden/>
        </w:rPr>
        <w:t>1</w:t>
      </w:r>
    </w:p>
    <w:p w14:paraId="3D772894"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057FA0">
        <w:rPr>
          <w:noProof/>
        </w:rPr>
        <w:tab/>
      </w:r>
      <w:r w:rsidRPr="00057FA0">
        <w:rPr>
          <w:noProof/>
        </w:rPr>
        <w:tab/>
        <w:t>17.</w:t>
      </w:r>
      <w:r w:rsidRPr="00057FA0">
        <w:rPr>
          <w:noProof/>
        </w:rPr>
        <w:tab/>
      </w:r>
      <w:r>
        <w:rPr>
          <w:bCs/>
        </w:rPr>
        <w:t>Предложение по исправлению двух позиций для № ООН 3295 в таблице C</w:t>
      </w:r>
      <w:r w:rsidRPr="00057FA0">
        <w:rPr>
          <w:noProof/>
          <w:webHidden/>
        </w:rPr>
        <w:tab/>
      </w:r>
      <w:r w:rsidRPr="00057FA0">
        <w:rPr>
          <w:noProof/>
          <w:webHidden/>
        </w:rPr>
        <w:tab/>
        <w:t>1</w:t>
      </w:r>
      <w:r w:rsidRPr="00EC687C">
        <w:rPr>
          <w:noProof/>
          <w:webHidden/>
        </w:rPr>
        <w:t>1</w:t>
      </w:r>
    </w:p>
    <w:p w14:paraId="1F5C9214"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057FA0">
        <w:rPr>
          <w:noProof/>
        </w:rPr>
        <w:tab/>
      </w:r>
      <w:r w:rsidRPr="00057FA0">
        <w:rPr>
          <w:noProof/>
        </w:rPr>
        <w:tab/>
        <w:t>18.</w:t>
      </w:r>
      <w:r w:rsidRPr="00057FA0">
        <w:rPr>
          <w:noProof/>
        </w:rPr>
        <w:tab/>
      </w:r>
      <w:r>
        <w:rPr>
          <w:bCs/>
        </w:rPr>
        <w:t>Просьба об объединении двух позиций для № ООН 1202 в одну позицию</w:t>
      </w:r>
      <w:r w:rsidRPr="00057FA0">
        <w:rPr>
          <w:noProof/>
          <w:webHidden/>
        </w:rPr>
        <w:tab/>
      </w:r>
      <w:r w:rsidRPr="00057FA0">
        <w:rPr>
          <w:noProof/>
          <w:webHidden/>
        </w:rPr>
        <w:tab/>
      </w:r>
      <w:r w:rsidRPr="00EC687C">
        <w:rPr>
          <w:noProof/>
          <w:webHidden/>
        </w:rPr>
        <w:t>11</w:t>
      </w:r>
    </w:p>
    <w:p w14:paraId="3D5CDAB7" w14:textId="15DA5915" w:rsidR="00C67CFF" w:rsidRPr="00EC687C" w:rsidRDefault="00C67CFF" w:rsidP="005A4B54">
      <w:pPr>
        <w:tabs>
          <w:tab w:val="right" w:pos="850"/>
          <w:tab w:val="left" w:pos="1134"/>
          <w:tab w:val="left" w:pos="1559"/>
          <w:tab w:val="left" w:pos="1984"/>
          <w:tab w:val="left" w:leader="dot" w:pos="8929"/>
          <w:tab w:val="right" w:pos="9638"/>
        </w:tabs>
        <w:spacing w:after="120"/>
        <w:ind w:left="1984" w:hanging="1984"/>
        <w:rPr>
          <w:noProof/>
        </w:rPr>
      </w:pPr>
      <w:r w:rsidRPr="00EC687C">
        <w:rPr>
          <w:noProof/>
        </w:rPr>
        <w:tab/>
      </w:r>
      <w:r w:rsidRPr="00EC687C">
        <w:rPr>
          <w:noProof/>
        </w:rPr>
        <w:tab/>
      </w:r>
      <w:r w:rsidRPr="00EC687C">
        <w:rPr>
          <w:noProof/>
        </w:rPr>
        <w:tab/>
      </w:r>
      <w:r w:rsidRPr="00057FA0">
        <w:rPr>
          <w:noProof/>
        </w:rPr>
        <w:t>19.</w:t>
      </w:r>
      <w:r w:rsidRPr="00057FA0">
        <w:rPr>
          <w:noProof/>
        </w:rPr>
        <w:tab/>
      </w:r>
      <w:r>
        <w:rPr>
          <w:bCs/>
        </w:rPr>
        <w:t xml:space="preserve">№ ООН 1972 — Просьба об устранении несоответствия в таблице С, </w:t>
      </w:r>
      <w:r w:rsidR="005A4B54">
        <w:rPr>
          <w:bCs/>
        </w:rPr>
        <w:br/>
      </w:r>
      <w:r>
        <w:rPr>
          <w:bCs/>
        </w:rPr>
        <w:t>колонка 2</w:t>
      </w:r>
      <w:r w:rsidRPr="00057FA0">
        <w:rPr>
          <w:noProof/>
          <w:webHidden/>
        </w:rPr>
        <w:tab/>
      </w:r>
      <w:r w:rsidRPr="00057FA0">
        <w:rPr>
          <w:noProof/>
          <w:webHidden/>
        </w:rPr>
        <w:tab/>
        <w:t>1</w:t>
      </w:r>
      <w:r w:rsidRPr="00EC687C">
        <w:rPr>
          <w:noProof/>
          <w:webHidden/>
        </w:rPr>
        <w:t>2</w:t>
      </w:r>
    </w:p>
    <w:p w14:paraId="2E3F62F7"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985" w:hanging="1985"/>
        <w:rPr>
          <w:noProof/>
        </w:rPr>
      </w:pPr>
      <w:r w:rsidRPr="00057FA0">
        <w:rPr>
          <w:noProof/>
        </w:rPr>
        <w:tab/>
      </w:r>
      <w:r w:rsidRPr="00057FA0">
        <w:rPr>
          <w:noProof/>
        </w:rPr>
        <w:tab/>
      </w:r>
      <w:r w:rsidRPr="00057FA0">
        <w:rPr>
          <w:noProof/>
        </w:rPr>
        <w:tab/>
        <w:t>20.</w:t>
      </w:r>
      <w:r w:rsidRPr="00057FA0">
        <w:rPr>
          <w:noProof/>
        </w:rPr>
        <w:tab/>
      </w:r>
      <w:r>
        <w:rPr>
          <w:bCs/>
        </w:rPr>
        <w:t xml:space="preserve">Незначительное противоречие между положениями пунктов 7.2.3.41.2 </w:t>
      </w:r>
      <w:r>
        <w:rPr>
          <w:bCs/>
        </w:rPr>
        <w:br/>
        <w:t>и</w:t>
      </w:r>
      <w:r>
        <w:rPr>
          <w:bCs/>
          <w:lang w:val="en-US"/>
        </w:rPr>
        <w:t> </w:t>
      </w:r>
      <w:r>
        <w:rPr>
          <w:bCs/>
        </w:rPr>
        <w:t xml:space="preserve">9.3.x.41.2 ВОПОГ, касающимися помещений, в которых разрешается </w:t>
      </w:r>
      <w:r>
        <w:rPr>
          <w:bCs/>
        </w:rPr>
        <w:br/>
        <w:t>устанавливать приборы для приготовления пищи и охлаждения</w:t>
      </w:r>
      <w:r w:rsidRPr="00057FA0">
        <w:rPr>
          <w:noProof/>
          <w:webHidden/>
        </w:rPr>
        <w:tab/>
      </w:r>
      <w:r w:rsidRPr="00057FA0">
        <w:rPr>
          <w:noProof/>
          <w:webHidden/>
        </w:rPr>
        <w:tab/>
        <w:t>1</w:t>
      </w:r>
      <w:r w:rsidRPr="00EC687C">
        <w:rPr>
          <w:noProof/>
          <w:webHidden/>
        </w:rPr>
        <w:t>2</w:t>
      </w:r>
    </w:p>
    <w:p w14:paraId="50C47851"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057FA0">
        <w:rPr>
          <w:noProof/>
        </w:rPr>
        <w:tab/>
      </w:r>
      <w:r w:rsidRPr="00057FA0">
        <w:rPr>
          <w:noProof/>
        </w:rPr>
        <w:tab/>
        <w:t>21.</w:t>
      </w:r>
      <w:r w:rsidRPr="00057FA0">
        <w:rPr>
          <w:noProof/>
        </w:rPr>
        <w:tab/>
      </w:r>
      <w:r>
        <w:rPr>
          <w:bCs/>
        </w:rPr>
        <w:t>Свидетельство о допущении для сухогрузных судов</w:t>
      </w:r>
      <w:r w:rsidRPr="00057FA0">
        <w:rPr>
          <w:noProof/>
          <w:webHidden/>
        </w:rPr>
        <w:tab/>
      </w:r>
      <w:r w:rsidRPr="00057FA0">
        <w:rPr>
          <w:noProof/>
          <w:webHidden/>
        </w:rPr>
        <w:tab/>
        <w:t>1</w:t>
      </w:r>
      <w:r w:rsidRPr="00EC687C">
        <w:rPr>
          <w:noProof/>
          <w:webHidden/>
        </w:rPr>
        <w:t>2</w:t>
      </w:r>
    </w:p>
    <w:p w14:paraId="1C48AC6C"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057FA0">
        <w:rPr>
          <w:noProof/>
        </w:rPr>
        <w:tab/>
      </w:r>
      <w:r w:rsidRPr="00B0401D">
        <w:rPr>
          <w:noProof/>
          <w:lang w:val="en-US"/>
        </w:rPr>
        <w:t>VII</w:t>
      </w:r>
      <w:r w:rsidRPr="00057FA0">
        <w:rPr>
          <w:noProof/>
        </w:rPr>
        <w:t>.</w:t>
      </w:r>
      <w:r w:rsidRPr="00057FA0">
        <w:rPr>
          <w:noProof/>
        </w:rPr>
        <w:tab/>
      </w:r>
      <w:r>
        <w:rPr>
          <w:bCs/>
        </w:rPr>
        <w:t>Доклады неофициальных рабочих групп (пункт 5 повестки дня)</w:t>
      </w:r>
      <w:r w:rsidRPr="00057FA0">
        <w:rPr>
          <w:noProof/>
          <w:webHidden/>
        </w:rPr>
        <w:tab/>
      </w:r>
      <w:r w:rsidRPr="00057FA0">
        <w:rPr>
          <w:noProof/>
          <w:webHidden/>
        </w:rPr>
        <w:tab/>
        <w:t>1</w:t>
      </w:r>
      <w:r w:rsidRPr="00EC687C">
        <w:rPr>
          <w:noProof/>
          <w:webHidden/>
        </w:rPr>
        <w:t>2</w:t>
      </w:r>
    </w:p>
    <w:p w14:paraId="2B0B5B6A" w14:textId="77777777" w:rsidR="00C67CFF" w:rsidRPr="00EC687C" w:rsidRDefault="00C67CFF" w:rsidP="00C67CFF">
      <w:pPr>
        <w:tabs>
          <w:tab w:val="right" w:pos="850"/>
          <w:tab w:val="left" w:pos="1134"/>
          <w:tab w:val="left" w:pos="1559"/>
          <w:tab w:val="left" w:pos="1701"/>
          <w:tab w:val="left" w:pos="1984"/>
          <w:tab w:val="left" w:leader="dot" w:pos="8929"/>
          <w:tab w:val="right" w:pos="9638"/>
        </w:tabs>
        <w:spacing w:after="120"/>
        <w:ind w:left="1560" w:hanging="1560"/>
        <w:rPr>
          <w:noProof/>
        </w:rPr>
      </w:pPr>
      <w:r w:rsidRPr="00057FA0">
        <w:rPr>
          <w:noProof/>
        </w:rPr>
        <w:tab/>
      </w:r>
      <w:r w:rsidRPr="00057FA0">
        <w:rPr>
          <w:noProof/>
        </w:rPr>
        <w:tab/>
      </w:r>
      <w:r w:rsidRPr="00B0401D">
        <w:rPr>
          <w:noProof/>
          <w:lang w:val="en-US"/>
        </w:rPr>
        <w:t>A</w:t>
      </w:r>
      <w:r w:rsidRPr="00057FA0">
        <w:rPr>
          <w:noProof/>
        </w:rPr>
        <w:t>.</w:t>
      </w:r>
      <w:r w:rsidRPr="00057FA0">
        <w:rPr>
          <w:noProof/>
        </w:rPr>
        <w:tab/>
      </w:r>
      <w:r>
        <w:rPr>
          <w:bCs/>
        </w:rPr>
        <w:t>Доклад о работе двадцать первого совещания группы Рекомендованных</w:t>
      </w:r>
      <w:r>
        <w:rPr>
          <w:bCs/>
        </w:rPr>
        <w:br/>
        <w:t>классификационных обществ ВОПОГ</w:t>
      </w:r>
      <w:r w:rsidRPr="00057FA0">
        <w:rPr>
          <w:noProof/>
          <w:webHidden/>
        </w:rPr>
        <w:tab/>
      </w:r>
      <w:r w:rsidRPr="00057FA0">
        <w:rPr>
          <w:noProof/>
          <w:webHidden/>
        </w:rPr>
        <w:tab/>
        <w:t>1</w:t>
      </w:r>
      <w:r w:rsidRPr="00EC687C">
        <w:rPr>
          <w:noProof/>
          <w:webHidden/>
        </w:rPr>
        <w:t>2</w:t>
      </w:r>
    </w:p>
    <w:p w14:paraId="6DBEC37A"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559" w:hanging="1559"/>
        <w:rPr>
          <w:noProof/>
        </w:rPr>
      </w:pPr>
      <w:r w:rsidRPr="00057FA0">
        <w:rPr>
          <w:noProof/>
        </w:rPr>
        <w:tab/>
      </w:r>
      <w:r w:rsidRPr="00057FA0">
        <w:rPr>
          <w:noProof/>
        </w:rPr>
        <w:tab/>
      </w:r>
      <w:r w:rsidRPr="00B0401D">
        <w:rPr>
          <w:noProof/>
          <w:lang w:val="en-US"/>
        </w:rPr>
        <w:t>B</w:t>
      </w:r>
      <w:r w:rsidRPr="003D1EF3">
        <w:rPr>
          <w:noProof/>
        </w:rPr>
        <w:t>.</w:t>
      </w:r>
      <w:r w:rsidRPr="003D1EF3">
        <w:rPr>
          <w:noProof/>
        </w:rPr>
        <w:tab/>
      </w:r>
      <w:r>
        <w:rPr>
          <w:bCs/>
        </w:rPr>
        <w:t xml:space="preserve">Доклад о работе третьего совещания неофициальной рабочей группы по вопросу </w:t>
      </w:r>
      <w:r>
        <w:rPr>
          <w:bCs/>
        </w:rPr>
        <w:br/>
        <w:t>о «погрузке поверх на баржах»</w:t>
      </w:r>
      <w:r w:rsidRPr="003D1EF3">
        <w:rPr>
          <w:noProof/>
          <w:webHidden/>
        </w:rPr>
        <w:tab/>
      </w:r>
      <w:r w:rsidRPr="003D1EF3">
        <w:rPr>
          <w:noProof/>
          <w:webHidden/>
        </w:rPr>
        <w:tab/>
        <w:t>1</w:t>
      </w:r>
      <w:r w:rsidRPr="00EC687C">
        <w:rPr>
          <w:noProof/>
          <w:webHidden/>
        </w:rPr>
        <w:t>3</w:t>
      </w:r>
    </w:p>
    <w:p w14:paraId="4A5E1495"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3D1EF3">
        <w:rPr>
          <w:noProof/>
        </w:rPr>
        <w:tab/>
      </w:r>
      <w:r w:rsidRPr="00B0401D">
        <w:rPr>
          <w:noProof/>
          <w:lang w:val="en-US"/>
        </w:rPr>
        <w:t>VIII</w:t>
      </w:r>
      <w:r w:rsidRPr="00C67CFF">
        <w:rPr>
          <w:noProof/>
        </w:rPr>
        <w:t>.</w:t>
      </w:r>
      <w:r w:rsidRPr="00C67CFF">
        <w:rPr>
          <w:noProof/>
        </w:rPr>
        <w:tab/>
      </w:r>
      <w:r>
        <w:rPr>
          <w:bCs/>
        </w:rPr>
        <w:t>Программа работы и расписание совещаний (пункт 6 повестки дня)</w:t>
      </w:r>
      <w:r w:rsidRPr="00C670D3">
        <w:rPr>
          <w:noProof/>
          <w:webHidden/>
        </w:rPr>
        <w:tab/>
      </w:r>
      <w:r w:rsidRPr="00C670D3">
        <w:rPr>
          <w:noProof/>
          <w:webHidden/>
        </w:rPr>
        <w:tab/>
        <w:t>1</w:t>
      </w:r>
      <w:r w:rsidRPr="00EC687C">
        <w:rPr>
          <w:noProof/>
          <w:webHidden/>
        </w:rPr>
        <w:t>4</w:t>
      </w:r>
    </w:p>
    <w:p w14:paraId="16487C50"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C670D3">
        <w:rPr>
          <w:noProof/>
        </w:rPr>
        <w:tab/>
      </w:r>
      <w:r w:rsidRPr="00B0401D">
        <w:rPr>
          <w:noProof/>
          <w:lang w:val="en-US"/>
        </w:rPr>
        <w:t>IX</w:t>
      </w:r>
      <w:r w:rsidRPr="00C670D3">
        <w:rPr>
          <w:noProof/>
        </w:rPr>
        <w:t>.</w:t>
      </w:r>
      <w:r w:rsidRPr="00C670D3">
        <w:rPr>
          <w:noProof/>
        </w:rPr>
        <w:tab/>
      </w:r>
      <w:r>
        <w:rPr>
          <w:bCs/>
        </w:rPr>
        <w:t>Прочие вопросы (пункт 7 повестки дня)</w:t>
      </w:r>
      <w:r w:rsidRPr="00C670D3">
        <w:rPr>
          <w:noProof/>
          <w:webHidden/>
        </w:rPr>
        <w:tab/>
      </w:r>
      <w:r w:rsidRPr="00C670D3">
        <w:rPr>
          <w:noProof/>
          <w:webHidden/>
        </w:rPr>
        <w:tab/>
        <w:t>1</w:t>
      </w:r>
      <w:r w:rsidRPr="00EC687C">
        <w:rPr>
          <w:noProof/>
          <w:webHidden/>
        </w:rPr>
        <w:t>4</w:t>
      </w:r>
    </w:p>
    <w:p w14:paraId="75D5B6EA"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C670D3">
        <w:rPr>
          <w:noProof/>
        </w:rPr>
        <w:tab/>
      </w:r>
      <w:r w:rsidRPr="00C670D3">
        <w:rPr>
          <w:noProof/>
        </w:rPr>
        <w:tab/>
      </w:r>
      <w:r w:rsidRPr="00B0401D">
        <w:rPr>
          <w:noProof/>
          <w:lang w:val="en-US"/>
        </w:rPr>
        <w:t>A</w:t>
      </w:r>
      <w:r w:rsidRPr="00C670D3">
        <w:rPr>
          <w:noProof/>
        </w:rPr>
        <w:t>.</w:t>
      </w:r>
      <w:r w:rsidRPr="00C670D3">
        <w:rPr>
          <w:noProof/>
        </w:rPr>
        <w:tab/>
      </w:r>
      <w:r>
        <w:rPr>
          <w:bCs/>
        </w:rPr>
        <w:t>Правила процедуры Комитета по вопросам безопасности ВОПОГ</w:t>
      </w:r>
      <w:r w:rsidRPr="00C670D3">
        <w:rPr>
          <w:noProof/>
          <w:webHidden/>
        </w:rPr>
        <w:tab/>
      </w:r>
      <w:r w:rsidRPr="00C670D3">
        <w:rPr>
          <w:noProof/>
          <w:webHidden/>
        </w:rPr>
        <w:tab/>
        <w:t>1</w:t>
      </w:r>
      <w:r w:rsidRPr="00EC687C">
        <w:rPr>
          <w:noProof/>
          <w:webHidden/>
        </w:rPr>
        <w:t>4</w:t>
      </w:r>
    </w:p>
    <w:p w14:paraId="22D73582"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559" w:hanging="1559"/>
        <w:rPr>
          <w:noProof/>
        </w:rPr>
      </w:pPr>
      <w:r w:rsidRPr="00C670D3">
        <w:rPr>
          <w:noProof/>
        </w:rPr>
        <w:tab/>
      </w:r>
      <w:r w:rsidRPr="00C670D3">
        <w:rPr>
          <w:noProof/>
        </w:rPr>
        <w:tab/>
      </w:r>
      <w:r w:rsidRPr="00B0401D">
        <w:rPr>
          <w:noProof/>
          <w:lang w:val="en-US"/>
        </w:rPr>
        <w:t>B</w:t>
      </w:r>
      <w:r w:rsidRPr="00C670D3">
        <w:rPr>
          <w:noProof/>
        </w:rPr>
        <w:t>.</w:t>
      </w:r>
      <w:r w:rsidRPr="00C670D3">
        <w:rPr>
          <w:noProof/>
        </w:rPr>
        <w:tab/>
      </w:r>
      <w:r>
        <w:rPr>
          <w:bCs/>
        </w:rPr>
        <w:t xml:space="preserve">Информация о возможностях финансирования «экологизации» перевозок </w:t>
      </w:r>
      <w:r>
        <w:rPr>
          <w:bCs/>
        </w:rPr>
        <w:br/>
        <w:t>опасных грузов</w:t>
      </w:r>
      <w:r w:rsidRPr="00C670D3">
        <w:rPr>
          <w:noProof/>
          <w:webHidden/>
        </w:rPr>
        <w:tab/>
      </w:r>
      <w:r w:rsidRPr="00C670D3">
        <w:rPr>
          <w:noProof/>
          <w:webHidden/>
        </w:rPr>
        <w:tab/>
        <w:t>1</w:t>
      </w:r>
      <w:r w:rsidRPr="00EC687C">
        <w:rPr>
          <w:noProof/>
          <w:webHidden/>
        </w:rPr>
        <w:t>5</w:t>
      </w:r>
    </w:p>
    <w:p w14:paraId="352C7180"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C670D3">
        <w:rPr>
          <w:noProof/>
        </w:rPr>
        <w:tab/>
      </w:r>
      <w:r w:rsidRPr="00C670D3">
        <w:rPr>
          <w:noProof/>
        </w:rPr>
        <w:tab/>
      </w:r>
      <w:r w:rsidRPr="00B0401D">
        <w:rPr>
          <w:noProof/>
          <w:lang w:val="en-US"/>
        </w:rPr>
        <w:t>C</w:t>
      </w:r>
      <w:r w:rsidRPr="00C670D3">
        <w:rPr>
          <w:noProof/>
        </w:rPr>
        <w:t>.</w:t>
      </w:r>
      <w:r w:rsidRPr="00C670D3">
        <w:rPr>
          <w:noProof/>
        </w:rPr>
        <w:tab/>
      </w:r>
      <w:r>
        <w:rPr>
          <w:bCs/>
        </w:rPr>
        <w:t>Транспортное сообщество</w:t>
      </w:r>
      <w:r w:rsidRPr="00C670D3">
        <w:rPr>
          <w:noProof/>
          <w:webHidden/>
        </w:rPr>
        <w:tab/>
      </w:r>
      <w:r w:rsidRPr="00C670D3">
        <w:rPr>
          <w:noProof/>
          <w:webHidden/>
        </w:rPr>
        <w:tab/>
        <w:t>1</w:t>
      </w:r>
      <w:r w:rsidRPr="00EC687C">
        <w:rPr>
          <w:noProof/>
          <w:webHidden/>
        </w:rPr>
        <w:t>5</w:t>
      </w:r>
    </w:p>
    <w:p w14:paraId="050B1AF6" w14:textId="77777777" w:rsidR="00C67CFF" w:rsidRPr="00EC687C" w:rsidRDefault="00C67CFF" w:rsidP="00C67CFF">
      <w:pPr>
        <w:tabs>
          <w:tab w:val="right" w:pos="850"/>
          <w:tab w:val="left" w:pos="1134"/>
          <w:tab w:val="left" w:pos="1559"/>
          <w:tab w:val="left" w:pos="1984"/>
          <w:tab w:val="left" w:leader="dot" w:pos="8929"/>
          <w:tab w:val="right" w:pos="9638"/>
        </w:tabs>
        <w:spacing w:after="120"/>
        <w:rPr>
          <w:noProof/>
        </w:rPr>
      </w:pPr>
      <w:r w:rsidRPr="00C670D3">
        <w:rPr>
          <w:noProof/>
        </w:rPr>
        <w:tab/>
      </w:r>
      <w:r w:rsidRPr="00B0401D">
        <w:rPr>
          <w:noProof/>
          <w:lang w:val="en-US"/>
        </w:rPr>
        <w:t>X</w:t>
      </w:r>
      <w:r w:rsidRPr="00C670D3">
        <w:rPr>
          <w:noProof/>
        </w:rPr>
        <w:t>.</w:t>
      </w:r>
      <w:r w:rsidRPr="00C670D3">
        <w:rPr>
          <w:noProof/>
        </w:rPr>
        <w:tab/>
      </w:r>
      <w:r>
        <w:rPr>
          <w:bCs/>
        </w:rPr>
        <w:t>Утверждение доклада (пункт 8 повестки дня)</w:t>
      </w:r>
      <w:r w:rsidRPr="00C670D3">
        <w:rPr>
          <w:noProof/>
          <w:webHidden/>
        </w:rPr>
        <w:tab/>
      </w:r>
      <w:r w:rsidRPr="00C670D3">
        <w:rPr>
          <w:noProof/>
          <w:webHidden/>
        </w:rPr>
        <w:tab/>
        <w:t>1</w:t>
      </w:r>
      <w:r w:rsidRPr="00EC687C">
        <w:rPr>
          <w:noProof/>
          <w:webHidden/>
        </w:rPr>
        <w:t>5</w:t>
      </w:r>
    </w:p>
    <w:p w14:paraId="16161295" w14:textId="77777777" w:rsidR="00C67CFF" w:rsidRPr="00A23666" w:rsidRDefault="00C67CFF" w:rsidP="00C67CFF">
      <w:pPr>
        <w:spacing w:after="120"/>
      </w:pPr>
      <w:r>
        <w:t>Приложения</w:t>
      </w:r>
    </w:p>
    <w:p w14:paraId="67D38EFB" w14:textId="77777777" w:rsidR="00C67CFF" w:rsidRPr="00EC687C" w:rsidRDefault="00C67CFF" w:rsidP="00C67CFF">
      <w:pPr>
        <w:tabs>
          <w:tab w:val="right" w:pos="850"/>
          <w:tab w:val="left" w:pos="1134"/>
          <w:tab w:val="left" w:pos="1559"/>
          <w:tab w:val="left" w:pos="1984"/>
          <w:tab w:val="left" w:leader="dot" w:pos="8929"/>
          <w:tab w:val="right" w:pos="9638"/>
        </w:tabs>
        <w:spacing w:after="120"/>
        <w:ind w:left="1134" w:hanging="1134"/>
      </w:pPr>
      <w:r w:rsidRPr="00651223">
        <w:tab/>
      </w:r>
      <w:r w:rsidRPr="00B0401D">
        <w:rPr>
          <w:lang w:val="en-US"/>
        </w:rPr>
        <w:t>I</w:t>
      </w:r>
      <w:r w:rsidRPr="00B0401D">
        <w:tab/>
      </w:r>
      <w:r>
        <w:t xml:space="preserve">Предлагаемые поправки к Правилам, прилагаемым к ВОПОГ, для вступления в силу </w:t>
      </w:r>
      <w:r>
        <w:br/>
        <w:t>1 января 2023 года</w:t>
      </w:r>
      <w:r w:rsidRPr="00B0401D">
        <w:tab/>
      </w:r>
      <w:r w:rsidRPr="00B0401D">
        <w:tab/>
        <w:t>1</w:t>
      </w:r>
      <w:r w:rsidRPr="00EC687C">
        <w:t>6</w:t>
      </w:r>
    </w:p>
    <w:p w14:paraId="3A211D82" w14:textId="77777777" w:rsidR="00C67CFF" w:rsidRPr="000C5E43" w:rsidRDefault="00C67CFF" w:rsidP="00C67CFF">
      <w:pPr>
        <w:tabs>
          <w:tab w:val="right" w:pos="850"/>
          <w:tab w:val="left" w:pos="1134"/>
          <w:tab w:val="left" w:pos="1559"/>
          <w:tab w:val="left" w:pos="1984"/>
          <w:tab w:val="left" w:leader="dot" w:pos="8929"/>
          <w:tab w:val="right" w:pos="9638"/>
        </w:tabs>
        <w:spacing w:after="120"/>
      </w:pPr>
      <w:r w:rsidRPr="00B0401D">
        <w:tab/>
      </w:r>
      <w:r w:rsidRPr="00B0401D">
        <w:rPr>
          <w:lang w:val="en-US"/>
        </w:rPr>
        <w:t>II</w:t>
      </w:r>
      <w:r w:rsidRPr="00B0401D">
        <w:tab/>
      </w:r>
      <w:r>
        <w:t>Исправления к документу ECE/TRANS/301 (издание ВОПОГ 2021 года)</w:t>
      </w:r>
      <w:r w:rsidRPr="00B0401D">
        <w:tab/>
      </w:r>
      <w:r w:rsidRPr="00B0401D">
        <w:tab/>
        <w:t>2</w:t>
      </w:r>
      <w:r w:rsidRPr="000C5E43">
        <w:t>4</w:t>
      </w:r>
    </w:p>
    <w:p w14:paraId="742B5AB0" w14:textId="3529F935" w:rsidR="00B0401D" w:rsidRPr="00B0401D" w:rsidRDefault="00B0401D" w:rsidP="001E1631">
      <w:pPr>
        <w:suppressAutoHyphens w:val="0"/>
        <w:rPr>
          <w:rFonts w:eastAsia="Times New Roman" w:cs="Times New Roman"/>
          <w:szCs w:val="20"/>
        </w:rPr>
      </w:pPr>
      <w:r w:rsidRPr="00B0401D">
        <w:br w:type="page"/>
      </w:r>
    </w:p>
    <w:p w14:paraId="7EAACE79" w14:textId="77777777" w:rsidR="00B0401D" w:rsidRPr="00A23666" w:rsidRDefault="00B0401D" w:rsidP="001E1631">
      <w:pPr>
        <w:pStyle w:val="HChG"/>
        <w:spacing w:line="240" w:lineRule="atLeast"/>
      </w:pPr>
      <w:r>
        <w:lastRenderedPageBreak/>
        <w:tab/>
        <w:t>I.</w:t>
      </w:r>
      <w:r>
        <w:tab/>
      </w:r>
      <w:bookmarkStart w:id="8" w:name="_Hlk85547368"/>
      <w:r>
        <w:rPr>
          <w:bCs/>
        </w:rPr>
        <w:t>Участники</w:t>
      </w:r>
      <w:bookmarkStart w:id="9" w:name="_Toc81410355"/>
      <w:bookmarkEnd w:id="9"/>
      <w:bookmarkEnd w:id="8"/>
    </w:p>
    <w:p w14:paraId="79BFE247" w14:textId="44B1C5D8" w:rsidR="00B0401D" w:rsidRPr="00A23666" w:rsidRDefault="00B0401D" w:rsidP="001E1631">
      <w:pPr>
        <w:pStyle w:val="SingleTxtG"/>
      </w:pPr>
      <w:bookmarkStart w:id="10" w:name="_Hlk18340908"/>
      <w:r>
        <w:t>1.</w:t>
      </w:r>
      <w:r>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восьмую сессию в Женеве 23–27 августа 2021 года под руководством Председателя г</w:t>
      </w:r>
      <w:r w:rsidR="003330D0">
        <w:noBreakHyphen/>
      </w:r>
      <w:r>
        <w:t xml:space="preserve">на Х. </w:t>
      </w:r>
      <w:proofErr w:type="spellStart"/>
      <w:r>
        <w:t>Лангенберга</w:t>
      </w:r>
      <w:proofErr w:type="spellEnd"/>
      <w:r>
        <w:t xml:space="preserve"> (Нидерланды) и заместителя Председателя г-на Б. </w:t>
      </w:r>
      <w:proofErr w:type="spellStart"/>
      <w:r>
        <w:t>Биркльхубера</w:t>
      </w:r>
      <w:proofErr w:type="spellEnd"/>
      <w:r>
        <w:t xml:space="preserve"> (Австрия). </w:t>
      </w:r>
      <w:bookmarkStart w:id="11" w:name="_Hlk18487351"/>
      <w:bookmarkEnd w:id="11"/>
    </w:p>
    <w:p w14:paraId="5158B467" w14:textId="77777777" w:rsidR="00B0401D" w:rsidRPr="00A23666" w:rsidRDefault="00B0401D" w:rsidP="001E1631">
      <w:pPr>
        <w:pStyle w:val="SingleTxtG"/>
      </w:pPr>
      <w:r>
        <w:t>2.</w:t>
      </w:r>
      <w:r>
        <w:tab/>
        <w:t xml:space="preserve">В работе сессии приняли участие представители следующих стран: Австрии, Бельгии, Болгарии, Германии, Люксембурга, Нидерландов, Польши, Российской Федерации, Румынии, Словакии, Франции, Чешской Республики и Швейцарии. </w:t>
      </w:r>
    </w:p>
    <w:p w14:paraId="530DC1F0" w14:textId="77777777" w:rsidR="00B0401D" w:rsidRPr="00A23666" w:rsidRDefault="00B0401D" w:rsidP="001E1631">
      <w:pPr>
        <w:pStyle w:val="SingleTxtG"/>
      </w:pPr>
      <w:r>
        <w:t>3.</w:t>
      </w:r>
      <w:r>
        <w:tab/>
        <w:t>Были представлены следующие межправительственные организации: Дунайская комиссия, Европейский союз, Транспортное сообщество и Центральная комиссия судоходства по Рейну (ЦКСР).</w:t>
      </w:r>
    </w:p>
    <w:p w14:paraId="51D5EAF4" w14:textId="77777777" w:rsidR="00B0401D" w:rsidRPr="00A23666" w:rsidRDefault="00B0401D" w:rsidP="001E1631">
      <w:pPr>
        <w:pStyle w:val="SingleTxtG"/>
      </w:pPr>
      <w:r>
        <w:t>4.</w:t>
      </w:r>
      <w:r>
        <w:tab/>
        <w:t>Были также представлены следующие неправительственные организации: Ассоциация торговли зерном и пищевыми продуктам (АТЗПП), группа Рекомендованных классификационных обществ ВОПОГ,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Федерация европейских ассоциаций владельцев цистерн-хранилищ (ФЕТСА) и «</w:t>
      </w:r>
      <w:proofErr w:type="spellStart"/>
      <w:r>
        <w:t>Фьюэлз-Юроп</w:t>
      </w:r>
      <w:proofErr w:type="spellEnd"/>
      <w:r>
        <w:t>».</w:t>
      </w:r>
    </w:p>
    <w:p w14:paraId="16A37985" w14:textId="77777777" w:rsidR="00B0401D" w:rsidRPr="00A23666" w:rsidRDefault="00B0401D" w:rsidP="001E1631">
      <w:pPr>
        <w:pStyle w:val="HChG"/>
        <w:spacing w:line="240" w:lineRule="atLeast"/>
      </w:pPr>
      <w:r>
        <w:tab/>
        <w:t>II.</w:t>
      </w:r>
      <w:r>
        <w:tab/>
      </w:r>
      <w:bookmarkStart w:id="12" w:name="_Hlk85547377"/>
      <w:r>
        <w:rPr>
          <w:bCs/>
        </w:rPr>
        <w:t>Организационные вопросы</w:t>
      </w:r>
      <w:bookmarkStart w:id="13" w:name="_Toc81410356"/>
      <w:bookmarkEnd w:id="13"/>
      <w:bookmarkEnd w:id="12"/>
    </w:p>
    <w:p w14:paraId="1879A5DB" w14:textId="77777777" w:rsidR="00B0401D" w:rsidRPr="00A23666" w:rsidRDefault="00B0401D" w:rsidP="001E1631">
      <w:pPr>
        <w:pStyle w:val="SingleTxtG"/>
      </w:pPr>
      <w:r>
        <w:t>5.</w:t>
      </w:r>
      <w:r>
        <w:tab/>
        <w:t>Комитет по вопросам безопасности был проинформирован о том, что ввиду сочетания мер реагирования на COVID-19, финансовых ограничений, вызванных кризисом ликвидности, с которым столкнулась Организация Объединенных Наций, текущих работ по реновации Дворца Наций в соответствии со Стратегическим планом сохранения наследия и технических ограничений, связанных с количеством имеющихся залов заседаний для проведения гибридных совещаний, доля совещаний с устным переводом, выделенная Европейской экономической комиссии, была сокращена с обычных трех совещаний в день до одного совещания в день в первой половине 2021 года. Во втором полугодии ЕЭК ООН пытается вернуться к нормальному режиму работы и при определенных условиях увеличила продолжительность гибридных заседаний (не более двух часов) в первой или второй половине дня до обычных трех часов. С учетом этих факторов и все еще действующих карантинных ограничений и ограничений на поездки, а также после консультаций с секретариатом и Отделом обслуживания конференций Отделения Организации Объединенных Наций в Женеве должностные лица Комитета по вопросам безопасности согласились вновь адаптировать формат тридцать восьмой сессии.</w:t>
      </w:r>
    </w:p>
    <w:bookmarkEnd w:id="10"/>
    <w:p w14:paraId="0DDC816D" w14:textId="77777777" w:rsidR="00B0401D" w:rsidRPr="00A23666" w:rsidRDefault="00B0401D" w:rsidP="001E1631">
      <w:pPr>
        <w:pStyle w:val="HChG"/>
        <w:spacing w:line="240" w:lineRule="atLeast"/>
      </w:pPr>
      <w:r>
        <w:tab/>
        <w:t>III.</w:t>
      </w:r>
      <w:r>
        <w:tab/>
      </w:r>
      <w:bookmarkStart w:id="14" w:name="_Hlk85547388"/>
      <w:r>
        <w:rPr>
          <w:bCs/>
        </w:rPr>
        <w:t>Утверждение повестки дня (пункт 1 повестки дня)</w:t>
      </w:r>
      <w:bookmarkStart w:id="15" w:name="_Toc81410357"/>
      <w:bookmarkEnd w:id="15"/>
      <w:bookmarkEnd w:id="14"/>
    </w:p>
    <w:p w14:paraId="5F5DF548" w14:textId="77777777" w:rsidR="00B0401D" w:rsidRPr="00A23666" w:rsidRDefault="00B0401D" w:rsidP="00A06B63">
      <w:pPr>
        <w:pStyle w:val="SingleTxtG"/>
        <w:tabs>
          <w:tab w:val="clear" w:pos="2268"/>
          <w:tab w:val="clear" w:pos="2835"/>
          <w:tab w:val="left" w:pos="3969"/>
        </w:tabs>
      </w:pPr>
      <w:r>
        <w:rPr>
          <w:i/>
          <w:iCs/>
        </w:rPr>
        <w:t>Документы:</w:t>
      </w:r>
      <w:r>
        <w:tab/>
        <w:t>ECE/TRANS/WP.15/AC.2/77 и Add.1</w:t>
      </w:r>
    </w:p>
    <w:p w14:paraId="3297BE52" w14:textId="77777777" w:rsidR="00B0401D" w:rsidRPr="00A23666" w:rsidRDefault="00B0401D" w:rsidP="00A06B63">
      <w:pPr>
        <w:pStyle w:val="SingleTxtG"/>
        <w:tabs>
          <w:tab w:val="clear" w:pos="2835"/>
          <w:tab w:val="left" w:pos="3969"/>
        </w:tabs>
      </w:pPr>
      <w:r>
        <w:rPr>
          <w:i/>
          <w:iCs/>
        </w:rPr>
        <w:t>Неофициальный документ:</w:t>
      </w:r>
      <w:r>
        <w:tab/>
        <w:t>INF.1 (секретариат)</w:t>
      </w:r>
    </w:p>
    <w:p w14:paraId="026D309A" w14:textId="5BFA6BF1" w:rsidR="00B0401D" w:rsidRPr="00A23666" w:rsidRDefault="00B0401D" w:rsidP="001E1631">
      <w:pPr>
        <w:pStyle w:val="SingleTxtG"/>
      </w:pPr>
      <w:r>
        <w:t>6.</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w:t>
      </w:r>
      <w:r w:rsidR="003330D0">
        <w:rPr>
          <w:lang w:val="en-US"/>
        </w:rPr>
        <w:t> </w:t>
      </w:r>
      <w:r>
        <w:t>целью учета неофициальных документов INF.2–INF.20.</w:t>
      </w:r>
    </w:p>
    <w:p w14:paraId="31EE2B22" w14:textId="310BEF1E" w:rsidR="00B0401D" w:rsidRPr="00A23666" w:rsidRDefault="00B0401D" w:rsidP="001E1631">
      <w:pPr>
        <w:pStyle w:val="HChG"/>
        <w:spacing w:line="240" w:lineRule="atLeast"/>
      </w:pPr>
      <w:r>
        <w:lastRenderedPageBreak/>
        <w:tab/>
        <w:t>IV.</w:t>
      </w:r>
      <w:r>
        <w:tab/>
      </w:r>
      <w:bookmarkStart w:id="16" w:name="_Hlk85547397"/>
      <w:r>
        <w:rPr>
          <w:bCs/>
        </w:rPr>
        <w:t xml:space="preserve">Вопросы, вытекающие из работы органов Организации Объединенных Наций или других организаций </w:t>
      </w:r>
      <w:r w:rsidR="003330D0">
        <w:rPr>
          <w:bCs/>
        </w:rPr>
        <w:br/>
      </w:r>
      <w:r>
        <w:rPr>
          <w:bCs/>
        </w:rPr>
        <w:t>(пункт 2 повестки дня)</w:t>
      </w:r>
      <w:bookmarkStart w:id="17" w:name="_Toc81410358"/>
      <w:bookmarkEnd w:id="17"/>
      <w:bookmarkEnd w:id="16"/>
    </w:p>
    <w:p w14:paraId="18F9911F" w14:textId="77777777" w:rsidR="00B0401D" w:rsidRPr="00A23666" w:rsidRDefault="00B0401D" w:rsidP="001E1631">
      <w:pPr>
        <w:pStyle w:val="H1G"/>
        <w:spacing w:line="240" w:lineRule="atLeast"/>
      </w:pPr>
      <w:r>
        <w:tab/>
        <w:t>A.</w:t>
      </w:r>
      <w:r>
        <w:tab/>
      </w:r>
      <w:bookmarkStart w:id="18" w:name="_Hlk85547413"/>
      <w:r>
        <w:rPr>
          <w:bCs/>
        </w:rPr>
        <w:t>Работа Комитета по внутреннему транспорту</w:t>
      </w:r>
      <w:bookmarkStart w:id="19" w:name="_Toc81410359"/>
      <w:bookmarkEnd w:id="19"/>
      <w:bookmarkEnd w:id="18"/>
    </w:p>
    <w:p w14:paraId="39410D9B" w14:textId="4FE53299" w:rsidR="00B0401D" w:rsidRPr="00A23666" w:rsidRDefault="00B0401D" w:rsidP="001E1631">
      <w:pPr>
        <w:pStyle w:val="SingleTxtG"/>
        <w:rPr>
          <w:bCs/>
          <w:i/>
          <w:iCs/>
        </w:rPr>
      </w:pPr>
      <w:r>
        <w:t>7.</w:t>
      </w:r>
      <w:r>
        <w:tab/>
        <w:t xml:space="preserve">Комитет по вопросам безопасности был проинформирован о том, что восемьдесят третья сессия Комитета по внутреннему транспорту (КВТ) была проведена в Женеве 23–26 февраля 2021 года. На сессии КВТ были рассмотрены такие области глобального значения, как безопасность дорожного движения, автономные транспортные средства и цифровизация транспорта, а также осуществление Стратегии КВТ до 2030 года. С перечнем решений можно ознакомиться в неофициальном документе INF.8 КВТ, а более подробная информация содержится в докладе о работе сессии (ECE/TRANS/304), размещенном на веб-сайте ЕЭК ООН. Предстоящая сессия КВТ запланирована на 22–25 февраля 2022 года, и Комитет будет отмечать свою </w:t>
      </w:r>
      <w:r w:rsidR="003330D0" w:rsidRPr="003330D0">
        <w:t>75</w:t>
      </w:r>
      <w:r w:rsidR="003330D0">
        <w:noBreakHyphen/>
      </w:r>
      <w:r>
        <w:t>ю</w:t>
      </w:r>
      <w:r w:rsidR="003330D0">
        <w:rPr>
          <w:lang w:val="en-US"/>
        </w:rPr>
        <w:t> </w:t>
      </w:r>
      <w:r>
        <w:t>годовщину.</w:t>
      </w:r>
    </w:p>
    <w:p w14:paraId="0FB3C7C2" w14:textId="77777777" w:rsidR="00B0401D" w:rsidRPr="00A23666" w:rsidRDefault="00B0401D" w:rsidP="001E1631">
      <w:pPr>
        <w:pStyle w:val="H1G"/>
        <w:spacing w:line="240" w:lineRule="atLeast"/>
      </w:pPr>
      <w:r>
        <w:tab/>
        <w:t>B.</w:t>
      </w:r>
      <w:r>
        <w:tab/>
      </w:r>
      <w:bookmarkStart w:id="20" w:name="_Hlk85547638"/>
      <w:r>
        <w:rPr>
          <w:bCs/>
        </w:rPr>
        <w:t>Статус требований брошюры по остойчивости</w:t>
      </w:r>
      <w:bookmarkStart w:id="21" w:name="_Toc81410360"/>
      <w:bookmarkEnd w:id="21"/>
      <w:bookmarkEnd w:id="20"/>
    </w:p>
    <w:p w14:paraId="7F0305C9" w14:textId="0692C1C1" w:rsidR="00B0401D" w:rsidRPr="00A23666" w:rsidRDefault="00B0401D" w:rsidP="001E1631">
      <w:pPr>
        <w:pStyle w:val="SingleTxtG"/>
        <w:rPr>
          <w:b/>
        </w:rPr>
      </w:pPr>
      <w:r>
        <w:rPr>
          <w:i/>
          <w:iCs/>
        </w:rPr>
        <w:t>Неофициальный документ:</w:t>
      </w:r>
      <w:r>
        <w:tab/>
        <w:t>INF.6 (ЦКСР)</w:t>
      </w:r>
      <w:bookmarkStart w:id="22" w:name="_Toc81410361"/>
      <w:bookmarkEnd w:id="22"/>
    </w:p>
    <w:p w14:paraId="3201E595" w14:textId="77777777" w:rsidR="00B0401D" w:rsidRPr="00A23666" w:rsidRDefault="00B0401D" w:rsidP="001E1631">
      <w:pPr>
        <w:pStyle w:val="SingleTxtG"/>
      </w:pPr>
      <w:r>
        <w:t>8.</w:t>
      </w:r>
      <w:r>
        <w:tab/>
        <w:t>Представитель ЦКСР проинформировал Комитет по вопросам безопасности о статусе положений об остойчивости в подразделе 9.3.x.13, которые были временно включены в ВОПОГ до тех пор, пока общие положения об остойчивости не будут включены в ЕС-ТТСВП для всех судов внутреннего плавания. ЕС-ТТСВП 2021 года вступит в силу 1 января 2022 года, однако положения об остойчивости пока еще не обновлены. Комитет по вопросам безопасности решил, что эти положения необходимо сохранить в будущих вариантах ВОПОГ до тех пор, пока не будут обновлены положения об остойчивости, содержащиеся в ЕС-ТТСВП. Представитель Германии сообщил о своем намерении представить официальное предложение, направленное на гармонизацию положений пункта 9.3.x.13.3 в вариантах на всех языках.</w:t>
      </w:r>
    </w:p>
    <w:p w14:paraId="0DD15ED2" w14:textId="702520A9" w:rsidR="00B0401D" w:rsidRPr="00A23666" w:rsidRDefault="00B0401D" w:rsidP="001E1631">
      <w:pPr>
        <w:pStyle w:val="H1G"/>
        <w:spacing w:line="240" w:lineRule="atLeast"/>
      </w:pPr>
      <w:r>
        <w:tab/>
        <w:t>C.</w:t>
      </w:r>
      <w:r>
        <w:tab/>
      </w:r>
      <w:bookmarkStart w:id="23" w:name="_Hlk85547646"/>
      <w:r>
        <w:rPr>
          <w:bCs/>
        </w:rPr>
        <w:t>Документы и другие записи в электронном виде, находящиеся на</w:t>
      </w:r>
      <w:r w:rsidR="00E4094E">
        <w:rPr>
          <w:lang w:val="en-US"/>
        </w:rPr>
        <w:t> </w:t>
      </w:r>
      <w:r>
        <w:rPr>
          <w:bCs/>
        </w:rPr>
        <w:t>борту</w:t>
      </w:r>
      <w:bookmarkStart w:id="24" w:name="_Toc81410362"/>
      <w:bookmarkEnd w:id="24"/>
      <w:bookmarkEnd w:id="23"/>
    </w:p>
    <w:p w14:paraId="342F6206" w14:textId="471FB865" w:rsidR="00B0401D" w:rsidRPr="00302457" w:rsidRDefault="00B0401D" w:rsidP="00A06B63">
      <w:pPr>
        <w:pStyle w:val="H23G"/>
        <w:tabs>
          <w:tab w:val="left" w:pos="3402"/>
        </w:tabs>
        <w:spacing w:before="0" w:line="240" w:lineRule="atLeast"/>
        <w:rPr>
          <w:b w:val="0"/>
          <w:bCs/>
        </w:rPr>
      </w:pPr>
      <w:r>
        <w:tab/>
      </w:r>
      <w:r>
        <w:tab/>
      </w:r>
      <w:r w:rsidRPr="00302457">
        <w:rPr>
          <w:b w:val="0"/>
          <w:bCs/>
          <w:i/>
          <w:iCs/>
        </w:rPr>
        <w:t>Неофициальный документ:</w:t>
      </w:r>
      <w:r w:rsidRPr="00302457">
        <w:rPr>
          <w:b w:val="0"/>
          <w:bCs/>
        </w:rPr>
        <w:tab/>
        <w:t>INF.9 (ЦКСР)</w:t>
      </w:r>
      <w:bookmarkStart w:id="25" w:name="_Toc81410363"/>
      <w:bookmarkEnd w:id="25"/>
    </w:p>
    <w:p w14:paraId="18D061D0" w14:textId="77777777" w:rsidR="00B0401D" w:rsidRPr="00A23666" w:rsidRDefault="00B0401D" w:rsidP="001E1631">
      <w:pPr>
        <w:pStyle w:val="SingleTxtG"/>
      </w:pPr>
      <w:r>
        <w:t>9.</w:t>
      </w:r>
      <w:r>
        <w:tab/>
        <w:t>Комитет по вопросам безопасности обсудил возможность предусмотреть в будущем в рамках ВОПОГ в качестве варианта использование на борту электронных документов (неофициальный документ INF.9). Комитет по вопросам безопасности решил разработать подробные положения по использованию электронных документов в целом, а не только для транспортного документа. Участникам напомнили, что Совместное совещание Комиссии экспертов МПОГ и Рабочей группы по перевозкам опасных грузов уже выступило с аналогичной инициативой и создало рабочую группу по телематике применительно к перевозке опасных грузов с учетом ведущейся в Европейском союзе деятельности в рамках процесса имплементации Регламента ЕС, касающегося электронной информации о грузовых перевозках (</w:t>
      </w:r>
      <w:proofErr w:type="spellStart"/>
      <w:r>
        <w:t>eFTI</w:t>
      </w:r>
      <w:proofErr w:type="spellEnd"/>
      <w:r>
        <w:t>).</w:t>
      </w:r>
    </w:p>
    <w:p w14:paraId="0D45360B" w14:textId="77777777" w:rsidR="00B0401D" w:rsidRPr="00A23666" w:rsidRDefault="00B0401D" w:rsidP="001E1631">
      <w:pPr>
        <w:pStyle w:val="SingleTxtG"/>
      </w:pPr>
      <w:r>
        <w:t>10.</w:t>
      </w:r>
      <w:r>
        <w:tab/>
        <w:t>После обсуждения Комитет по вопросам безопасности решил создать неофициальную рабочую группу для дальнейшего обсуждения правовой основы с учетом проделанной работы, чтобы определить, какие документы подходят для дематериализации и использования в электронном формате и при каких условиях эти документы могут быть использованы (т. е. формат, кибербезопасность, база данных и защита данных и т. д.). Секретариат ЦКСР вызвался подготовить к следующей сессии предложение по проекту круга ведения и дорожной карте для неофициальной рабочей группы.</w:t>
      </w:r>
    </w:p>
    <w:p w14:paraId="3336F06E" w14:textId="77777777" w:rsidR="00B0401D" w:rsidRPr="006867C4" w:rsidRDefault="00B0401D" w:rsidP="001E1631">
      <w:pPr>
        <w:pStyle w:val="H1G"/>
        <w:spacing w:line="240" w:lineRule="atLeast"/>
      </w:pPr>
      <w:r>
        <w:lastRenderedPageBreak/>
        <w:tab/>
        <w:t>D.</w:t>
      </w:r>
      <w:r>
        <w:tab/>
      </w:r>
      <w:bookmarkStart w:id="26" w:name="_Hlk85547657"/>
      <w:r>
        <w:rPr>
          <w:bCs/>
        </w:rPr>
        <w:t>Доклад Дунайской комиссии</w:t>
      </w:r>
      <w:bookmarkStart w:id="27" w:name="_Toc81410364"/>
      <w:bookmarkEnd w:id="27"/>
      <w:bookmarkEnd w:id="26"/>
    </w:p>
    <w:p w14:paraId="5DB27AC9" w14:textId="5B62EC41" w:rsidR="00B0401D" w:rsidRPr="003C578D" w:rsidRDefault="00B0401D" w:rsidP="00A06B63">
      <w:pPr>
        <w:pStyle w:val="H23G"/>
        <w:keepNext w:val="0"/>
        <w:keepLines w:val="0"/>
        <w:tabs>
          <w:tab w:val="left" w:pos="3402"/>
        </w:tabs>
        <w:spacing w:before="0" w:line="240" w:lineRule="atLeast"/>
        <w:rPr>
          <w:b w:val="0"/>
          <w:bCs/>
        </w:rPr>
      </w:pPr>
      <w:r>
        <w:tab/>
      </w:r>
      <w:r>
        <w:tab/>
      </w:r>
      <w:r w:rsidRPr="003C578D">
        <w:rPr>
          <w:b w:val="0"/>
          <w:bCs/>
          <w:i/>
          <w:iCs/>
        </w:rPr>
        <w:t>Неофициальный документ:</w:t>
      </w:r>
      <w:r w:rsidRPr="003C578D">
        <w:rPr>
          <w:b w:val="0"/>
          <w:bCs/>
        </w:rPr>
        <w:tab/>
        <w:t>INF.14 (Дунайская комиссия)</w:t>
      </w:r>
      <w:bookmarkStart w:id="28" w:name="_Toc81410365"/>
      <w:bookmarkEnd w:id="28"/>
    </w:p>
    <w:p w14:paraId="231D4E28" w14:textId="77777777" w:rsidR="00B0401D" w:rsidRPr="00A23666" w:rsidRDefault="00B0401D" w:rsidP="001E1631">
      <w:pPr>
        <w:pStyle w:val="SingleTxtG"/>
      </w:pPr>
      <w:r>
        <w:t>11.</w:t>
      </w:r>
      <w:r>
        <w:tab/>
        <w:t xml:space="preserve">Представитель Дунайской комиссии сообщил о планируемых его организацией мероприятиях по модернизации в будущем судов внутреннего плавания для снижения вредных выбросов из судовых дизельных двигателей и использования альтернативных видов топлива (водорода, СПГ, биотоплива и других видов топлива) в их двигательной установке. Он добавил, что Дунайская комиссия разрабатывает специальную рабочую платформу по модернизации флота на 2022 год и последующий период. </w:t>
      </w:r>
    </w:p>
    <w:p w14:paraId="364C25E7" w14:textId="77777777" w:rsidR="00B0401D" w:rsidRPr="00A23666" w:rsidRDefault="00B0401D" w:rsidP="001E1631">
      <w:pPr>
        <w:pStyle w:val="SingleTxtG"/>
      </w:pPr>
      <w:r>
        <w:t>12.</w:t>
      </w:r>
      <w:r>
        <w:tab/>
        <w:t>Комитет по вопросам безопасности приветствовал эту информацию и отметил, что подробное обсуждение на уровне ВОПОГ является преждевременным. Было отмечено, что для обсуждения положений ВОПОГ необходимо провести четкое различие между перевозкой водорода на судах, когда он транспортируется в качестве груза, и его перевозкой, когда он используется в качестве топлива для двигательных установок. Было решено возобновить обсуждение вопроса о перевозке водорода на более позднем этапе, когда будут получены заявки на перевозку водорода, а также решено, что неофициальная рабочая группа по веществам будет иметь наилучшие возможности для начала более детального обсуждения условий перевозки.</w:t>
      </w:r>
    </w:p>
    <w:p w14:paraId="2256F2CD" w14:textId="77777777" w:rsidR="00B0401D" w:rsidRPr="00A23666" w:rsidRDefault="00B0401D" w:rsidP="001E1631">
      <w:pPr>
        <w:pStyle w:val="HChG"/>
        <w:spacing w:line="240" w:lineRule="atLeast"/>
      </w:pPr>
      <w:r>
        <w:tab/>
        <w:t>V.</w:t>
      </w:r>
      <w:r>
        <w:tab/>
      </w:r>
      <w:bookmarkStart w:id="29" w:name="_Hlk85547817"/>
      <w:r>
        <w:rPr>
          <w:bCs/>
        </w:rPr>
        <w:t>Применение Европейского соглашения о международной перевозке опасных грузов по внутренним водным путям (ВОПОГ) (пункт 3 повестки дня)</w:t>
      </w:r>
      <w:bookmarkStart w:id="30" w:name="_Toc81410366"/>
      <w:bookmarkEnd w:id="30"/>
      <w:bookmarkEnd w:id="29"/>
    </w:p>
    <w:p w14:paraId="7CAD5AD1" w14:textId="77777777" w:rsidR="00B0401D" w:rsidRPr="00A23666" w:rsidRDefault="00B0401D" w:rsidP="001E1631">
      <w:pPr>
        <w:pStyle w:val="H1G"/>
        <w:spacing w:line="240" w:lineRule="atLeast"/>
      </w:pPr>
      <w:r>
        <w:tab/>
        <w:t>A.</w:t>
      </w:r>
      <w:r>
        <w:tab/>
      </w:r>
      <w:bookmarkStart w:id="31" w:name="_Hlk85547826"/>
      <w:r>
        <w:rPr>
          <w:bCs/>
        </w:rPr>
        <w:t>Состояние ВОПОГ</w:t>
      </w:r>
      <w:bookmarkStart w:id="32" w:name="_Toc81410367"/>
      <w:bookmarkEnd w:id="32"/>
      <w:bookmarkEnd w:id="31"/>
    </w:p>
    <w:p w14:paraId="2181F48C" w14:textId="77777777" w:rsidR="00B0401D" w:rsidRPr="00A23666" w:rsidRDefault="00B0401D" w:rsidP="001E1631">
      <w:pPr>
        <w:pStyle w:val="SingleTxtG"/>
      </w:pPr>
      <w:r>
        <w:t>13.</w:t>
      </w:r>
      <w:r>
        <w:tab/>
        <w:t>Комитет по вопросам безопасности отметил отсутствие новой информации о состоянии ВОПОГ.</w:t>
      </w:r>
    </w:p>
    <w:p w14:paraId="118F52A3" w14:textId="77777777" w:rsidR="00B0401D" w:rsidRPr="00A23666" w:rsidRDefault="00B0401D" w:rsidP="001E1631">
      <w:pPr>
        <w:pStyle w:val="H1G"/>
        <w:spacing w:line="240" w:lineRule="atLeast"/>
      </w:pPr>
      <w:r>
        <w:tab/>
        <w:t>B.</w:t>
      </w:r>
      <w:r>
        <w:tab/>
      </w:r>
      <w:bookmarkStart w:id="33" w:name="_Hlk85547837"/>
      <w:r>
        <w:t>Специальные разрешения, отступления и эквивалентные аналоги</w:t>
      </w:r>
      <w:bookmarkStart w:id="34" w:name="_Toc81410368"/>
      <w:bookmarkEnd w:id="34"/>
      <w:bookmarkEnd w:id="33"/>
    </w:p>
    <w:p w14:paraId="4261FE66" w14:textId="77777777" w:rsidR="00B0401D" w:rsidRPr="00A23666" w:rsidRDefault="00B0401D" w:rsidP="00A06B63">
      <w:pPr>
        <w:pStyle w:val="H23G"/>
      </w:pPr>
      <w:r>
        <w:tab/>
        <w:t>1.</w:t>
      </w:r>
      <w:r>
        <w:tab/>
      </w:r>
      <w:bookmarkStart w:id="35" w:name="_Hlk85547845"/>
      <w:r>
        <w:t>Специальное разрешение</w:t>
      </w:r>
      <w:bookmarkStart w:id="36" w:name="_Toc81410369"/>
      <w:bookmarkEnd w:id="36"/>
      <w:bookmarkEnd w:id="35"/>
    </w:p>
    <w:p w14:paraId="446957F6" w14:textId="77777777" w:rsidR="00B0401D" w:rsidRPr="00C87A57" w:rsidRDefault="00B0401D" w:rsidP="00A06B63">
      <w:pPr>
        <w:pStyle w:val="H23G"/>
        <w:keepNext w:val="0"/>
        <w:keepLines w:val="0"/>
        <w:tabs>
          <w:tab w:val="left" w:pos="3969"/>
        </w:tabs>
        <w:spacing w:before="0" w:line="240" w:lineRule="atLeast"/>
        <w:rPr>
          <w:b w:val="0"/>
          <w:bCs/>
        </w:rPr>
      </w:pPr>
      <w:r w:rsidRPr="00C87A57">
        <w:rPr>
          <w:b w:val="0"/>
          <w:bCs/>
        </w:rPr>
        <w:tab/>
      </w:r>
      <w:r w:rsidRPr="00C87A57">
        <w:rPr>
          <w:b w:val="0"/>
          <w:bCs/>
        </w:rPr>
        <w:tab/>
      </w:r>
      <w:r w:rsidRPr="00C87A57">
        <w:rPr>
          <w:b w:val="0"/>
          <w:bCs/>
          <w:i/>
          <w:iCs/>
        </w:rPr>
        <w:t>Документ:</w:t>
      </w:r>
      <w:r w:rsidRPr="00C87A57">
        <w:rPr>
          <w:b w:val="0"/>
          <w:bCs/>
        </w:rPr>
        <w:tab/>
        <w:t>ECE/TRANS/WP.15/AC.2/2021/20 (Нидерланды)</w:t>
      </w:r>
      <w:bookmarkStart w:id="37" w:name="_Toc81410370"/>
      <w:bookmarkEnd w:id="37"/>
    </w:p>
    <w:p w14:paraId="18604818" w14:textId="77777777" w:rsidR="00B0401D" w:rsidRPr="006867C4" w:rsidRDefault="00B0401D" w:rsidP="00A06B63">
      <w:pPr>
        <w:pStyle w:val="H23G"/>
        <w:keepNext w:val="0"/>
        <w:keepLines w:val="0"/>
        <w:tabs>
          <w:tab w:val="left" w:pos="3402"/>
        </w:tabs>
        <w:spacing w:before="0" w:line="240" w:lineRule="atLeast"/>
        <w:rPr>
          <w:b w:val="0"/>
          <w:bCs/>
        </w:rPr>
      </w:pPr>
      <w:r w:rsidRPr="00CB768A">
        <w:rPr>
          <w:b w:val="0"/>
          <w:bCs/>
        </w:rPr>
        <w:tab/>
      </w:r>
      <w:r w:rsidRPr="00CB768A">
        <w:rPr>
          <w:b w:val="0"/>
          <w:bCs/>
        </w:rPr>
        <w:tab/>
      </w:r>
      <w:r w:rsidRPr="00CB768A">
        <w:rPr>
          <w:b w:val="0"/>
          <w:bCs/>
          <w:i/>
          <w:iCs/>
        </w:rPr>
        <w:t>Неофициальный документ:</w:t>
      </w:r>
      <w:r w:rsidRPr="00CB768A">
        <w:rPr>
          <w:b w:val="0"/>
          <w:bCs/>
        </w:rPr>
        <w:tab/>
        <w:t>INF.3 (Нидерланды)</w:t>
      </w:r>
      <w:bookmarkStart w:id="38" w:name="_Toc81410371"/>
      <w:bookmarkEnd w:id="38"/>
    </w:p>
    <w:p w14:paraId="40BA7E63" w14:textId="77777777" w:rsidR="00B0401D" w:rsidRPr="00A23666" w:rsidRDefault="00B0401D" w:rsidP="001E1631">
      <w:pPr>
        <w:pStyle w:val="SingleTxtG"/>
        <w:rPr>
          <w:snapToGrid w:val="0"/>
        </w:rPr>
      </w:pPr>
      <w:r>
        <w:t>14.</w:t>
      </w:r>
      <w:r>
        <w:tab/>
        <w:t>Комитет по вопросам безопасности рассмотрел документ ECE/TRANS/WP.15/AC.2/2021/20 и неофициальный документ INF.3 о специальном разрешении в соответствии с разделом 1.5.2 на перевозку танкерами сланцевого масла под № ООН 1288. Некоторые представители в принципе одобрили это специальное разрешение, но предпочли рассмотреть вопрос о включении в таблицу С ВОПОГ новой позиции для № ООН 1288. Комитет по вопросам безопасности решил возобновить обсуждение этого вопроса на своей следующей сессии на основе официального предложения Нидерландов с учетом подраздела 3.2.4.2 ВОПОГ.</w:t>
      </w:r>
    </w:p>
    <w:p w14:paraId="4D8F623F" w14:textId="77777777" w:rsidR="00B0401D" w:rsidRPr="00A23666" w:rsidRDefault="00B0401D" w:rsidP="001E1631">
      <w:pPr>
        <w:pStyle w:val="H23G"/>
        <w:spacing w:line="240" w:lineRule="atLeast"/>
      </w:pPr>
      <w:r>
        <w:tab/>
        <w:t>2.</w:t>
      </w:r>
      <w:r>
        <w:tab/>
      </w:r>
      <w:r>
        <w:rPr>
          <w:bCs/>
        </w:rPr>
        <w:t>Запрос на рекомендацию</w:t>
      </w:r>
      <w:bookmarkStart w:id="39" w:name="_Toc81410372"/>
      <w:bookmarkEnd w:id="39"/>
    </w:p>
    <w:p w14:paraId="10B8F344" w14:textId="59ADE99F" w:rsidR="00B0401D" w:rsidRPr="0048356A" w:rsidRDefault="00B0401D" w:rsidP="00A06B63">
      <w:pPr>
        <w:pStyle w:val="H23G"/>
        <w:keepNext w:val="0"/>
        <w:keepLines w:val="0"/>
        <w:tabs>
          <w:tab w:val="left" w:pos="3402"/>
        </w:tabs>
        <w:spacing w:before="0" w:line="240" w:lineRule="atLeast"/>
        <w:rPr>
          <w:b w:val="0"/>
          <w:bCs/>
        </w:rPr>
      </w:pPr>
      <w:r>
        <w:tab/>
      </w:r>
      <w:r w:rsidRPr="0048356A">
        <w:rPr>
          <w:b w:val="0"/>
          <w:bCs/>
        </w:rPr>
        <w:tab/>
      </w:r>
      <w:r w:rsidRPr="0048356A">
        <w:rPr>
          <w:b w:val="0"/>
          <w:bCs/>
          <w:i/>
          <w:iCs/>
        </w:rPr>
        <w:t>Неофициальный документ:</w:t>
      </w:r>
      <w:r w:rsidRPr="0048356A">
        <w:rPr>
          <w:b w:val="0"/>
          <w:bCs/>
        </w:rPr>
        <w:tab/>
        <w:t>INF.17 (Нидерланды)</w:t>
      </w:r>
      <w:bookmarkStart w:id="40" w:name="_Toc81410373"/>
      <w:bookmarkEnd w:id="40"/>
    </w:p>
    <w:p w14:paraId="22592C28" w14:textId="1C7C82CC" w:rsidR="00B0401D" w:rsidRPr="00A23666" w:rsidRDefault="00B0401D" w:rsidP="001E1631">
      <w:pPr>
        <w:pStyle w:val="SingleTxtG"/>
      </w:pPr>
      <w:r>
        <w:t>15.</w:t>
      </w:r>
      <w:r>
        <w:tab/>
        <w:t>После того</w:t>
      </w:r>
      <w:r w:rsidR="00C67CFF" w:rsidRPr="001348AD">
        <w:t>,</w:t>
      </w:r>
      <w:r>
        <w:t xml:space="preserve"> как был получен запрос на рекомендацию в отношении отступления для установки стационарной системы пожаротушения для обеспечения физической защиты, делегация Нидерландов вызвалась представить данный запрос на сессии в январе 2022 года. Комитет по вопросам безопасности также пояснил, что он предпочитает сохранить соответствующие положения в ВОПОГ и согласовать их с положениями ЕС-ТТСВП в целях обеспечения ясности для всех сторон. Было решено рассмотреть на следующей сессии предложение Нидерландов о внесении поправки в ВОПОГ.</w:t>
      </w:r>
    </w:p>
    <w:p w14:paraId="51FFB3B3" w14:textId="77777777" w:rsidR="00B0401D" w:rsidRPr="00A23666" w:rsidRDefault="00B0401D" w:rsidP="001E1631">
      <w:pPr>
        <w:pStyle w:val="H1G"/>
        <w:spacing w:line="240" w:lineRule="atLeast"/>
      </w:pPr>
      <w:r>
        <w:lastRenderedPageBreak/>
        <w:tab/>
        <w:t>C.</w:t>
      </w:r>
      <w:r>
        <w:tab/>
      </w:r>
      <w:r>
        <w:rPr>
          <w:bCs/>
        </w:rPr>
        <w:t>Толкование Правил, прилагаемых к ВОПОГ</w:t>
      </w:r>
      <w:bookmarkStart w:id="41" w:name="_Toc81410374"/>
      <w:bookmarkEnd w:id="41"/>
    </w:p>
    <w:p w14:paraId="599DCA92" w14:textId="77777777" w:rsidR="00B0401D" w:rsidRPr="00A23666" w:rsidRDefault="00B0401D" w:rsidP="001E1631">
      <w:pPr>
        <w:pStyle w:val="SingleTxtG"/>
      </w:pPr>
      <w:r>
        <w:t>16.</w:t>
      </w:r>
      <w: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15711623" w14:textId="77777777" w:rsidR="00B0401D" w:rsidRPr="00A23666" w:rsidRDefault="00B0401D" w:rsidP="001E1631">
      <w:pPr>
        <w:pStyle w:val="H1G"/>
        <w:spacing w:line="240" w:lineRule="atLeast"/>
      </w:pPr>
      <w:r>
        <w:tab/>
        <w:t>D.</w:t>
      </w:r>
      <w:r>
        <w:tab/>
      </w:r>
      <w:r>
        <w:rPr>
          <w:bCs/>
        </w:rPr>
        <w:t>Подготовка экспертов</w:t>
      </w:r>
      <w:bookmarkStart w:id="42" w:name="_Toc81410375"/>
      <w:bookmarkEnd w:id="42"/>
    </w:p>
    <w:p w14:paraId="2E6B010D" w14:textId="77777777" w:rsidR="00B0401D" w:rsidRPr="00A23666" w:rsidRDefault="00B0401D" w:rsidP="001E1631">
      <w:pPr>
        <w:pStyle w:val="H23G"/>
        <w:spacing w:line="240" w:lineRule="atLeast"/>
      </w:pPr>
      <w:r>
        <w:tab/>
        <w:t>1.</w:t>
      </w:r>
      <w:r>
        <w:tab/>
      </w:r>
      <w:r>
        <w:rPr>
          <w:bCs/>
        </w:rPr>
        <w:t>Каталог вопросов по ВОПОГ 2021 года</w:t>
      </w:r>
      <w:bookmarkStart w:id="43" w:name="_Toc81410376"/>
      <w:bookmarkEnd w:id="43"/>
    </w:p>
    <w:p w14:paraId="5A141C5F" w14:textId="77777777" w:rsidR="00B0401D" w:rsidRPr="002107E1" w:rsidRDefault="00B0401D" w:rsidP="00A06B63">
      <w:pPr>
        <w:pStyle w:val="H23G"/>
        <w:keepNext w:val="0"/>
        <w:keepLines w:val="0"/>
        <w:tabs>
          <w:tab w:val="left" w:pos="1134"/>
          <w:tab w:val="left" w:pos="3402"/>
        </w:tabs>
        <w:spacing w:before="0" w:line="240" w:lineRule="atLeast"/>
        <w:ind w:left="3402" w:hanging="3402"/>
        <w:rPr>
          <w:b w:val="0"/>
          <w:bCs/>
        </w:rPr>
      </w:pPr>
      <w:r>
        <w:tab/>
      </w:r>
      <w:r>
        <w:tab/>
      </w:r>
      <w:r w:rsidRPr="002107E1">
        <w:rPr>
          <w:b w:val="0"/>
          <w:bCs/>
          <w:i/>
          <w:iCs/>
        </w:rPr>
        <w:t>Документы:</w:t>
      </w:r>
      <w:r w:rsidRPr="002107E1">
        <w:rPr>
          <w:b w:val="0"/>
          <w:bCs/>
        </w:rPr>
        <w:tab/>
        <w:t>ECE/TRANS/WP.15/AC.2/2021/11, ECE/TRANS/WP.15/AC.2/2021/12, ECE/TRANS/WP.15/AC.2/2021/13 (ЦКСР) и ECE/TRANS/WP.15/AC.2/2021/15 (Австрия)</w:t>
      </w:r>
      <w:bookmarkStart w:id="44" w:name="_Toc81410377"/>
      <w:bookmarkEnd w:id="44"/>
    </w:p>
    <w:p w14:paraId="509161BF" w14:textId="77777777" w:rsidR="00B0401D" w:rsidRPr="00A23666" w:rsidRDefault="00B0401D" w:rsidP="001E1631">
      <w:pPr>
        <w:pStyle w:val="SingleTxtG"/>
        <w:rPr>
          <w:bCs/>
        </w:rPr>
      </w:pPr>
      <w:r>
        <w:t>17.</w:t>
      </w:r>
      <w:r>
        <w:tab/>
        <w:t>Комитет по вопросам безопасности напомнил об итогах обсуждения, состоявшегося на его предыдущей сессии, и вновь подтвердил принятие предложений по обновлению каталогов вопросов 2021 года с учетом положений издания ВОПОГ 2021 года, представленных в документах ECE/TRANS/WP.15/AC.2/2021/11, ECE/TRANS/WP.15/AC.2/2021/12 и ECE/TRANS/WP.15/AC.2/2021/13, включая исправления и поправки к документу ECE/TRANS/WP.15/AC.2/2021/13, приведенные в документе ECE/TRANS/WP.15/AC.2/2021/15.</w:t>
      </w:r>
    </w:p>
    <w:p w14:paraId="745FB22D" w14:textId="77777777" w:rsidR="00B0401D" w:rsidRPr="00A23666" w:rsidRDefault="00B0401D" w:rsidP="001E1631">
      <w:pPr>
        <w:pStyle w:val="H23G"/>
        <w:spacing w:line="240" w:lineRule="atLeast"/>
      </w:pPr>
      <w:r>
        <w:tab/>
        <w:t>2.</w:t>
      </w:r>
      <w:r>
        <w:tab/>
      </w:r>
      <w:r>
        <w:rPr>
          <w:bCs/>
        </w:rPr>
        <w:t xml:space="preserve">Директива по использованию каталога вопросов для </w:t>
      </w:r>
      <w:proofErr w:type="spellStart"/>
      <w:r>
        <w:rPr>
          <w:bCs/>
        </w:rPr>
        <w:t>экзаменования</w:t>
      </w:r>
      <w:proofErr w:type="spellEnd"/>
      <w:r>
        <w:rPr>
          <w:bCs/>
        </w:rPr>
        <w:t xml:space="preserve"> экспертов в области ВОПОГ</w:t>
      </w:r>
      <w:bookmarkStart w:id="45" w:name="_Toc81410378"/>
      <w:bookmarkEnd w:id="45"/>
    </w:p>
    <w:p w14:paraId="164367BB" w14:textId="77777777" w:rsidR="00B0401D" w:rsidRPr="00F41821" w:rsidRDefault="00B0401D" w:rsidP="00A06B63">
      <w:pPr>
        <w:pStyle w:val="H23G"/>
        <w:keepNext w:val="0"/>
        <w:keepLines w:val="0"/>
        <w:tabs>
          <w:tab w:val="left" w:pos="1134"/>
          <w:tab w:val="left" w:pos="3402"/>
        </w:tabs>
        <w:spacing w:before="0" w:line="240" w:lineRule="atLeast"/>
        <w:ind w:left="0" w:firstLine="0"/>
        <w:rPr>
          <w:b w:val="0"/>
          <w:bCs/>
        </w:rPr>
      </w:pPr>
      <w:r>
        <w:tab/>
      </w:r>
      <w:r w:rsidRPr="00F41821">
        <w:rPr>
          <w:b w:val="0"/>
          <w:bCs/>
        </w:rPr>
        <w:tab/>
      </w:r>
      <w:r w:rsidRPr="00F41821">
        <w:rPr>
          <w:b w:val="0"/>
          <w:bCs/>
          <w:i/>
          <w:iCs/>
        </w:rPr>
        <w:t>Документы:</w:t>
      </w:r>
      <w:r w:rsidRPr="00F41821">
        <w:rPr>
          <w:b w:val="0"/>
          <w:bCs/>
        </w:rPr>
        <w:tab/>
        <w:t>ECE/TRANS/WP.15/AC.2/2021/14 и Corr.1 (ЦКСР)</w:t>
      </w:r>
      <w:bookmarkStart w:id="46" w:name="_Toc81410379"/>
      <w:bookmarkEnd w:id="46"/>
    </w:p>
    <w:p w14:paraId="32EF1C51" w14:textId="77777777" w:rsidR="00B0401D" w:rsidRPr="00A23666" w:rsidRDefault="00B0401D" w:rsidP="001E1631">
      <w:pPr>
        <w:pStyle w:val="SingleTxtG"/>
      </w:pPr>
      <w:r>
        <w:t>18.</w:t>
      </w:r>
      <w:r>
        <w:tab/>
        <w:t xml:space="preserve">Комитет по вопросам безопасности принял к сведению предлагаемые поправки к директиве Административного комитета по использованию каталога вопросов для </w:t>
      </w:r>
      <w:proofErr w:type="spellStart"/>
      <w:r>
        <w:t>экзаменования</w:t>
      </w:r>
      <w:proofErr w:type="spellEnd"/>
      <w:r>
        <w:t xml:space="preserve"> экспертов в области ВОПОГ в соответствии с главой 8.2 ВОПОГ, в том числе исключение квадратных скобок вокруг текста в пункте 51 указанного документа и некоторые исправления в варианте на немецком языке.</w:t>
      </w:r>
    </w:p>
    <w:p w14:paraId="1A1E2FC9" w14:textId="77777777" w:rsidR="00B0401D" w:rsidRPr="00A23666" w:rsidRDefault="00B0401D" w:rsidP="001E1631">
      <w:pPr>
        <w:pStyle w:val="SingleTxtG"/>
      </w:pPr>
      <w:r>
        <w:t>19.</w:t>
      </w:r>
      <w:r>
        <w:tab/>
        <w:t>В связи с замечанием представителя Германии об обеспечении справедливости на уровне сложности вопросов и оценки ответов Комитет по вопросам безопасности предложил неофициальной рабочей группе по подготовке экспертов пересмотреть предлагаемые поправки вместе с документом ECE/TRANS/WP.15/AC.2/2021/19 и вновь представить обновленное предложение для рассмотрения на предстоящей сессии в январе 2022 года.</w:t>
      </w:r>
    </w:p>
    <w:p w14:paraId="131BFC20" w14:textId="77777777" w:rsidR="00B0401D" w:rsidRPr="00A23666" w:rsidRDefault="00B0401D" w:rsidP="001E1631">
      <w:pPr>
        <w:pStyle w:val="H1G"/>
        <w:spacing w:line="240" w:lineRule="atLeast"/>
      </w:pPr>
      <w:r>
        <w:tab/>
        <w:t>E.</w:t>
      </w:r>
      <w:r>
        <w:tab/>
      </w:r>
      <w:r>
        <w:rPr>
          <w:bCs/>
        </w:rPr>
        <w:t>Вопросы, касающиеся классификационных обществ</w:t>
      </w:r>
      <w:bookmarkStart w:id="47" w:name="_Toc81410380"/>
      <w:bookmarkEnd w:id="47"/>
    </w:p>
    <w:p w14:paraId="33A423C1" w14:textId="77777777" w:rsidR="00B0401D" w:rsidRPr="00A23666" w:rsidRDefault="00B0401D" w:rsidP="001E1631">
      <w:pPr>
        <w:pStyle w:val="SingleTxtG"/>
      </w:pPr>
      <w:r>
        <w:t>20.</w:t>
      </w:r>
      <w: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3AFC6B92" w14:textId="77777777" w:rsidR="00B0401D" w:rsidRPr="00A23666" w:rsidRDefault="00B0401D" w:rsidP="001E1631">
      <w:pPr>
        <w:pStyle w:val="HChG"/>
        <w:spacing w:line="240" w:lineRule="atLeast"/>
      </w:pPr>
      <w:r>
        <w:tab/>
        <w:t>VI.</w:t>
      </w:r>
      <w:r>
        <w:tab/>
      </w:r>
      <w:r>
        <w:rPr>
          <w:bCs/>
        </w:rPr>
        <w:t>Предложения о внесении поправок в Правила, прилагаемые к ВОПОГ (пункт 4 повестки дня)</w:t>
      </w:r>
      <w:bookmarkStart w:id="48" w:name="_Toc81410381"/>
      <w:bookmarkEnd w:id="48"/>
    </w:p>
    <w:p w14:paraId="00B78C52" w14:textId="77777777" w:rsidR="00B0401D" w:rsidRPr="00A23666" w:rsidRDefault="00B0401D" w:rsidP="001E1631">
      <w:pPr>
        <w:pStyle w:val="H1G"/>
        <w:spacing w:line="240" w:lineRule="atLeast"/>
      </w:pPr>
      <w:r>
        <w:tab/>
        <w:t>A.</w:t>
      </w:r>
      <w:r>
        <w:tab/>
      </w:r>
      <w:r>
        <w:rPr>
          <w:bCs/>
        </w:rPr>
        <w:t>Работа Совместного совещания МПОГ/ДОПОГ/ВОПОГ</w:t>
      </w:r>
      <w:bookmarkStart w:id="49" w:name="_Toc81410382"/>
      <w:bookmarkEnd w:id="49"/>
    </w:p>
    <w:p w14:paraId="1C8ED5D2" w14:textId="68C6FE7D" w:rsidR="00B0401D" w:rsidRPr="00A23666" w:rsidRDefault="00B0401D" w:rsidP="00274368">
      <w:pPr>
        <w:pStyle w:val="SingleTxtG"/>
        <w:tabs>
          <w:tab w:val="clear" w:pos="2268"/>
          <w:tab w:val="clear" w:pos="2835"/>
          <w:tab w:val="left" w:pos="3402"/>
        </w:tabs>
        <w:ind w:left="3402" w:hanging="2268"/>
        <w:jc w:val="left"/>
      </w:pPr>
      <w:r>
        <w:rPr>
          <w:i/>
          <w:iCs/>
        </w:rPr>
        <w:t>Документы:</w:t>
      </w:r>
      <w:r>
        <w:tab/>
        <w:t>ECE/TRANS/WP.15/AC.1/158, приложение II ECE/TRANS/WP.15/AC.1/160, приложение II ECE/TRANS/WP.15/251, приложение I ECE/TRANS/WP.15/253, приложение I ECE/TRANS/WP.15/AC.1/2021/24 и Add.1</w:t>
      </w:r>
    </w:p>
    <w:p w14:paraId="2EAD9D54" w14:textId="77777777" w:rsidR="00B0401D" w:rsidRPr="00A23666" w:rsidRDefault="00B0401D" w:rsidP="001E1631">
      <w:pPr>
        <w:pStyle w:val="SingleTxtG"/>
      </w:pPr>
      <w:r>
        <w:t>21.</w:t>
      </w:r>
      <w:r>
        <w:tab/>
        <w:t xml:space="preserve">Комитет по вопросам безопасности принял к сведению проекты поправок к МПОГ/ДОПОГ/ВОПОГ, принятые Совместным совещанием и Рабочей группой по перевозкам опасных грузов (WP.15) в 2020 и 2021 годах. Комитет по вопросам </w:t>
      </w:r>
      <w:r>
        <w:lastRenderedPageBreak/>
        <w:t>безопасности также отметил, что на следующей сессии осенью 2021 года Совместное совещание МПОГ/ДОПОГ/ВОПОГ рассмотрит также предложения по согласованию с двадцать вторым пересмотренным изданием Рекомендаций Организации Объединенных Наций по перевозке опасных грузов, содержащиеся в документах ECE/TRANS/WP.15/AC.1/2021/24 и Add.1.</w:t>
      </w:r>
    </w:p>
    <w:p w14:paraId="55795BCB" w14:textId="77777777" w:rsidR="00B0401D" w:rsidRPr="00A23666" w:rsidRDefault="00B0401D" w:rsidP="001E1631">
      <w:pPr>
        <w:pStyle w:val="SingleTxtG"/>
      </w:pPr>
      <w:r>
        <w:t>22.</w:t>
      </w:r>
      <w:r>
        <w:tab/>
        <w:t>Секретариату было предложено объединить в одном документе все поправки по согласованию, которые должны быть отражены в Правилах, прилагаемых к ВОПОГ, для подробного рассмотрения на следующей сессии в январе 2022 года.</w:t>
      </w:r>
    </w:p>
    <w:p w14:paraId="2BC36CC0" w14:textId="77777777" w:rsidR="00B0401D" w:rsidRPr="00A23666" w:rsidRDefault="00B0401D" w:rsidP="001E1631">
      <w:pPr>
        <w:pStyle w:val="H1G"/>
        <w:keepNext w:val="0"/>
        <w:keepLines w:val="0"/>
        <w:spacing w:line="240" w:lineRule="atLeast"/>
      </w:pPr>
      <w:r>
        <w:tab/>
        <w:t>B.</w:t>
      </w:r>
      <w:r>
        <w:tab/>
      </w:r>
      <w:r>
        <w:rPr>
          <w:bCs/>
        </w:rPr>
        <w:t>Другие предложения</w:t>
      </w:r>
      <w:bookmarkStart w:id="50" w:name="_Toc81410383"/>
      <w:bookmarkEnd w:id="50"/>
    </w:p>
    <w:p w14:paraId="032FD66C" w14:textId="77777777" w:rsidR="00B0401D" w:rsidRPr="00A23666" w:rsidRDefault="00B0401D" w:rsidP="00B24754">
      <w:pPr>
        <w:pStyle w:val="H23G"/>
        <w:spacing w:line="240" w:lineRule="atLeast"/>
      </w:pPr>
      <w:r>
        <w:tab/>
        <w:t>1.</w:t>
      </w:r>
      <w:r>
        <w:tab/>
      </w:r>
      <w:r>
        <w:rPr>
          <w:bCs/>
        </w:rPr>
        <w:t>Предложения по поправкам</w:t>
      </w:r>
      <w:bookmarkStart w:id="51" w:name="_Toc81410384"/>
      <w:bookmarkEnd w:id="51"/>
    </w:p>
    <w:p w14:paraId="5D41AA73" w14:textId="77777777" w:rsidR="00B0401D" w:rsidRPr="00B24754" w:rsidRDefault="00B0401D" w:rsidP="00A06B63">
      <w:pPr>
        <w:pStyle w:val="SingleTxtG"/>
        <w:tabs>
          <w:tab w:val="clear" w:pos="2268"/>
          <w:tab w:val="clear" w:pos="2835"/>
          <w:tab w:val="left" w:pos="3402"/>
          <w:tab w:val="left" w:pos="3969"/>
        </w:tabs>
        <w:jc w:val="left"/>
      </w:pPr>
      <w:r w:rsidRPr="00B24754">
        <w:rPr>
          <w:i/>
          <w:iCs/>
        </w:rPr>
        <w:t>Документ:</w:t>
      </w:r>
      <w:r w:rsidRPr="00B24754">
        <w:tab/>
        <w:t>ECE/TRANS/WP.15/AC.2/2021/16 (Дунайская комиссия)</w:t>
      </w:r>
    </w:p>
    <w:p w14:paraId="3B34E6FB" w14:textId="5D45DD91" w:rsidR="00B0401D" w:rsidRPr="00A23666" w:rsidRDefault="00B0401D" w:rsidP="001E1631">
      <w:pPr>
        <w:pStyle w:val="SingleTxtG"/>
      </w:pPr>
      <w:r>
        <w:t>23.</w:t>
      </w:r>
      <w:r>
        <w:tab/>
        <w:t>Комитет по вопросам безопасности в принципе одобрил уточнение к варианту на русском языке определения «Мембранный танк» в разделе 1.2.1 («Тип грузового танка», пункт d)), но при этом подчеркнул необходимость полностью привести определение данного термина в соответствие с его значением на других языках ВОПОГ. Что касается предлагаемых поправок к пунктам 9.3.1.18.1 и 9.3.1.18.2, Комитет по вопросам безопасности предпочел не объединять эти два пункта, поскольку в пункте 9.3.1.18.1 содержатся положения, касающиеся обнаружения, а</w:t>
      </w:r>
      <w:r w:rsidR="00A06B63">
        <w:rPr>
          <w:lang w:val="en-US"/>
        </w:rPr>
        <w:t> </w:t>
      </w:r>
      <w:r>
        <w:t xml:space="preserve">пункт 9.3.1.18.2 связан с использованием инертного газа для целей безопасности. Представитель Дунайской комиссии вызвался вновь представить обновленное предложение для следующей сессии с учетом конструкций судов внутреннего плавания. </w:t>
      </w:r>
    </w:p>
    <w:p w14:paraId="778DF68F" w14:textId="32E462C0" w:rsidR="00B0401D" w:rsidRPr="00A23666" w:rsidRDefault="00B0401D" w:rsidP="001E1631">
      <w:pPr>
        <w:pStyle w:val="H23G"/>
        <w:spacing w:line="240" w:lineRule="atLeast"/>
      </w:pPr>
      <w:r>
        <w:tab/>
        <w:t>2.</w:t>
      </w:r>
      <w:r>
        <w:tab/>
      </w:r>
      <w:r>
        <w:rPr>
          <w:bCs/>
        </w:rPr>
        <w:t>Предложение о поправке к подразделу 7.2.4.41, касающееся ограничений на</w:t>
      </w:r>
      <w:r w:rsidR="00E4094E">
        <w:rPr>
          <w:bCs/>
          <w:lang w:val="en-US"/>
        </w:rPr>
        <w:t> </w:t>
      </w:r>
      <w:r>
        <w:rPr>
          <w:bCs/>
        </w:rPr>
        <w:t>электронные сигареты</w:t>
      </w:r>
      <w:bookmarkStart w:id="52" w:name="_Toc81410385"/>
      <w:bookmarkEnd w:id="52"/>
    </w:p>
    <w:p w14:paraId="1C38C1D0" w14:textId="77777777" w:rsidR="00B0401D" w:rsidRPr="00B0401D" w:rsidRDefault="00B0401D" w:rsidP="00A06B63">
      <w:pPr>
        <w:pStyle w:val="SingleTxtG"/>
        <w:tabs>
          <w:tab w:val="clear" w:pos="2268"/>
          <w:tab w:val="clear" w:pos="2835"/>
          <w:tab w:val="left" w:pos="3402"/>
          <w:tab w:val="left" w:pos="3969"/>
        </w:tabs>
        <w:jc w:val="left"/>
        <w:rPr>
          <w:lang w:val="en-US"/>
        </w:rPr>
      </w:pPr>
      <w:bookmarkStart w:id="53" w:name="_Toc81410386"/>
      <w:r w:rsidRPr="004C1857">
        <w:rPr>
          <w:i/>
          <w:iCs/>
        </w:rPr>
        <w:t>Документ</w:t>
      </w:r>
      <w:r w:rsidRPr="004C1857">
        <w:rPr>
          <w:i/>
          <w:iCs/>
          <w:lang w:val="en-US"/>
        </w:rPr>
        <w:t>:</w:t>
      </w:r>
      <w:r w:rsidRPr="004C1857">
        <w:rPr>
          <w:lang w:val="en-US"/>
        </w:rPr>
        <w:tab/>
        <w:t>ECE/TRANS/WP.15/AC.2/2021/17 (</w:t>
      </w:r>
      <w:r w:rsidRPr="004C1857">
        <w:t>ЦКСР</w:t>
      </w:r>
      <w:r w:rsidRPr="004C1857">
        <w:rPr>
          <w:lang w:val="en-US"/>
        </w:rPr>
        <w:t>)</w:t>
      </w:r>
      <w:bookmarkEnd w:id="53"/>
    </w:p>
    <w:p w14:paraId="487017C3" w14:textId="5775BCCB" w:rsidR="00B0401D" w:rsidRPr="00A23666" w:rsidRDefault="00B0401D" w:rsidP="001E1631">
      <w:pPr>
        <w:pStyle w:val="SingleTxtG"/>
      </w:pPr>
      <w:r>
        <w:t>24.</w:t>
      </w:r>
      <w:r>
        <w:tab/>
        <w:t>Комитет по вопросам безопасности принял предлагаемую поправку к подразделу 7.2.4.41, запрещающую использование электронных сигарет (см.</w:t>
      </w:r>
      <w:r w:rsidR="00E4094E">
        <w:rPr>
          <w:lang w:val="en-US"/>
        </w:rPr>
        <w:t> </w:t>
      </w:r>
      <w:r>
        <w:t>приложение I).</w:t>
      </w:r>
    </w:p>
    <w:p w14:paraId="0F4C6D75" w14:textId="77777777" w:rsidR="00B0401D" w:rsidRPr="00A23666" w:rsidRDefault="00B0401D" w:rsidP="001E1631">
      <w:pPr>
        <w:pStyle w:val="H23G"/>
        <w:spacing w:line="240" w:lineRule="atLeast"/>
      </w:pPr>
      <w:r>
        <w:tab/>
        <w:t>3.</w:t>
      </w:r>
      <w:r>
        <w:tab/>
      </w:r>
      <w:r>
        <w:rPr>
          <w:bCs/>
        </w:rPr>
        <w:t>Различные поправки и исправления к изданию ВОПОГ 2021 года, требующие уведомления</w:t>
      </w:r>
      <w:bookmarkStart w:id="54" w:name="_Toc81410387"/>
      <w:bookmarkEnd w:id="54"/>
    </w:p>
    <w:p w14:paraId="020FDE46" w14:textId="77777777" w:rsidR="00B0401D" w:rsidRPr="00A06B63" w:rsidRDefault="00B0401D" w:rsidP="00A06B63">
      <w:pPr>
        <w:pStyle w:val="SingleTxtG"/>
        <w:tabs>
          <w:tab w:val="clear" w:pos="2268"/>
          <w:tab w:val="clear" w:pos="2835"/>
          <w:tab w:val="left" w:pos="3402"/>
          <w:tab w:val="left" w:pos="3969"/>
        </w:tabs>
        <w:jc w:val="left"/>
      </w:pPr>
      <w:bookmarkStart w:id="55" w:name="_Toc81410388"/>
      <w:r w:rsidRPr="00A06B63">
        <w:rPr>
          <w:i/>
          <w:iCs/>
        </w:rPr>
        <w:t>Документ:</w:t>
      </w:r>
      <w:r w:rsidRPr="00A06B63">
        <w:tab/>
        <w:t>ECE/TRANS/WP.15/AC.2/2021/19 (Германия)</w:t>
      </w:r>
      <w:bookmarkEnd w:id="55"/>
    </w:p>
    <w:p w14:paraId="35CEE2D2" w14:textId="5AD8946E" w:rsidR="00B0401D" w:rsidRPr="00A23666" w:rsidRDefault="00B0401D" w:rsidP="001E1631">
      <w:pPr>
        <w:pStyle w:val="SingleTxtG"/>
      </w:pPr>
      <w:r>
        <w:t>25.</w:t>
      </w:r>
      <w:r>
        <w:tab/>
        <w:t>Комитет по вопросам безопасности принял различные поправки и исправления к таблицам А, С и пункту 7.2.5.4.2, предложенные в документе ECE/TRANS/WP.15/</w:t>
      </w:r>
      <w:r w:rsidR="00E4094E" w:rsidRPr="00E4094E">
        <w:t xml:space="preserve"> </w:t>
      </w:r>
      <w:r>
        <w:t>AC.2/2021/19, с внесенными изменениями (см. приложение I).</w:t>
      </w:r>
    </w:p>
    <w:p w14:paraId="5CE05F64" w14:textId="77777777" w:rsidR="00B0401D" w:rsidRPr="00A23666" w:rsidRDefault="00B0401D" w:rsidP="001E1631">
      <w:pPr>
        <w:pStyle w:val="H23G"/>
        <w:spacing w:line="240" w:lineRule="atLeast"/>
      </w:pPr>
      <w:r>
        <w:tab/>
        <w:t>4.</w:t>
      </w:r>
      <w:r>
        <w:tab/>
      </w:r>
      <w:r>
        <w:rPr>
          <w:bCs/>
        </w:rPr>
        <w:t>Раздел 8.2.1 ВОПОГ — Предписания, касающиеся подготовки экспертов</w:t>
      </w:r>
      <w:bookmarkStart w:id="56" w:name="_Toc81410389"/>
      <w:bookmarkEnd w:id="56"/>
    </w:p>
    <w:p w14:paraId="26B86CA6" w14:textId="77777777" w:rsidR="00B0401D" w:rsidRPr="00A06B63" w:rsidRDefault="00B0401D" w:rsidP="00A06B63">
      <w:pPr>
        <w:pStyle w:val="SingleTxtG"/>
        <w:tabs>
          <w:tab w:val="clear" w:pos="2268"/>
          <w:tab w:val="clear" w:pos="2835"/>
          <w:tab w:val="left" w:pos="3402"/>
          <w:tab w:val="left" w:pos="3969"/>
        </w:tabs>
        <w:jc w:val="left"/>
      </w:pPr>
      <w:bookmarkStart w:id="57" w:name="_Toc81410390"/>
      <w:r w:rsidRPr="00A06B63">
        <w:rPr>
          <w:i/>
          <w:iCs/>
        </w:rPr>
        <w:t>Документ:</w:t>
      </w:r>
      <w:r w:rsidRPr="00A06B63">
        <w:tab/>
        <w:t>ECE/TRANS/WP.15/AC.2/2021/21 (Германия)</w:t>
      </w:r>
      <w:bookmarkEnd w:id="57"/>
    </w:p>
    <w:p w14:paraId="0C2CF6AC" w14:textId="78B8517D" w:rsidR="00B0401D" w:rsidRPr="00A23666" w:rsidRDefault="00B0401D" w:rsidP="001E1631">
      <w:pPr>
        <w:pStyle w:val="SingleTxtG"/>
      </w:pPr>
      <w:r>
        <w:t>26.</w:t>
      </w:r>
      <w:r>
        <w:tab/>
        <w:t>Комитет по вопросам безопасности подробно рассмотрел и в принципе одобрил предлагаемые поправки, изложенные в разделах 1, 2, 3, 4 и 5, и принял предложения, сформулированные в разделах 2 и 5 (см. приложение I). В отношении предложения, содержащегося в разделе 3, Комитет по вопросам безопасности пришел к выводу, что по образовательным соображениям желательно предусмотреть две попытки пересдачи экзамена и что желательно провести сравнение с другими формами сдачи экзамена. В</w:t>
      </w:r>
      <w:r w:rsidR="00E4094E">
        <w:rPr>
          <w:lang w:val="en-US"/>
        </w:rPr>
        <w:t> </w:t>
      </w:r>
      <w:r>
        <w:t xml:space="preserve">отношении предлагаемых поправок к пункту 8.2.2.7.2.1, касающихся зачисления на специализированные курсы по газам и химическим продуктам, Комитет по вопросам безопасности отметил, что кандидаты не обязательно должны обладать физическим свидетельством для подачи заявления на сдачу экзамена, так как с выдачей свидетельств могут возникать задержки. Также было решено, что специальные условия сдачи экзамена для кандидатов с ограниченными возможностями допускаются в соответствии с установленными государством правилами. </w:t>
      </w:r>
      <w:r>
        <w:lastRenderedPageBreak/>
        <w:t>Представитель Германии вызвался подготовить обновленное предложение для окончательного рассмотрения на следующей сессии в январе 2022 года.</w:t>
      </w:r>
    </w:p>
    <w:p w14:paraId="33FFDA36" w14:textId="77777777" w:rsidR="00B0401D" w:rsidRPr="00A23666" w:rsidRDefault="00B0401D" w:rsidP="001E1631">
      <w:pPr>
        <w:pStyle w:val="H23G"/>
        <w:spacing w:line="240" w:lineRule="atLeast"/>
      </w:pPr>
      <w:r>
        <w:tab/>
        <w:t>5.</w:t>
      </w:r>
      <w:r>
        <w:tab/>
      </w:r>
      <w:r>
        <w:rPr>
          <w:bCs/>
        </w:rPr>
        <w:t xml:space="preserve">Перевозка </w:t>
      </w:r>
      <w:proofErr w:type="spellStart"/>
      <w:r>
        <w:rPr>
          <w:bCs/>
        </w:rPr>
        <w:t>фумигированных</w:t>
      </w:r>
      <w:proofErr w:type="spellEnd"/>
      <w:r>
        <w:rPr>
          <w:bCs/>
        </w:rPr>
        <w:t xml:space="preserve"> навалочных/насыпных грузов в грузовых трюмах и </w:t>
      </w:r>
      <w:proofErr w:type="spellStart"/>
      <w:r>
        <w:rPr>
          <w:bCs/>
        </w:rPr>
        <w:t>фумигированных</w:t>
      </w:r>
      <w:proofErr w:type="spellEnd"/>
      <w:r>
        <w:rPr>
          <w:bCs/>
        </w:rPr>
        <w:t xml:space="preserve"> грузовых трюмах сухогрузных судов</w:t>
      </w:r>
      <w:bookmarkStart w:id="58" w:name="_Toc81410391"/>
      <w:bookmarkEnd w:id="58"/>
    </w:p>
    <w:p w14:paraId="79630628" w14:textId="77777777" w:rsidR="00B0401D" w:rsidRPr="00B7601E" w:rsidRDefault="00B0401D" w:rsidP="00F3595D">
      <w:pPr>
        <w:pStyle w:val="SingleTxtG"/>
        <w:tabs>
          <w:tab w:val="clear" w:pos="2268"/>
          <w:tab w:val="clear" w:pos="2835"/>
          <w:tab w:val="left" w:pos="3969"/>
        </w:tabs>
      </w:pPr>
      <w:bookmarkStart w:id="59" w:name="_Toc81410392"/>
      <w:r w:rsidRPr="00B7601E">
        <w:rPr>
          <w:i/>
          <w:iCs/>
        </w:rPr>
        <w:t>Документ:</w:t>
      </w:r>
      <w:r w:rsidRPr="00B7601E">
        <w:tab/>
        <w:t>ECE/TRANS/WP.15/AC.2/2021/22 (Германия)</w:t>
      </w:r>
      <w:bookmarkEnd w:id="59"/>
    </w:p>
    <w:p w14:paraId="66F023BD" w14:textId="77777777" w:rsidR="00B0401D" w:rsidRPr="006867C4" w:rsidRDefault="00B0401D" w:rsidP="00F3595D">
      <w:pPr>
        <w:pStyle w:val="SingleTxtG"/>
        <w:tabs>
          <w:tab w:val="left" w:pos="3969"/>
        </w:tabs>
      </w:pPr>
      <w:bookmarkStart w:id="60" w:name="_Toc81410393"/>
      <w:r w:rsidRPr="00B7601E">
        <w:rPr>
          <w:i/>
          <w:iCs/>
        </w:rPr>
        <w:t>Неофициальный документ:</w:t>
      </w:r>
      <w:r w:rsidRPr="00B7601E">
        <w:tab/>
        <w:t>INF.5 (Австрия)</w:t>
      </w:r>
      <w:bookmarkEnd w:id="60"/>
    </w:p>
    <w:p w14:paraId="25980991" w14:textId="77777777" w:rsidR="00B0401D" w:rsidRPr="00A23666" w:rsidRDefault="00B0401D" w:rsidP="001E1631">
      <w:pPr>
        <w:pStyle w:val="SingleTxtG"/>
      </w:pPr>
      <w:r>
        <w:t>27.</w:t>
      </w:r>
      <w:r>
        <w:tab/>
        <w:t xml:space="preserve">Комитет по вопросам безопасности согласился с важностью внесения поправок в Правила, прилагаемые к ВОПОГ, с целью охвата перевозки </w:t>
      </w:r>
      <w:proofErr w:type="spellStart"/>
      <w:r>
        <w:t>фумигированных</w:t>
      </w:r>
      <w:proofErr w:type="spellEnd"/>
      <w:r>
        <w:t xml:space="preserve"> навалочных/насыпных грузов в грузовых трюмах и </w:t>
      </w:r>
      <w:proofErr w:type="spellStart"/>
      <w:r>
        <w:t>фумигированных</w:t>
      </w:r>
      <w:proofErr w:type="spellEnd"/>
      <w:r>
        <w:t xml:space="preserve"> грузовых трюмах сухогрузных судов для обеспечения безопасности членов экипажа и других находящихся на борту лиц. Учитывая то, что предложение Германии касается только навалочных/насыпных грузов, представитель Австрии внес в неофициальном документе INF.5 альтернативное предложение о включении рассматриваемых положений в раздел 5.5.2 вместо нового раздела 5.5.5.</w:t>
      </w:r>
    </w:p>
    <w:p w14:paraId="54B3B579" w14:textId="77777777" w:rsidR="00B0401D" w:rsidRPr="00A23666" w:rsidRDefault="00B0401D" w:rsidP="001E1631">
      <w:pPr>
        <w:pStyle w:val="SingleTxtG"/>
      </w:pPr>
      <w:r>
        <w:t>28.</w:t>
      </w:r>
      <w:r>
        <w:tab/>
        <w:t xml:space="preserve">После обсуждения Комитет по вопросам безопасности предложил Германии и Нидерландам организовать корреспондентскую группу для достижения прогресса по этому вопросу. Было решено, что предложение должно быть сосредоточено на безопасности членов экипажа и других находящихся на борту лиц с учетом всех возможных рисков. Было также решено, что необходимо изучить имеющуюся научно-техническую литературу по данному вопросу, а также проконсультироваться с экспертами, с тем чтобы лучше понять поведение </w:t>
      </w:r>
      <w:proofErr w:type="spellStart"/>
      <w:r>
        <w:t>фумигационных</w:t>
      </w:r>
      <w:proofErr w:type="spellEnd"/>
      <w:r>
        <w:t xml:space="preserve"> газов. Представитель АТЗПП предложил свою поддержку и техническую экспертизу в ходе дальнейшего проведения этих важных дискуссий.</w:t>
      </w:r>
    </w:p>
    <w:p w14:paraId="0D45CCD6" w14:textId="6730194F" w:rsidR="00B0401D" w:rsidRPr="00A23666" w:rsidRDefault="00B0401D" w:rsidP="00F3595D">
      <w:pPr>
        <w:pStyle w:val="H23G"/>
      </w:pPr>
      <w:r>
        <w:tab/>
        <w:t>6.</w:t>
      </w:r>
      <w:r>
        <w:tab/>
        <w:t>Части 4 и 6 ВОПОГ — отступления в связи с многосторонними соглашениями в</w:t>
      </w:r>
      <w:r w:rsidR="00E4094E">
        <w:rPr>
          <w:lang w:val="en-US"/>
        </w:rPr>
        <w:t> </w:t>
      </w:r>
      <w:r>
        <w:t>соответствии с ДОПОГ/МПОГ</w:t>
      </w:r>
      <w:bookmarkStart w:id="61" w:name="_Toc81410394"/>
      <w:bookmarkEnd w:id="61"/>
    </w:p>
    <w:p w14:paraId="49CFD41B" w14:textId="77777777" w:rsidR="00B0401D" w:rsidRPr="001F33A6" w:rsidRDefault="00B0401D" w:rsidP="001348AD">
      <w:pPr>
        <w:pStyle w:val="SingleTxtG"/>
        <w:tabs>
          <w:tab w:val="clear" w:pos="2268"/>
          <w:tab w:val="clear" w:pos="2835"/>
          <w:tab w:val="left" w:pos="3969"/>
        </w:tabs>
      </w:pPr>
      <w:bookmarkStart w:id="62" w:name="_Toc81410395"/>
      <w:r w:rsidRPr="001F33A6">
        <w:rPr>
          <w:i/>
          <w:iCs/>
        </w:rPr>
        <w:t>Документ:</w:t>
      </w:r>
      <w:r w:rsidRPr="001F33A6">
        <w:tab/>
        <w:t>ECE/TRANS/WP.15/AC.2/2021/23 (Германия)</w:t>
      </w:r>
      <w:bookmarkEnd w:id="62"/>
    </w:p>
    <w:p w14:paraId="4508E9A6" w14:textId="77777777" w:rsidR="00B0401D" w:rsidRPr="00A23666" w:rsidRDefault="00B0401D" w:rsidP="001E1631">
      <w:pPr>
        <w:pStyle w:val="SingleTxtG"/>
      </w:pPr>
      <w:r>
        <w:t>29.</w:t>
      </w:r>
      <w:r>
        <w:tab/>
        <w:t xml:space="preserve">Мнения членов Комитета по вопросам безопасности разделились в отношении предложения Германии включить в раздел 1.5.1 новое положение о том, что Договаривающиеся стороны ВОПОГ «автоматически» рассматривают временные отступления, касающиеся частей 4 и 6 МПОГ/ДОПОГ, как двусторонние или многосторонние соглашения между Договаривающимися сторонами ВОПОГ, </w:t>
      </w:r>
      <w:r w:rsidRPr="00E4094E">
        <w:rPr>
          <w:spacing w:val="-2"/>
        </w:rPr>
        <w:t>подписавшими эти двусторонние/многосторонние соглашения, и Договаривающимися</w:t>
      </w:r>
      <w:r>
        <w:t xml:space="preserve"> сторонами ВОПОГ в целом. По итогам обсуждений стало ясно, что толкование и, следовательно, применение этого принципа различаются не только между компетентными органами, но и между различными органами, отвечающими за различные виды транспорта на территории Договаривающейся стороны, и были высказаны некоторые опасения по поводу возможного прерывания цепочки мультимодальных перевозок.</w:t>
      </w:r>
    </w:p>
    <w:p w14:paraId="01F856FB" w14:textId="77777777" w:rsidR="00B0401D" w:rsidRPr="00A23666" w:rsidRDefault="00B0401D" w:rsidP="001E1631">
      <w:pPr>
        <w:pStyle w:val="SingleTxtG"/>
      </w:pPr>
      <w:r>
        <w:t>30.</w:t>
      </w:r>
      <w:r>
        <w:tab/>
        <w:t>В то время как некоторые представители высказались за сохранение определенной гибкости для определения в каждом конкретном случае того, имеют ли временные отступления в рамках МПОГ/ДОПОГ, касающиеся частей 4 и 6, отношение к ВОПОГ, другие согласились с принципом, согласно которому включение в ВОПОГ положений о том, как рассматривать эти временные отступления, позволит обеспечить согласованное применение и правовую определенность.</w:t>
      </w:r>
    </w:p>
    <w:p w14:paraId="2F2D8E36" w14:textId="77777777" w:rsidR="00B0401D" w:rsidRPr="00A23666" w:rsidRDefault="00B0401D" w:rsidP="001E1631">
      <w:pPr>
        <w:pStyle w:val="SingleTxtG"/>
      </w:pPr>
      <w:r>
        <w:t>31.</w:t>
      </w:r>
      <w:r>
        <w:tab/>
        <w:t>После обсуждения было решено, что этот вопрос должен быть рассмотрен Совместным совещанием МПОГ/ДОПОГ/ВОПОГ на его предстоящей сессии на основе предложения Германии.</w:t>
      </w:r>
    </w:p>
    <w:p w14:paraId="01B57BD9" w14:textId="77777777" w:rsidR="00B0401D" w:rsidRPr="00A23666" w:rsidRDefault="00B0401D" w:rsidP="001E1631">
      <w:pPr>
        <w:pStyle w:val="H23G"/>
        <w:spacing w:line="240" w:lineRule="atLeast"/>
      </w:pPr>
      <w:r>
        <w:tab/>
        <w:t>7.</w:t>
      </w:r>
      <w:r>
        <w:tab/>
      </w:r>
      <w:r>
        <w:rPr>
          <w:bCs/>
        </w:rPr>
        <w:t>Предложение по исправлению текста подраздела 9.3.3.60</w:t>
      </w:r>
      <w:bookmarkStart w:id="63" w:name="_Toc81410396"/>
      <w:bookmarkEnd w:id="63"/>
    </w:p>
    <w:p w14:paraId="2A5CF03A" w14:textId="77777777" w:rsidR="00B0401D" w:rsidRPr="00B0401D" w:rsidRDefault="00B0401D" w:rsidP="00A20E79">
      <w:pPr>
        <w:pStyle w:val="SingleTxtG"/>
        <w:tabs>
          <w:tab w:val="clear" w:pos="2268"/>
          <w:tab w:val="clear" w:pos="2835"/>
          <w:tab w:val="left" w:pos="3969"/>
        </w:tabs>
        <w:rPr>
          <w:lang w:val="en-US"/>
        </w:rPr>
      </w:pPr>
      <w:bookmarkStart w:id="64" w:name="_Toc81410397"/>
      <w:r w:rsidRPr="00A64C7B">
        <w:rPr>
          <w:i/>
          <w:iCs/>
        </w:rPr>
        <w:t>Документ</w:t>
      </w:r>
      <w:r w:rsidRPr="00A64C7B">
        <w:rPr>
          <w:i/>
          <w:iCs/>
          <w:lang w:val="en-US"/>
        </w:rPr>
        <w:t>:</w:t>
      </w:r>
      <w:r w:rsidRPr="00A64C7B">
        <w:rPr>
          <w:lang w:val="en-US"/>
        </w:rPr>
        <w:tab/>
        <w:t>ECE/TRANS/WP.15/AC.2/2021/24 (</w:t>
      </w:r>
      <w:r w:rsidRPr="00A64C7B">
        <w:t>ЦКСР</w:t>
      </w:r>
      <w:r w:rsidRPr="00A64C7B">
        <w:rPr>
          <w:lang w:val="en-US"/>
        </w:rPr>
        <w:t>)</w:t>
      </w:r>
      <w:bookmarkEnd w:id="64"/>
    </w:p>
    <w:p w14:paraId="4A78A3FC" w14:textId="77777777" w:rsidR="00B0401D" w:rsidRPr="00A23666" w:rsidRDefault="00B0401D" w:rsidP="001E1631">
      <w:pPr>
        <w:pStyle w:val="SingleTxtG"/>
      </w:pPr>
      <w:r>
        <w:t>32.</w:t>
      </w:r>
      <w:r>
        <w:tab/>
        <w:t>Комитет по вопросам безопасности принял предлагаемые исправления в вариантах подраздела 9.3.3.60 на французском и немецком языках (см. приложение I).</w:t>
      </w:r>
    </w:p>
    <w:p w14:paraId="1137CCE5" w14:textId="77777777" w:rsidR="00B0401D" w:rsidRPr="00A23666" w:rsidRDefault="00B0401D" w:rsidP="001E1631">
      <w:pPr>
        <w:pStyle w:val="H23G"/>
        <w:spacing w:line="240" w:lineRule="atLeast"/>
      </w:pPr>
      <w:r>
        <w:lastRenderedPageBreak/>
        <w:tab/>
        <w:t>8.</w:t>
      </w:r>
      <w:r>
        <w:tab/>
      </w:r>
      <w:r>
        <w:rPr>
          <w:bCs/>
        </w:rPr>
        <w:t>Положения, касающиеся коффердамов</w:t>
      </w:r>
      <w:bookmarkStart w:id="65" w:name="_Toc81410398"/>
      <w:bookmarkEnd w:id="65"/>
    </w:p>
    <w:p w14:paraId="24BC3892" w14:textId="77777777" w:rsidR="00B0401D" w:rsidRPr="00A64C7B" w:rsidRDefault="00B0401D" w:rsidP="00A20E79">
      <w:pPr>
        <w:pStyle w:val="SingleTxtG"/>
        <w:tabs>
          <w:tab w:val="clear" w:pos="2268"/>
          <w:tab w:val="clear" w:pos="2835"/>
          <w:tab w:val="left" w:pos="3969"/>
        </w:tabs>
      </w:pPr>
      <w:bookmarkStart w:id="66" w:name="_Toc81410399"/>
      <w:r w:rsidRPr="00A64C7B">
        <w:rPr>
          <w:i/>
          <w:iCs/>
        </w:rPr>
        <w:t>Документ:</w:t>
      </w:r>
      <w:r w:rsidRPr="00A64C7B">
        <w:tab/>
        <w:t>ECE/TRANS/WP.15/AC.2/2021/25 (ЕСРС и ЕОС)</w:t>
      </w:r>
      <w:bookmarkEnd w:id="66"/>
    </w:p>
    <w:p w14:paraId="63D30889" w14:textId="77777777" w:rsidR="00B0401D" w:rsidRPr="00A23666" w:rsidRDefault="00B0401D" w:rsidP="001E1631">
      <w:pPr>
        <w:pStyle w:val="SingleTxtG"/>
      </w:pPr>
      <w:r>
        <w:t>33.</w:t>
      </w:r>
      <w:r>
        <w:tab/>
        <w:t xml:space="preserve">В отсутствие причин для предусмотренного в прежнем варианте ВОПОГ ограничения, согласно которому коффердам более нельзя использовать в качестве дополнительной балластной цистерны, Комитет по вопросам безопасности провел обсуждение предложения по снижению риска инцидентов и предпочел отложить его принятие. Было отмечено, что прохода под низкими мостами в некоторых случаях можно избежать с помощью других технических или административных мер, таких как использование новых технологий и инженерных решений или лучшее планирование </w:t>
      </w:r>
      <w:proofErr w:type="gramStart"/>
      <w:r>
        <w:t>маршрутов движения</w:t>
      </w:r>
      <w:proofErr w:type="gramEnd"/>
      <w:r>
        <w:t xml:space="preserve"> судов и использование более оптимальных решений при строительстве мостов. Было также отмечено, что сухое состояние коффердама облегчает проведение проверок судна на предмет утечек и что запрет на использование коффердамов в качестве балластных цистерн распространяется на суда, построенные после 2000 года.</w:t>
      </w:r>
    </w:p>
    <w:p w14:paraId="31FB6542" w14:textId="77777777" w:rsidR="00B0401D" w:rsidRPr="00A23666" w:rsidRDefault="00B0401D" w:rsidP="001E1631">
      <w:pPr>
        <w:pStyle w:val="SingleTxtG"/>
      </w:pPr>
      <w:r>
        <w:t>34.</w:t>
      </w:r>
      <w:r>
        <w:tab/>
        <w:t>Было решено возобновить рассмотрение в более общем плане вопроса о том, каким образом предохранительные устройства могут быть использованы в операционных целях. Представитель ЕСРС вызвался провести исследовательскую работу по этому вопросу и повторно представить обновленное предложение для следующей сессии.</w:t>
      </w:r>
    </w:p>
    <w:p w14:paraId="146867A0" w14:textId="77777777" w:rsidR="00B0401D" w:rsidRPr="00A23666" w:rsidRDefault="00B0401D" w:rsidP="001E1631">
      <w:pPr>
        <w:pStyle w:val="H23G"/>
        <w:spacing w:line="240" w:lineRule="atLeast"/>
      </w:pPr>
      <w:r>
        <w:tab/>
        <w:t>9.</w:t>
      </w:r>
      <w:r>
        <w:tab/>
      </w:r>
      <w:r>
        <w:rPr>
          <w:bCs/>
        </w:rPr>
        <w:t>Инструкции по загрузке и разгрузке</w:t>
      </w:r>
      <w:bookmarkStart w:id="67" w:name="_Toc81410400"/>
      <w:bookmarkEnd w:id="67"/>
    </w:p>
    <w:p w14:paraId="045C2604" w14:textId="77777777" w:rsidR="00B0401D" w:rsidRPr="00822609" w:rsidRDefault="00B0401D" w:rsidP="00B656EB">
      <w:pPr>
        <w:pStyle w:val="SingleTxtG"/>
        <w:tabs>
          <w:tab w:val="clear" w:pos="2268"/>
          <w:tab w:val="clear" w:pos="2835"/>
          <w:tab w:val="left" w:pos="3969"/>
        </w:tabs>
      </w:pPr>
      <w:bookmarkStart w:id="68" w:name="_Toc81410401"/>
      <w:r w:rsidRPr="00822609">
        <w:rPr>
          <w:i/>
          <w:iCs/>
        </w:rPr>
        <w:t>Документ:</w:t>
      </w:r>
      <w:r w:rsidRPr="00822609">
        <w:tab/>
        <w:t>ECE/TRANS/WP.15/AC.2/2021/26 (Нидерланды)</w:t>
      </w:r>
      <w:bookmarkEnd w:id="68"/>
    </w:p>
    <w:p w14:paraId="5E2B2677" w14:textId="77777777" w:rsidR="00B0401D" w:rsidRPr="00822609" w:rsidRDefault="00B0401D" w:rsidP="00B656EB">
      <w:pPr>
        <w:pStyle w:val="SingleTxtG"/>
        <w:tabs>
          <w:tab w:val="left" w:pos="3969"/>
        </w:tabs>
      </w:pPr>
      <w:bookmarkStart w:id="69" w:name="_Toc81410402"/>
      <w:r w:rsidRPr="00822609">
        <w:rPr>
          <w:i/>
          <w:iCs/>
        </w:rPr>
        <w:t>Неофициальный документ:</w:t>
      </w:r>
      <w:r w:rsidRPr="00822609">
        <w:tab/>
        <w:t>INF.2 (Нидерланды)</w:t>
      </w:r>
      <w:bookmarkEnd w:id="69"/>
    </w:p>
    <w:p w14:paraId="386F9A38" w14:textId="77777777" w:rsidR="00B0401D" w:rsidRPr="00A23666" w:rsidRDefault="00B0401D" w:rsidP="001E1631">
      <w:pPr>
        <w:pStyle w:val="SingleTxtG"/>
      </w:pPr>
      <w:r>
        <w:t>35.</w:t>
      </w:r>
      <w:r>
        <w:tab/>
        <w:t>Комитет по вопросам безопасности принял к сведению некоторые опасения по поводу использования в предлагаемых поправках «плотности паров», наличия таких данных и необходимости уточнения обязанностей. Представитель Нидерландов подтвердил, что такие данные имеются на уровне отрасли и что применимость уже доказана в качестве передовой практики на национальном уровне. Было решено, что документ ECE/TRANS/WP.15/AC.2/2021/26 является хорошей основой для обсуждения, но его следует доработать, чтобы прояснить поднятые вопросы. Представитель ЕСФХП высказал мнение, что вместо использования плотности паров для расчета скорости загрузки можно использовать легкодоступные данные о давлении паров, и поэтому предпочел вновь обсудить метод расчета.</w:t>
      </w:r>
    </w:p>
    <w:p w14:paraId="2C7C1AE8" w14:textId="77777777" w:rsidR="00B0401D" w:rsidRPr="00A23666" w:rsidRDefault="00B0401D" w:rsidP="001E1631">
      <w:pPr>
        <w:pStyle w:val="SingleTxtG"/>
      </w:pPr>
      <w:r>
        <w:t>36.</w:t>
      </w:r>
      <w:r>
        <w:tab/>
        <w:t>Комитет по вопросам безопасности решил создать неофициальную рабочую группу по инструкциям по загрузке и разгрузке. Он уже обсудил первый набор пунктов для проекта круга ведения. Представитель Нидерландов вызвался продолжить разработку этого проекта и предложил всем заинтересованным делегатам прислать ему по электронной почте сообщение о своей заинтересованности в участии в деятельности этой новой группы. Комитет по вопросам безопасности решил рассмотреть на своей следующей сессии окончательное предложение по кругу ведения неофициальной рабочей группы.</w:t>
      </w:r>
    </w:p>
    <w:p w14:paraId="3020F17A" w14:textId="77777777" w:rsidR="00B0401D" w:rsidRPr="00A23666" w:rsidRDefault="00B0401D" w:rsidP="001E1631">
      <w:pPr>
        <w:pStyle w:val="H23G"/>
        <w:spacing w:line="240" w:lineRule="atLeast"/>
      </w:pPr>
      <w:r>
        <w:tab/>
        <w:t>10.</w:t>
      </w:r>
      <w:r>
        <w:tab/>
      </w:r>
      <w:r>
        <w:rPr>
          <w:bCs/>
        </w:rPr>
        <w:t>Схема B в подразделе 3.2.3.3</w:t>
      </w:r>
      <w:bookmarkStart w:id="70" w:name="_Toc81410403"/>
      <w:bookmarkEnd w:id="70"/>
    </w:p>
    <w:p w14:paraId="7ADC9BD3" w14:textId="77777777" w:rsidR="00B0401D" w:rsidRPr="00C810F0" w:rsidRDefault="00B0401D" w:rsidP="00766D30">
      <w:pPr>
        <w:pStyle w:val="SingleTxtG"/>
        <w:tabs>
          <w:tab w:val="clear" w:pos="2268"/>
          <w:tab w:val="clear" w:pos="2835"/>
          <w:tab w:val="left" w:pos="3969"/>
        </w:tabs>
      </w:pPr>
      <w:bookmarkStart w:id="71" w:name="_Toc81410404"/>
      <w:r w:rsidRPr="00C810F0">
        <w:rPr>
          <w:i/>
          <w:iCs/>
        </w:rPr>
        <w:t>Документ:</w:t>
      </w:r>
      <w:r w:rsidRPr="00C810F0">
        <w:tab/>
        <w:t>ECE/TRANS/WP.15/AC.2/2021/28 (Нидерланды)</w:t>
      </w:r>
      <w:bookmarkEnd w:id="71"/>
    </w:p>
    <w:p w14:paraId="7C52EAEE" w14:textId="77777777" w:rsidR="00B0401D" w:rsidRPr="00284CB8" w:rsidRDefault="00B0401D" w:rsidP="001E1631">
      <w:pPr>
        <w:pStyle w:val="SingleTxtG"/>
        <w:rPr>
          <w:spacing w:val="-2"/>
        </w:rPr>
      </w:pPr>
      <w:r>
        <w:t>37.</w:t>
      </w:r>
      <w:r>
        <w:tab/>
        <w:t xml:space="preserve">Комитет по вопросам безопасности приветствовал и принял предложение по </w:t>
      </w:r>
      <w:r w:rsidRPr="00284CB8">
        <w:rPr>
          <w:spacing w:val="-2"/>
        </w:rPr>
        <w:t xml:space="preserve">улучшению удобочитаемости схемы В </w:t>
      </w:r>
      <w:proofErr w:type="spellStart"/>
      <w:r w:rsidRPr="00284CB8">
        <w:rPr>
          <w:spacing w:val="-2"/>
        </w:rPr>
        <w:t>в</w:t>
      </w:r>
      <w:proofErr w:type="spellEnd"/>
      <w:r w:rsidRPr="00284CB8">
        <w:rPr>
          <w:spacing w:val="-2"/>
        </w:rPr>
        <w:t xml:space="preserve"> подразделе 3.2.3.3 ВОПОГ (см. приложение I).</w:t>
      </w:r>
    </w:p>
    <w:p w14:paraId="140BA147" w14:textId="77777777" w:rsidR="00B0401D" w:rsidRPr="00A23666" w:rsidRDefault="00B0401D" w:rsidP="001E1631">
      <w:pPr>
        <w:pStyle w:val="H23G"/>
        <w:spacing w:line="240" w:lineRule="atLeast"/>
      </w:pPr>
      <w:r>
        <w:tab/>
        <w:t>11.</w:t>
      </w:r>
      <w:r>
        <w:tab/>
      </w:r>
      <w:bookmarkStart w:id="72" w:name="_Hlk85549183"/>
      <w:r>
        <w:rPr>
          <w:bCs/>
        </w:rPr>
        <w:t>Конструкционные материалы</w:t>
      </w:r>
      <w:bookmarkStart w:id="73" w:name="_Toc81410405"/>
      <w:bookmarkEnd w:id="73"/>
      <w:bookmarkEnd w:id="72"/>
    </w:p>
    <w:p w14:paraId="1D36DB2A" w14:textId="77777777" w:rsidR="00B0401D" w:rsidRPr="00670975" w:rsidRDefault="00B0401D" w:rsidP="00766D30">
      <w:pPr>
        <w:pStyle w:val="SingleTxtG"/>
        <w:tabs>
          <w:tab w:val="clear" w:pos="2268"/>
          <w:tab w:val="clear" w:pos="2835"/>
          <w:tab w:val="left" w:pos="3969"/>
        </w:tabs>
      </w:pPr>
      <w:bookmarkStart w:id="74" w:name="_Toc81410406"/>
      <w:r w:rsidRPr="00670975">
        <w:rPr>
          <w:i/>
          <w:iCs/>
        </w:rPr>
        <w:t>Документ:</w:t>
      </w:r>
      <w:r w:rsidRPr="00670975">
        <w:tab/>
        <w:t>ECE/TRANS/WP.15/AC.2/2021/30 (ЕСРС и ЕОС)</w:t>
      </w:r>
      <w:bookmarkEnd w:id="74"/>
    </w:p>
    <w:p w14:paraId="5C82A0D7" w14:textId="596F011D" w:rsidR="00B0401D" w:rsidRPr="00A23666" w:rsidRDefault="00B0401D" w:rsidP="001E1631">
      <w:pPr>
        <w:pStyle w:val="SingleTxtG"/>
      </w:pPr>
      <w:r>
        <w:t>38.</w:t>
      </w:r>
      <w:r>
        <w:tab/>
        <w:t xml:space="preserve">Этот документ получил определенную общую поддержку, однако потребовались некоторые уточнения в отношении предлагаемой таблицы с перечнем материалов, нумерации пунктов и ссылки, содержащейся в позиции для копий, воспроизведенных фотооптическим методом. После обсуждения Комитет по вопросам </w:t>
      </w:r>
      <w:r>
        <w:lastRenderedPageBreak/>
        <w:t>безопасности принял данное предложение с внесенными в него поправками (см.</w:t>
      </w:r>
      <w:r w:rsidR="00284CB8">
        <w:rPr>
          <w:lang w:val="en-US"/>
        </w:rPr>
        <w:t> </w:t>
      </w:r>
      <w:r>
        <w:t xml:space="preserve">приложение I). </w:t>
      </w:r>
    </w:p>
    <w:p w14:paraId="1A6135FE" w14:textId="77777777" w:rsidR="00B0401D" w:rsidRPr="00A23666" w:rsidRDefault="00B0401D" w:rsidP="001E1631">
      <w:pPr>
        <w:pStyle w:val="H23G"/>
        <w:spacing w:line="240" w:lineRule="atLeast"/>
      </w:pPr>
      <w:r>
        <w:tab/>
        <w:t>12.</w:t>
      </w:r>
      <w:r>
        <w:tab/>
      </w:r>
      <w:bookmarkStart w:id="75" w:name="_Hlk85549192"/>
      <w:r>
        <w:rPr>
          <w:bCs/>
        </w:rPr>
        <w:t>Согласование терминологии, используемой в пунктах 8.1.2.2 f) и 8.1.2.3 s) ВОПОГ 2021 года</w:t>
      </w:r>
      <w:bookmarkStart w:id="76" w:name="_Toc81410407"/>
      <w:bookmarkEnd w:id="76"/>
      <w:bookmarkEnd w:id="75"/>
    </w:p>
    <w:p w14:paraId="1E611B9B" w14:textId="77777777" w:rsidR="00B0401D" w:rsidRPr="00B0401D" w:rsidRDefault="00B0401D" w:rsidP="00766D30">
      <w:pPr>
        <w:pStyle w:val="SingleTxtG"/>
        <w:tabs>
          <w:tab w:val="clear" w:pos="2268"/>
          <w:tab w:val="clear" w:pos="2835"/>
          <w:tab w:val="left" w:pos="3969"/>
        </w:tabs>
        <w:rPr>
          <w:lang w:val="en-US"/>
        </w:rPr>
      </w:pPr>
      <w:bookmarkStart w:id="77" w:name="_Toc81410408"/>
      <w:r w:rsidRPr="00E36C96">
        <w:rPr>
          <w:i/>
          <w:iCs/>
        </w:rPr>
        <w:t>Документ</w:t>
      </w:r>
      <w:r w:rsidRPr="00E36C96">
        <w:rPr>
          <w:i/>
          <w:iCs/>
          <w:lang w:val="en-US"/>
        </w:rPr>
        <w:t>:</w:t>
      </w:r>
      <w:r w:rsidRPr="00E36C96">
        <w:rPr>
          <w:lang w:val="en-US"/>
        </w:rPr>
        <w:tab/>
        <w:t>ECE/TRANS/WP.15/AC.2/2021/31 (</w:t>
      </w:r>
      <w:r w:rsidRPr="00E36C96">
        <w:t>ЦКСР</w:t>
      </w:r>
      <w:r w:rsidRPr="00E36C96">
        <w:rPr>
          <w:lang w:val="en-US"/>
        </w:rPr>
        <w:t>)</w:t>
      </w:r>
      <w:bookmarkEnd w:id="77"/>
    </w:p>
    <w:p w14:paraId="0E6CC3FB" w14:textId="47B26C53" w:rsidR="00B0401D" w:rsidRPr="00A23666" w:rsidRDefault="00B0401D" w:rsidP="001E1631">
      <w:pPr>
        <w:pStyle w:val="SingleTxtG"/>
      </w:pPr>
      <w:r>
        <w:t>39.</w:t>
      </w:r>
      <w:r>
        <w:tab/>
        <w:t xml:space="preserve">Касаясь предложения ЦКСР о согласовании текстов пунктов 8.1.2.2 и 8.1.2.3 в вариантах на различных языках, представитель Германии высказал предпочтение на первом этапе рассмотреть вопрос о том, является ли правильным текст </w:t>
      </w:r>
      <w:r w:rsidR="00766D30">
        <w:br/>
      </w:r>
      <w:r>
        <w:t>пункта 8.1.2.3 s) на немецком языке. Поэтому Комитет по вопросам безопасности отложил обсуждение данного предложения до своей следующей сессии, чтобы рассмотреть его на основе обновленного документа.</w:t>
      </w:r>
    </w:p>
    <w:p w14:paraId="7DA73046" w14:textId="77777777" w:rsidR="00B0401D" w:rsidRPr="00A23666" w:rsidRDefault="00B0401D" w:rsidP="001E1631">
      <w:pPr>
        <w:pStyle w:val="H23G"/>
        <w:spacing w:line="240" w:lineRule="atLeast"/>
      </w:pPr>
      <w:r>
        <w:tab/>
        <w:t>13.</w:t>
      </w:r>
      <w:r>
        <w:tab/>
      </w:r>
      <w:bookmarkStart w:id="78" w:name="_Hlk85549209"/>
      <w:r>
        <w:rPr>
          <w:bCs/>
        </w:rPr>
        <w:t>Согласование терминологии, используемой в пункте 1.9.3 c) ВОПОГ 2021 года</w:t>
      </w:r>
      <w:bookmarkStart w:id="79" w:name="_Toc81410409"/>
      <w:bookmarkEnd w:id="79"/>
      <w:bookmarkEnd w:id="78"/>
    </w:p>
    <w:p w14:paraId="11F3E132" w14:textId="77777777" w:rsidR="00B0401D" w:rsidRPr="001E0BBF" w:rsidRDefault="00B0401D" w:rsidP="00766D30">
      <w:pPr>
        <w:pStyle w:val="SingleTxtG"/>
      </w:pPr>
      <w:bookmarkStart w:id="80" w:name="_Toc81410410"/>
      <w:r w:rsidRPr="00766D30">
        <w:rPr>
          <w:i/>
          <w:iCs/>
        </w:rPr>
        <w:t>Неофициальный документ:</w:t>
      </w:r>
      <w:r w:rsidRPr="001E0BBF">
        <w:tab/>
        <w:t>INF.4 (ЦКСР)</w:t>
      </w:r>
      <w:bookmarkEnd w:id="80"/>
    </w:p>
    <w:p w14:paraId="54130711" w14:textId="77777777" w:rsidR="00B0401D" w:rsidRPr="00A23666" w:rsidRDefault="00B0401D" w:rsidP="001E1631">
      <w:pPr>
        <w:pStyle w:val="SingleTxtG"/>
      </w:pPr>
      <w:r>
        <w:t>40.</w:t>
      </w:r>
      <w:r>
        <w:tab/>
        <w:t>Ссылаясь на свое решение по документу ECE/TRANS/WP.15/AC.2/2021/31, Комитет по вопросам безопасности также отложил обсуждение неофициального документа INF.4 до своей следующей сессии.</w:t>
      </w:r>
    </w:p>
    <w:p w14:paraId="7902F116" w14:textId="77777777" w:rsidR="00B0401D" w:rsidRPr="00A23666" w:rsidRDefault="00B0401D" w:rsidP="001E1631">
      <w:pPr>
        <w:pStyle w:val="H23G"/>
        <w:spacing w:line="240" w:lineRule="atLeast"/>
      </w:pPr>
      <w:r>
        <w:tab/>
        <w:t>14.</w:t>
      </w:r>
      <w:r>
        <w:tab/>
      </w:r>
      <w:bookmarkStart w:id="81" w:name="_Hlk85549221"/>
      <w:r>
        <w:rPr>
          <w:bCs/>
        </w:rPr>
        <w:t>Использование согласованной терминологии в положениях по расчету аварийной остойчивости в пунктах 9.3.x.15.2</w:t>
      </w:r>
      <w:bookmarkStart w:id="82" w:name="_Toc81410411"/>
      <w:bookmarkEnd w:id="82"/>
      <w:bookmarkEnd w:id="81"/>
    </w:p>
    <w:p w14:paraId="00E7D800" w14:textId="77777777" w:rsidR="00B0401D" w:rsidRPr="001E0BBF" w:rsidRDefault="00B0401D" w:rsidP="00766D30">
      <w:pPr>
        <w:pStyle w:val="SingleTxtG"/>
      </w:pPr>
      <w:bookmarkStart w:id="83" w:name="_Toc81410412"/>
      <w:r w:rsidRPr="00766D30">
        <w:rPr>
          <w:i/>
          <w:iCs/>
        </w:rPr>
        <w:t>Неофициальный документ:</w:t>
      </w:r>
      <w:r w:rsidRPr="001E0BBF">
        <w:tab/>
        <w:t>INF.8 (ЦКСР)</w:t>
      </w:r>
      <w:bookmarkEnd w:id="83"/>
    </w:p>
    <w:p w14:paraId="595626FB" w14:textId="77777777" w:rsidR="00B0401D" w:rsidRPr="00A23666" w:rsidRDefault="00B0401D" w:rsidP="001E1631">
      <w:pPr>
        <w:pStyle w:val="SingleTxtG"/>
      </w:pPr>
      <w:r>
        <w:t>41.</w:t>
      </w:r>
      <w:r>
        <w:tab/>
        <w:t>Комитет по вопросам безопасности принял предлагаемое исправление к пунктам 9.3.1.15.2, 9.3.2.15.2 и 9.3.3.15.2 (см. приложение II).</w:t>
      </w:r>
    </w:p>
    <w:p w14:paraId="592240C0" w14:textId="77777777" w:rsidR="00B0401D" w:rsidRPr="00A23666" w:rsidRDefault="00B0401D" w:rsidP="001E1631">
      <w:pPr>
        <w:pStyle w:val="H23G"/>
        <w:spacing w:line="240" w:lineRule="atLeast"/>
      </w:pPr>
      <w:r>
        <w:tab/>
        <w:t>15.</w:t>
      </w:r>
      <w:r>
        <w:tab/>
      </w:r>
      <w:bookmarkStart w:id="84" w:name="_Hlk85549244"/>
      <w:r>
        <w:rPr>
          <w:bCs/>
        </w:rPr>
        <w:t>Использование согласованной терминологии в положениях по расчету остойчивости неповрежденного судна в пунктах 9.3.x.14.2 a) и b)</w:t>
      </w:r>
      <w:bookmarkStart w:id="85" w:name="_Toc81410413"/>
      <w:bookmarkEnd w:id="85"/>
      <w:bookmarkEnd w:id="84"/>
    </w:p>
    <w:p w14:paraId="121AFBB1" w14:textId="77777777" w:rsidR="00B0401D" w:rsidRPr="00766D30" w:rsidRDefault="00B0401D" w:rsidP="00766D30">
      <w:pPr>
        <w:pStyle w:val="SingleTxtG"/>
        <w:ind w:left="3969" w:hanging="2835"/>
        <w:jc w:val="left"/>
      </w:pPr>
      <w:bookmarkStart w:id="86" w:name="_Toc81410414"/>
      <w:r w:rsidRPr="00766D30">
        <w:rPr>
          <w:i/>
          <w:iCs/>
        </w:rPr>
        <w:t>Неофициальный документ:</w:t>
      </w:r>
      <w:r w:rsidRPr="00766D30">
        <w:tab/>
        <w:t>INF.18 (Рекомендованные классификационные общества ВОПОГ)</w:t>
      </w:r>
      <w:bookmarkEnd w:id="86"/>
    </w:p>
    <w:p w14:paraId="30366508" w14:textId="77777777" w:rsidR="00B0401D" w:rsidRPr="00A23666" w:rsidRDefault="00B0401D" w:rsidP="001E1631">
      <w:pPr>
        <w:pStyle w:val="SingleTxtG"/>
      </w:pPr>
      <w:r>
        <w:t>42.</w:t>
      </w:r>
      <w:r>
        <w:tab/>
        <w:t>Комитет по вопросам безопасности принял предлагаемое исправление к пунктам 9.3.1.14.2, 9.3.2.14.2 и 9.3.3.14.2, подпункты a) и b) (см. приложение II).</w:t>
      </w:r>
    </w:p>
    <w:p w14:paraId="31CEB26F" w14:textId="77777777" w:rsidR="00B0401D" w:rsidRPr="00A23666" w:rsidRDefault="00B0401D" w:rsidP="001E1631">
      <w:pPr>
        <w:pStyle w:val="H23G"/>
        <w:spacing w:line="240" w:lineRule="atLeast"/>
      </w:pPr>
      <w:r>
        <w:tab/>
        <w:t>16.</w:t>
      </w:r>
      <w:r>
        <w:tab/>
      </w:r>
      <w:bookmarkStart w:id="87" w:name="_Hlk85549254"/>
      <w:r>
        <w:rPr>
          <w:bCs/>
        </w:rPr>
        <w:t>Таблица C — № ООН 1202, вторая позиция «ГАЗОЙЛЬ»</w:t>
      </w:r>
      <w:bookmarkStart w:id="88" w:name="_Toc81410415"/>
      <w:bookmarkEnd w:id="88"/>
      <w:bookmarkEnd w:id="87"/>
    </w:p>
    <w:p w14:paraId="61A00D96" w14:textId="77777777" w:rsidR="00B0401D" w:rsidRPr="006E0C34" w:rsidRDefault="00B0401D" w:rsidP="00766D30">
      <w:pPr>
        <w:pStyle w:val="SingleTxtG"/>
      </w:pPr>
      <w:bookmarkStart w:id="89" w:name="_Toc81410416"/>
      <w:r w:rsidRPr="006E0C34">
        <w:rPr>
          <w:i/>
          <w:iCs/>
        </w:rPr>
        <w:t>Неофициальный документ:</w:t>
      </w:r>
      <w:r w:rsidRPr="006E0C34">
        <w:tab/>
        <w:t>INF.10 («</w:t>
      </w:r>
      <w:proofErr w:type="spellStart"/>
      <w:r w:rsidRPr="006E0C34">
        <w:t>Фьюэлз-Юроп</w:t>
      </w:r>
      <w:proofErr w:type="spellEnd"/>
      <w:r w:rsidRPr="006E0C34">
        <w:t>»)</w:t>
      </w:r>
      <w:bookmarkEnd w:id="89"/>
    </w:p>
    <w:p w14:paraId="54361559" w14:textId="3695D9C4" w:rsidR="00B0401D" w:rsidRPr="00A23666" w:rsidRDefault="00B0401D" w:rsidP="001E1631">
      <w:pPr>
        <w:pStyle w:val="SingleTxtG"/>
      </w:pPr>
      <w:r>
        <w:t>43.</w:t>
      </w:r>
      <w:r>
        <w:tab/>
        <w:t xml:space="preserve">Комитет по вопросам безопасности принял предлагаемые исправления к надлежащему отгрузочному наименованию (колонка 2) во второй позиции для </w:t>
      </w:r>
      <w:r w:rsidR="00766D30">
        <w:br/>
      </w:r>
      <w:r>
        <w:t>№ ООН 1202 в таблице C (см. приложение II).</w:t>
      </w:r>
    </w:p>
    <w:p w14:paraId="39DDD9B7" w14:textId="77777777" w:rsidR="00B0401D" w:rsidRPr="00A23666" w:rsidRDefault="00B0401D" w:rsidP="001E1631">
      <w:pPr>
        <w:pStyle w:val="H23G"/>
        <w:spacing w:line="240" w:lineRule="atLeast"/>
      </w:pPr>
      <w:r>
        <w:tab/>
        <w:t>17.</w:t>
      </w:r>
      <w:r>
        <w:tab/>
      </w:r>
      <w:bookmarkStart w:id="90" w:name="_Hlk85549271"/>
      <w:r>
        <w:rPr>
          <w:bCs/>
        </w:rPr>
        <w:t>Предложение по исправлению двух позиций для № ООН 3295 в таблице C</w:t>
      </w:r>
      <w:bookmarkStart w:id="91" w:name="_Toc81410417"/>
      <w:bookmarkEnd w:id="91"/>
      <w:bookmarkEnd w:id="90"/>
    </w:p>
    <w:p w14:paraId="0EF607EB" w14:textId="77777777" w:rsidR="00B0401D" w:rsidRPr="006E0C34" w:rsidRDefault="00B0401D" w:rsidP="00766D30">
      <w:pPr>
        <w:pStyle w:val="SingleTxtG"/>
      </w:pPr>
      <w:bookmarkStart w:id="92" w:name="_Toc81410418"/>
      <w:r w:rsidRPr="006E0C34">
        <w:rPr>
          <w:i/>
          <w:iCs/>
        </w:rPr>
        <w:t>Неофициальный документ:</w:t>
      </w:r>
      <w:r w:rsidRPr="006E0C34">
        <w:tab/>
        <w:t>INF.11 («</w:t>
      </w:r>
      <w:proofErr w:type="spellStart"/>
      <w:r w:rsidRPr="006E0C34">
        <w:t>Фьюэлз-Юроп</w:t>
      </w:r>
      <w:proofErr w:type="spellEnd"/>
      <w:r w:rsidRPr="006E0C34">
        <w:t>»)</w:t>
      </w:r>
      <w:bookmarkEnd w:id="92"/>
    </w:p>
    <w:p w14:paraId="0F9A6BF6" w14:textId="5E8726FE" w:rsidR="00B0401D" w:rsidRPr="00A23666" w:rsidRDefault="00B0401D" w:rsidP="001E1631">
      <w:pPr>
        <w:pStyle w:val="SingleTxtG"/>
      </w:pPr>
      <w:r>
        <w:t>44.</w:t>
      </w:r>
      <w:r>
        <w:tab/>
        <w:t>Комитет по вопросам безопасности принял предлагаемое испра</w:t>
      </w:r>
      <w:r w:rsidRPr="00D51161">
        <w:t>вление к позици</w:t>
      </w:r>
      <w:r>
        <w:t xml:space="preserve">ям </w:t>
      </w:r>
      <w:r w:rsidRPr="00D51161">
        <w:t>для № ООН 3295</w:t>
      </w:r>
      <w:r>
        <w:t xml:space="preserve"> (колонка 5)</w:t>
      </w:r>
      <w:r w:rsidRPr="00D51161">
        <w:t xml:space="preserve"> в таблице C на английском языке</w:t>
      </w:r>
      <w:r>
        <w:t xml:space="preserve"> (см.</w:t>
      </w:r>
      <w:r w:rsidR="00284CB8">
        <w:rPr>
          <w:lang w:val="en-US"/>
        </w:rPr>
        <w:t> </w:t>
      </w:r>
      <w:r>
        <w:t>приложение II).</w:t>
      </w:r>
    </w:p>
    <w:p w14:paraId="322C6893" w14:textId="77777777" w:rsidR="00B0401D" w:rsidRPr="00A23666" w:rsidRDefault="00B0401D" w:rsidP="001E1631">
      <w:pPr>
        <w:pStyle w:val="H23G"/>
        <w:spacing w:line="240" w:lineRule="atLeast"/>
      </w:pPr>
      <w:r>
        <w:tab/>
        <w:t>18.</w:t>
      </w:r>
      <w:r>
        <w:tab/>
      </w:r>
      <w:bookmarkStart w:id="93" w:name="_Hlk85549286"/>
      <w:r>
        <w:rPr>
          <w:bCs/>
        </w:rPr>
        <w:t>Просьба об объединении двух позиций для № ООН 1202 в одну позицию</w:t>
      </w:r>
      <w:bookmarkStart w:id="94" w:name="_Toc81410419"/>
      <w:bookmarkEnd w:id="94"/>
      <w:bookmarkEnd w:id="93"/>
    </w:p>
    <w:p w14:paraId="6CB4AFAF" w14:textId="77777777" w:rsidR="00B0401D" w:rsidRPr="00E35C68" w:rsidRDefault="00B0401D" w:rsidP="00766D30">
      <w:pPr>
        <w:pStyle w:val="SingleTxtG"/>
      </w:pPr>
      <w:bookmarkStart w:id="95" w:name="_Toc81410420"/>
      <w:r w:rsidRPr="00E35C68">
        <w:rPr>
          <w:i/>
          <w:iCs/>
        </w:rPr>
        <w:t>Неофициальный документ:</w:t>
      </w:r>
      <w:r w:rsidRPr="00E35C68">
        <w:tab/>
        <w:t>INF.12 («</w:t>
      </w:r>
      <w:proofErr w:type="spellStart"/>
      <w:r w:rsidRPr="00E35C68">
        <w:t>Фьюэлз-Юроп</w:t>
      </w:r>
      <w:proofErr w:type="spellEnd"/>
      <w:r w:rsidRPr="00E35C68">
        <w:t>»)</w:t>
      </w:r>
      <w:bookmarkEnd w:id="95"/>
    </w:p>
    <w:p w14:paraId="6AC4B612" w14:textId="77777777" w:rsidR="00B0401D" w:rsidRPr="00A23666" w:rsidRDefault="00B0401D" w:rsidP="001E1631">
      <w:pPr>
        <w:pStyle w:val="SingleTxtG"/>
      </w:pPr>
      <w:r>
        <w:t>45.</w:t>
      </w:r>
      <w:r>
        <w:tab/>
        <w:t>Некоторые делегаты высказали предостережение по поводу объединения двух позиций для № ООН 1202, поскольку существует обоснованная причина для существования обеих позиций с учетом различных значений относительной плотности. Изменение также повлияло бы на соответствующие позиции в таблице A МПОГ/ДОПОГ/ВОПОГ. Поэтому было рекомендовано запросить мнение Совместного совещания МПОГ/ДОПОГ/ВОПОГ. Представитель «</w:t>
      </w:r>
      <w:proofErr w:type="spellStart"/>
      <w:r>
        <w:t>Фьюэлз-Юроп</w:t>
      </w:r>
      <w:proofErr w:type="spellEnd"/>
      <w:r>
        <w:t xml:space="preserve">» </w:t>
      </w:r>
      <w:r>
        <w:lastRenderedPageBreak/>
        <w:t>вызвался представить Совместному совещанию МПОГ/ДОПОГ/ВОПОГ обновленный документ для рассмотрения на предстоящей сессии в сентябре.</w:t>
      </w:r>
    </w:p>
    <w:p w14:paraId="1789C727" w14:textId="77777777" w:rsidR="00B0401D" w:rsidRPr="00A23666" w:rsidRDefault="00B0401D" w:rsidP="001E1631">
      <w:pPr>
        <w:pStyle w:val="H23G"/>
        <w:spacing w:line="240" w:lineRule="atLeast"/>
      </w:pPr>
      <w:r>
        <w:tab/>
        <w:t>19.</w:t>
      </w:r>
      <w:r>
        <w:tab/>
      </w:r>
      <w:bookmarkStart w:id="96" w:name="_Hlk85549296"/>
      <w:r>
        <w:rPr>
          <w:bCs/>
        </w:rPr>
        <w:t>№ ООН 1972 — Просьба об устранении несоответствия в таблице С, колонка 2</w:t>
      </w:r>
      <w:bookmarkStart w:id="97" w:name="_Toc81410421"/>
      <w:bookmarkEnd w:id="97"/>
      <w:bookmarkEnd w:id="96"/>
    </w:p>
    <w:p w14:paraId="1BA9EB54" w14:textId="77777777" w:rsidR="00B0401D" w:rsidRPr="00E35C68" w:rsidRDefault="00B0401D" w:rsidP="00766D30">
      <w:pPr>
        <w:pStyle w:val="SingleTxtG"/>
      </w:pPr>
      <w:bookmarkStart w:id="98" w:name="_Toc81410422"/>
      <w:r w:rsidRPr="00E35C68">
        <w:rPr>
          <w:i/>
          <w:iCs/>
        </w:rPr>
        <w:t>Неофициальный документ:</w:t>
      </w:r>
      <w:r w:rsidRPr="00E35C68">
        <w:tab/>
        <w:t>INF.13 («</w:t>
      </w:r>
      <w:proofErr w:type="spellStart"/>
      <w:r w:rsidRPr="00E35C68">
        <w:t>Фьюэлз-Юроп</w:t>
      </w:r>
      <w:proofErr w:type="spellEnd"/>
      <w:r w:rsidRPr="00E35C68">
        <w:t>»)</w:t>
      </w:r>
      <w:bookmarkEnd w:id="98"/>
    </w:p>
    <w:p w14:paraId="60B5A5EB" w14:textId="77777777" w:rsidR="00B0401D" w:rsidRPr="00A23666" w:rsidRDefault="00B0401D" w:rsidP="001E1631">
      <w:pPr>
        <w:pStyle w:val="SingleTxtG"/>
      </w:pPr>
      <w:r>
        <w:t>46.</w:t>
      </w:r>
      <w:r>
        <w:tab/>
        <w:t xml:space="preserve">Что касается исправления пропуска слова «ЖИДКИЙ», то Комитет по вопросам безопасности </w:t>
      </w:r>
      <w:proofErr w:type="gramStart"/>
      <w:r>
        <w:t>счел</w:t>
      </w:r>
      <w:proofErr w:type="gramEnd"/>
      <w:r>
        <w:t xml:space="preserve"> преждевременным принимать это предложение и предпочел провести на первом этапе консультации с неофициальной рабочей группой по веществам с целью проверки возможных причин этого пропуска.</w:t>
      </w:r>
    </w:p>
    <w:p w14:paraId="33AB0F40" w14:textId="77777777" w:rsidR="00B0401D" w:rsidRPr="00A23666" w:rsidRDefault="00B0401D" w:rsidP="001E1631">
      <w:pPr>
        <w:pStyle w:val="SingleTxtG"/>
      </w:pPr>
      <w:r>
        <w:t>47.</w:t>
      </w:r>
      <w:r>
        <w:tab/>
        <w:t>Комитет по вопросам безопасности принял только исправление к варианту на немецком языке, предложенное в пункте 9.</w:t>
      </w:r>
    </w:p>
    <w:p w14:paraId="4474CCC9" w14:textId="63E748AC" w:rsidR="00B0401D" w:rsidRPr="00A23666" w:rsidRDefault="00B0401D" w:rsidP="001E1631">
      <w:pPr>
        <w:pStyle w:val="H23G"/>
        <w:spacing w:line="240" w:lineRule="atLeast"/>
      </w:pPr>
      <w:r>
        <w:tab/>
        <w:t>20.</w:t>
      </w:r>
      <w:r>
        <w:tab/>
      </w:r>
      <w:bookmarkStart w:id="99" w:name="_Hlk85549306"/>
      <w:r>
        <w:rPr>
          <w:bCs/>
        </w:rPr>
        <w:t>Незначительное противоречие между положениями пунктов 7.2.3.41.2 и</w:t>
      </w:r>
      <w:r w:rsidR="00284CB8">
        <w:rPr>
          <w:bCs/>
          <w:lang w:val="en-US"/>
        </w:rPr>
        <w:t> </w:t>
      </w:r>
      <w:r>
        <w:rPr>
          <w:bCs/>
        </w:rPr>
        <w:t>9.3.x.41.2 ВОПОГ, касающимися помещений, в которых разрешается устанавливать приборы для приготовления пищи и охлаждения</w:t>
      </w:r>
      <w:bookmarkStart w:id="100" w:name="_Toc81410423"/>
      <w:bookmarkEnd w:id="100"/>
      <w:bookmarkEnd w:id="99"/>
    </w:p>
    <w:p w14:paraId="4FE1203F" w14:textId="77777777" w:rsidR="00B0401D" w:rsidRPr="00FA1B1E" w:rsidRDefault="00B0401D" w:rsidP="00766D30">
      <w:pPr>
        <w:pStyle w:val="SingleTxtG"/>
      </w:pPr>
      <w:bookmarkStart w:id="101" w:name="_Toc81410424"/>
      <w:r w:rsidRPr="00766D30">
        <w:rPr>
          <w:i/>
          <w:iCs/>
        </w:rPr>
        <w:t>Неофициальный документ:</w:t>
      </w:r>
      <w:r w:rsidRPr="00FA1B1E">
        <w:tab/>
        <w:t>INF.15 (ЕСРС и ЕОС)</w:t>
      </w:r>
      <w:bookmarkEnd w:id="101"/>
    </w:p>
    <w:p w14:paraId="0A9EF9F1" w14:textId="77777777" w:rsidR="00B0401D" w:rsidRPr="00A23666" w:rsidRDefault="00B0401D" w:rsidP="001E1631">
      <w:pPr>
        <w:pStyle w:val="SingleTxtG"/>
      </w:pPr>
      <w:r>
        <w:t>48.</w:t>
      </w:r>
      <w:r>
        <w:tab/>
        <w:t>Некоторые представители высказали мнение, что различие между этими положениями существовало еще в издании ППОГР 1995 года и было вполне обосновано. Было рекомендовано также проверить соответствующий текст на других официальных языках ВОПОГ. Представитель ЕСРС/ЕОС вызвался провести исследовательскую работу и подготовить официальный документ для рассмотрения на следующей сессии в январе 2022 года.</w:t>
      </w:r>
    </w:p>
    <w:p w14:paraId="0FE738FE" w14:textId="77777777" w:rsidR="00B0401D" w:rsidRPr="00A23666" w:rsidRDefault="00B0401D" w:rsidP="001E1631">
      <w:pPr>
        <w:pStyle w:val="H23G"/>
        <w:spacing w:line="240" w:lineRule="atLeast"/>
      </w:pPr>
      <w:r>
        <w:tab/>
        <w:t>21.</w:t>
      </w:r>
      <w:r>
        <w:tab/>
      </w:r>
      <w:bookmarkStart w:id="102" w:name="_Hlk85549318"/>
      <w:r>
        <w:rPr>
          <w:bCs/>
        </w:rPr>
        <w:t>Свидетельство о допущении для сухогрузных судов</w:t>
      </w:r>
      <w:bookmarkStart w:id="103" w:name="_Toc81410425"/>
      <w:bookmarkEnd w:id="103"/>
      <w:bookmarkEnd w:id="102"/>
    </w:p>
    <w:p w14:paraId="348222B8" w14:textId="2B2EB9EF" w:rsidR="00B0401D" w:rsidRPr="00294A5C" w:rsidRDefault="00B0401D" w:rsidP="00BF5BC6">
      <w:pPr>
        <w:pStyle w:val="SingleTxtG"/>
        <w:tabs>
          <w:tab w:val="clear" w:pos="2268"/>
          <w:tab w:val="clear" w:pos="2835"/>
          <w:tab w:val="left" w:pos="3969"/>
        </w:tabs>
        <w:ind w:left="3969" w:hanging="2835"/>
      </w:pPr>
      <w:bookmarkStart w:id="104" w:name="_Toc81410426"/>
      <w:r w:rsidRPr="00294A5C">
        <w:rPr>
          <w:i/>
          <w:iCs/>
        </w:rPr>
        <w:t>Документ:</w:t>
      </w:r>
      <w:r w:rsidRPr="00294A5C">
        <w:tab/>
        <w:t xml:space="preserve">ECE/TRANS/WP.15/AC.2/2021/27 </w:t>
      </w:r>
      <w:r w:rsidR="00284CB8">
        <w:br/>
      </w:r>
      <w:r w:rsidRPr="00294A5C">
        <w:t>(Бельгия и Нидерланды)</w:t>
      </w:r>
      <w:bookmarkEnd w:id="104"/>
    </w:p>
    <w:p w14:paraId="7F7ABA64" w14:textId="77777777" w:rsidR="00B0401D" w:rsidRPr="005812B5" w:rsidRDefault="00B0401D" w:rsidP="00BF5BC6">
      <w:pPr>
        <w:pStyle w:val="SingleTxtG"/>
      </w:pPr>
      <w:bookmarkStart w:id="105" w:name="_Toc81410427"/>
      <w:r w:rsidRPr="00294A5C">
        <w:rPr>
          <w:i/>
          <w:iCs/>
        </w:rPr>
        <w:t>Неофициальный документ:</w:t>
      </w:r>
      <w:r w:rsidRPr="00294A5C">
        <w:tab/>
        <w:t>INF.20 (Нидерланды)</w:t>
      </w:r>
      <w:bookmarkEnd w:id="105"/>
    </w:p>
    <w:p w14:paraId="224D8E75" w14:textId="3A9FD0E7" w:rsidR="00B0401D" w:rsidRPr="00A23666" w:rsidRDefault="00B0401D" w:rsidP="001E1631">
      <w:pPr>
        <w:pStyle w:val="SingleTxtG"/>
      </w:pPr>
      <w:r>
        <w:t>49.</w:t>
      </w:r>
      <w:r>
        <w:tab/>
        <w:t>Комитет по вопросам безопасности рассмотрел документ ECE/TRANS/WP.15/</w:t>
      </w:r>
      <w:r w:rsidR="00284CB8" w:rsidRPr="00284CB8">
        <w:t xml:space="preserve"> </w:t>
      </w:r>
      <w:r>
        <w:t>AC.2/2021/27, в котором предлагается уточнить свидетельство о допущении для сухогрузных судов, в частности для судов, указанных в пункте 7.1.2.19.1. После обсуждения Комитет по вопросам безопасности принял поправки, предложенные в неофициальном документе INF.20, включая вариант 2 для пункта 8 свидетельства о допущении (см. приложение I).</w:t>
      </w:r>
    </w:p>
    <w:p w14:paraId="145EE95C" w14:textId="201E07E9" w:rsidR="00B0401D" w:rsidRPr="00A23666" w:rsidRDefault="00B0401D" w:rsidP="001E1631">
      <w:pPr>
        <w:pStyle w:val="HChG"/>
        <w:spacing w:line="240" w:lineRule="atLeast"/>
        <w:rPr>
          <w:i/>
        </w:rPr>
      </w:pPr>
      <w:r>
        <w:tab/>
        <w:t>VII.</w:t>
      </w:r>
      <w:r>
        <w:tab/>
      </w:r>
      <w:bookmarkStart w:id="106" w:name="_Hlk85549327"/>
      <w:r>
        <w:rPr>
          <w:bCs/>
        </w:rPr>
        <w:t xml:space="preserve">Доклады неофициальных рабочих групп </w:t>
      </w:r>
      <w:r w:rsidR="00284CB8">
        <w:rPr>
          <w:bCs/>
        </w:rPr>
        <w:br/>
      </w:r>
      <w:r>
        <w:rPr>
          <w:bCs/>
        </w:rPr>
        <w:t>(пункт 5 повестки дня)</w:t>
      </w:r>
      <w:bookmarkStart w:id="107" w:name="_Toc81410428"/>
      <w:bookmarkEnd w:id="107"/>
      <w:bookmarkEnd w:id="106"/>
    </w:p>
    <w:p w14:paraId="182B3382" w14:textId="77777777" w:rsidR="00B0401D" w:rsidRPr="00A23666" w:rsidRDefault="00B0401D" w:rsidP="001E1631">
      <w:pPr>
        <w:pStyle w:val="H1G"/>
        <w:spacing w:line="240" w:lineRule="atLeast"/>
      </w:pPr>
      <w:r>
        <w:tab/>
        <w:t>A.</w:t>
      </w:r>
      <w:r>
        <w:tab/>
      </w:r>
      <w:bookmarkStart w:id="108" w:name="_Hlk85549361"/>
      <w:r>
        <w:rPr>
          <w:bCs/>
        </w:rPr>
        <w:t>Доклад о работе двадцать первого совещания группы Рекомендованных классификационных обществ ВОПОГ</w:t>
      </w:r>
      <w:bookmarkStart w:id="109" w:name="_Toc81410429"/>
      <w:bookmarkEnd w:id="109"/>
      <w:bookmarkEnd w:id="108"/>
    </w:p>
    <w:p w14:paraId="4C63C7D6" w14:textId="77777777" w:rsidR="00B0401D" w:rsidRPr="00B66649" w:rsidRDefault="00B0401D" w:rsidP="00BF5BC6">
      <w:pPr>
        <w:pStyle w:val="SingleTxtG"/>
        <w:tabs>
          <w:tab w:val="clear" w:pos="2268"/>
          <w:tab w:val="clear" w:pos="2835"/>
          <w:tab w:val="left" w:pos="3969"/>
        </w:tabs>
        <w:ind w:left="3969" w:hanging="2835"/>
      </w:pPr>
      <w:bookmarkStart w:id="110" w:name="_Toc81410430"/>
      <w:r w:rsidRPr="00B66649">
        <w:rPr>
          <w:i/>
          <w:iCs/>
        </w:rPr>
        <w:t>Документ:</w:t>
      </w:r>
      <w:r w:rsidRPr="00B66649">
        <w:tab/>
        <w:t>ECE/TRANS/WP.15/AC.2/2021/18 (Рекомендованные классификационные общества ВОПОГ)</w:t>
      </w:r>
      <w:bookmarkEnd w:id="110"/>
    </w:p>
    <w:p w14:paraId="2AF62CC4" w14:textId="77777777" w:rsidR="00B0401D" w:rsidRPr="006867C4" w:rsidRDefault="00B0401D" w:rsidP="00BF5BC6">
      <w:pPr>
        <w:pStyle w:val="SingleTxtG"/>
      </w:pPr>
      <w:bookmarkStart w:id="111" w:name="_Toc81410431"/>
      <w:r w:rsidRPr="00B66649">
        <w:rPr>
          <w:i/>
          <w:iCs/>
        </w:rPr>
        <w:t>Неофициальный документ:</w:t>
      </w:r>
      <w:r w:rsidRPr="00B66649">
        <w:tab/>
        <w:t>INF.16 (Германия)</w:t>
      </w:r>
      <w:bookmarkEnd w:id="111"/>
    </w:p>
    <w:p w14:paraId="412034BE" w14:textId="77777777" w:rsidR="00B0401D" w:rsidRPr="00A23666" w:rsidRDefault="00B0401D" w:rsidP="001E1631">
      <w:pPr>
        <w:pStyle w:val="SingleTxtG"/>
      </w:pPr>
      <w:r>
        <w:t>50.</w:t>
      </w:r>
      <w:r>
        <w:tab/>
        <w:t>Комитет по вопросам безопасности приветствовал доклад о работе двадцать первого совещания группы Рекомендованных классификационных обществ ВОПОГ (ECE/TRANS/WP.15/AC.2/2021/18) и, в частности, высказал замечания по следующим пунктам доклада:</w:t>
      </w:r>
    </w:p>
    <w:p w14:paraId="0B943930" w14:textId="5B481481" w:rsidR="00B0401D" w:rsidRPr="00A23666" w:rsidRDefault="00284CB8" w:rsidP="001E1631">
      <w:pPr>
        <w:pStyle w:val="SingleTxtG"/>
        <w:tabs>
          <w:tab w:val="left" w:pos="1418"/>
        </w:tabs>
        <w:ind w:left="2268" w:hanging="1134"/>
      </w:pPr>
      <w:r>
        <w:tab/>
      </w:r>
      <w:proofErr w:type="spellStart"/>
      <w:r w:rsidR="00B0401D">
        <w:t>II.b</w:t>
      </w:r>
      <w:proofErr w:type="spellEnd"/>
      <w:r w:rsidR="00B0401D">
        <w:t>)</w:t>
      </w:r>
      <w:r w:rsidR="00B0401D">
        <w:tab/>
        <w:t>настоятельно призвал авторов проекта представить свое предложение в качестве официального документа Комитету по вопросам безопасности для обеспечения перевода на все официальные языки и напомнил, что крайним сроком представления официальных документов для январской сессии 2022 года является 29 октября 2021 года;</w:t>
      </w:r>
    </w:p>
    <w:p w14:paraId="5062A9F2" w14:textId="2BA3ECEE" w:rsidR="00B0401D" w:rsidRPr="00A23666" w:rsidRDefault="00284CB8" w:rsidP="001E1631">
      <w:pPr>
        <w:pStyle w:val="SingleTxtG"/>
        <w:tabs>
          <w:tab w:val="left" w:pos="1418"/>
        </w:tabs>
        <w:ind w:left="2268" w:hanging="1134"/>
      </w:pPr>
      <w:r>
        <w:lastRenderedPageBreak/>
        <w:tab/>
      </w:r>
      <w:proofErr w:type="spellStart"/>
      <w:r w:rsidR="00B0401D">
        <w:t>II.h</w:t>
      </w:r>
      <w:proofErr w:type="spellEnd"/>
      <w:r w:rsidR="00B0401D">
        <w:t>)</w:t>
      </w:r>
      <w:r w:rsidR="00B0401D">
        <w:tab/>
        <w:t>настоятельно призвал Рекомендованные классификационные общества ВОПОГ представить Комитету по вопросам безопасности ответы на вопросы, уже поднятые на двадцать третьей и двадцать четвертой сессиях Административного комитета ВОПОГ</w:t>
      </w:r>
      <w:r w:rsidR="00B0401D">
        <w:rPr>
          <w:rStyle w:val="aa"/>
        </w:rPr>
        <w:footnoteReference w:id="2"/>
      </w:r>
      <w:r w:rsidR="00272E55" w:rsidRPr="00272E55">
        <w:t xml:space="preserve"> </w:t>
      </w:r>
      <w:r w:rsidR="00B0401D">
        <w:t>(в частности, вопросы об эквивалентности сертификатов, выданных в соответствии со стандартом ISO 9001, и сертификатов, выданных в соответствии со стандартом ISO/IEC 17020, и о пересмотре главы 1.15 ВОПОГ для уточнения того, как в будущем должна представляться информация о соответствии, и для выявления возможных проблем с выполнением требований, в частности требований пункта 1.15.3.8 ВОПОГ);</w:t>
      </w:r>
    </w:p>
    <w:p w14:paraId="741E9C00" w14:textId="0DABB6AD" w:rsidR="00B0401D" w:rsidRPr="00A23666" w:rsidRDefault="00284CB8" w:rsidP="001E1631">
      <w:pPr>
        <w:pStyle w:val="SingleTxtG"/>
        <w:tabs>
          <w:tab w:val="left" w:pos="1418"/>
        </w:tabs>
        <w:ind w:left="2268" w:hanging="1134"/>
      </w:pPr>
      <w:r>
        <w:tab/>
      </w:r>
      <w:proofErr w:type="spellStart"/>
      <w:r w:rsidR="00B0401D">
        <w:t>III.a</w:t>
      </w:r>
      <w:proofErr w:type="spellEnd"/>
      <w:r w:rsidR="00B0401D">
        <w:t>)</w:t>
      </w:r>
      <w:r w:rsidR="00B0401D">
        <w:tab/>
        <w:t>после представления неофициального документа INF.16 Комитет по вопросам безопасности подтвердил, что действующий вариант ВОПОГ предусматривает переходные положения только в отношении температурного класса и группы взрывоопасности неэлектрических установок и оборудования, но не в отношении места, в котором они могут использоваться;</w:t>
      </w:r>
    </w:p>
    <w:p w14:paraId="5553AC34" w14:textId="0F8BB496" w:rsidR="00B0401D" w:rsidRPr="00A23666" w:rsidRDefault="00284CB8" w:rsidP="001E1631">
      <w:pPr>
        <w:pStyle w:val="SingleTxtG"/>
        <w:tabs>
          <w:tab w:val="left" w:pos="1418"/>
        </w:tabs>
        <w:ind w:left="2268" w:hanging="1134"/>
      </w:pPr>
      <w:r>
        <w:tab/>
      </w:r>
      <w:proofErr w:type="spellStart"/>
      <w:r w:rsidR="00B0401D">
        <w:t>III.b</w:t>
      </w:r>
      <w:proofErr w:type="spellEnd"/>
      <w:r w:rsidR="00B0401D">
        <w:t>)</w:t>
      </w:r>
      <w:r w:rsidR="00B0401D">
        <w:tab/>
        <w:t>просил Рекомендованные классификационные общества ВОПОГ представить в рабочем документе для январской сессии 2022 года любые необходимые поправки для уточнения текста ВОПОГ;</w:t>
      </w:r>
    </w:p>
    <w:p w14:paraId="060218A4" w14:textId="5154AA41" w:rsidR="00B0401D" w:rsidRPr="00A23666" w:rsidRDefault="00284CB8" w:rsidP="001E1631">
      <w:pPr>
        <w:pStyle w:val="SingleTxtG"/>
        <w:tabs>
          <w:tab w:val="left" w:pos="1418"/>
        </w:tabs>
        <w:ind w:left="2268" w:hanging="1134"/>
      </w:pPr>
      <w:r>
        <w:tab/>
      </w:r>
      <w:proofErr w:type="spellStart"/>
      <w:r w:rsidR="00B0401D">
        <w:t>III.e</w:t>
      </w:r>
      <w:proofErr w:type="spellEnd"/>
      <w:r w:rsidR="00B0401D">
        <w:t>)</w:t>
      </w:r>
      <w:r w:rsidR="00B0401D">
        <w:tab/>
        <w:t>настоятельно призвал членов Рекомендованных классификационных обществ ВОПОГ проанализировать вопрос о том, существует ли необходимость в разработке, в дополнение к общим требованиям ЕС</w:t>
      </w:r>
      <w:r w:rsidR="00D057C3">
        <w:noBreakHyphen/>
      </w:r>
      <w:r w:rsidR="00B0401D">
        <w:t>ТТСВП, дополнительных особых требований безопасности для судов, перевозящих опасные грузы, и определить, может ли иметь место опасное взаимодействие между перевозимыми опасными грузами и используемыми устройствами для хранения/производства энергии;</w:t>
      </w:r>
    </w:p>
    <w:p w14:paraId="19780593" w14:textId="664110EF" w:rsidR="00B0401D" w:rsidRPr="00A23666" w:rsidRDefault="00284CB8" w:rsidP="001E1631">
      <w:pPr>
        <w:pStyle w:val="SingleTxtG"/>
        <w:tabs>
          <w:tab w:val="left" w:pos="1418"/>
        </w:tabs>
        <w:ind w:left="2268" w:hanging="1134"/>
      </w:pPr>
      <w:r>
        <w:tab/>
      </w:r>
      <w:proofErr w:type="spellStart"/>
      <w:r w:rsidR="00B0401D">
        <w:t>V.a</w:t>
      </w:r>
      <w:proofErr w:type="spellEnd"/>
      <w:r w:rsidR="00B0401D">
        <w:t>)</w:t>
      </w:r>
      <w:r w:rsidR="00B0401D">
        <w:tab/>
        <w:t xml:space="preserve">подтвердил, что если перевозка веществ, которые в настоящее время классифицированы как № ООН 3082 ВЕЩЕСТВО, ОПАСНОЕ ДЛЯ ОКРУЖАЮЩЕЙ СРЕДЫ, ЖИДКОЕ, Н.У.К. (ТРЮМНЫЕ ВОДЫ, КРОМЕ НЕФТЯНОГО ШЛАМА), № ООН 3082 ВЕЩЕСТВО, ОПАСНОЕ ДЛЯ ОКРУЖАЮЩЕЙ СРЕДЫ, ЖИДКОЕ, Н.У.К. (ТРЮМНЫЕ ВОДЫ, СОДЕРЖАЩИЕ НЕФТЯНОЙ ШЛАМ) </w:t>
      </w:r>
      <w:r>
        <w:br/>
      </w:r>
      <w:r w:rsidR="00B0401D">
        <w:t>или № ООН 3082 ВЕЩЕСТВО, ОПАСНОЕ ДЛЯ ОКРУЖАЮЩЕЙ СРЕДЫ, ЖИДКОЕ, Н.У.К. (НЕФТЯНОЙ ШЛАМ), была разрешена для конкретного судна в период до 31 декабря 2008 года, то эти вещества, отнесенные к их соответствующей позиции ООН, могут быть внесены в перечень веществ, допущенных к перевозке судном.</w:t>
      </w:r>
    </w:p>
    <w:p w14:paraId="2C7AA282" w14:textId="77777777" w:rsidR="00B0401D" w:rsidRPr="00A23666" w:rsidRDefault="00B0401D" w:rsidP="001E1631">
      <w:pPr>
        <w:pStyle w:val="SingleTxtG"/>
        <w:rPr>
          <w:b/>
        </w:rPr>
      </w:pPr>
      <w:r>
        <w:t>51.</w:t>
      </w:r>
      <w:r>
        <w:tab/>
        <w:t>Касаясь неофициального документа INF.16, Комитет по вопросам безопасности предложил группе Рекомендованных классификационных обществ ВОПОГ дополнительно уточнить сферу применения существующего переходного положения для неэлектрических установок и оборудования, а также принял решение о составлении всеобъемлющего перечня оборудования.</w:t>
      </w:r>
    </w:p>
    <w:p w14:paraId="77B9215A" w14:textId="0D1272D9" w:rsidR="00B0401D" w:rsidRPr="00A23666" w:rsidRDefault="00B0401D" w:rsidP="001E1631">
      <w:pPr>
        <w:pStyle w:val="H1G"/>
        <w:spacing w:line="240" w:lineRule="atLeast"/>
      </w:pPr>
      <w:r>
        <w:tab/>
        <w:t>B.</w:t>
      </w:r>
      <w:r>
        <w:tab/>
      </w:r>
      <w:bookmarkStart w:id="112" w:name="_Hlk85553445"/>
      <w:r>
        <w:rPr>
          <w:bCs/>
        </w:rPr>
        <w:t xml:space="preserve">Доклад о работе </w:t>
      </w:r>
      <w:r w:rsidR="00220F25">
        <w:rPr>
          <w:bCs/>
        </w:rPr>
        <w:t>пятого</w:t>
      </w:r>
      <w:r>
        <w:rPr>
          <w:bCs/>
        </w:rPr>
        <w:t xml:space="preserve"> совещания неофициальной рабочей группы по вопросу о «погрузке поверх на баржах»</w:t>
      </w:r>
      <w:bookmarkStart w:id="113" w:name="_Toc81410432"/>
      <w:bookmarkEnd w:id="113"/>
      <w:bookmarkEnd w:id="112"/>
    </w:p>
    <w:p w14:paraId="14416884" w14:textId="77777777" w:rsidR="00B0401D" w:rsidRPr="006867C4" w:rsidRDefault="00B0401D" w:rsidP="00D057C3">
      <w:pPr>
        <w:pStyle w:val="SingleTxtG"/>
        <w:tabs>
          <w:tab w:val="clear" w:pos="2268"/>
          <w:tab w:val="clear" w:pos="2835"/>
          <w:tab w:val="left" w:pos="3969"/>
        </w:tabs>
      </w:pPr>
      <w:bookmarkStart w:id="114" w:name="_Toc81410433"/>
      <w:r w:rsidRPr="001F76A1">
        <w:rPr>
          <w:i/>
          <w:iCs/>
        </w:rPr>
        <w:t>Документ</w:t>
      </w:r>
      <w:r w:rsidRPr="006867C4">
        <w:rPr>
          <w:i/>
          <w:iCs/>
        </w:rPr>
        <w:t>:</w:t>
      </w:r>
      <w:r w:rsidRPr="006867C4">
        <w:tab/>
      </w:r>
      <w:r w:rsidRPr="001F76A1">
        <w:t>ECE</w:t>
      </w:r>
      <w:r w:rsidRPr="006867C4">
        <w:t>/</w:t>
      </w:r>
      <w:r w:rsidRPr="001F76A1">
        <w:t>TRANS</w:t>
      </w:r>
      <w:r w:rsidRPr="006867C4">
        <w:t>/</w:t>
      </w:r>
      <w:r w:rsidRPr="001F76A1">
        <w:t>WP</w:t>
      </w:r>
      <w:r w:rsidRPr="006867C4">
        <w:t>.15/</w:t>
      </w:r>
      <w:r w:rsidRPr="001F76A1">
        <w:t>AC</w:t>
      </w:r>
      <w:r w:rsidRPr="006867C4">
        <w:t>.2/2021/29 (</w:t>
      </w:r>
      <w:r w:rsidRPr="001F76A1">
        <w:t>Нидерланды</w:t>
      </w:r>
      <w:r w:rsidRPr="006867C4">
        <w:t>)</w:t>
      </w:r>
      <w:bookmarkEnd w:id="114"/>
    </w:p>
    <w:p w14:paraId="2C535C4E" w14:textId="77777777" w:rsidR="00B0401D" w:rsidRPr="00A23666" w:rsidRDefault="00B0401D" w:rsidP="001E1631">
      <w:pPr>
        <w:pStyle w:val="SingleTxtG"/>
      </w:pPr>
      <w:r>
        <w:t>52.</w:t>
      </w:r>
      <w:r>
        <w:tab/>
        <w:t>Представитель делегации Нидерландов сообщил об итогах совещания данной группы, проведенного дистанционно 22 и 23 апреля 2021 года.</w:t>
      </w:r>
    </w:p>
    <w:p w14:paraId="1508F9B3" w14:textId="103BF39A" w:rsidR="00B0401D" w:rsidRPr="00A23666" w:rsidRDefault="00B0401D" w:rsidP="001E1631">
      <w:pPr>
        <w:pStyle w:val="SingleTxtG"/>
      </w:pPr>
      <w:r>
        <w:t>53.</w:t>
      </w:r>
      <w:r>
        <w:tab/>
        <w:t xml:space="preserve">В отношении случая 3 a) Комитет по вопросам безопасности приветствовал предложенные принципы погрузки поверх такого же груза, т. е. погрузки опасного груза поверх опасного груза, имеющего тот же номер ООН и ту же позицию в </w:t>
      </w:r>
      <w:r>
        <w:lastRenderedPageBreak/>
        <w:t>таблице</w:t>
      </w:r>
      <w:r w:rsidR="00284CB8">
        <w:rPr>
          <w:lang w:val="en-US"/>
        </w:rPr>
        <w:t> </w:t>
      </w:r>
      <w:r>
        <w:t xml:space="preserve">С. Тем не менее в отношении этого случая было высказано общее предостережение, поскольку опасные реакции могут происходить даже с веществами, имеющими тот же номер ООН. Было предложено, чтобы неофициальная рабочая группа по веществам провела оценку таблицы С </w:t>
      </w:r>
      <w:proofErr w:type="spellStart"/>
      <w:r>
        <w:t>с</w:t>
      </w:r>
      <w:proofErr w:type="spellEnd"/>
      <w:r>
        <w:t xml:space="preserve"> целью составления так называемого «позитивного перечня» веществ, которые могут быть разрешены для погрузки согласно принципам «погрузки поверх» (если необходимо, после соответствующих испытаний); в будущем этот перечень может быть расширен.</w:t>
      </w:r>
    </w:p>
    <w:p w14:paraId="146007F2" w14:textId="77777777" w:rsidR="00B0401D" w:rsidRPr="00A23666" w:rsidRDefault="00B0401D" w:rsidP="001E1631">
      <w:pPr>
        <w:pStyle w:val="SingleTxtG"/>
      </w:pPr>
      <w:r>
        <w:t>54.</w:t>
      </w:r>
      <w:r>
        <w:tab/>
        <w:t xml:space="preserve">В отношении случая 3 b) было предложено, чтобы неофициальная рабочая группа по вопросу о погрузке поверх на баржах продолжила свою работу по поиску надлежащего правового документа, на который в ВОПОГ можно было бы включить ссылку, чтобы облегчить процессы погрузки поверх на баржах. Представитель Бельгии попросил неофициальную рабочую группу по вопросу о погрузке поверх также изучить случаи, когда во время транспортировки в груз добавляются ингибиторы, присадки и красители. </w:t>
      </w:r>
    </w:p>
    <w:p w14:paraId="431D8011" w14:textId="77777777" w:rsidR="00B0401D" w:rsidRPr="00A23666" w:rsidRDefault="00B0401D" w:rsidP="001E1631">
      <w:pPr>
        <w:pStyle w:val="SingleTxtG"/>
      </w:pPr>
      <w:r>
        <w:t>55.</w:t>
      </w:r>
      <w:r>
        <w:tab/>
        <w:t>В отношении случая 3 c) мнения разделились по поводу того, следует ли продолжать работу по вопросу о погрузке одного опасного груза поверх другого опасного груза. Представитель «</w:t>
      </w:r>
      <w:proofErr w:type="spellStart"/>
      <w:r>
        <w:t>Фьюэлз-Юроп</w:t>
      </w:r>
      <w:proofErr w:type="spellEnd"/>
      <w:r>
        <w:t xml:space="preserve">» предложил помощь в работе над случаями 3 a) и 3 b), однако его организация больше не будет прилагать усилий для разработки случая 3 c). </w:t>
      </w:r>
    </w:p>
    <w:p w14:paraId="5DC6EC02" w14:textId="77777777" w:rsidR="00B0401D" w:rsidRPr="00A23666" w:rsidRDefault="00B0401D" w:rsidP="001E1631">
      <w:pPr>
        <w:pStyle w:val="SingleTxtG"/>
      </w:pPr>
      <w:r>
        <w:t>56.</w:t>
      </w:r>
      <w:r>
        <w:tab/>
        <w:t>Наконец, мнения разделились по вопросу о закреплении в ВОПОГ любого вида погрузки поверх. Некоторые представители высказали мнение, что во время погрузки судно находится на стоянке и неясно, может ли эта операция считаться частью перевозки. Кроме того, Комитет должен обладать подробной экспертной информацией, и необходимо учитывать дополнительные риски, которые могут возникать в будущем при перевозке опасных грузов. Другие</w:t>
      </w:r>
      <w:r w:rsidRPr="00326B5A">
        <w:t xml:space="preserve"> </w:t>
      </w:r>
      <w:r>
        <w:t>представители предложили свести к минимуму включение таких положений, ссылаясь на существующие руководства и стандарты для морского транспорта и на другие национальные или международные правовые документы по этому вопросу.</w:t>
      </w:r>
    </w:p>
    <w:p w14:paraId="3358EEC8" w14:textId="77777777" w:rsidR="00B0401D" w:rsidRPr="00A23666" w:rsidRDefault="00B0401D" w:rsidP="001E1631">
      <w:pPr>
        <w:pStyle w:val="SingleTxtG"/>
      </w:pPr>
      <w:r>
        <w:t>57.</w:t>
      </w:r>
      <w:r>
        <w:tab/>
        <w:t>В качестве компромисса было выдвинуто предложение о том, что «позитивный перечень» веществ, разрешенных для погрузки поверх, можно было бы добавить к перечню веществ, допущенных к перевозке судном, четко указав все соответствующие условия погрузки.</w:t>
      </w:r>
    </w:p>
    <w:p w14:paraId="75CD3144" w14:textId="77777777" w:rsidR="00B0401D" w:rsidRPr="00A23666" w:rsidRDefault="00B0401D" w:rsidP="001E1631">
      <w:pPr>
        <w:pStyle w:val="SingleTxtG"/>
      </w:pPr>
      <w:r>
        <w:t>58.</w:t>
      </w:r>
      <w:r>
        <w:tab/>
        <w:t>Представитель Нидерландов объявил о своем намерении организовать дальнейшие совещания и представить доклад Комитету по вопросам безопасности на следующей сессии, чтобы облегчить принятие им решения о продолжении работы над этим вопросом.</w:t>
      </w:r>
    </w:p>
    <w:p w14:paraId="5BE7E9E6" w14:textId="6D92F68C" w:rsidR="00B0401D" w:rsidRPr="00A23666" w:rsidRDefault="00B0401D" w:rsidP="001E1631">
      <w:pPr>
        <w:pStyle w:val="HChG"/>
        <w:spacing w:line="240" w:lineRule="atLeast"/>
      </w:pPr>
      <w:r>
        <w:tab/>
        <w:t>VIII.</w:t>
      </w:r>
      <w:r>
        <w:tab/>
      </w:r>
      <w:bookmarkStart w:id="115" w:name="_Hlk85553688"/>
      <w:r>
        <w:rPr>
          <w:bCs/>
        </w:rPr>
        <w:t xml:space="preserve">Программа работы и расписание совещаний </w:t>
      </w:r>
      <w:r w:rsidR="00284CB8">
        <w:rPr>
          <w:bCs/>
        </w:rPr>
        <w:br/>
      </w:r>
      <w:r>
        <w:rPr>
          <w:bCs/>
        </w:rPr>
        <w:t>(пункт 6 повестки дня)</w:t>
      </w:r>
      <w:bookmarkStart w:id="116" w:name="_Toc81410434"/>
      <w:bookmarkEnd w:id="116"/>
      <w:bookmarkEnd w:id="115"/>
    </w:p>
    <w:p w14:paraId="6B05017B" w14:textId="7F2BE9F4" w:rsidR="00B0401D" w:rsidRPr="00A23666" w:rsidRDefault="00B0401D" w:rsidP="001E1631">
      <w:pPr>
        <w:pStyle w:val="SingleTxtG"/>
      </w:pPr>
      <w:r>
        <w:t>59.</w:t>
      </w:r>
      <w:r>
        <w:tab/>
        <w:t xml:space="preserve">Комитет по вопросам безопасности принял к сведению, что его тридцать девятую сессию планируется провести в Женеве 24–28 января 2022 года, а двадцать седьмую сессию Административного комитета ВОПОГ — 28 января 2022 года </w:t>
      </w:r>
      <w:r w:rsidR="001E1631">
        <w:br/>
      </w:r>
      <w:r>
        <w:t>(с 12 ч 00 мин до 13 ч 00 мин). Крайним сроком представления документов для этих совещаний является 29 октября 2021 года.</w:t>
      </w:r>
    </w:p>
    <w:p w14:paraId="3A16BF39" w14:textId="77777777" w:rsidR="00B0401D" w:rsidRPr="00A23666" w:rsidRDefault="00B0401D" w:rsidP="001E1631">
      <w:pPr>
        <w:pStyle w:val="HChG"/>
        <w:spacing w:line="240" w:lineRule="atLeast"/>
        <w:rPr>
          <w:i/>
        </w:rPr>
      </w:pPr>
      <w:r>
        <w:tab/>
        <w:t>IX.</w:t>
      </w:r>
      <w:r>
        <w:tab/>
      </w:r>
      <w:bookmarkStart w:id="117" w:name="_Hlk85553697"/>
      <w:r>
        <w:rPr>
          <w:bCs/>
        </w:rPr>
        <w:t>Прочие вопросы (пункт 7 повестки дня)</w:t>
      </w:r>
      <w:bookmarkStart w:id="118" w:name="_Toc81410435"/>
      <w:bookmarkEnd w:id="118"/>
      <w:bookmarkEnd w:id="117"/>
    </w:p>
    <w:p w14:paraId="15B2CB25" w14:textId="77777777" w:rsidR="00B0401D" w:rsidRPr="00A23666" w:rsidRDefault="00B0401D" w:rsidP="001E1631">
      <w:pPr>
        <w:pStyle w:val="H1G"/>
        <w:spacing w:line="240" w:lineRule="atLeast"/>
      </w:pPr>
      <w:r>
        <w:tab/>
        <w:t>A.</w:t>
      </w:r>
      <w:r>
        <w:tab/>
      </w:r>
      <w:bookmarkStart w:id="119" w:name="_Hlk85553707"/>
      <w:r>
        <w:rPr>
          <w:bCs/>
        </w:rPr>
        <w:t>Правила процедуры Комитета по вопросам безопасности ВОПОГ</w:t>
      </w:r>
      <w:bookmarkStart w:id="120" w:name="_Toc81410436"/>
      <w:bookmarkEnd w:id="120"/>
      <w:bookmarkEnd w:id="119"/>
    </w:p>
    <w:p w14:paraId="07281154" w14:textId="77777777" w:rsidR="00B0401D" w:rsidRPr="00950775" w:rsidRDefault="00B0401D" w:rsidP="008B2440">
      <w:pPr>
        <w:pStyle w:val="SingleTxtG"/>
      </w:pPr>
      <w:bookmarkStart w:id="121" w:name="_Toc81410437"/>
      <w:r w:rsidRPr="00950775">
        <w:rPr>
          <w:i/>
          <w:iCs/>
        </w:rPr>
        <w:t>Неофициальный документ:</w:t>
      </w:r>
      <w:r w:rsidRPr="00950775">
        <w:tab/>
        <w:t>INF.7 (Австрия, Германия и Нидерланды)</w:t>
      </w:r>
      <w:bookmarkEnd w:id="121"/>
    </w:p>
    <w:p w14:paraId="272D708D" w14:textId="77777777" w:rsidR="00B0401D" w:rsidRPr="00A23666" w:rsidRDefault="00B0401D" w:rsidP="001E1631">
      <w:pPr>
        <w:pStyle w:val="SingleTxtG"/>
      </w:pPr>
      <w:r>
        <w:t>60.</w:t>
      </w:r>
      <w:r>
        <w:tab/>
        <w:t xml:space="preserve">Комитет по вопросам безопасности рассмотрел проект правил процедуры Комитета по вопросам безопасности ВОПОГ, содержащийся в неофициальном </w:t>
      </w:r>
      <w:r>
        <w:lastRenderedPageBreak/>
        <w:t>документе INF.7. Было решено возобновить его рассмотрение на следующей сессии на основе официального документа, который будет подготовлен авторами с учетом полученных замечаний.</w:t>
      </w:r>
    </w:p>
    <w:p w14:paraId="15438B12" w14:textId="77777777" w:rsidR="00B0401D" w:rsidRPr="00A23666" w:rsidRDefault="00B0401D" w:rsidP="001E1631">
      <w:pPr>
        <w:pStyle w:val="SingleTxtG"/>
      </w:pPr>
      <w:r>
        <w:t>61.</w:t>
      </w:r>
      <w:r>
        <w:tab/>
        <w:t>Секретариату было предложено уточнить статус группы Рекомендованных классификационных обществ ВОПОГ в Комитете по вопросам безопасности.</w:t>
      </w:r>
    </w:p>
    <w:p w14:paraId="5B3AEDB5" w14:textId="77777777" w:rsidR="00B0401D" w:rsidRPr="00A23666" w:rsidRDefault="00B0401D" w:rsidP="001E1631">
      <w:pPr>
        <w:pStyle w:val="H1G"/>
        <w:spacing w:line="240" w:lineRule="atLeast"/>
      </w:pPr>
      <w:r>
        <w:tab/>
        <w:t>B.</w:t>
      </w:r>
      <w:r>
        <w:tab/>
      </w:r>
      <w:bookmarkStart w:id="122" w:name="_Hlk85553718"/>
      <w:r>
        <w:rPr>
          <w:bCs/>
        </w:rPr>
        <w:t>Информация о возможностях финансирования «экологизации» перевозок опасных грузов</w:t>
      </w:r>
      <w:bookmarkStart w:id="123" w:name="_Toc81410438"/>
      <w:bookmarkEnd w:id="123"/>
      <w:bookmarkEnd w:id="122"/>
    </w:p>
    <w:p w14:paraId="7EBE0D1F" w14:textId="77777777" w:rsidR="00B0401D" w:rsidRPr="0021478C" w:rsidRDefault="00B0401D" w:rsidP="008B2440">
      <w:pPr>
        <w:pStyle w:val="SingleTxtG"/>
      </w:pPr>
      <w:bookmarkStart w:id="124" w:name="_Toc81410439"/>
      <w:r w:rsidRPr="0021478C">
        <w:rPr>
          <w:i/>
          <w:iCs/>
        </w:rPr>
        <w:t>Неофициальный документ:</w:t>
      </w:r>
      <w:r w:rsidRPr="0021478C">
        <w:tab/>
        <w:t>INF.19 (Европейская комиссия)</w:t>
      </w:r>
      <w:bookmarkEnd w:id="124"/>
    </w:p>
    <w:p w14:paraId="5C0A4C54" w14:textId="77777777" w:rsidR="00B0401D" w:rsidRPr="00A23666" w:rsidRDefault="00B0401D" w:rsidP="001E1631">
      <w:pPr>
        <w:pStyle w:val="SingleTxtG"/>
      </w:pPr>
      <w:r>
        <w:t>62.</w:t>
      </w:r>
      <w:r>
        <w:tab/>
        <w:t>Комитет по вопросам безопасности принял к сведению неофициальный документ INF.19 о возможностях финансирования Европейской комиссией «экологизации» перевозок опасных грузов, включая подробную информацию о подпрограмме по окружающей среде</w:t>
      </w:r>
      <w:r w:rsidRPr="00C21A16">
        <w:t xml:space="preserve"> </w:t>
      </w:r>
      <w:r>
        <w:t>LIFE. Было уточнено, что в рамках данной подпрограммы может также финансироваться деятельность за пределами Европейского союза, даже в зарубежных странах и территориях, но только в том случае, если руководитель проекта базируется на территории Европейского союза.</w:t>
      </w:r>
    </w:p>
    <w:p w14:paraId="121F2C47" w14:textId="77777777" w:rsidR="00B0401D" w:rsidRPr="00A23666" w:rsidRDefault="00B0401D" w:rsidP="001E1631">
      <w:pPr>
        <w:pStyle w:val="H1G"/>
        <w:keepNext w:val="0"/>
        <w:keepLines w:val="0"/>
        <w:spacing w:line="240" w:lineRule="atLeast"/>
      </w:pPr>
      <w:r>
        <w:tab/>
        <w:t>C.</w:t>
      </w:r>
      <w:r>
        <w:tab/>
      </w:r>
      <w:bookmarkStart w:id="125" w:name="_Hlk85553733"/>
      <w:r>
        <w:rPr>
          <w:bCs/>
        </w:rPr>
        <w:t>Транспортное сообщество</w:t>
      </w:r>
      <w:bookmarkStart w:id="126" w:name="_Toc81410440"/>
      <w:bookmarkEnd w:id="126"/>
      <w:bookmarkEnd w:id="125"/>
    </w:p>
    <w:p w14:paraId="50F259A3" w14:textId="3D365482" w:rsidR="00B0401D" w:rsidRPr="00A23666" w:rsidRDefault="00B0401D" w:rsidP="001E1631">
      <w:pPr>
        <w:pStyle w:val="SingleTxtG"/>
      </w:pPr>
      <w:r>
        <w:t>63.</w:t>
      </w:r>
      <w:r>
        <w:tab/>
        <w:t>Представитель Транспортного сообщества представила эту международную правительственную организацию, осуществляющую свою деятельность в области мобильности и транспорта (</w:t>
      </w:r>
      <w:hyperlink r:id="rId9" w:history="1">
        <w:r w:rsidRPr="001E1631">
          <w:rPr>
            <w:rStyle w:val="af1"/>
          </w:rPr>
          <w:t>https://www.transport-community.org/</w:t>
        </w:r>
      </w:hyperlink>
      <w:r>
        <w:t>). Эта организация была создана в 2019 году в соответствии с договором, подписанным между Европейским союзом и шестью странами Юго-Восточной Европы с целью облегчения их интеграции. Она разрабатывает руководства по таким видам деятельности, как перевозка опасных грузов, и создала соответствующий технический комитет, члены которого могут пожелать участвовать также в работе Комитета по вопросам безопасности. Комитет по вопросам безопасности приветствовал участие этого технического комитета в своих будущих сессиях и вклад, который он может внести в их работу.</w:t>
      </w:r>
    </w:p>
    <w:p w14:paraId="7C65A4BE" w14:textId="77777777" w:rsidR="00B0401D" w:rsidRPr="00A23666" w:rsidRDefault="00B0401D" w:rsidP="001E1631">
      <w:pPr>
        <w:pStyle w:val="HChG"/>
        <w:spacing w:line="240" w:lineRule="atLeast"/>
        <w:rPr>
          <w:i/>
        </w:rPr>
      </w:pPr>
      <w:r>
        <w:tab/>
        <w:t>X.</w:t>
      </w:r>
      <w:r>
        <w:tab/>
      </w:r>
      <w:bookmarkStart w:id="127" w:name="_Hlk85553743"/>
      <w:r>
        <w:rPr>
          <w:bCs/>
        </w:rPr>
        <w:t>Утверждение доклада (пункт 8 повестки дня)</w:t>
      </w:r>
      <w:bookmarkStart w:id="128" w:name="_Toc81410441"/>
      <w:bookmarkEnd w:id="128"/>
      <w:bookmarkEnd w:id="127"/>
    </w:p>
    <w:p w14:paraId="264A4185" w14:textId="39939559" w:rsidR="00E12C5F" w:rsidRDefault="00B0401D" w:rsidP="001E1631">
      <w:pPr>
        <w:pStyle w:val="SingleTxtG"/>
      </w:pPr>
      <w:r>
        <w:t>64.</w:t>
      </w:r>
      <w:r>
        <w:tab/>
        <w:t>Комитет по вопросам безопасности утвердил доклад о работе своей тридцать восьмой сессии и приложения к нему на основе проекта, подготовленного секретариатом.</w:t>
      </w:r>
    </w:p>
    <w:p w14:paraId="7500C0FB" w14:textId="45B5F38A" w:rsidR="00B0401D" w:rsidRDefault="00B0401D" w:rsidP="001E1631">
      <w:pPr>
        <w:suppressAutoHyphens w:val="0"/>
        <w:rPr>
          <w:rFonts w:eastAsia="Times New Roman" w:cs="Times New Roman"/>
          <w:szCs w:val="20"/>
        </w:rPr>
      </w:pPr>
      <w:r>
        <w:br w:type="page"/>
      </w:r>
    </w:p>
    <w:p w14:paraId="4CD281F5" w14:textId="77777777" w:rsidR="00B0401D" w:rsidRPr="00A23666" w:rsidRDefault="00B0401D" w:rsidP="001E1631">
      <w:pPr>
        <w:pStyle w:val="HChG"/>
        <w:spacing w:line="240" w:lineRule="atLeast"/>
      </w:pPr>
      <w:bookmarkStart w:id="129" w:name="_Hlk536607922"/>
      <w:r>
        <w:lastRenderedPageBreak/>
        <w:tab/>
      </w:r>
      <w:r>
        <w:rPr>
          <w:bCs/>
        </w:rPr>
        <w:t>Приложение I</w:t>
      </w:r>
    </w:p>
    <w:p w14:paraId="42D073D6" w14:textId="77777777" w:rsidR="00B0401D" w:rsidRPr="00A23666" w:rsidRDefault="00B0401D" w:rsidP="00C02F57">
      <w:pPr>
        <w:pStyle w:val="SingleTxtG"/>
        <w:jc w:val="right"/>
      </w:pPr>
      <w:r>
        <w:t>[Языки оригинала: английский и французский]</w:t>
      </w:r>
    </w:p>
    <w:p w14:paraId="51F8BECB" w14:textId="4BAE9CA1" w:rsidR="00B0401D" w:rsidRPr="00A23666" w:rsidRDefault="00B0401D" w:rsidP="001E1631">
      <w:pPr>
        <w:pStyle w:val="HChG"/>
        <w:spacing w:line="240" w:lineRule="atLeast"/>
      </w:pPr>
      <w:r>
        <w:tab/>
      </w:r>
      <w:r>
        <w:tab/>
      </w:r>
      <w:r>
        <w:rPr>
          <w:bCs/>
        </w:rPr>
        <w:t>Предлагаемые поправки к Правилам, прилагаемым к</w:t>
      </w:r>
      <w:r w:rsidR="00C02F57">
        <w:rPr>
          <w:bCs/>
          <w:lang w:val="en-US"/>
        </w:rPr>
        <w:t> </w:t>
      </w:r>
      <w:r>
        <w:rPr>
          <w:bCs/>
        </w:rPr>
        <w:t>ВОПОГ, для вступления в силу 1 января 2023 года</w:t>
      </w:r>
    </w:p>
    <w:bookmarkEnd w:id="129"/>
    <w:p w14:paraId="4EBC5AB8" w14:textId="77777777" w:rsidR="00B0401D" w:rsidRPr="00A23666" w:rsidRDefault="00B0401D" w:rsidP="001E1631">
      <w:pPr>
        <w:pStyle w:val="H23G"/>
        <w:spacing w:line="240" w:lineRule="atLeast"/>
      </w:pPr>
      <w:r>
        <w:tab/>
      </w:r>
      <w:r>
        <w:tab/>
      </w:r>
      <w:r>
        <w:tab/>
      </w:r>
      <w:r>
        <w:rPr>
          <w:bCs/>
        </w:rPr>
        <w:t>Глава 1.6</w:t>
      </w:r>
    </w:p>
    <w:p w14:paraId="2AF1310B" w14:textId="77777777" w:rsidR="00B0401D" w:rsidRPr="00A23666" w:rsidRDefault="00B0401D" w:rsidP="001E1631">
      <w:pPr>
        <w:spacing w:after="120"/>
        <w:ind w:left="1134"/>
        <w:jc w:val="both"/>
        <w:rPr>
          <w:color w:val="000000"/>
        </w:rPr>
      </w:pPr>
      <w:r>
        <w:t>1.6.7.2.1.1</w:t>
      </w:r>
      <w:r>
        <w:tab/>
        <w:t>Включить новое переходное положение следующего содержания:</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599"/>
        <w:gridCol w:w="4526"/>
      </w:tblGrid>
      <w:tr w:rsidR="00B0401D" w:rsidRPr="006867C4" w14:paraId="48606164" w14:textId="77777777" w:rsidTr="00AC122D">
        <w:tc>
          <w:tcPr>
            <w:tcW w:w="1086" w:type="dxa"/>
            <w:shd w:val="clear" w:color="auto" w:fill="auto"/>
          </w:tcPr>
          <w:p w14:paraId="01F33191" w14:textId="77777777" w:rsidR="00B0401D" w:rsidRPr="007629AC" w:rsidRDefault="00B0401D" w:rsidP="001E1631">
            <w:pPr>
              <w:spacing w:after="240"/>
              <w:jc w:val="both"/>
              <w:rPr>
                <w:bCs/>
                <w:color w:val="000000"/>
              </w:rPr>
            </w:pPr>
            <w:r>
              <w:t>8.6.1.1</w:t>
            </w:r>
          </w:p>
        </w:tc>
        <w:tc>
          <w:tcPr>
            <w:tcW w:w="2599" w:type="dxa"/>
            <w:shd w:val="clear" w:color="auto" w:fill="auto"/>
          </w:tcPr>
          <w:p w14:paraId="69C12E7D" w14:textId="77777777" w:rsidR="00B0401D" w:rsidRPr="00A23666" w:rsidRDefault="00B0401D" w:rsidP="001E1631">
            <w:pPr>
              <w:spacing w:after="240"/>
              <w:jc w:val="both"/>
              <w:rPr>
                <w:bCs/>
                <w:color w:val="000000"/>
              </w:rPr>
            </w:pPr>
            <w:r>
              <w:t>Изменения в свидетельстве о допущении, пункты 4 и 8</w:t>
            </w:r>
          </w:p>
        </w:tc>
        <w:tc>
          <w:tcPr>
            <w:tcW w:w="4526" w:type="dxa"/>
            <w:shd w:val="clear" w:color="auto" w:fill="auto"/>
          </w:tcPr>
          <w:p w14:paraId="33214EB3" w14:textId="77777777" w:rsidR="00B0401D" w:rsidRDefault="00B0401D" w:rsidP="00C02F57">
            <w:pPr>
              <w:jc w:val="center"/>
            </w:pPr>
            <w:r>
              <w:t>Н.З.М. с 1 января 2023 года</w:t>
            </w:r>
          </w:p>
          <w:p w14:paraId="1FD4F8FA" w14:textId="5F9E5E54" w:rsidR="00B0401D" w:rsidRPr="00A23666" w:rsidRDefault="00B0401D" w:rsidP="001E1631">
            <w:pPr>
              <w:spacing w:after="240"/>
              <w:jc w:val="center"/>
              <w:rPr>
                <w:bCs/>
                <w:color w:val="000000"/>
              </w:rPr>
            </w:pPr>
            <w:r>
              <w:t>Возобновление свидетельства о допущении после</w:t>
            </w:r>
            <w:r w:rsidR="00C02F57">
              <w:rPr>
                <w:lang w:val="en-US"/>
              </w:rPr>
              <w:t> </w:t>
            </w:r>
            <w:r>
              <w:t>31 декабря 2022 года</w:t>
            </w:r>
          </w:p>
        </w:tc>
      </w:tr>
    </w:tbl>
    <w:p w14:paraId="3485199D" w14:textId="77777777" w:rsidR="00B0401D" w:rsidRPr="00A23666" w:rsidRDefault="00B0401D" w:rsidP="001E1631">
      <w:pPr>
        <w:pStyle w:val="SingleTxtG"/>
        <w:tabs>
          <w:tab w:val="left" w:pos="1985"/>
          <w:tab w:val="left" w:pos="2127"/>
        </w:tabs>
        <w:spacing w:before="120"/>
      </w:pPr>
      <w:r>
        <w:rPr>
          <w:i/>
          <w:iCs/>
        </w:rPr>
        <w:t>(Справочный документ: ECE/TRANS/WP.15/AC.2/2021/27 с поправками, содержащимися в неофициальном документе INF.20)</w:t>
      </w:r>
    </w:p>
    <w:p w14:paraId="71345F2B" w14:textId="77777777" w:rsidR="00B0401D" w:rsidRPr="00A23666" w:rsidRDefault="00B0401D" w:rsidP="00A20E79">
      <w:pPr>
        <w:pStyle w:val="SingleTxtG"/>
        <w:tabs>
          <w:tab w:val="clear" w:pos="1701"/>
          <w:tab w:val="clear" w:pos="2835"/>
        </w:tabs>
      </w:pPr>
      <w:r>
        <w:t>1.6.7.2.2.2</w:t>
      </w:r>
      <w:r>
        <w:tab/>
      </w:r>
      <w:r>
        <w:tab/>
      </w:r>
      <w:r w:rsidRPr="00A20E79">
        <w:rPr>
          <w:spacing w:val="-4"/>
        </w:rPr>
        <w:t xml:space="preserve">В переходном положении для пунктов 9.3.1.0.3 d), 9.3.2.0.3 d) и 9.3.3.0.3 d) </w:t>
      </w:r>
      <w:r>
        <w:t>«</w:t>
      </w:r>
      <w:proofErr w:type="spellStart"/>
      <w:r>
        <w:t>Трудновоспламеняющиеся</w:t>
      </w:r>
      <w:proofErr w:type="spellEnd"/>
      <w:r>
        <w:t xml:space="preserve"> материалы, используемые в жилых помещениях и рулевой рубке» изменить нумерацию пунктов на 9.3.1.0.6, 9.3.2.0.6 и 9.3.3.0.6.</w:t>
      </w:r>
    </w:p>
    <w:p w14:paraId="0133EB3D" w14:textId="77777777" w:rsidR="00B0401D" w:rsidRPr="00A23666" w:rsidRDefault="00B0401D" w:rsidP="001E1631">
      <w:pPr>
        <w:pStyle w:val="SingleTxtG"/>
        <w:tabs>
          <w:tab w:val="left" w:pos="1985"/>
          <w:tab w:val="left" w:pos="2127"/>
        </w:tabs>
      </w:pPr>
      <w:r>
        <w:rPr>
          <w:i/>
          <w:iCs/>
        </w:rPr>
        <w:t>(</w:t>
      </w:r>
      <w:proofErr w:type="spellStart"/>
      <w:r>
        <w:rPr>
          <w:i/>
          <w:iCs/>
        </w:rPr>
        <w:t>Cправочный</w:t>
      </w:r>
      <w:proofErr w:type="spellEnd"/>
      <w:r>
        <w:rPr>
          <w:i/>
          <w:iCs/>
        </w:rPr>
        <w:t xml:space="preserve"> документ: ECE/TRANS/WP.15/AC.2/2021/30, сопутствующая поправка)</w:t>
      </w:r>
    </w:p>
    <w:p w14:paraId="3FD424F4" w14:textId="77777777" w:rsidR="00B0401D" w:rsidRPr="00A23666" w:rsidRDefault="00B0401D" w:rsidP="00C02F57">
      <w:pPr>
        <w:pStyle w:val="SingleTxtG"/>
        <w:tabs>
          <w:tab w:val="clear" w:pos="1701"/>
          <w:tab w:val="clear" w:pos="2835"/>
        </w:tabs>
      </w:pPr>
      <w:r>
        <w:t>1.6.8.1</w:t>
      </w:r>
      <w:r>
        <w:tab/>
        <w:t>Исключить и добавить «1.6.8.1</w:t>
      </w:r>
      <w:r>
        <w:tab/>
        <w:t>Исключен».</w:t>
      </w:r>
    </w:p>
    <w:p w14:paraId="489A7B69" w14:textId="77777777" w:rsidR="00B0401D" w:rsidRPr="00A23666" w:rsidRDefault="00B0401D" w:rsidP="001E1631">
      <w:pPr>
        <w:pStyle w:val="SingleTxtG"/>
        <w:rPr>
          <w:i/>
        </w:rPr>
      </w:pPr>
      <w:r>
        <w:rPr>
          <w:i/>
          <w:iCs/>
        </w:rPr>
        <w:t>(Справочный документ: ECE/TRANS/WP.15/AC.2/2021/21)</w:t>
      </w:r>
    </w:p>
    <w:p w14:paraId="697D371F" w14:textId="77777777" w:rsidR="00B0401D" w:rsidRPr="00A23666" w:rsidRDefault="00B0401D" w:rsidP="001E1631">
      <w:pPr>
        <w:pStyle w:val="H23G"/>
        <w:spacing w:line="240" w:lineRule="atLeast"/>
      </w:pPr>
      <w:r>
        <w:tab/>
      </w:r>
      <w:r>
        <w:tab/>
      </w:r>
      <w:r>
        <w:tab/>
      </w:r>
      <w:r>
        <w:rPr>
          <w:bCs/>
        </w:rPr>
        <w:t>Глава 3.2, таблица A</w:t>
      </w:r>
    </w:p>
    <w:p w14:paraId="03B88126" w14:textId="77777777" w:rsidR="00B0401D" w:rsidRPr="00A23666" w:rsidRDefault="00B0401D" w:rsidP="001E1631">
      <w:pPr>
        <w:pStyle w:val="SingleTxtG"/>
      </w:pPr>
      <w:r>
        <w:t>Для № ООН 2381, 3483, 3543, 3544, 3545, 3546, 3547 и 3548: в колонку 6 включить «802».</w:t>
      </w:r>
    </w:p>
    <w:p w14:paraId="583F3CF6" w14:textId="77777777" w:rsidR="00B0401D" w:rsidRPr="00A23666" w:rsidRDefault="00B0401D" w:rsidP="001E1631">
      <w:pPr>
        <w:pStyle w:val="SingleTxtG"/>
      </w:pPr>
      <w:r>
        <w:rPr>
          <w:i/>
          <w:iCs/>
        </w:rPr>
        <w:t>(Справочный документ: ECE/TRANS/WP.15/AC.2/2021/19)</w:t>
      </w:r>
    </w:p>
    <w:p w14:paraId="0D127F03" w14:textId="77777777" w:rsidR="00B0401D" w:rsidRPr="00A23666" w:rsidRDefault="00B0401D" w:rsidP="001E1631">
      <w:pPr>
        <w:pStyle w:val="SingleTxtG"/>
      </w:pPr>
      <w:r>
        <w:t>Для № ООН 3440 (все позиции): в колонку 6 включить «563».</w:t>
      </w:r>
    </w:p>
    <w:p w14:paraId="199F612C" w14:textId="77777777" w:rsidR="00B0401D" w:rsidRPr="00A23666" w:rsidRDefault="00B0401D" w:rsidP="001E1631">
      <w:pPr>
        <w:pStyle w:val="SingleTxtG"/>
      </w:pPr>
      <w:r>
        <w:rPr>
          <w:i/>
          <w:iCs/>
        </w:rPr>
        <w:t>(Справочный документ: ECE/TRANS/WP.15/AC.2/2021/19)</w:t>
      </w:r>
    </w:p>
    <w:p w14:paraId="125F889D" w14:textId="77777777" w:rsidR="00B0401D" w:rsidRPr="00A23666" w:rsidRDefault="00B0401D" w:rsidP="001E1631">
      <w:pPr>
        <w:pStyle w:val="SingleTxtG"/>
      </w:pPr>
      <w:r>
        <w:t>Для № ООН 3494 (все позиции): в колонке 6 исключить «649».</w:t>
      </w:r>
    </w:p>
    <w:p w14:paraId="7608A847" w14:textId="77777777" w:rsidR="00B0401D" w:rsidRPr="00A23666" w:rsidRDefault="00B0401D" w:rsidP="001E1631">
      <w:pPr>
        <w:pStyle w:val="SingleTxtG"/>
      </w:pPr>
      <w:r>
        <w:rPr>
          <w:i/>
          <w:iCs/>
        </w:rPr>
        <w:t>(Справочный документ: ECE/TRANS/WP.15/AC.2/2021/19)</w:t>
      </w:r>
    </w:p>
    <w:p w14:paraId="452CA34E" w14:textId="77777777" w:rsidR="00B0401D" w:rsidRPr="00A23666" w:rsidRDefault="00B0401D" w:rsidP="001E1631">
      <w:pPr>
        <w:pStyle w:val="SingleTxtG"/>
      </w:pPr>
      <w:r>
        <w:t>Для № ООН 3537, 3539, 3540, 3541 и 3542: в колонке 6 исключить «649».</w:t>
      </w:r>
    </w:p>
    <w:p w14:paraId="5C81B662" w14:textId="77777777" w:rsidR="00B0401D" w:rsidRPr="00A23666" w:rsidRDefault="00B0401D" w:rsidP="001E1631">
      <w:pPr>
        <w:pStyle w:val="SingleTxtG"/>
      </w:pPr>
      <w:r>
        <w:rPr>
          <w:i/>
          <w:iCs/>
        </w:rPr>
        <w:t>(Справочный документ: ECE/TRANS/WP.15/AC.2/2021/19)</w:t>
      </w:r>
    </w:p>
    <w:p w14:paraId="773EBFA4" w14:textId="77777777" w:rsidR="00B0401D" w:rsidRPr="00A23666" w:rsidRDefault="00B0401D" w:rsidP="001E1631">
      <w:pPr>
        <w:pStyle w:val="H23G"/>
        <w:spacing w:line="240" w:lineRule="atLeast"/>
        <w:rPr>
          <w:rStyle w:val="af3"/>
        </w:rPr>
      </w:pPr>
      <w:r>
        <w:tab/>
      </w:r>
      <w:r>
        <w:tab/>
      </w:r>
      <w:r>
        <w:tab/>
      </w:r>
      <w:r>
        <w:rPr>
          <w:bCs/>
        </w:rPr>
        <w:t>Глава 3.2, таблица С</w:t>
      </w:r>
    </w:p>
    <w:p w14:paraId="3D4AE1F3" w14:textId="77777777" w:rsidR="00B0401D" w:rsidRPr="00A23666" w:rsidRDefault="00B0401D" w:rsidP="001E1631">
      <w:pPr>
        <w:pStyle w:val="SingleTxtG"/>
      </w:pPr>
      <w:r>
        <w:t>Для идентификационного номера 9004: изменить указание в колонке 5 на «9+S».</w:t>
      </w:r>
    </w:p>
    <w:p w14:paraId="7CCB0C5A" w14:textId="77777777" w:rsidR="00B0401D" w:rsidRPr="00A23666" w:rsidRDefault="00B0401D" w:rsidP="001E1631">
      <w:pPr>
        <w:pStyle w:val="SingleTxtG"/>
        <w:rPr>
          <w:i/>
        </w:rPr>
      </w:pPr>
      <w:r>
        <w:rPr>
          <w:i/>
          <w:iCs/>
        </w:rPr>
        <w:t>(Справочный документ: ECE/TRANS/WP.15/AC.2/2021/19)</w:t>
      </w:r>
    </w:p>
    <w:p w14:paraId="14A5DA2D" w14:textId="77777777" w:rsidR="00B0401D" w:rsidRPr="00A23666" w:rsidRDefault="00B0401D" w:rsidP="001E1631">
      <w:pPr>
        <w:pStyle w:val="H23G"/>
        <w:spacing w:line="240" w:lineRule="atLeast"/>
      </w:pPr>
      <w:r>
        <w:tab/>
      </w:r>
      <w:r>
        <w:tab/>
      </w:r>
      <w:r>
        <w:tab/>
      </w:r>
      <w:r>
        <w:rPr>
          <w:bCs/>
        </w:rPr>
        <w:t>Глава 3.2</w:t>
      </w:r>
    </w:p>
    <w:p w14:paraId="39AF9F07" w14:textId="77777777" w:rsidR="00B0401D" w:rsidRPr="00A23666" w:rsidRDefault="00B0401D" w:rsidP="00C02F57">
      <w:pPr>
        <w:pStyle w:val="SingleTxtG"/>
        <w:tabs>
          <w:tab w:val="clear" w:pos="1701"/>
        </w:tabs>
      </w:pPr>
      <w:r>
        <w:t>3.2.3.3</w:t>
      </w:r>
      <w:r>
        <w:tab/>
        <w:t>Изменить схему В следующим образом:</w:t>
      </w:r>
    </w:p>
    <w:p w14:paraId="704CC946" w14:textId="141ED956" w:rsidR="00B0401D" w:rsidRDefault="00B0401D" w:rsidP="001E1631">
      <w:pPr>
        <w:pStyle w:val="SingleTxtG"/>
      </w:pPr>
    </w:p>
    <w:p w14:paraId="7E846DF6" w14:textId="5E7DEB3D" w:rsidR="00B0401D" w:rsidRDefault="00B0401D" w:rsidP="001E1631">
      <w:pPr>
        <w:suppressAutoHyphens w:val="0"/>
        <w:rPr>
          <w:rFonts w:eastAsia="Times New Roman" w:cs="Times New Roman"/>
          <w:szCs w:val="20"/>
        </w:rPr>
      </w:pPr>
    </w:p>
    <w:p w14:paraId="4CCF4A07" w14:textId="77777777" w:rsidR="002F69D8" w:rsidRDefault="002F69D8" w:rsidP="001E1631">
      <w:pPr>
        <w:pStyle w:val="SingleTxtG"/>
        <w:sectPr w:rsidR="002F69D8" w:rsidSect="00B0401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3773B454" w14:textId="77777777" w:rsidR="002F69D8" w:rsidRPr="00A23666" w:rsidRDefault="002F69D8" w:rsidP="002F69D8">
      <w:pPr>
        <w:pStyle w:val="H1G"/>
        <w:spacing w:before="120"/>
      </w:pPr>
      <w:r>
        <w:lastRenderedPageBreak/>
        <w:tab/>
      </w:r>
      <w:r>
        <w:tab/>
      </w:r>
      <w:r>
        <w:rPr>
          <w:bCs/>
        </w:rPr>
        <w:t>Схема B: Критерии, применяемые к оборудованию судов типа N с закрытыми грузовыми танками</w:t>
      </w:r>
    </w:p>
    <w:p w14:paraId="6CD9D6AD" w14:textId="77777777" w:rsidR="002F69D8" w:rsidRPr="00A23666" w:rsidRDefault="002F69D8" w:rsidP="002F69D8">
      <w:pPr>
        <w:pStyle w:val="SingleTxtG"/>
      </w:pPr>
      <w:r>
        <w:t>Удостовериться в том, какие характеристики вещества/грузового танка, указанные в первых шести колонках, являются уместными. Выбрать применимую строку в соответствующей колонке. В этой строке в седьмой колонке излагаются требования к оборудованию грузовых танков судов типа N с закрытыми грузовыми танками. Если соответствующими являются несколько колонок, выбрать самую верхнюю уместную строку в седьмой колонке.</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1050"/>
        <w:gridCol w:w="1904"/>
        <w:gridCol w:w="1469"/>
        <w:gridCol w:w="2338"/>
        <w:gridCol w:w="2898"/>
        <w:gridCol w:w="2939"/>
      </w:tblGrid>
      <w:tr w:rsidR="002F69D8" w:rsidRPr="00881B7A" w14:paraId="55970F9C" w14:textId="77777777" w:rsidTr="00C307C2">
        <w:trPr>
          <w:trHeight w:val="355"/>
        </w:trPr>
        <w:tc>
          <w:tcPr>
            <w:tcW w:w="11236" w:type="dxa"/>
            <w:gridSpan w:val="6"/>
            <w:tcMar>
              <w:left w:w="57" w:type="dxa"/>
              <w:right w:w="57" w:type="dxa"/>
            </w:tcMar>
            <w:vAlign w:val="center"/>
          </w:tcPr>
          <w:p w14:paraId="7C0D94B8" w14:textId="77777777" w:rsidR="002F69D8" w:rsidRPr="0032215F" w:rsidRDefault="002F69D8" w:rsidP="00C307C2">
            <w:pPr>
              <w:jc w:val="center"/>
              <w:rPr>
                <w:b/>
                <w:bCs/>
              </w:rPr>
            </w:pPr>
            <w:r>
              <w:rPr>
                <w:b/>
                <w:bCs/>
              </w:rPr>
              <w:t>Характеристики вещества/грузового танка</w:t>
            </w:r>
          </w:p>
        </w:tc>
        <w:tc>
          <w:tcPr>
            <w:tcW w:w="2939" w:type="dxa"/>
            <w:tcMar>
              <w:left w:w="57" w:type="dxa"/>
              <w:right w:w="57" w:type="dxa"/>
            </w:tcMar>
          </w:tcPr>
          <w:p w14:paraId="300F4A03" w14:textId="77777777" w:rsidR="002F69D8" w:rsidRPr="0032215F" w:rsidRDefault="002F69D8" w:rsidP="00C307C2">
            <w:pPr>
              <w:jc w:val="center"/>
              <w:rPr>
                <w:b/>
                <w:bCs/>
              </w:rPr>
            </w:pPr>
            <w:r>
              <w:rPr>
                <w:b/>
                <w:bCs/>
              </w:rPr>
              <w:t>Соответствующие требования</w:t>
            </w:r>
          </w:p>
        </w:tc>
      </w:tr>
      <w:tr w:rsidR="002F69D8" w:rsidRPr="00881B7A" w14:paraId="3D93F073" w14:textId="77777777" w:rsidTr="00C307C2">
        <w:trPr>
          <w:trHeight w:val="355"/>
        </w:trPr>
        <w:tc>
          <w:tcPr>
            <w:tcW w:w="6000" w:type="dxa"/>
            <w:gridSpan w:val="4"/>
            <w:tcMar>
              <w:left w:w="57" w:type="dxa"/>
              <w:right w:w="57" w:type="dxa"/>
            </w:tcMar>
            <w:vAlign w:val="center"/>
          </w:tcPr>
          <w:p w14:paraId="1F3EA831" w14:textId="5995AB1C" w:rsidR="002F69D8" w:rsidRPr="0032215F" w:rsidRDefault="002F69D8" w:rsidP="00C307C2">
            <w:pPr>
              <w:jc w:val="center"/>
            </w:pPr>
            <w:r>
              <w:t>Класс 3, температура вспышки &lt;23 °C</w:t>
            </w:r>
          </w:p>
        </w:tc>
        <w:tc>
          <w:tcPr>
            <w:tcW w:w="2338" w:type="dxa"/>
            <w:tcMar>
              <w:left w:w="57" w:type="dxa"/>
              <w:right w:w="57" w:type="dxa"/>
            </w:tcMar>
            <w:vAlign w:val="center"/>
          </w:tcPr>
          <w:p w14:paraId="41C73572" w14:textId="77777777" w:rsidR="002F69D8" w:rsidRPr="0032215F" w:rsidRDefault="002F69D8" w:rsidP="00C307C2">
            <w:pPr>
              <w:jc w:val="center"/>
            </w:pPr>
            <w:r>
              <w:t>Коррозионные вещества</w:t>
            </w:r>
          </w:p>
        </w:tc>
        <w:tc>
          <w:tcPr>
            <w:tcW w:w="2898" w:type="dxa"/>
            <w:tcMar>
              <w:left w:w="57" w:type="dxa"/>
              <w:right w:w="57" w:type="dxa"/>
            </w:tcMar>
            <w:vAlign w:val="center"/>
          </w:tcPr>
          <w:p w14:paraId="125A217F" w14:textId="77777777" w:rsidR="002F69D8" w:rsidRPr="0032215F" w:rsidRDefault="002F69D8" w:rsidP="00C307C2">
            <w:pPr>
              <w:jc w:val="center"/>
            </w:pPr>
            <w:r>
              <w:t>Вещества КМР</w:t>
            </w:r>
          </w:p>
        </w:tc>
        <w:tc>
          <w:tcPr>
            <w:tcW w:w="2939" w:type="dxa"/>
            <w:tcMar>
              <w:left w:w="57" w:type="dxa"/>
              <w:right w:w="57" w:type="dxa"/>
            </w:tcMar>
          </w:tcPr>
          <w:p w14:paraId="26C3B8C4" w14:textId="77777777" w:rsidR="002F69D8" w:rsidRPr="0032215F" w:rsidRDefault="002F69D8" w:rsidP="00C307C2">
            <w:pPr>
              <w:jc w:val="center"/>
            </w:pPr>
            <w:r>
              <w:t>Оборудование грузового танка</w:t>
            </w:r>
          </w:p>
        </w:tc>
      </w:tr>
      <w:tr w:rsidR="002F69D8" w:rsidRPr="00881B7A" w14:paraId="034FD02E" w14:textId="77777777" w:rsidTr="00E5319F">
        <w:tc>
          <w:tcPr>
            <w:tcW w:w="1577" w:type="dxa"/>
            <w:tcMar>
              <w:left w:w="57" w:type="dxa"/>
              <w:right w:w="57" w:type="dxa"/>
            </w:tcMar>
          </w:tcPr>
          <w:p w14:paraId="6F7C3CEC" w14:textId="7EBC8725" w:rsidR="002F69D8" w:rsidRPr="00A23666" w:rsidRDefault="002F69D8" w:rsidP="00C307C2">
            <w:r>
              <w:t xml:space="preserve">175 кПа ≤ </w:t>
            </w:r>
            <w:proofErr w:type="spellStart"/>
            <w:r>
              <w:t>дп</w:t>
            </w:r>
            <w:proofErr w:type="spellEnd"/>
            <w:r>
              <w:t xml:space="preserve"> </w:t>
            </w:r>
            <w:r>
              <w:rPr>
                <w:vertAlign w:val="subscript"/>
              </w:rPr>
              <w:t>50</w:t>
            </w:r>
            <w:r>
              <w:t xml:space="preserve"> </w:t>
            </w:r>
            <w:proofErr w:type="gramStart"/>
            <w:r>
              <w:t>&lt;</w:t>
            </w:r>
            <w:r w:rsidR="00C307C2">
              <w:rPr>
                <w:lang w:val="en-US"/>
              </w:rPr>
              <w:t> </w:t>
            </w:r>
            <w:r>
              <w:t>300</w:t>
            </w:r>
            <w:proofErr w:type="gramEnd"/>
            <w:r>
              <w:t xml:space="preserve"> кПа, без</w:t>
            </w:r>
            <w:r w:rsidR="00C02F57">
              <w:rPr>
                <w:lang w:val="en-US"/>
              </w:rPr>
              <w:t> </w:t>
            </w:r>
            <w:r>
              <w:t>охлаждения</w:t>
            </w:r>
          </w:p>
        </w:tc>
        <w:tc>
          <w:tcPr>
            <w:tcW w:w="1050" w:type="dxa"/>
            <w:tcMar>
              <w:left w:w="57" w:type="dxa"/>
              <w:right w:w="57" w:type="dxa"/>
            </w:tcMar>
          </w:tcPr>
          <w:p w14:paraId="0C3A1F13" w14:textId="77777777" w:rsidR="002F69D8" w:rsidRPr="00A23666" w:rsidRDefault="002F69D8" w:rsidP="00C307C2"/>
        </w:tc>
        <w:tc>
          <w:tcPr>
            <w:tcW w:w="1904" w:type="dxa"/>
            <w:tcMar>
              <w:left w:w="57" w:type="dxa"/>
              <w:right w:w="57" w:type="dxa"/>
            </w:tcMar>
          </w:tcPr>
          <w:p w14:paraId="2CC6E0C3" w14:textId="77777777" w:rsidR="002F69D8" w:rsidRPr="00A23666" w:rsidRDefault="002F69D8" w:rsidP="00C307C2"/>
        </w:tc>
        <w:tc>
          <w:tcPr>
            <w:tcW w:w="1469" w:type="dxa"/>
            <w:tcMar>
              <w:left w:w="57" w:type="dxa"/>
              <w:right w:w="57" w:type="dxa"/>
            </w:tcMar>
          </w:tcPr>
          <w:p w14:paraId="64A96FE8" w14:textId="77777777" w:rsidR="002F69D8" w:rsidRPr="00A23666" w:rsidRDefault="002F69D8" w:rsidP="00C307C2"/>
        </w:tc>
        <w:tc>
          <w:tcPr>
            <w:tcW w:w="2338" w:type="dxa"/>
            <w:tcMar>
              <w:left w:w="57" w:type="dxa"/>
              <w:right w:w="57" w:type="dxa"/>
            </w:tcMar>
          </w:tcPr>
          <w:p w14:paraId="5336F3AB" w14:textId="77777777" w:rsidR="002F69D8" w:rsidRPr="00A23666" w:rsidRDefault="002F69D8" w:rsidP="00C307C2"/>
        </w:tc>
        <w:tc>
          <w:tcPr>
            <w:tcW w:w="2898" w:type="dxa"/>
            <w:tcMar>
              <w:left w:w="57" w:type="dxa"/>
              <w:right w:w="57" w:type="dxa"/>
            </w:tcMar>
          </w:tcPr>
          <w:p w14:paraId="7E2EBF88" w14:textId="77777777" w:rsidR="002F69D8" w:rsidRPr="00A23666" w:rsidRDefault="002F69D8" w:rsidP="00C307C2"/>
        </w:tc>
        <w:tc>
          <w:tcPr>
            <w:tcW w:w="2939" w:type="dxa"/>
            <w:tcMar>
              <w:left w:w="57" w:type="dxa"/>
              <w:right w:w="57" w:type="dxa"/>
            </w:tcMar>
          </w:tcPr>
          <w:p w14:paraId="6276D17F" w14:textId="68081318" w:rsidR="002F69D8" w:rsidRPr="0032215F" w:rsidRDefault="002F69D8" w:rsidP="00C307C2">
            <w:r>
              <w:t>Танк высокого давления (400</w:t>
            </w:r>
            <w:r w:rsidR="00C307C2">
              <w:rPr>
                <w:lang w:val="en-US"/>
              </w:rPr>
              <w:t> </w:t>
            </w:r>
            <w:r>
              <w:t>кПа)</w:t>
            </w:r>
          </w:p>
        </w:tc>
      </w:tr>
      <w:tr w:rsidR="002F69D8" w:rsidRPr="006867C4" w14:paraId="6D3978B1" w14:textId="77777777" w:rsidTr="00E5319F">
        <w:tc>
          <w:tcPr>
            <w:tcW w:w="1577" w:type="dxa"/>
            <w:tcMar>
              <w:left w:w="57" w:type="dxa"/>
              <w:right w:w="57" w:type="dxa"/>
            </w:tcMar>
          </w:tcPr>
          <w:p w14:paraId="27F21C6D" w14:textId="1ABF5A81" w:rsidR="002F69D8" w:rsidRPr="00A23666" w:rsidRDefault="002F69D8" w:rsidP="00C307C2">
            <w:r>
              <w:t xml:space="preserve">175 кПа ≤ </w:t>
            </w:r>
            <w:proofErr w:type="spellStart"/>
            <w:r>
              <w:t>дп</w:t>
            </w:r>
            <w:proofErr w:type="spellEnd"/>
            <w:r>
              <w:t xml:space="preserve"> </w:t>
            </w:r>
            <w:r>
              <w:rPr>
                <w:vertAlign w:val="subscript"/>
              </w:rPr>
              <w:t>50</w:t>
            </w:r>
            <w:r>
              <w:t xml:space="preserve"> </w:t>
            </w:r>
            <w:proofErr w:type="gramStart"/>
            <w:r>
              <w:t>&lt;</w:t>
            </w:r>
            <w:r w:rsidR="00C307C2">
              <w:rPr>
                <w:lang w:val="en-US"/>
              </w:rPr>
              <w:t> </w:t>
            </w:r>
            <w:r>
              <w:t>300</w:t>
            </w:r>
            <w:proofErr w:type="gramEnd"/>
            <w:r>
              <w:t xml:space="preserve"> кПа, с</w:t>
            </w:r>
            <w:r w:rsidR="00C02F57">
              <w:rPr>
                <w:lang w:val="en-US"/>
              </w:rPr>
              <w:t> </w:t>
            </w:r>
            <w:r>
              <w:t xml:space="preserve">охлаждением </w:t>
            </w:r>
          </w:p>
        </w:tc>
        <w:tc>
          <w:tcPr>
            <w:tcW w:w="1050" w:type="dxa"/>
            <w:tcMar>
              <w:left w:w="57" w:type="dxa"/>
              <w:right w:w="57" w:type="dxa"/>
            </w:tcMar>
          </w:tcPr>
          <w:p w14:paraId="0E393F6B" w14:textId="77777777" w:rsidR="002F69D8" w:rsidRPr="00A23666" w:rsidRDefault="002F69D8" w:rsidP="00C307C2">
            <w:pPr>
              <w:rPr>
                <w:strike/>
              </w:rPr>
            </w:pPr>
          </w:p>
        </w:tc>
        <w:tc>
          <w:tcPr>
            <w:tcW w:w="1904" w:type="dxa"/>
            <w:tcMar>
              <w:left w:w="57" w:type="dxa"/>
              <w:right w:w="57" w:type="dxa"/>
            </w:tcMar>
          </w:tcPr>
          <w:p w14:paraId="4542B0BB" w14:textId="77777777" w:rsidR="002F69D8" w:rsidRPr="00A23666" w:rsidRDefault="002F69D8" w:rsidP="00C307C2"/>
        </w:tc>
        <w:tc>
          <w:tcPr>
            <w:tcW w:w="1469" w:type="dxa"/>
            <w:tcMar>
              <w:left w:w="57" w:type="dxa"/>
              <w:right w:w="57" w:type="dxa"/>
            </w:tcMar>
          </w:tcPr>
          <w:p w14:paraId="2A82CD00" w14:textId="77777777" w:rsidR="002F69D8" w:rsidRPr="00A23666" w:rsidRDefault="002F69D8" w:rsidP="00C307C2"/>
        </w:tc>
        <w:tc>
          <w:tcPr>
            <w:tcW w:w="2338" w:type="dxa"/>
            <w:tcMar>
              <w:left w:w="57" w:type="dxa"/>
              <w:right w:w="57" w:type="dxa"/>
            </w:tcMar>
          </w:tcPr>
          <w:p w14:paraId="76FF5562" w14:textId="77777777" w:rsidR="002F69D8" w:rsidRPr="00A23666" w:rsidRDefault="002F69D8" w:rsidP="00C307C2"/>
        </w:tc>
        <w:tc>
          <w:tcPr>
            <w:tcW w:w="2898" w:type="dxa"/>
            <w:tcMar>
              <w:left w:w="57" w:type="dxa"/>
              <w:right w:w="57" w:type="dxa"/>
            </w:tcMar>
          </w:tcPr>
          <w:p w14:paraId="3C7B8F61" w14:textId="77777777" w:rsidR="002F69D8" w:rsidRPr="00A23666" w:rsidRDefault="002F69D8" w:rsidP="00C307C2"/>
        </w:tc>
        <w:tc>
          <w:tcPr>
            <w:tcW w:w="2939" w:type="dxa"/>
            <w:tcMar>
              <w:left w:w="57" w:type="dxa"/>
              <w:right w:w="57" w:type="dxa"/>
            </w:tcMar>
          </w:tcPr>
          <w:p w14:paraId="6B3862F6" w14:textId="7077C44B" w:rsidR="002F69D8" w:rsidRPr="00A23666" w:rsidRDefault="002F69D8" w:rsidP="00C307C2">
            <w:pPr>
              <w:spacing w:line="240" w:lineRule="auto"/>
            </w:pPr>
            <w:r>
              <w:t xml:space="preserve">Давление срабатывания клапана повышенного давления/ быстродействующего выпускного клапана: </w:t>
            </w:r>
            <w:r w:rsidR="00E5319F">
              <w:br/>
            </w:r>
            <w:r>
              <w:t>50 кПа (с</w:t>
            </w:r>
            <w:r w:rsidR="00E5319F" w:rsidRPr="00E5319F">
              <w:t xml:space="preserve"> </w:t>
            </w:r>
            <w:r>
              <w:t xml:space="preserve">охлаждением </w:t>
            </w:r>
            <w:r w:rsidR="00E5319F">
              <w:br/>
            </w:r>
            <w:r>
              <w:t>(цифра 1 в</w:t>
            </w:r>
            <w:r w:rsidR="00E5319F" w:rsidRPr="00E5319F">
              <w:t xml:space="preserve"> </w:t>
            </w:r>
            <w:r>
              <w:t>колонке 9))</w:t>
            </w:r>
          </w:p>
        </w:tc>
      </w:tr>
      <w:tr w:rsidR="002F69D8" w:rsidRPr="006867C4" w14:paraId="5A79B836" w14:textId="77777777" w:rsidTr="00E5319F">
        <w:tc>
          <w:tcPr>
            <w:tcW w:w="1577" w:type="dxa"/>
            <w:tcMar>
              <w:left w:w="57" w:type="dxa"/>
              <w:right w:w="57" w:type="dxa"/>
            </w:tcMar>
          </w:tcPr>
          <w:p w14:paraId="50D80BEC" w14:textId="77777777" w:rsidR="002F69D8" w:rsidRPr="00A23666" w:rsidRDefault="002F69D8" w:rsidP="00C307C2"/>
        </w:tc>
        <w:tc>
          <w:tcPr>
            <w:tcW w:w="1050" w:type="dxa"/>
            <w:tcMar>
              <w:left w:w="57" w:type="dxa"/>
              <w:right w:w="57" w:type="dxa"/>
            </w:tcMar>
          </w:tcPr>
          <w:p w14:paraId="0B4E2CB0" w14:textId="0261562B" w:rsidR="002F69D8" w:rsidRPr="0032215F" w:rsidRDefault="002F69D8" w:rsidP="00C307C2">
            <w:r>
              <w:t>150 кПа ≤</w:t>
            </w:r>
            <w:r w:rsidR="008F5EA8">
              <w:rPr>
                <w:lang w:val="en-US"/>
              </w:rPr>
              <w:t> </w:t>
            </w:r>
            <w:proofErr w:type="spellStart"/>
            <w:r>
              <w:t>дп</w:t>
            </w:r>
            <w:proofErr w:type="spellEnd"/>
            <w:r>
              <w:t xml:space="preserve"> </w:t>
            </w:r>
            <w:r>
              <w:rPr>
                <w:vertAlign w:val="subscript"/>
              </w:rPr>
              <w:t>50</w:t>
            </w:r>
            <w:r>
              <w:t xml:space="preserve"> </w:t>
            </w:r>
            <w:r w:rsidR="00C307C2">
              <w:br/>
            </w:r>
            <w:r>
              <w:t>&lt; 175 кПа</w:t>
            </w:r>
          </w:p>
        </w:tc>
        <w:tc>
          <w:tcPr>
            <w:tcW w:w="1904" w:type="dxa"/>
            <w:tcMar>
              <w:left w:w="57" w:type="dxa"/>
              <w:right w:w="57" w:type="dxa"/>
            </w:tcMar>
          </w:tcPr>
          <w:p w14:paraId="51150825" w14:textId="6732A3A1" w:rsidR="002F69D8" w:rsidRPr="00A23666" w:rsidRDefault="002F69D8" w:rsidP="00C307C2">
            <w:r>
              <w:t xml:space="preserve">110 кПа ≤ </w:t>
            </w:r>
            <w:proofErr w:type="spellStart"/>
            <w:r>
              <w:t>дп</w:t>
            </w:r>
            <w:proofErr w:type="spellEnd"/>
            <w:r>
              <w:t xml:space="preserve"> </w:t>
            </w:r>
            <w:r>
              <w:rPr>
                <w:vertAlign w:val="subscript"/>
              </w:rPr>
              <w:t>50</w:t>
            </w:r>
            <w:r>
              <w:t xml:space="preserve"> </w:t>
            </w:r>
            <w:proofErr w:type="gramStart"/>
            <w:r>
              <w:t>&lt;</w:t>
            </w:r>
            <w:r w:rsidR="00C307C2">
              <w:rPr>
                <w:lang w:val="en-US"/>
              </w:rPr>
              <w:t> </w:t>
            </w:r>
            <w:r>
              <w:t>150</w:t>
            </w:r>
            <w:proofErr w:type="gramEnd"/>
            <w:r>
              <w:t xml:space="preserve"> кПа, без</w:t>
            </w:r>
            <w:r w:rsidR="00C02F57">
              <w:rPr>
                <w:lang w:val="en-US"/>
              </w:rPr>
              <w:t> </w:t>
            </w:r>
            <w:proofErr w:type="spellStart"/>
            <w:r>
              <w:t>водораспыления</w:t>
            </w:r>
            <w:proofErr w:type="spellEnd"/>
          </w:p>
        </w:tc>
        <w:tc>
          <w:tcPr>
            <w:tcW w:w="1469" w:type="dxa"/>
            <w:tcMar>
              <w:left w:w="57" w:type="dxa"/>
              <w:right w:w="57" w:type="dxa"/>
            </w:tcMar>
          </w:tcPr>
          <w:p w14:paraId="2EE653BA" w14:textId="77777777" w:rsidR="002F69D8" w:rsidRPr="00A23666" w:rsidRDefault="002F69D8" w:rsidP="00C307C2"/>
        </w:tc>
        <w:tc>
          <w:tcPr>
            <w:tcW w:w="2338" w:type="dxa"/>
            <w:tcMar>
              <w:left w:w="57" w:type="dxa"/>
              <w:right w:w="57" w:type="dxa"/>
            </w:tcMar>
          </w:tcPr>
          <w:p w14:paraId="5526C9B5" w14:textId="77777777" w:rsidR="002F69D8" w:rsidRPr="00A23666" w:rsidRDefault="002F69D8" w:rsidP="00C307C2"/>
        </w:tc>
        <w:tc>
          <w:tcPr>
            <w:tcW w:w="2898" w:type="dxa"/>
            <w:tcMar>
              <w:left w:w="57" w:type="dxa"/>
              <w:right w:w="57" w:type="dxa"/>
            </w:tcMar>
          </w:tcPr>
          <w:p w14:paraId="4C14F500" w14:textId="77777777" w:rsidR="002F69D8" w:rsidRPr="00A23666" w:rsidRDefault="002F69D8" w:rsidP="00C307C2"/>
        </w:tc>
        <w:tc>
          <w:tcPr>
            <w:tcW w:w="2939" w:type="dxa"/>
            <w:tcMar>
              <w:left w:w="57" w:type="dxa"/>
              <w:right w:w="57" w:type="dxa"/>
            </w:tcMar>
          </w:tcPr>
          <w:p w14:paraId="5B07EF71" w14:textId="4AF3750C" w:rsidR="002F69D8" w:rsidRPr="00A23666" w:rsidRDefault="002F69D8" w:rsidP="00C307C2">
            <w:pPr>
              <w:spacing w:line="240" w:lineRule="auto"/>
            </w:pPr>
            <w:r>
              <w:t>Давление срабатывания клапана повышенного давления/</w:t>
            </w:r>
            <w:r w:rsidR="00C307C2" w:rsidRPr="00C307C2">
              <w:t xml:space="preserve"> </w:t>
            </w:r>
            <w:r>
              <w:t xml:space="preserve">быстродействующего выпускного клапана: 50 кПа </w:t>
            </w:r>
          </w:p>
        </w:tc>
      </w:tr>
      <w:tr w:rsidR="002F69D8" w:rsidRPr="006867C4" w14:paraId="3AEFF6B1" w14:textId="77777777" w:rsidTr="00E5319F">
        <w:tc>
          <w:tcPr>
            <w:tcW w:w="1577" w:type="dxa"/>
            <w:tcMar>
              <w:left w:w="57" w:type="dxa"/>
              <w:right w:w="57" w:type="dxa"/>
            </w:tcMar>
          </w:tcPr>
          <w:p w14:paraId="0A9CDA9E" w14:textId="77777777" w:rsidR="002F69D8" w:rsidRPr="00A23666" w:rsidRDefault="002F69D8" w:rsidP="00C307C2"/>
        </w:tc>
        <w:tc>
          <w:tcPr>
            <w:tcW w:w="1050" w:type="dxa"/>
            <w:tcMar>
              <w:left w:w="57" w:type="dxa"/>
              <w:right w:w="57" w:type="dxa"/>
            </w:tcMar>
          </w:tcPr>
          <w:p w14:paraId="3E7BA18F" w14:textId="77777777" w:rsidR="002F69D8" w:rsidRPr="00A23666" w:rsidRDefault="002F69D8" w:rsidP="00C307C2"/>
        </w:tc>
        <w:tc>
          <w:tcPr>
            <w:tcW w:w="1904" w:type="dxa"/>
            <w:tcMar>
              <w:left w:w="57" w:type="dxa"/>
              <w:right w:w="57" w:type="dxa"/>
            </w:tcMar>
          </w:tcPr>
          <w:p w14:paraId="27F1D3B3" w14:textId="2A74EA56" w:rsidR="002F69D8" w:rsidRPr="00A23666" w:rsidRDefault="002F69D8" w:rsidP="00C307C2">
            <w:r>
              <w:t xml:space="preserve">110 кПа ≤ </w:t>
            </w:r>
            <w:proofErr w:type="spellStart"/>
            <w:r>
              <w:t>дп</w:t>
            </w:r>
            <w:proofErr w:type="spellEnd"/>
            <w:r>
              <w:t xml:space="preserve"> </w:t>
            </w:r>
            <w:r>
              <w:rPr>
                <w:vertAlign w:val="subscript"/>
              </w:rPr>
              <w:t>50</w:t>
            </w:r>
            <w:r>
              <w:t xml:space="preserve"> </w:t>
            </w:r>
            <w:proofErr w:type="gramStart"/>
            <w:r>
              <w:t>&lt;</w:t>
            </w:r>
            <w:r w:rsidR="008F5EA8">
              <w:rPr>
                <w:lang w:val="en-US"/>
              </w:rPr>
              <w:t> </w:t>
            </w:r>
            <w:r>
              <w:t>150</w:t>
            </w:r>
            <w:proofErr w:type="gramEnd"/>
            <w:r>
              <w:t xml:space="preserve"> кПа, с </w:t>
            </w:r>
            <w:proofErr w:type="spellStart"/>
            <w:r>
              <w:t>водораспылением</w:t>
            </w:r>
            <w:proofErr w:type="spellEnd"/>
          </w:p>
        </w:tc>
        <w:tc>
          <w:tcPr>
            <w:tcW w:w="1469" w:type="dxa"/>
            <w:tcMar>
              <w:left w:w="57" w:type="dxa"/>
              <w:right w:w="57" w:type="dxa"/>
            </w:tcMar>
          </w:tcPr>
          <w:p w14:paraId="03535153" w14:textId="77777777" w:rsidR="002F69D8" w:rsidRPr="00A23666" w:rsidRDefault="002F69D8" w:rsidP="00C307C2">
            <w:pPr>
              <w:rPr>
                <w:strike/>
              </w:rPr>
            </w:pPr>
          </w:p>
        </w:tc>
        <w:tc>
          <w:tcPr>
            <w:tcW w:w="2338" w:type="dxa"/>
            <w:tcMar>
              <w:left w:w="57" w:type="dxa"/>
              <w:right w:w="57" w:type="dxa"/>
            </w:tcMar>
          </w:tcPr>
          <w:p w14:paraId="2E6381B8" w14:textId="77777777" w:rsidR="002F69D8" w:rsidRPr="00A23666" w:rsidRDefault="002F69D8" w:rsidP="00C307C2">
            <w:pPr>
              <w:rPr>
                <w:strike/>
              </w:rPr>
            </w:pPr>
          </w:p>
        </w:tc>
        <w:tc>
          <w:tcPr>
            <w:tcW w:w="2898" w:type="dxa"/>
            <w:tcMar>
              <w:left w:w="57" w:type="dxa"/>
              <w:right w:w="57" w:type="dxa"/>
            </w:tcMar>
          </w:tcPr>
          <w:p w14:paraId="3A743BE6" w14:textId="3CF2A507" w:rsidR="002F69D8" w:rsidRPr="00A23666" w:rsidRDefault="002F69D8" w:rsidP="00C307C2">
            <w:r>
              <w:t xml:space="preserve">Давление паров &gt;10 кПа (расчет давления паров — по формуле для колонки 10, за следующим исключением: </w:t>
            </w:r>
            <w:proofErr w:type="spellStart"/>
            <w:r>
              <w:t>v</w:t>
            </w:r>
            <w:r>
              <w:rPr>
                <w:vertAlign w:val="subscript"/>
              </w:rPr>
              <w:t>a</w:t>
            </w:r>
            <w:proofErr w:type="spellEnd"/>
            <w:r>
              <w:t xml:space="preserve"> = 0,03)</w:t>
            </w:r>
          </w:p>
        </w:tc>
        <w:tc>
          <w:tcPr>
            <w:tcW w:w="2939" w:type="dxa"/>
            <w:tcMar>
              <w:left w:w="57" w:type="dxa"/>
              <w:right w:w="57" w:type="dxa"/>
            </w:tcMar>
          </w:tcPr>
          <w:p w14:paraId="182ABF0C" w14:textId="66154933" w:rsidR="002F69D8" w:rsidRPr="00A23666" w:rsidRDefault="002F69D8" w:rsidP="00C307C2">
            <w:pPr>
              <w:spacing w:line="240" w:lineRule="auto"/>
            </w:pPr>
            <w:r>
              <w:t>Давление срабатывания клапана повышенного давления/</w:t>
            </w:r>
            <w:r w:rsidR="00E5319F" w:rsidRPr="00E5319F">
              <w:t xml:space="preserve"> </w:t>
            </w:r>
            <w:r>
              <w:t xml:space="preserve">быстродействующего выпускного клапана: </w:t>
            </w:r>
            <w:r w:rsidR="00E5319F">
              <w:br/>
            </w:r>
            <w:r>
              <w:t>10 кПа (с</w:t>
            </w:r>
            <w:r w:rsidR="00E5319F" w:rsidRPr="00E5319F">
              <w:t xml:space="preserve"> </w:t>
            </w:r>
            <w:proofErr w:type="spellStart"/>
            <w:r>
              <w:t>водораспылением</w:t>
            </w:r>
            <w:proofErr w:type="spellEnd"/>
            <w:r>
              <w:t xml:space="preserve"> (цифра 3 в</w:t>
            </w:r>
            <w:r w:rsidR="00E5319F" w:rsidRPr="00E5319F">
              <w:t xml:space="preserve"> </w:t>
            </w:r>
            <w:r>
              <w:t>колонке 9))</w:t>
            </w:r>
          </w:p>
        </w:tc>
      </w:tr>
      <w:tr w:rsidR="002F69D8" w:rsidRPr="006867C4" w14:paraId="53234753" w14:textId="77777777" w:rsidTr="00E5319F">
        <w:tc>
          <w:tcPr>
            <w:tcW w:w="1577" w:type="dxa"/>
            <w:tcMar>
              <w:left w:w="57" w:type="dxa"/>
              <w:right w:w="57" w:type="dxa"/>
            </w:tcMar>
          </w:tcPr>
          <w:p w14:paraId="22D7BB25" w14:textId="77777777" w:rsidR="002F69D8" w:rsidRPr="00A23666" w:rsidRDefault="002F69D8" w:rsidP="00C307C2"/>
        </w:tc>
        <w:tc>
          <w:tcPr>
            <w:tcW w:w="1050" w:type="dxa"/>
            <w:tcMar>
              <w:left w:w="57" w:type="dxa"/>
              <w:right w:w="57" w:type="dxa"/>
            </w:tcMar>
          </w:tcPr>
          <w:p w14:paraId="493341EC" w14:textId="77777777" w:rsidR="002F69D8" w:rsidRPr="00A23666" w:rsidRDefault="002F69D8" w:rsidP="00C307C2"/>
        </w:tc>
        <w:tc>
          <w:tcPr>
            <w:tcW w:w="1904" w:type="dxa"/>
            <w:tcMar>
              <w:left w:w="57" w:type="dxa"/>
              <w:right w:w="57" w:type="dxa"/>
            </w:tcMar>
          </w:tcPr>
          <w:p w14:paraId="4E74DF83" w14:textId="77777777" w:rsidR="002F69D8" w:rsidRPr="00A23666" w:rsidRDefault="002F69D8" w:rsidP="00C307C2"/>
        </w:tc>
        <w:tc>
          <w:tcPr>
            <w:tcW w:w="1469" w:type="dxa"/>
            <w:tcMar>
              <w:left w:w="57" w:type="dxa"/>
              <w:right w:w="57" w:type="dxa"/>
            </w:tcMar>
          </w:tcPr>
          <w:p w14:paraId="74AF8A31" w14:textId="77777777" w:rsidR="002F69D8" w:rsidRPr="0032215F" w:rsidRDefault="002F69D8" w:rsidP="00C307C2">
            <w:proofErr w:type="spellStart"/>
            <w:r>
              <w:t>дп</w:t>
            </w:r>
            <w:proofErr w:type="spellEnd"/>
            <w:r>
              <w:t xml:space="preserve"> </w:t>
            </w:r>
            <w:r>
              <w:rPr>
                <w:vertAlign w:val="subscript"/>
              </w:rPr>
              <w:t>50</w:t>
            </w:r>
            <w:r>
              <w:t xml:space="preserve"> </w:t>
            </w:r>
            <w:proofErr w:type="gramStart"/>
            <w:r>
              <w:t>&lt; 110</w:t>
            </w:r>
            <w:proofErr w:type="gramEnd"/>
            <w:r>
              <w:t xml:space="preserve"> кПа</w:t>
            </w:r>
          </w:p>
        </w:tc>
        <w:tc>
          <w:tcPr>
            <w:tcW w:w="2338" w:type="dxa"/>
            <w:tcMar>
              <w:left w:w="57" w:type="dxa"/>
              <w:right w:w="57" w:type="dxa"/>
            </w:tcMar>
          </w:tcPr>
          <w:p w14:paraId="0D555F55" w14:textId="77777777" w:rsidR="002F69D8" w:rsidRPr="00A23666" w:rsidRDefault="002F69D8" w:rsidP="00C307C2">
            <w:r>
              <w:t xml:space="preserve">Группа упаковки I или II, </w:t>
            </w:r>
            <w:proofErr w:type="spellStart"/>
            <w:r>
              <w:t>дп</w:t>
            </w:r>
            <w:proofErr w:type="spellEnd"/>
            <w:r>
              <w:t xml:space="preserve"> </w:t>
            </w:r>
            <w:proofErr w:type="gramStart"/>
            <w:r>
              <w:rPr>
                <w:vertAlign w:val="subscript"/>
              </w:rPr>
              <w:t>50</w:t>
            </w:r>
            <w:r>
              <w:t xml:space="preserve"> &gt;</w:t>
            </w:r>
            <w:proofErr w:type="gramEnd"/>
            <w:r>
              <w:t xml:space="preserve"> 12,5 кПа или опасная реакция с водой или газами в растворе</w:t>
            </w:r>
          </w:p>
        </w:tc>
        <w:tc>
          <w:tcPr>
            <w:tcW w:w="2898" w:type="dxa"/>
            <w:tcMar>
              <w:left w:w="57" w:type="dxa"/>
              <w:right w:w="57" w:type="dxa"/>
            </w:tcMar>
          </w:tcPr>
          <w:p w14:paraId="1F36F827" w14:textId="06595FF4" w:rsidR="002F69D8" w:rsidRPr="00A23666" w:rsidRDefault="002F69D8" w:rsidP="00C307C2">
            <w:r>
              <w:t>Давление паров ≤10 кПа (расчет давления паров — по</w:t>
            </w:r>
            <w:r w:rsidR="00C02F57">
              <w:rPr>
                <w:lang w:val="en-US"/>
              </w:rPr>
              <w:t> </w:t>
            </w:r>
            <w:r>
              <w:t>формуле для колонки 10, за</w:t>
            </w:r>
            <w:r w:rsidR="00C307C2">
              <w:rPr>
                <w:lang w:val="en-US"/>
              </w:rPr>
              <w:t> </w:t>
            </w:r>
            <w:r>
              <w:t xml:space="preserve">следующим исключением: </w:t>
            </w:r>
            <w:proofErr w:type="spellStart"/>
            <w:r>
              <w:t>v</w:t>
            </w:r>
            <w:r>
              <w:rPr>
                <w:vertAlign w:val="subscript"/>
              </w:rPr>
              <w:t>a</w:t>
            </w:r>
            <w:proofErr w:type="spellEnd"/>
            <w:r>
              <w:t xml:space="preserve"> = 0,03)</w:t>
            </w:r>
          </w:p>
        </w:tc>
        <w:tc>
          <w:tcPr>
            <w:tcW w:w="2939" w:type="dxa"/>
            <w:tcMar>
              <w:left w:w="57" w:type="dxa"/>
              <w:right w:w="57" w:type="dxa"/>
            </w:tcMar>
          </w:tcPr>
          <w:p w14:paraId="1ADAB375" w14:textId="50EA48F0" w:rsidR="002F69D8" w:rsidRPr="00A23666" w:rsidRDefault="002F69D8" w:rsidP="00C307C2">
            <w:pPr>
              <w:spacing w:line="240" w:lineRule="auto"/>
            </w:pPr>
            <w:r>
              <w:t>Давление срабатывания клапана повышенного давления/</w:t>
            </w:r>
            <w:r w:rsidR="00C307C2" w:rsidRPr="00C307C2">
              <w:t xml:space="preserve"> </w:t>
            </w:r>
            <w:r>
              <w:t>быстродействующего выпускного клапана: 10 кПа</w:t>
            </w:r>
          </w:p>
        </w:tc>
      </w:tr>
    </w:tbl>
    <w:p w14:paraId="0B74215C" w14:textId="77777777" w:rsidR="002F69D8" w:rsidRPr="00A23666" w:rsidRDefault="002F69D8" w:rsidP="002F69D8">
      <w:pPr>
        <w:pStyle w:val="SingleTxtG"/>
        <w:spacing w:before="240"/>
        <w:rPr>
          <w:i/>
        </w:rPr>
      </w:pPr>
      <w:r>
        <w:rPr>
          <w:i/>
          <w:iCs/>
        </w:rPr>
        <w:t>(Справочный документ: ECE/TRANS/WP.15/AC.2/2021/28 с поправками)</w:t>
      </w:r>
    </w:p>
    <w:p w14:paraId="51DC6110" w14:textId="1561C606" w:rsidR="002F69D8" w:rsidRDefault="002F69D8">
      <w:pPr>
        <w:suppressAutoHyphens w:val="0"/>
        <w:spacing w:line="240" w:lineRule="auto"/>
        <w:rPr>
          <w:rFonts w:eastAsia="Times New Roman" w:cs="Times New Roman"/>
          <w:szCs w:val="20"/>
        </w:rPr>
      </w:pPr>
    </w:p>
    <w:p w14:paraId="4A8199C7" w14:textId="77777777" w:rsidR="005F6D7B" w:rsidRDefault="005F6D7B" w:rsidP="002F69D8">
      <w:pPr>
        <w:suppressAutoHyphens w:val="0"/>
        <w:spacing w:line="240" w:lineRule="auto"/>
        <w:rPr>
          <w:rFonts w:eastAsia="Times New Roman" w:cs="Times New Roman"/>
          <w:szCs w:val="20"/>
        </w:rPr>
        <w:sectPr w:rsidR="005F6D7B" w:rsidSect="002F69D8">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0053C5A3" w14:textId="77777777" w:rsidR="005F6D7B" w:rsidRPr="00A23666" w:rsidRDefault="005F6D7B" w:rsidP="005F6D7B">
      <w:pPr>
        <w:pStyle w:val="H23G"/>
      </w:pPr>
      <w:r>
        <w:lastRenderedPageBreak/>
        <w:tab/>
      </w:r>
      <w:r>
        <w:tab/>
      </w:r>
      <w:r>
        <w:rPr>
          <w:bCs/>
        </w:rPr>
        <w:t>Глава 7.2</w:t>
      </w:r>
    </w:p>
    <w:p w14:paraId="28D1C0AE" w14:textId="77777777" w:rsidR="005F6D7B" w:rsidRPr="00A23666" w:rsidRDefault="005F6D7B" w:rsidP="005F6D7B">
      <w:pPr>
        <w:pStyle w:val="SingleTxtG"/>
      </w:pPr>
      <w:r>
        <w:t>7.2.4.41</w:t>
      </w:r>
      <w:r>
        <w:tab/>
        <w:t>В первом предложении после «и курение» включить «, в том числе электронных сигарет».</w:t>
      </w:r>
    </w:p>
    <w:p w14:paraId="11D98B1D" w14:textId="77777777" w:rsidR="005F6D7B" w:rsidRPr="00A23666" w:rsidRDefault="005F6D7B" w:rsidP="005F6D7B">
      <w:pPr>
        <w:pStyle w:val="SingleTxtG"/>
      </w:pPr>
      <w:r>
        <w:rPr>
          <w:i/>
          <w:iCs/>
        </w:rPr>
        <w:t>(Справочный документ: ECE/TRANS/WP.15/AC.2/2021/17)</w:t>
      </w:r>
    </w:p>
    <w:p w14:paraId="61BA865D" w14:textId="77777777" w:rsidR="005F6D7B" w:rsidRPr="00A23666" w:rsidRDefault="005F6D7B" w:rsidP="005F6D7B">
      <w:pPr>
        <w:pStyle w:val="SingleTxtG"/>
      </w:pPr>
      <w:r>
        <w:t>7.2.5.4.2</w:t>
      </w:r>
      <w:r>
        <w:tab/>
        <w:t>Изменить конец первого предложения следующим образом:</w:t>
      </w:r>
    </w:p>
    <w:p w14:paraId="4BC18BC8" w14:textId="78B5BFD8" w:rsidR="005F6D7B" w:rsidRPr="00A23666" w:rsidRDefault="005F6D7B" w:rsidP="005F6D7B">
      <w:pPr>
        <w:pStyle w:val="SingleTxtG"/>
      </w:pPr>
      <w:r>
        <w:t>«...должен постоянно находиться эксперт, предусмотренный в подразделе 8.2.1.2». Остальной текст — без изменений.</w:t>
      </w:r>
    </w:p>
    <w:p w14:paraId="5B1C4402" w14:textId="77777777" w:rsidR="005F6D7B" w:rsidRPr="00A23666" w:rsidRDefault="005F6D7B" w:rsidP="005F6D7B">
      <w:pPr>
        <w:pStyle w:val="SingleTxtG"/>
        <w:rPr>
          <w:i/>
        </w:rPr>
      </w:pPr>
      <w:r>
        <w:rPr>
          <w:i/>
          <w:iCs/>
        </w:rPr>
        <w:t>(Справочный документ: ECE/TRANS/WP.15/AC.2/2021/19 с поправками)</w:t>
      </w:r>
    </w:p>
    <w:p w14:paraId="6669DE16" w14:textId="77777777" w:rsidR="005F6D7B" w:rsidRPr="00A23666" w:rsidRDefault="005F6D7B" w:rsidP="005F6D7B">
      <w:pPr>
        <w:pStyle w:val="H23G"/>
      </w:pPr>
      <w:r>
        <w:tab/>
      </w:r>
      <w:r>
        <w:tab/>
      </w:r>
      <w:r>
        <w:tab/>
      </w:r>
      <w:r>
        <w:rPr>
          <w:bCs/>
        </w:rPr>
        <w:t>Глава 8.2</w:t>
      </w:r>
    </w:p>
    <w:p w14:paraId="0679D846" w14:textId="77777777" w:rsidR="005F6D7B" w:rsidRPr="00A23666" w:rsidRDefault="005F6D7B" w:rsidP="005F6D7B">
      <w:pPr>
        <w:pStyle w:val="SingleTxtG"/>
      </w:pPr>
      <w:r>
        <w:t>8.2.2.7.2.1</w:t>
      </w:r>
      <w:r>
        <w:tab/>
        <w:t>Изменить второе предложение следующим образом: «Этот экзамен проводится сразу по завершении подготовки или в течение шести месяцев после ее завершения.».</w:t>
      </w:r>
    </w:p>
    <w:p w14:paraId="0B6AA696" w14:textId="77777777" w:rsidR="005F6D7B" w:rsidRPr="00A23666" w:rsidRDefault="005F6D7B" w:rsidP="005F6D7B">
      <w:pPr>
        <w:pStyle w:val="SingleTxtG"/>
        <w:rPr>
          <w:i/>
        </w:rPr>
      </w:pPr>
      <w:r>
        <w:rPr>
          <w:i/>
          <w:iCs/>
        </w:rPr>
        <w:t>(Справочный документ: ECE/TRANS/WP.15/AC.2/2021/21)</w:t>
      </w:r>
    </w:p>
    <w:p w14:paraId="158581F7" w14:textId="77777777" w:rsidR="005F6D7B" w:rsidRPr="00A23666" w:rsidRDefault="005F6D7B" w:rsidP="005F6D7B">
      <w:pPr>
        <w:pStyle w:val="H23G"/>
      </w:pPr>
      <w:r>
        <w:tab/>
      </w:r>
      <w:r>
        <w:tab/>
      </w:r>
      <w:r>
        <w:tab/>
      </w:r>
      <w:r>
        <w:rPr>
          <w:bCs/>
        </w:rPr>
        <w:t>Глава 8.6</w:t>
      </w:r>
    </w:p>
    <w:p w14:paraId="3DD7A06C" w14:textId="77777777" w:rsidR="005F6D7B" w:rsidRPr="00A23666" w:rsidRDefault="005F6D7B" w:rsidP="005F6D7B">
      <w:pPr>
        <w:spacing w:after="120"/>
        <w:ind w:left="1134"/>
        <w:jc w:val="both"/>
        <w:rPr>
          <w:color w:val="000000"/>
        </w:rPr>
      </w:pPr>
      <w:r>
        <w:t>8.6.1.1 и 8.6.1.2</w:t>
      </w:r>
      <w:r>
        <w:tab/>
        <w:t>В пункте 4 заменить «Дополнительные требования» на «Требования».</w:t>
      </w:r>
    </w:p>
    <w:p w14:paraId="143211D9" w14:textId="77777777" w:rsidR="005F6D7B" w:rsidRPr="00A23666" w:rsidRDefault="005F6D7B" w:rsidP="005F6D7B">
      <w:pPr>
        <w:pStyle w:val="SingleTxtG"/>
        <w:rPr>
          <w:i/>
        </w:rPr>
      </w:pPr>
      <w:r>
        <w:rPr>
          <w:i/>
          <w:iCs/>
        </w:rPr>
        <w:t>(Справочный документ: неофициальный документ INF.20)</w:t>
      </w:r>
    </w:p>
    <w:p w14:paraId="5FE377AA" w14:textId="77777777" w:rsidR="005F6D7B" w:rsidRPr="00A23666" w:rsidRDefault="005F6D7B" w:rsidP="005F6D7B">
      <w:pPr>
        <w:pStyle w:val="SingleTxtG"/>
        <w:rPr>
          <w:iCs/>
        </w:rPr>
      </w:pPr>
      <w:r>
        <w:t>8.6.1.1</w:t>
      </w:r>
      <w:r>
        <w:tab/>
      </w:r>
      <w:r>
        <w:tab/>
        <w:t>В пункте 8 изменить вводный текст следующим образом: «Настоящее свидетельство выдано на основании:».</w:t>
      </w:r>
    </w:p>
    <w:p w14:paraId="347299B0" w14:textId="77777777" w:rsidR="005F6D7B" w:rsidRPr="00A23666" w:rsidRDefault="005F6D7B" w:rsidP="005F6D7B">
      <w:pPr>
        <w:pStyle w:val="SingleTxtG"/>
        <w:rPr>
          <w:iCs/>
        </w:rPr>
      </w:pPr>
      <w:r>
        <w:rPr>
          <w:i/>
          <w:iCs/>
        </w:rPr>
        <w:t>(Справочный документ: ECE/TRANS/WP.15/AC.2/2021/27 с поправками, содержащимися в неофициальном документе INF.20)</w:t>
      </w:r>
    </w:p>
    <w:p w14:paraId="2B7EC21D" w14:textId="77777777" w:rsidR="005F6D7B" w:rsidRPr="00A23666" w:rsidRDefault="005F6D7B" w:rsidP="005F6D7B">
      <w:pPr>
        <w:pStyle w:val="H23G"/>
      </w:pPr>
      <w:r>
        <w:tab/>
      </w:r>
      <w:r>
        <w:tab/>
      </w:r>
      <w:r>
        <w:tab/>
      </w:r>
      <w:r>
        <w:rPr>
          <w:bCs/>
        </w:rPr>
        <w:t>Глава 9.3</w:t>
      </w:r>
    </w:p>
    <w:p w14:paraId="38E9AFD2" w14:textId="77777777" w:rsidR="005F6D7B" w:rsidRPr="00A23666" w:rsidRDefault="005F6D7B" w:rsidP="005F6D7B">
      <w:pPr>
        <w:pStyle w:val="SingleTxtG"/>
      </w:pPr>
      <w:r>
        <w:t>9.3.1.0</w:t>
      </w:r>
      <w:r>
        <w:tab/>
      </w:r>
      <w:r>
        <w:tab/>
        <w:t>Изменить следующим образом:</w:t>
      </w:r>
    </w:p>
    <w:p w14:paraId="780AEA98" w14:textId="6F8DBA53" w:rsidR="005F6D7B" w:rsidRPr="00A23666" w:rsidRDefault="005F6D7B" w:rsidP="005F6D7B">
      <w:pPr>
        <w:pStyle w:val="SingleTxtG"/>
        <w:ind w:left="1843"/>
      </w:pPr>
      <w:r>
        <w:t>Изменить нумерацию первого абзаца пункта 9.3.1.0.1 а) на 9.3.1.0.1.1. В конце, после слов «эквивалентного, металла» добавить «, кроме случаев, предусмотренных специальными положениями дополнительных требований/</w:t>
      </w:r>
      <w:r w:rsidR="00E5319F" w:rsidRPr="00E5319F">
        <w:t xml:space="preserve"> </w:t>
      </w:r>
      <w:r>
        <w:t>замечаний в колонке 20 таблицы С главы 3.2».</w:t>
      </w:r>
    </w:p>
    <w:p w14:paraId="55D6CB38" w14:textId="77777777" w:rsidR="005F6D7B" w:rsidRPr="00A23666" w:rsidRDefault="005F6D7B" w:rsidP="005F6D7B">
      <w:pPr>
        <w:pStyle w:val="SingleTxtG"/>
        <w:ind w:left="1843"/>
      </w:pPr>
      <w:r>
        <w:t>Изменить нумерацию второго абзаца пункта 9.3.1.0.1 а) на 9.3.1.0.1.2.</w:t>
      </w:r>
    </w:p>
    <w:p w14:paraId="2C3F02E1" w14:textId="77777777" w:rsidR="005F6D7B" w:rsidRPr="00A23666" w:rsidRDefault="005F6D7B" w:rsidP="005F6D7B">
      <w:pPr>
        <w:pStyle w:val="SingleTxtG"/>
        <w:ind w:left="1843"/>
      </w:pPr>
      <w:r>
        <w:t>Изменить нумерацию пункта 9.3.1.0.1 b) на 9.3.1.0.2.</w:t>
      </w:r>
    </w:p>
    <w:p w14:paraId="085E3BEC" w14:textId="77777777" w:rsidR="005F6D7B" w:rsidRPr="00A23666" w:rsidRDefault="005F6D7B" w:rsidP="005F6D7B">
      <w:pPr>
        <w:pStyle w:val="SingleTxtG"/>
        <w:ind w:left="1843"/>
      </w:pPr>
      <w:r>
        <w:t>Изменить нумерацию пункта 9.3.1.0.2 на 9.3.1.0.3. Заменить «пластмасс или резины» на «пластмасс, резины, стекла или композитного материала».</w:t>
      </w:r>
    </w:p>
    <w:p w14:paraId="222D7978" w14:textId="77777777" w:rsidR="005F6D7B" w:rsidRPr="00A23666" w:rsidRDefault="005F6D7B" w:rsidP="005F6D7B">
      <w:pPr>
        <w:pStyle w:val="SingleTxtG"/>
        <w:ind w:left="1843"/>
      </w:pPr>
      <w:r>
        <w:t>Изменить нумерацию пункта 9.3.1.0.3 на 9.3.1.0.4. Заменить «пластмасс или резины» на «пластмасс, резины, стекла или композитного материала».</w:t>
      </w:r>
    </w:p>
    <w:p w14:paraId="4599B4EE" w14:textId="77777777" w:rsidR="005F6D7B" w:rsidRPr="00A23666" w:rsidRDefault="005F6D7B" w:rsidP="005F6D7B">
      <w:pPr>
        <w:pStyle w:val="SingleTxtG"/>
        <w:rPr>
          <w:i/>
        </w:rPr>
      </w:pPr>
      <w:r>
        <w:rPr>
          <w:i/>
          <w:iCs/>
        </w:rPr>
        <w:t>(Справочный документ: ECE/TRANS/WP.15/AC.2/2021/30 с поправками)</w:t>
      </w:r>
    </w:p>
    <w:p w14:paraId="34BEDB1D" w14:textId="342AD160" w:rsidR="005F6D7B" w:rsidRPr="00A23666" w:rsidRDefault="005F6D7B" w:rsidP="005F6D7B">
      <w:pPr>
        <w:pStyle w:val="SingleTxtG"/>
      </w:pPr>
      <w:r>
        <w:t>9.3.2.0 и 9.3.3.0</w:t>
      </w:r>
      <w:r>
        <w:tab/>
        <w:t>Изменить следующим образом:</w:t>
      </w:r>
    </w:p>
    <w:p w14:paraId="18E8BA69" w14:textId="5A0051CA" w:rsidR="005F6D7B" w:rsidRPr="00A23666" w:rsidRDefault="005F6D7B" w:rsidP="005F6D7B">
      <w:pPr>
        <w:pStyle w:val="SingleTxtG"/>
        <w:ind w:left="1843"/>
      </w:pPr>
      <w:r>
        <w:t>Изменить нумерацию первого абзаца пунктов 9.3.2.0.1 a) и 9.3.3.0.1 a) на 9.3.2.0.1.1 и 9.3.3.0.1.1 соответственно. В конце, после слов «эквивалентного, металла» добавить «, кроме случаев, предусмотренных специальными положениями дополнительных требований/замечаний в колонке 20 таблицы</w:t>
      </w:r>
      <w:r w:rsidR="00E5319F">
        <w:rPr>
          <w:lang w:val="en-US"/>
        </w:rPr>
        <w:t> </w:t>
      </w:r>
      <w:r>
        <w:t>С главы 3.2».</w:t>
      </w:r>
    </w:p>
    <w:p w14:paraId="3343FD93" w14:textId="77777777" w:rsidR="005F6D7B" w:rsidRPr="00A23666" w:rsidRDefault="005F6D7B" w:rsidP="005F6D7B">
      <w:pPr>
        <w:pStyle w:val="SingleTxtG"/>
        <w:ind w:left="1843"/>
      </w:pPr>
      <w:r>
        <w:t>Изменить нумерацию второго абзаца пунктов 9.3.2.0.1 a) и 9.3.3.0.1 a) на 9.3.2.0.1.2 и 9.3.3.0.1.2 соответственно.</w:t>
      </w:r>
    </w:p>
    <w:p w14:paraId="5263C96B" w14:textId="77777777" w:rsidR="005F6D7B" w:rsidRPr="00A23666" w:rsidRDefault="005F6D7B" w:rsidP="005F6D7B">
      <w:pPr>
        <w:pStyle w:val="SingleTxtG"/>
        <w:ind w:left="1843"/>
      </w:pPr>
      <w:r>
        <w:t>Изменить нумерацию пунктов 9.3.2.0.1 b) и 9.3.3.0.1 b) на 9.3.2.0.2 и 9.3.3.0.2 соответственно.</w:t>
      </w:r>
    </w:p>
    <w:p w14:paraId="5932DF9E" w14:textId="77777777" w:rsidR="005F6D7B" w:rsidRPr="00A23666" w:rsidRDefault="005F6D7B" w:rsidP="005F6D7B">
      <w:pPr>
        <w:pStyle w:val="SingleTxtG"/>
        <w:ind w:left="1843"/>
      </w:pPr>
      <w:r>
        <w:lastRenderedPageBreak/>
        <w:t>Изменить нумерацию пунктов 9.3.2.0.2 и 9.3.3.0.2 на 9.3.2.0.3 и 9.3.3.0.3 соответственно. Заменить «пластмасс или резины» на «пластмасс, резины, стекла или композитного материала».</w:t>
      </w:r>
    </w:p>
    <w:p w14:paraId="0FB990C2" w14:textId="77777777" w:rsidR="005F6D7B" w:rsidRPr="00A23666" w:rsidRDefault="005F6D7B" w:rsidP="005F6D7B">
      <w:pPr>
        <w:pStyle w:val="SingleTxtG"/>
        <w:ind w:left="1843"/>
      </w:pPr>
      <w:r>
        <w:t>Изменить нумерацию пунктов 9.3.2.0.3 и 9.3.3.0.3 на 9.3.2.0.4 и 9.3.3.0.4 соответственно. Заменить «пластмасс или резины» на «пластмасс, резины, стекла или композитного материала».</w:t>
      </w:r>
    </w:p>
    <w:p w14:paraId="5CF32C94" w14:textId="77777777" w:rsidR="005F6D7B" w:rsidRPr="00A23666" w:rsidRDefault="005F6D7B" w:rsidP="005F6D7B">
      <w:pPr>
        <w:pStyle w:val="SingleTxtG"/>
        <w:rPr>
          <w:i/>
        </w:rPr>
      </w:pPr>
      <w:r>
        <w:rPr>
          <w:i/>
          <w:iCs/>
        </w:rPr>
        <w:t>(Справочный документ: ECE/TRANS/WP.15/AC.2/2021/30 с поправками)</w:t>
      </w:r>
    </w:p>
    <w:p w14:paraId="78021C41" w14:textId="0D68C368" w:rsidR="005F6D7B" w:rsidRPr="00A23666" w:rsidRDefault="005F6D7B" w:rsidP="006B720D">
      <w:pPr>
        <w:pStyle w:val="SingleTxtG"/>
        <w:tabs>
          <w:tab w:val="clear" w:pos="1701"/>
        </w:tabs>
      </w:pPr>
      <w:r>
        <w:t>9.</w:t>
      </w:r>
      <w:proofErr w:type="gramStart"/>
      <w:r>
        <w:t>3.x.</w:t>
      </w:r>
      <w:proofErr w:type="gramEnd"/>
      <w:r>
        <w:t>0</w:t>
      </w:r>
      <w:r>
        <w:tab/>
        <w:t>Заменить таблицу под пунктом 9.3.x.0.4 (прежний пункт 9.3.x.0.3) следующей таблицей:</w:t>
      </w:r>
    </w:p>
    <w:p w14:paraId="5B85B33B" w14:textId="68F53FDB" w:rsidR="00B0401D" w:rsidRDefault="00B0401D" w:rsidP="005F6D7B">
      <w:pPr>
        <w:pStyle w:val="SingleTxtG"/>
      </w:pPr>
    </w:p>
    <w:p w14:paraId="5ED7A108" w14:textId="77777777" w:rsidR="00435416" w:rsidRDefault="00435416" w:rsidP="005F6D7B">
      <w:pPr>
        <w:pStyle w:val="SingleTxtG"/>
        <w:sectPr w:rsidR="00435416" w:rsidSect="005F6D7B">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pPr>
    </w:p>
    <w:p w14:paraId="7D565AB8" w14:textId="77777777" w:rsidR="00435416" w:rsidRPr="008F3C04" w:rsidRDefault="00435416" w:rsidP="00435416">
      <w:pPr>
        <w:tabs>
          <w:tab w:val="left" w:pos="1701"/>
          <w:tab w:val="left" w:pos="2268"/>
          <w:tab w:val="left" w:pos="2835"/>
        </w:tabs>
        <w:spacing w:after="120"/>
        <w:ind w:left="964" w:right="1134"/>
        <w:jc w:val="both"/>
        <w:rPr>
          <w:rFonts w:eastAsia="Calibri" w:cs="Arial"/>
          <w:b/>
          <w:bCs/>
        </w:rPr>
      </w:pPr>
      <w:r w:rsidRPr="008F3C04">
        <w:rPr>
          <w:rFonts w:eastAsia="Calibri" w:cs="Arial"/>
          <w:b/>
          <w:bCs/>
        </w:rPr>
        <w:lastRenderedPageBreak/>
        <w:t>(X означает «разрешено»)</w:t>
      </w:r>
    </w:p>
    <w:tbl>
      <w:tblPr>
        <w:tblW w:w="1263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612"/>
        <w:gridCol w:w="1487"/>
        <w:gridCol w:w="1417"/>
        <w:gridCol w:w="1277"/>
      </w:tblGrid>
      <w:tr w:rsidR="00435416" w:rsidRPr="008F3C04" w14:paraId="4AC3122C" w14:textId="77777777" w:rsidTr="00AC122D">
        <w:trPr>
          <w:trHeight w:val="270"/>
          <w:tblHeader/>
        </w:trPr>
        <w:tc>
          <w:tcPr>
            <w:tcW w:w="5684" w:type="dxa"/>
            <w:tcBorders>
              <w:top w:val="nil"/>
              <w:left w:val="nil"/>
            </w:tcBorders>
            <w:shd w:val="clear" w:color="auto" w:fill="auto"/>
            <w:noWrap/>
            <w:vAlign w:val="bottom"/>
            <w:hideMark/>
          </w:tcPr>
          <w:p w14:paraId="74E33E00" w14:textId="77777777" w:rsidR="00435416" w:rsidRPr="008F3C04" w:rsidRDefault="00435416" w:rsidP="0070756D">
            <w:pPr>
              <w:spacing w:before="40" w:after="40" w:line="200" w:lineRule="exact"/>
              <w:contextualSpacing/>
              <w:rPr>
                <w:rFonts w:eastAsia="Calibri" w:cs="Arial"/>
                <w:b/>
              </w:rPr>
            </w:pPr>
          </w:p>
        </w:tc>
        <w:tc>
          <w:tcPr>
            <w:tcW w:w="1154" w:type="dxa"/>
            <w:gridSpan w:val="2"/>
            <w:tcBorders>
              <w:top w:val="single" w:sz="4" w:space="0" w:color="auto"/>
            </w:tcBorders>
            <w:shd w:val="clear" w:color="auto" w:fill="auto"/>
            <w:noWrap/>
            <w:vAlign w:val="center"/>
            <w:hideMark/>
          </w:tcPr>
          <w:p w14:paraId="4CCE7B43"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Дерево</w:t>
            </w:r>
          </w:p>
        </w:tc>
        <w:tc>
          <w:tcPr>
            <w:tcW w:w="1612" w:type="dxa"/>
            <w:shd w:val="clear" w:color="auto" w:fill="auto"/>
            <w:noWrap/>
            <w:vAlign w:val="center"/>
            <w:hideMark/>
          </w:tcPr>
          <w:p w14:paraId="285B9D85"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Алюминиевые сплавы</w:t>
            </w:r>
          </w:p>
        </w:tc>
        <w:tc>
          <w:tcPr>
            <w:tcW w:w="1487" w:type="dxa"/>
            <w:shd w:val="clear" w:color="auto" w:fill="auto"/>
            <w:noWrap/>
            <w:vAlign w:val="center"/>
            <w:hideMark/>
          </w:tcPr>
          <w:p w14:paraId="5DB6CB89"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Пластмассы/ Композитный материал</w:t>
            </w:r>
          </w:p>
        </w:tc>
        <w:tc>
          <w:tcPr>
            <w:tcW w:w="1417" w:type="dxa"/>
            <w:shd w:val="clear" w:color="auto" w:fill="auto"/>
            <w:noWrap/>
            <w:vAlign w:val="center"/>
            <w:hideMark/>
          </w:tcPr>
          <w:p w14:paraId="48AB26E7"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Резина</w:t>
            </w:r>
          </w:p>
        </w:tc>
        <w:tc>
          <w:tcPr>
            <w:tcW w:w="1277" w:type="dxa"/>
            <w:vAlign w:val="center"/>
          </w:tcPr>
          <w:p w14:paraId="6900477A"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Стекло</w:t>
            </w:r>
          </w:p>
        </w:tc>
      </w:tr>
      <w:tr w:rsidR="00435416" w:rsidRPr="006867C4" w14:paraId="277B58EE" w14:textId="77777777" w:rsidTr="00AC122D">
        <w:tc>
          <w:tcPr>
            <w:tcW w:w="5684" w:type="dxa"/>
            <w:shd w:val="clear" w:color="auto" w:fill="D9D9D9"/>
            <w:vAlign w:val="bottom"/>
          </w:tcPr>
          <w:p w14:paraId="389D0FAE" w14:textId="77777777" w:rsidR="00435416" w:rsidRPr="008F3C04" w:rsidRDefault="00435416" w:rsidP="00AC122D">
            <w:pPr>
              <w:spacing w:before="40" w:after="40"/>
              <w:contextualSpacing/>
              <w:rPr>
                <w:rFonts w:eastAsia="Calibri" w:cs="Arial"/>
                <w:b/>
              </w:rPr>
            </w:pPr>
            <w:r w:rsidRPr="008F3C04">
              <w:rPr>
                <w:rFonts w:eastAsia="Calibri" w:cs="Arial"/>
                <w:b/>
                <w:bCs/>
              </w:rPr>
              <w:t>Материалы, используемые в постоянно закрепленных предметах</w:t>
            </w:r>
          </w:p>
        </w:tc>
        <w:tc>
          <w:tcPr>
            <w:tcW w:w="1154" w:type="dxa"/>
            <w:gridSpan w:val="2"/>
            <w:shd w:val="clear" w:color="auto" w:fill="D9D9D9"/>
            <w:noWrap/>
            <w:vAlign w:val="center"/>
          </w:tcPr>
          <w:p w14:paraId="7C6F5D0D" w14:textId="77777777" w:rsidR="00435416" w:rsidRPr="008F3C04" w:rsidRDefault="00435416" w:rsidP="00AC122D">
            <w:pPr>
              <w:spacing w:before="40" w:after="40"/>
              <w:contextualSpacing/>
              <w:jc w:val="center"/>
              <w:rPr>
                <w:rFonts w:eastAsia="Calibri" w:cs="Arial"/>
                <w:b/>
              </w:rPr>
            </w:pPr>
          </w:p>
        </w:tc>
        <w:tc>
          <w:tcPr>
            <w:tcW w:w="1612" w:type="dxa"/>
            <w:shd w:val="clear" w:color="auto" w:fill="D9D9D9"/>
            <w:noWrap/>
            <w:vAlign w:val="center"/>
          </w:tcPr>
          <w:p w14:paraId="5751A991" w14:textId="77777777" w:rsidR="00435416" w:rsidRPr="008F3C04" w:rsidRDefault="00435416" w:rsidP="00AC122D">
            <w:pPr>
              <w:spacing w:before="40" w:after="40"/>
              <w:contextualSpacing/>
              <w:jc w:val="center"/>
              <w:rPr>
                <w:rFonts w:eastAsia="Calibri" w:cs="Arial"/>
                <w:b/>
              </w:rPr>
            </w:pPr>
          </w:p>
        </w:tc>
        <w:tc>
          <w:tcPr>
            <w:tcW w:w="1487" w:type="dxa"/>
            <w:shd w:val="clear" w:color="auto" w:fill="D9D9D9"/>
            <w:noWrap/>
            <w:vAlign w:val="center"/>
          </w:tcPr>
          <w:p w14:paraId="72E3049A" w14:textId="77777777" w:rsidR="00435416" w:rsidRPr="008F3C04" w:rsidRDefault="00435416" w:rsidP="00AC122D">
            <w:pPr>
              <w:spacing w:before="40" w:after="40"/>
              <w:contextualSpacing/>
              <w:jc w:val="center"/>
              <w:rPr>
                <w:rFonts w:eastAsia="Calibri" w:cs="Arial"/>
                <w:b/>
              </w:rPr>
            </w:pPr>
          </w:p>
        </w:tc>
        <w:tc>
          <w:tcPr>
            <w:tcW w:w="1417" w:type="dxa"/>
            <w:shd w:val="clear" w:color="auto" w:fill="D9D9D9"/>
            <w:noWrap/>
            <w:vAlign w:val="center"/>
          </w:tcPr>
          <w:p w14:paraId="0A347B7D" w14:textId="77777777" w:rsidR="00435416" w:rsidRPr="008F3C04" w:rsidRDefault="00435416" w:rsidP="00AC122D">
            <w:pPr>
              <w:spacing w:before="40" w:after="40"/>
              <w:contextualSpacing/>
              <w:jc w:val="center"/>
              <w:rPr>
                <w:rFonts w:eastAsia="Calibri" w:cs="Arial"/>
                <w:b/>
              </w:rPr>
            </w:pPr>
          </w:p>
        </w:tc>
        <w:tc>
          <w:tcPr>
            <w:tcW w:w="1277" w:type="dxa"/>
            <w:shd w:val="clear" w:color="auto" w:fill="D9D9D9"/>
          </w:tcPr>
          <w:p w14:paraId="1A72217C" w14:textId="77777777" w:rsidR="00435416" w:rsidRPr="008F3C04" w:rsidRDefault="00435416" w:rsidP="00AC122D">
            <w:pPr>
              <w:spacing w:before="40" w:after="40"/>
              <w:contextualSpacing/>
              <w:jc w:val="center"/>
              <w:rPr>
                <w:rFonts w:eastAsia="Calibri" w:cs="Arial"/>
                <w:b/>
              </w:rPr>
            </w:pPr>
          </w:p>
        </w:tc>
      </w:tr>
      <w:tr w:rsidR="00435416" w:rsidRPr="008F3C04" w14:paraId="4B5D2E7B" w14:textId="77777777" w:rsidTr="00AC122D">
        <w:tc>
          <w:tcPr>
            <w:tcW w:w="5684" w:type="dxa"/>
            <w:shd w:val="clear" w:color="auto" w:fill="auto"/>
            <w:vAlign w:val="bottom"/>
            <w:hideMark/>
          </w:tcPr>
          <w:p w14:paraId="420F75DB" w14:textId="77777777" w:rsidR="00435416" w:rsidRPr="008F3C04" w:rsidRDefault="00435416" w:rsidP="00AC122D">
            <w:pPr>
              <w:spacing w:before="40" w:after="40"/>
              <w:contextualSpacing/>
              <w:rPr>
                <w:rFonts w:eastAsia="Calibri" w:cs="Arial"/>
              </w:rPr>
            </w:pPr>
            <w:r w:rsidRPr="008F3C04">
              <w:rPr>
                <w:rFonts w:eastAsia="Calibri" w:cs="Arial"/>
              </w:rPr>
              <w:t>Приспособления для крепления грузовых танков, не являющихся частью корпуса судна, и для крепления установок и оборудования</w:t>
            </w:r>
          </w:p>
        </w:tc>
        <w:tc>
          <w:tcPr>
            <w:tcW w:w="1154" w:type="dxa"/>
            <w:gridSpan w:val="2"/>
            <w:shd w:val="clear" w:color="auto" w:fill="auto"/>
            <w:noWrap/>
            <w:vAlign w:val="center"/>
            <w:hideMark/>
          </w:tcPr>
          <w:p w14:paraId="662932C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12" w:type="dxa"/>
            <w:shd w:val="clear" w:color="auto" w:fill="auto"/>
            <w:noWrap/>
            <w:vAlign w:val="center"/>
            <w:hideMark/>
          </w:tcPr>
          <w:p w14:paraId="558D6BBC" w14:textId="77777777" w:rsidR="00435416" w:rsidRPr="008F3C04" w:rsidRDefault="00435416" w:rsidP="00AC122D">
            <w:pPr>
              <w:spacing w:before="40" w:after="40"/>
              <w:contextualSpacing/>
              <w:jc w:val="center"/>
              <w:rPr>
                <w:rFonts w:eastAsia="Calibri" w:cs="Arial"/>
                <w:lang w:val="fr-FR"/>
              </w:rPr>
            </w:pPr>
          </w:p>
        </w:tc>
        <w:tc>
          <w:tcPr>
            <w:tcW w:w="1487" w:type="dxa"/>
            <w:shd w:val="clear" w:color="auto" w:fill="auto"/>
            <w:noWrap/>
            <w:vAlign w:val="center"/>
            <w:hideMark/>
          </w:tcPr>
          <w:p w14:paraId="2D6ADFAB"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78136AD3" w14:textId="77777777" w:rsidR="00435416" w:rsidRPr="008F3C04" w:rsidRDefault="00435416" w:rsidP="00AC122D">
            <w:pPr>
              <w:spacing w:before="40" w:after="40"/>
              <w:contextualSpacing/>
              <w:jc w:val="center"/>
              <w:rPr>
                <w:rFonts w:eastAsia="Calibri" w:cs="Arial"/>
                <w:lang w:val="fr-FR"/>
              </w:rPr>
            </w:pPr>
          </w:p>
        </w:tc>
        <w:tc>
          <w:tcPr>
            <w:tcW w:w="1277" w:type="dxa"/>
          </w:tcPr>
          <w:p w14:paraId="1BF61A57" w14:textId="77777777" w:rsidR="00435416" w:rsidRPr="008F3C04" w:rsidRDefault="00435416" w:rsidP="00AC122D">
            <w:pPr>
              <w:spacing w:before="40" w:after="40"/>
              <w:contextualSpacing/>
              <w:jc w:val="center"/>
              <w:rPr>
                <w:rFonts w:eastAsia="Calibri" w:cs="Arial"/>
                <w:lang w:val="fr-FR"/>
              </w:rPr>
            </w:pPr>
          </w:p>
        </w:tc>
      </w:tr>
      <w:tr w:rsidR="00435416" w:rsidRPr="008F3C04" w14:paraId="591F1DBE" w14:textId="77777777" w:rsidTr="00AC122D">
        <w:tc>
          <w:tcPr>
            <w:tcW w:w="5684" w:type="dxa"/>
            <w:shd w:val="clear" w:color="auto" w:fill="auto"/>
            <w:vAlign w:val="bottom"/>
            <w:hideMark/>
          </w:tcPr>
          <w:p w14:paraId="50CD0B56"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Мачты и аналогичное рангоутное дерево</w:t>
            </w:r>
          </w:p>
        </w:tc>
        <w:tc>
          <w:tcPr>
            <w:tcW w:w="1154" w:type="dxa"/>
            <w:gridSpan w:val="2"/>
            <w:shd w:val="clear" w:color="auto" w:fill="auto"/>
            <w:noWrap/>
            <w:vAlign w:val="center"/>
            <w:hideMark/>
          </w:tcPr>
          <w:p w14:paraId="6538B63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12" w:type="dxa"/>
            <w:shd w:val="clear" w:color="auto" w:fill="auto"/>
            <w:noWrap/>
            <w:vAlign w:val="center"/>
            <w:hideMark/>
          </w:tcPr>
          <w:p w14:paraId="4BB40D63"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557276E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2347E032" w14:textId="77777777" w:rsidR="00435416" w:rsidRPr="008F3C04" w:rsidRDefault="00435416" w:rsidP="00AC122D">
            <w:pPr>
              <w:spacing w:before="40" w:after="40"/>
              <w:contextualSpacing/>
              <w:jc w:val="center"/>
              <w:rPr>
                <w:rFonts w:eastAsia="Calibri" w:cs="Arial"/>
                <w:lang w:val="fr-FR"/>
              </w:rPr>
            </w:pPr>
          </w:p>
        </w:tc>
        <w:tc>
          <w:tcPr>
            <w:tcW w:w="1277" w:type="dxa"/>
          </w:tcPr>
          <w:p w14:paraId="1770B010" w14:textId="77777777" w:rsidR="00435416" w:rsidRPr="008F3C04" w:rsidRDefault="00435416" w:rsidP="00AC122D">
            <w:pPr>
              <w:spacing w:before="40" w:after="40"/>
              <w:contextualSpacing/>
              <w:jc w:val="center"/>
              <w:rPr>
                <w:rFonts w:eastAsia="Calibri" w:cs="Arial"/>
                <w:lang w:val="fr-FR"/>
              </w:rPr>
            </w:pPr>
          </w:p>
        </w:tc>
      </w:tr>
      <w:tr w:rsidR="00435416" w:rsidRPr="008F3C04" w14:paraId="48112EA2" w14:textId="77777777" w:rsidTr="00AC122D">
        <w:tc>
          <w:tcPr>
            <w:tcW w:w="5684" w:type="dxa"/>
            <w:shd w:val="clear" w:color="auto" w:fill="auto"/>
            <w:vAlign w:val="bottom"/>
            <w:hideMark/>
          </w:tcPr>
          <w:p w14:paraId="19C4EA40"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Части машин</w:t>
            </w:r>
          </w:p>
        </w:tc>
        <w:tc>
          <w:tcPr>
            <w:tcW w:w="1154" w:type="dxa"/>
            <w:gridSpan w:val="2"/>
            <w:shd w:val="clear" w:color="auto" w:fill="auto"/>
            <w:noWrap/>
            <w:vAlign w:val="center"/>
            <w:hideMark/>
          </w:tcPr>
          <w:p w14:paraId="325B6621" w14:textId="77777777" w:rsidR="00435416" w:rsidRPr="008F3C04" w:rsidRDefault="00435416" w:rsidP="00AC122D">
            <w:pPr>
              <w:spacing w:before="40" w:after="40"/>
              <w:contextualSpacing/>
              <w:jc w:val="center"/>
              <w:rPr>
                <w:rFonts w:eastAsia="Calibri" w:cs="Arial"/>
                <w:lang w:val="fr-FR"/>
              </w:rPr>
            </w:pPr>
          </w:p>
        </w:tc>
        <w:tc>
          <w:tcPr>
            <w:tcW w:w="1612" w:type="dxa"/>
            <w:shd w:val="clear" w:color="auto" w:fill="auto"/>
            <w:noWrap/>
            <w:vAlign w:val="center"/>
            <w:hideMark/>
          </w:tcPr>
          <w:p w14:paraId="7769C166"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2F2D55D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79433FF8" w14:textId="77777777" w:rsidR="00435416" w:rsidRPr="008F3C04" w:rsidRDefault="00435416" w:rsidP="00AC122D">
            <w:pPr>
              <w:spacing w:before="40" w:after="40"/>
              <w:contextualSpacing/>
              <w:jc w:val="center"/>
              <w:rPr>
                <w:rFonts w:eastAsia="Calibri" w:cs="Arial"/>
                <w:lang w:val="fr-FR"/>
              </w:rPr>
            </w:pPr>
          </w:p>
        </w:tc>
        <w:tc>
          <w:tcPr>
            <w:tcW w:w="1277" w:type="dxa"/>
          </w:tcPr>
          <w:p w14:paraId="23F9FAA4" w14:textId="77777777" w:rsidR="00435416" w:rsidRPr="008F3C04" w:rsidRDefault="00435416" w:rsidP="00AC122D">
            <w:pPr>
              <w:spacing w:before="40" w:after="40"/>
              <w:contextualSpacing/>
              <w:jc w:val="center"/>
              <w:rPr>
                <w:rFonts w:eastAsia="Calibri" w:cs="Arial"/>
                <w:lang w:val="fr-FR"/>
              </w:rPr>
            </w:pPr>
          </w:p>
        </w:tc>
      </w:tr>
      <w:tr w:rsidR="00435416" w:rsidRPr="008F3C04" w14:paraId="40B51769" w14:textId="77777777" w:rsidTr="00AC122D">
        <w:tc>
          <w:tcPr>
            <w:tcW w:w="5684" w:type="dxa"/>
            <w:shd w:val="clear" w:color="auto" w:fill="auto"/>
            <w:vAlign w:val="bottom"/>
            <w:hideMark/>
          </w:tcPr>
          <w:p w14:paraId="5636DA83"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 xml:space="preserve">Защитные кожухи двигателей и насосов </w:t>
            </w:r>
          </w:p>
        </w:tc>
        <w:tc>
          <w:tcPr>
            <w:tcW w:w="1154" w:type="dxa"/>
            <w:gridSpan w:val="2"/>
            <w:shd w:val="clear" w:color="auto" w:fill="auto"/>
            <w:noWrap/>
            <w:vAlign w:val="center"/>
            <w:hideMark/>
          </w:tcPr>
          <w:p w14:paraId="1169AF61"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1E79E346" w14:textId="77777777" w:rsidR="00435416" w:rsidRPr="008F3C04" w:rsidRDefault="00435416" w:rsidP="00AC122D">
            <w:pPr>
              <w:spacing w:before="40" w:after="40"/>
              <w:contextualSpacing/>
              <w:jc w:val="center"/>
              <w:rPr>
                <w:rFonts w:eastAsia="Calibri" w:cs="Arial"/>
              </w:rPr>
            </w:pPr>
          </w:p>
        </w:tc>
        <w:tc>
          <w:tcPr>
            <w:tcW w:w="1487" w:type="dxa"/>
            <w:shd w:val="clear" w:color="auto" w:fill="auto"/>
            <w:noWrap/>
            <w:vAlign w:val="center"/>
            <w:hideMark/>
          </w:tcPr>
          <w:p w14:paraId="4510AF66"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2C25B406" w14:textId="77777777" w:rsidR="00435416" w:rsidRPr="008F3C04" w:rsidRDefault="00435416" w:rsidP="00AC122D">
            <w:pPr>
              <w:spacing w:before="40" w:after="40"/>
              <w:contextualSpacing/>
              <w:jc w:val="center"/>
              <w:rPr>
                <w:rFonts w:eastAsia="Calibri" w:cs="Arial"/>
                <w:lang w:val="fr-FR"/>
              </w:rPr>
            </w:pPr>
          </w:p>
        </w:tc>
        <w:tc>
          <w:tcPr>
            <w:tcW w:w="1277" w:type="dxa"/>
          </w:tcPr>
          <w:p w14:paraId="3D780719" w14:textId="77777777" w:rsidR="00435416" w:rsidRPr="008F3C04" w:rsidRDefault="00435416" w:rsidP="00AC122D">
            <w:pPr>
              <w:spacing w:before="40" w:after="40"/>
              <w:contextualSpacing/>
              <w:jc w:val="center"/>
              <w:rPr>
                <w:rFonts w:eastAsia="Calibri" w:cs="Arial"/>
                <w:lang w:val="fr-FR"/>
              </w:rPr>
            </w:pPr>
          </w:p>
        </w:tc>
      </w:tr>
      <w:tr w:rsidR="00435416" w:rsidRPr="008F3C04" w14:paraId="66E9D458" w14:textId="77777777" w:rsidTr="00AC122D">
        <w:tc>
          <w:tcPr>
            <w:tcW w:w="5684" w:type="dxa"/>
            <w:shd w:val="clear" w:color="auto" w:fill="auto"/>
          </w:tcPr>
          <w:p w14:paraId="7E4FDC00"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Щиты с уведомлением (запрещение доступа и курения)</w:t>
            </w:r>
          </w:p>
        </w:tc>
        <w:tc>
          <w:tcPr>
            <w:tcW w:w="1154" w:type="dxa"/>
            <w:gridSpan w:val="2"/>
            <w:shd w:val="clear" w:color="auto" w:fill="auto"/>
            <w:noWrap/>
            <w:vAlign w:val="center"/>
          </w:tcPr>
          <w:p w14:paraId="58B7E96E" w14:textId="77777777" w:rsidR="00435416" w:rsidRPr="008F3C04" w:rsidRDefault="00435416" w:rsidP="00AC122D">
            <w:pPr>
              <w:spacing w:before="40" w:after="40"/>
              <w:contextualSpacing/>
              <w:jc w:val="center"/>
              <w:rPr>
                <w:rFonts w:eastAsia="Calibri" w:cs="Arial"/>
                <w:b/>
                <w:bCs/>
              </w:rPr>
            </w:pPr>
          </w:p>
        </w:tc>
        <w:tc>
          <w:tcPr>
            <w:tcW w:w="1612" w:type="dxa"/>
            <w:shd w:val="clear" w:color="auto" w:fill="auto"/>
            <w:noWrap/>
            <w:vAlign w:val="center"/>
          </w:tcPr>
          <w:p w14:paraId="2282FD80"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tcPr>
          <w:p w14:paraId="1643D77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tcPr>
          <w:p w14:paraId="43AEB4E5" w14:textId="77777777" w:rsidR="00435416" w:rsidRPr="008F3C04" w:rsidRDefault="00435416" w:rsidP="00AC122D">
            <w:pPr>
              <w:spacing w:before="40" w:after="40"/>
              <w:contextualSpacing/>
              <w:jc w:val="center"/>
              <w:rPr>
                <w:rFonts w:eastAsia="Calibri" w:cs="Arial"/>
                <w:lang w:val="fr-FR"/>
              </w:rPr>
            </w:pPr>
          </w:p>
        </w:tc>
        <w:tc>
          <w:tcPr>
            <w:tcW w:w="1277" w:type="dxa"/>
          </w:tcPr>
          <w:p w14:paraId="205E90E8" w14:textId="77777777" w:rsidR="00435416" w:rsidRPr="008F3C04" w:rsidRDefault="00435416" w:rsidP="00AC122D">
            <w:pPr>
              <w:spacing w:before="40" w:after="40"/>
              <w:contextualSpacing/>
              <w:jc w:val="center"/>
              <w:rPr>
                <w:rFonts w:eastAsia="Calibri" w:cs="Arial"/>
                <w:lang w:val="fr-FR"/>
              </w:rPr>
            </w:pPr>
          </w:p>
        </w:tc>
      </w:tr>
      <w:tr w:rsidR="00435416" w:rsidRPr="008F3C04" w14:paraId="250BE967" w14:textId="77777777" w:rsidTr="00AC122D">
        <w:tc>
          <w:tcPr>
            <w:tcW w:w="5684" w:type="dxa"/>
            <w:vMerge w:val="restart"/>
            <w:shd w:val="clear" w:color="auto" w:fill="auto"/>
            <w:hideMark/>
          </w:tcPr>
          <w:p w14:paraId="3384196C"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Части электрооборудования</w:t>
            </w:r>
          </w:p>
        </w:tc>
        <w:tc>
          <w:tcPr>
            <w:tcW w:w="1154" w:type="dxa"/>
            <w:gridSpan w:val="2"/>
            <w:shd w:val="clear" w:color="auto" w:fill="auto"/>
            <w:noWrap/>
            <w:vAlign w:val="center"/>
          </w:tcPr>
          <w:p w14:paraId="6DD01BD3"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63C8547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175CC813"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5D7443E3" w14:textId="77777777" w:rsidR="00435416" w:rsidRPr="008F3C04" w:rsidRDefault="00435416" w:rsidP="00AC122D">
            <w:pPr>
              <w:spacing w:before="40" w:after="40"/>
              <w:contextualSpacing/>
              <w:jc w:val="center"/>
              <w:rPr>
                <w:rFonts w:eastAsia="Calibri" w:cs="Arial"/>
                <w:lang w:val="fr-FR"/>
              </w:rPr>
            </w:pPr>
          </w:p>
        </w:tc>
        <w:tc>
          <w:tcPr>
            <w:tcW w:w="1277" w:type="dxa"/>
          </w:tcPr>
          <w:p w14:paraId="505D4424" w14:textId="77777777" w:rsidR="00435416" w:rsidRPr="008F3C04" w:rsidRDefault="00435416" w:rsidP="00AC122D">
            <w:pPr>
              <w:spacing w:before="40" w:after="40"/>
              <w:contextualSpacing/>
              <w:jc w:val="center"/>
              <w:rPr>
                <w:rFonts w:eastAsia="Calibri" w:cs="Arial"/>
                <w:lang w:val="fr-FR"/>
              </w:rPr>
            </w:pPr>
          </w:p>
        </w:tc>
      </w:tr>
      <w:tr w:rsidR="00435416" w:rsidRPr="006867C4" w14:paraId="7E05C86F" w14:textId="77777777" w:rsidTr="00AC122D">
        <w:tc>
          <w:tcPr>
            <w:tcW w:w="5684" w:type="dxa"/>
            <w:vMerge/>
            <w:shd w:val="clear" w:color="auto" w:fill="auto"/>
            <w:vAlign w:val="bottom"/>
          </w:tcPr>
          <w:p w14:paraId="5505E377" w14:textId="77777777" w:rsidR="00435416" w:rsidRPr="008F3C04" w:rsidRDefault="00435416" w:rsidP="00AC122D">
            <w:pPr>
              <w:spacing w:before="40" w:after="40"/>
              <w:contextualSpacing/>
              <w:rPr>
                <w:rFonts w:eastAsia="Calibri" w:cs="Arial"/>
                <w:color w:val="000000"/>
              </w:rPr>
            </w:pPr>
          </w:p>
        </w:tc>
        <w:tc>
          <w:tcPr>
            <w:tcW w:w="6947" w:type="dxa"/>
            <w:gridSpan w:val="6"/>
            <w:shd w:val="clear" w:color="auto" w:fill="auto"/>
            <w:noWrap/>
            <w:vAlign w:val="center"/>
          </w:tcPr>
          <w:p w14:paraId="5DF43E45" w14:textId="77777777" w:rsidR="00435416" w:rsidRPr="008F3C04" w:rsidRDefault="00435416" w:rsidP="00AC122D">
            <w:pPr>
              <w:spacing w:before="40" w:after="40"/>
              <w:contextualSpacing/>
              <w:jc w:val="center"/>
              <w:rPr>
                <w:rFonts w:eastAsia="Calibri" w:cs="Arial"/>
              </w:rPr>
            </w:pPr>
            <w:r w:rsidRPr="008F3C04">
              <w:rPr>
                <w:rFonts w:eastAsia="Calibri" w:cs="Arial"/>
              </w:rPr>
              <w:t>В соответствии с применимыми техническими стандартами</w:t>
            </w:r>
          </w:p>
        </w:tc>
      </w:tr>
      <w:tr w:rsidR="00435416" w:rsidRPr="008F3C04" w14:paraId="2C2DD672" w14:textId="77777777" w:rsidTr="00AC122D">
        <w:tc>
          <w:tcPr>
            <w:tcW w:w="5684" w:type="dxa"/>
            <w:shd w:val="clear" w:color="auto" w:fill="auto"/>
            <w:vAlign w:val="bottom"/>
            <w:hideMark/>
          </w:tcPr>
          <w:p w14:paraId="3EE755B1"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Части установки для погрузки и разгрузки, например герметизирующие прокладки</w:t>
            </w:r>
          </w:p>
        </w:tc>
        <w:tc>
          <w:tcPr>
            <w:tcW w:w="1154" w:type="dxa"/>
            <w:gridSpan w:val="2"/>
            <w:shd w:val="clear" w:color="auto" w:fill="auto"/>
            <w:noWrap/>
            <w:vAlign w:val="center"/>
          </w:tcPr>
          <w:p w14:paraId="4BCF3B72"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68285D9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6F9AD67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2221D1E5"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067E090C" w14:textId="77777777" w:rsidR="00435416" w:rsidRPr="008F3C04" w:rsidRDefault="00435416" w:rsidP="00AC122D">
            <w:pPr>
              <w:spacing w:before="40" w:after="40"/>
              <w:contextualSpacing/>
              <w:jc w:val="center"/>
              <w:rPr>
                <w:rFonts w:eastAsia="Calibri" w:cs="Arial"/>
                <w:lang w:val="fr-FR"/>
              </w:rPr>
            </w:pPr>
          </w:p>
        </w:tc>
      </w:tr>
      <w:tr w:rsidR="00435416" w:rsidRPr="008F3C04" w14:paraId="31D319E4" w14:textId="77777777" w:rsidTr="00AC122D">
        <w:tc>
          <w:tcPr>
            <w:tcW w:w="5684" w:type="dxa"/>
            <w:shd w:val="clear" w:color="auto" w:fill="auto"/>
            <w:vAlign w:val="bottom"/>
            <w:hideMark/>
          </w:tcPr>
          <w:p w14:paraId="75889905"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Опоры и стопоры любого рода</w:t>
            </w:r>
          </w:p>
        </w:tc>
        <w:tc>
          <w:tcPr>
            <w:tcW w:w="1154" w:type="dxa"/>
            <w:gridSpan w:val="2"/>
            <w:shd w:val="clear" w:color="auto" w:fill="auto"/>
            <w:noWrap/>
            <w:vAlign w:val="center"/>
            <w:hideMark/>
          </w:tcPr>
          <w:p w14:paraId="14634B35"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12" w:type="dxa"/>
            <w:shd w:val="clear" w:color="auto" w:fill="auto"/>
            <w:noWrap/>
            <w:vAlign w:val="center"/>
            <w:hideMark/>
          </w:tcPr>
          <w:p w14:paraId="4048E36E" w14:textId="77777777" w:rsidR="00435416" w:rsidRPr="008F3C04" w:rsidRDefault="00435416" w:rsidP="00AC122D">
            <w:pPr>
              <w:spacing w:before="40" w:after="40"/>
              <w:contextualSpacing/>
              <w:jc w:val="center"/>
              <w:rPr>
                <w:rFonts w:eastAsia="Calibri" w:cs="Arial"/>
                <w:lang w:val="fr-FR"/>
              </w:rPr>
            </w:pPr>
          </w:p>
        </w:tc>
        <w:tc>
          <w:tcPr>
            <w:tcW w:w="1487" w:type="dxa"/>
            <w:shd w:val="clear" w:color="auto" w:fill="auto"/>
            <w:noWrap/>
            <w:vAlign w:val="center"/>
            <w:hideMark/>
          </w:tcPr>
          <w:p w14:paraId="4749CF1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759BC222" w14:textId="77777777" w:rsidR="00435416" w:rsidRPr="008F3C04" w:rsidRDefault="00435416" w:rsidP="00AC122D">
            <w:pPr>
              <w:spacing w:before="40" w:after="40"/>
              <w:contextualSpacing/>
              <w:jc w:val="center"/>
              <w:rPr>
                <w:rFonts w:eastAsia="Calibri" w:cs="Arial"/>
                <w:lang w:val="fr-FR"/>
              </w:rPr>
            </w:pPr>
          </w:p>
        </w:tc>
        <w:tc>
          <w:tcPr>
            <w:tcW w:w="1277" w:type="dxa"/>
          </w:tcPr>
          <w:p w14:paraId="73738570" w14:textId="77777777" w:rsidR="00435416" w:rsidRPr="008F3C04" w:rsidRDefault="00435416" w:rsidP="00AC122D">
            <w:pPr>
              <w:spacing w:before="40" w:after="40"/>
              <w:contextualSpacing/>
              <w:jc w:val="center"/>
              <w:rPr>
                <w:rFonts w:eastAsia="Calibri" w:cs="Arial"/>
                <w:lang w:val="fr-FR"/>
              </w:rPr>
            </w:pPr>
          </w:p>
        </w:tc>
      </w:tr>
      <w:tr w:rsidR="00435416" w:rsidRPr="008F3C04" w14:paraId="06536944" w14:textId="77777777" w:rsidTr="00AC122D">
        <w:tc>
          <w:tcPr>
            <w:tcW w:w="5684" w:type="dxa"/>
            <w:shd w:val="clear" w:color="auto" w:fill="auto"/>
            <w:vAlign w:val="bottom"/>
          </w:tcPr>
          <w:p w14:paraId="0A951194"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Вентиляторы, включая шланги в сборе для вентиляции</w:t>
            </w:r>
          </w:p>
        </w:tc>
        <w:tc>
          <w:tcPr>
            <w:tcW w:w="1154" w:type="dxa"/>
            <w:gridSpan w:val="2"/>
            <w:shd w:val="clear" w:color="auto" w:fill="auto"/>
            <w:noWrap/>
            <w:vAlign w:val="center"/>
            <w:hideMark/>
          </w:tcPr>
          <w:p w14:paraId="13D014C3"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30B946F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4EE37E0A"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08673475" w14:textId="77777777" w:rsidR="00435416" w:rsidRPr="008F3C04" w:rsidRDefault="00435416" w:rsidP="00AC122D">
            <w:pPr>
              <w:spacing w:before="40" w:after="40"/>
              <w:contextualSpacing/>
              <w:jc w:val="center"/>
              <w:rPr>
                <w:rFonts w:eastAsia="Calibri" w:cs="Arial"/>
                <w:lang w:val="fr-FR"/>
              </w:rPr>
            </w:pPr>
          </w:p>
        </w:tc>
        <w:tc>
          <w:tcPr>
            <w:tcW w:w="1277" w:type="dxa"/>
          </w:tcPr>
          <w:p w14:paraId="7A54126A" w14:textId="77777777" w:rsidR="00435416" w:rsidRPr="008F3C04" w:rsidRDefault="00435416" w:rsidP="00AC122D">
            <w:pPr>
              <w:spacing w:before="40" w:after="40"/>
              <w:contextualSpacing/>
              <w:jc w:val="center"/>
              <w:rPr>
                <w:rFonts w:eastAsia="Calibri" w:cs="Arial"/>
                <w:lang w:val="fr-FR"/>
              </w:rPr>
            </w:pPr>
          </w:p>
        </w:tc>
      </w:tr>
      <w:tr w:rsidR="00435416" w:rsidRPr="008F3C04" w14:paraId="1C97F008" w14:textId="77777777" w:rsidTr="00AC122D">
        <w:tc>
          <w:tcPr>
            <w:tcW w:w="5684" w:type="dxa"/>
            <w:shd w:val="clear" w:color="auto" w:fill="auto"/>
            <w:vAlign w:val="bottom"/>
            <w:hideMark/>
          </w:tcPr>
          <w:p w14:paraId="48FA19D0"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 xml:space="preserve">Части </w:t>
            </w:r>
            <w:proofErr w:type="spellStart"/>
            <w:r w:rsidRPr="008F3C04">
              <w:rPr>
                <w:rFonts w:eastAsia="Calibri" w:cs="Arial"/>
                <w:color w:val="000000"/>
              </w:rPr>
              <w:t>водораспылительной</w:t>
            </w:r>
            <w:proofErr w:type="spellEnd"/>
            <w:r w:rsidRPr="008F3C04">
              <w:rPr>
                <w:rFonts w:eastAsia="Calibri" w:cs="Arial"/>
                <w:color w:val="000000"/>
              </w:rPr>
              <w:t xml:space="preserve"> системы, душа и умывальника</w:t>
            </w:r>
          </w:p>
        </w:tc>
        <w:tc>
          <w:tcPr>
            <w:tcW w:w="1154" w:type="dxa"/>
            <w:gridSpan w:val="2"/>
            <w:shd w:val="clear" w:color="auto" w:fill="auto"/>
            <w:noWrap/>
            <w:vAlign w:val="center"/>
            <w:hideMark/>
          </w:tcPr>
          <w:p w14:paraId="3DBD1EAC"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1B4E8BB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2F52E68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1A62132C" w14:textId="77777777" w:rsidR="00435416" w:rsidRPr="008F3C04" w:rsidRDefault="00435416" w:rsidP="00AC122D">
            <w:pPr>
              <w:spacing w:before="40" w:after="40"/>
              <w:contextualSpacing/>
              <w:jc w:val="center"/>
              <w:rPr>
                <w:rFonts w:eastAsia="Calibri" w:cs="Arial"/>
                <w:lang w:val="fr-FR"/>
              </w:rPr>
            </w:pPr>
          </w:p>
        </w:tc>
        <w:tc>
          <w:tcPr>
            <w:tcW w:w="1277" w:type="dxa"/>
          </w:tcPr>
          <w:p w14:paraId="3F8641D2" w14:textId="77777777" w:rsidR="00435416" w:rsidRPr="008F3C04" w:rsidRDefault="00435416" w:rsidP="00AC122D">
            <w:pPr>
              <w:spacing w:before="40" w:after="40"/>
              <w:contextualSpacing/>
              <w:jc w:val="center"/>
              <w:rPr>
                <w:rFonts w:eastAsia="Calibri" w:cs="Arial"/>
                <w:lang w:val="fr-FR"/>
              </w:rPr>
            </w:pPr>
          </w:p>
        </w:tc>
      </w:tr>
      <w:tr w:rsidR="00435416" w:rsidRPr="008F3C04" w14:paraId="7373D4EE" w14:textId="77777777" w:rsidTr="00AC122D">
        <w:tc>
          <w:tcPr>
            <w:tcW w:w="5684" w:type="dxa"/>
            <w:shd w:val="clear" w:color="auto" w:fill="auto"/>
            <w:vAlign w:val="bottom"/>
            <w:hideMark/>
          </w:tcPr>
          <w:p w14:paraId="0BE0151D"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Изоляция грузовых танков, погрузочно-разгрузочных трубопроводов, газоотводных трубопроводов и отопительных трубопроводов</w:t>
            </w:r>
          </w:p>
        </w:tc>
        <w:tc>
          <w:tcPr>
            <w:tcW w:w="1154" w:type="dxa"/>
            <w:gridSpan w:val="2"/>
            <w:shd w:val="clear" w:color="auto" w:fill="auto"/>
            <w:noWrap/>
            <w:vAlign w:val="center"/>
            <w:hideMark/>
          </w:tcPr>
          <w:p w14:paraId="2E96A179"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63BD71AD"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75BEE810"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37D9B56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36123479" w14:textId="77777777" w:rsidR="00435416" w:rsidRPr="008F3C04" w:rsidRDefault="00435416" w:rsidP="00AC122D">
            <w:pPr>
              <w:spacing w:before="40" w:after="40"/>
              <w:contextualSpacing/>
              <w:jc w:val="center"/>
              <w:rPr>
                <w:rFonts w:eastAsia="Calibri" w:cs="Arial"/>
                <w:lang w:val="fr-FR"/>
              </w:rPr>
            </w:pPr>
          </w:p>
        </w:tc>
      </w:tr>
      <w:tr w:rsidR="00435416" w:rsidRPr="008F3C04" w14:paraId="6B06CE32" w14:textId="77777777" w:rsidTr="00AC122D">
        <w:tc>
          <w:tcPr>
            <w:tcW w:w="5684" w:type="dxa"/>
            <w:shd w:val="clear" w:color="auto" w:fill="auto"/>
            <w:vAlign w:val="bottom"/>
            <w:hideMark/>
          </w:tcPr>
          <w:p w14:paraId="3DBC9989"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Покрытие грузовых танков и погрузочно-разгрузочных трубопроводов</w:t>
            </w:r>
          </w:p>
        </w:tc>
        <w:tc>
          <w:tcPr>
            <w:tcW w:w="1154" w:type="dxa"/>
            <w:gridSpan w:val="2"/>
            <w:shd w:val="clear" w:color="auto" w:fill="auto"/>
            <w:noWrap/>
            <w:vAlign w:val="center"/>
            <w:hideMark/>
          </w:tcPr>
          <w:p w14:paraId="075AE5FA"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45356D0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2DA585A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42045FA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3CD5A424" w14:textId="77777777" w:rsidR="00435416" w:rsidRPr="008F3C04" w:rsidRDefault="00435416" w:rsidP="00AC122D">
            <w:pPr>
              <w:spacing w:before="40" w:after="40"/>
              <w:contextualSpacing/>
              <w:jc w:val="center"/>
              <w:rPr>
                <w:rFonts w:eastAsia="Calibri" w:cs="Arial"/>
                <w:lang w:val="fr-FR"/>
              </w:rPr>
            </w:pPr>
          </w:p>
        </w:tc>
      </w:tr>
      <w:tr w:rsidR="00435416" w:rsidRPr="008F3C04" w14:paraId="2B418BCE" w14:textId="77777777" w:rsidTr="00AC122D">
        <w:tc>
          <w:tcPr>
            <w:tcW w:w="5684" w:type="dxa"/>
            <w:shd w:val="clear" w:color="auto" w:fill="auto"/>
            <w:vAlign w:val="bottom"/>
          </w:tcPr>
          <w:p w14:paraId="7F213B30"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Изоляция грузовых танков (таблица C, колонка 20, замечание 32)</w:t>
            </w:r>
          </w:p>
        </w:tc>
        <w:tc>
          <w:tcPr>
            <w:tcW w:w="1154" w:type="dxa"/>
            <w:gridSpan w:val="2"/>
            <w:shd w:val="clear" w:color="auto" w:fill="auto"/>
            <w:noWrap/>
            <w:vAlign w:val="center"/>
          </w:tcPr>
          <w:p w14:paraId="38E89759"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tcPr>
          <w:p w14:paraId="4E03155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tcPr>
          <w:p w14:paraId="6757571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tcPr>
          <w:p w14:paraId="1CB40F8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42C56F09" w14:textId="77777777" w:rsidR="00435416" w:rsidRPr="008F3C04" w:rsidRDefault="00435416" w:rsidP="00AC122D">
            <w:pPr>
              <w:spacing w:before="40" w:after="40"/>
              <w:contextualSpacing/>
              <w:jc w:val="center"/>
              <w:rPr>
                <w:rFonts w:eastAsia="Calibri" w:cs="Arial"/>
              </w:rPr>
            </w:pPr>
          </w:p>
        </w:tc>
      </w:tr>
      <w:tr w:rsidR="00435416" w:rsidRPr="008F3C04" w14:paraId="715A27DB" w14:textId="77777777" w:rsidTr="00AC122D">
        <w:tc>
          <w:tcPr>
            <w:tcW w:w="5684" w:type="dxa"/>
            <w:vMerge w:val="restart"/>
            <w:shd w:val="clear" w:color="auto" w:fill="auto"/>
            <w:hideMark/>
          </w:tcPr>
          <w:p w14:paraId="0C9D2805"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Любого рода прокладки</w:t>
            </w:r>
          </w:p>
        </w:tc>
        <w:tc>
          <w:tcPr>
            <w:tcW w:w="1154" w:type="dxa"/>
            <w:gridSpan w:val="2"/>
            <w:shd w:val="clear" w:color="auto" w:fill="auto"/>
            <w:noWrap/>
            <w:vAlign w:val="center"/>
            <w:hideMark/>
          </w:tcPr>
          <w:p w14:paraId="0414F48D"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32F6898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hideMark/>
          </w:tcPr>
          <w:p w14:paraId="3707FF9A"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48E589D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28E4ECB8" w14:textId="77777777" w:rsidR="00435416" w:rsidRPr="008F3C04" w:rsidRDefault="00435416" w:rsidP="00AC122D">
            <w:pPr>
              <w:spacing w:before="40" w:after="40"/>
              <w:contextualSpacing/>
              <w:jc w:val="center"/>
              <w:rPr>
                <w:rFonts w:eastAsia="Calibri" w:cs="Arial"/>
              </w:rPr>
            </w:pPr>
          </w:p>
        </w:tc>
      </w:tr>
      <w:tr w:rsidR="00435416" w:rsidRPr="006867C4" w14:paraId="14B12CA9" w14:textId="77777777" w:rsidTr="00AC122D">
        <w:tc>
          <w:tcPr>
            <w:tcW w:w="5684" w:type="dxa"/>
            <w:vMerge/>
            <w:shd w:val="clear" w:color="auto" w:fill="auto"/>
          </w:tcPr>
          <w:p w14:paraId="2AB7F4AC" w14:textId="77777777" w:rsidR="00435416" w:rsidRPr="008F3C04" w:rsidRDefault="00435416" w:rsidP="00AC122D">
            <w:pPr>
              <w:spacing w:before="40" w:after="40"/>
              <w:contextualSpacing/>
              <w:rPr>
                <w:rFonts w:eastAsia="Calibri" w:cs="Arial"/>
                <w:color w:val="000000"/>
              </w:rPr>
            </w:pPr>
          </w:p>
        </w:tc>
        <w:tc>
          <w:tcPr>
            <w:tcW w:w="6947" w:type="dxa"/>
            <w:gridSpan w:val="6"/>
            <w:shd w:val="clear" w:color="auto" w:fill="auto"/>
            <w:noWrap/>
            <w:vAlign w:val="center"/>
          </w:tcPr>
          <w:p w14:paraId="6E32248D" w14:textId="77777777" w:rsidR="00435416" w:rsidRPr="008F3C04" w:rsidRDefault="00435416" w:rsidP="00AC122D">
            <w:pPr>
              <w:spacing w:before="40" w:after="40"/>
              <w:contextualSpacing/>
              <w:jc w:val="center"/>
              <w:rPr>
                <w:rFonts w:eastAsia="Calibri" w:cs="Arial"/>
              </w:rPr>
            </w:pPr>
            <w:r w:rsidRPr="008F3C04">
              <w:rPr>
                <w:rFonts w:eastAsia="Calibri" w:cs="Arial"/>
              </w:rPr>
              <w:t>С учетом таблицы C, колонка 20, замечание 39 a)</w:t>
            </w:r>
          </w:p>
        </w:tc>
      </w:tr>
      <w:tr w:rsidR="00435416" w:rsidRPr="008F3C04" w14:paraId="3BF4277D" w14:textId="77777777" w:rsidTr="00AC122D">
        <w:tc>
          <w:tcPr>
            <w:tcW w:w="5684" w:type="dxa"/>
            <w:vMerge w:val="restart"/>
            <w:shd w:val="clear" w:color="auto" w:fill="auto"/>
            <w:hideMark/>
          </w:tcPr>
          <w:p w14:paraId="6C0B178C"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Кабели для электрооборудования</w:t>
            </w:r>
          </w:p>
        </w:tc>
        <w:tc>
          <w:tcPr>
            <w:tcW w:w="1154" w:type="dxa"/>
            <w:gridSpan w:val="2"/>
            <w:shd w:val="clear" w:color="auto" w:fill="auto"/>
            <w:noWrap/>
            <w:vAlign w:val="center"/>
            <w:hideMark/>
          </w:tcPr>
          <w:p w14:paraId="009352FE" w14:textId="77777777" w:rsidR="00435416" w:rsidRPr="008F3C04" w:rsidRDefault="00435416" w:rsidP="00AC122D">
            <w:pPr>
              <w:spacing w:before="40" w:after="40"/>
              <w:contextualSpacing/>
              <w:jc w:val="center"/>
              <w:rPr>
                <w:rFonts w:eastAsia="Calibri" w:cs="Arial"/>
              </w:rPr>
            </w:pPr>
          </w:p>
        </w:tc>
        <w:tc>
          <w:tcPr>
            <w:tcW w:w="1612" w:type="dxa"/>
            <w:shd w:val="clear" w:color="auto" w:fill="auto"/>
            <w:noWrap/>
            <w:vAlign w:val="center"/>
            <w:hideMark/>
          </w:tcPr>
          <w:p w14:paraId="2EE39AF0" w14:textId="77777777" w:rsidR="00435416" w:rsidRPr="008F3C04" w:rsidRDefault="00435416" w:rsidP="00AC122D">
            <w:pPr>
              <w:spacing w:before="40" w:after="40"/>
              <w:contextualSpacing/>
              <w:jc w:val="center"/>
              <w:rPr>
                <w:rFonts w:eastAsia="Calibri" w:cs="Arial"/>
              </w:rPr>
            </w:pPr>
          </w:p>
        </w:tc>
        <w:tc>
          <w:tcPr>
            <w:tcW w:w="1487" w:type="dxa"/>
            <w:shd w:val="clear" w:color="auto" w:fill="auto"/>
            <w:noWrap/>
            <w:vAlign w:val="center"/>
            <w:hideMark/>
          </w:tcPr>
          <w:p w14:paraId="6CBBB9A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hideMark/>
          </w:tcPr>
          <w:p w14:paraId="78CE70E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7" w:type="dxa"/>
          </w:tcPr>
          <w:p w14:paraId="22CD604D" w14:textId="77777777" w:rsidR="00435416" w:rsidRPr="008F3C04" w:rsidRDefault="00435416" w:rsidP="00AC122D">
            <w:pPr>
              <w:spacing w:before="40" w:after="40"/>
              <w:contextualSpacing/>
              <w:jc w:val="center"/>
              <w:rPr>
                <w:rFonts w:eastAsia="Calibri" w:cs="Arial"/>
              </w:rPr>
            </w:pPr>
          </w:p>
        </w:tc>
      </w:tr>
      <w:tr w:rsidR="00435416" w:rsidRPr="006867C4" w14:paraId="1CAEA205" w14:textId="77777777" w:rsidTr="00AC122D">
        <w:tc>
          <w:tcPr>
            <w:tcW w:w="5684" w:type="dxa"/>
            <w:vMerge/>
            <w:shd w:val="clear" w:color="auto" w:fill="auto"/>
            <w:vAlign w:val="bottom"/>
          </w:tcPr>
          <w:p w14:paraId="209BC51F" w14:textId="77777777" w:rsidR="00435416" w:rsidRPr="008F3C04" w:rsidRDefault="00435416" w:rsidP="00AC122D">
            <w:pPr>
              <w:spacing w:before="40" w:after="40"/>
              <w:contextualSpacing/>
              <w:rPr>
                <w:rFonts w:eastAsia="Calibri" w:cs="Arial"/>
                <w:color w:val="000000"/>
              </w:rPr>
            </w:pPr>
          </w:p>
        </w:tc>
        <w:tc>
          <w:tcPr>
            <w:tcW w:w="6947" w:type="dxa"/>
            <w:gridSpan w:val="6"/>
            <w:shd w:val="clear" w:color="auto" w:fill="auto"/>
            <w:noWrap/>
            <w:vAlign w:val="center"/>
          </w:tcPr>
          <w:p w14:paraId="12E60085" w14:textId="77777777" w:rsidR="00435416" w:rsidRPr="008F3C04" w:rsidRDefault="00435416" w:rsidP="00AC122D">
            <w:pPr>
              <w:spacing w:before="40" w:after="40"/>
              <w:contextualSpacing/>
              <w:jc w:val="center"/>
              <w:rPr>
                <w:rFonts w:eastAsia="Calibri" w:cs="Arial"/>
              </w:rPr>
            </w:pPr>
            <w:r w:rsidRPr="008F3C04">
              <w:rPr>
                <w:rFonts w:eastAsia="Calibri" w:cs="Arial"/>
              </w:rPr>
              <w:t>В соответствии с применимыми техническими стандартами</w:t>
            </w:r>
          </w:p>
        </w:tc>
      </w:tr>
      <w:tr w:rsidR="00435416" w:rsidRPr="008F3C04" w14:paraId="61E01ED3" w14:textId="77777777" w:rsidTr="00AC122D">
        <w:tc>
          <w:tcPr>
            <w:tcW w:w="5684" w:type="dxa"/>
            <w:shd w:val="clear" w:color="auto" w:fill="auto"/>
            <w:vAlign w:val="bottom"/>
          </w:tcPr>
          <w:p w14:paraId="728A5A07"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Ящики, шкафы или другие емкости, расположенные на палубе и предназначенные для хранения оборудования для сбора разлитых продуктов и для хранения чистящих средств, огнетушителей, пожарных рукавов и т. д.</w:t>
            </w:r>
          </w:p>
        </w:tc>
        <w:tc>
          <w:tcPr>
            <w:tcW w:w="1133" w:type="dxa"/>
            <w:shd w:val="clear" w:color="auto" w:fill="auto"/>
            <w:noWrap/>
            <w:vAlign w:val="center"/>
          </w:tcPr>
          <w:p w14:paraId="40ACB1EF" w14:textId="77777777" w:rsidR="00435416" w:rsidRPr="008F3C04" w:rsidRDefault="00435416" w:rsidP="00AC122D">
            <w:pPr>
              <w:spacing w:before="40" w:after="40"/>
              <w:contextualSpacing/>
              <w:jc w:val="center"/>
              <w:rPr>
                <w:rFonts w:eastAsia="Calibri" w:cs="Arial"/>
              </w:rPr>
            </w:pPr>
          </w:p>
        </w:tc>
        <w:tc>
          <w:tcPr>
            <w:tcW w:w="1633" w:type="dxa"/>
            <w:gridSpan w:val="2"/>
            <w:shd w:val="clear" w:color="auto" w:fill="auto"/>
            <w:noWrap/>
            <w:vAlign w:val="center"/>
          </w:tcPr>
          <w:p w14:paraId="3C32ED2D"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tcPr>
          <w:p w14:paraId="08C1988A"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tcPr>
          <w:p w14:paraId="06059AA9" w14:textId="77777777" w:rsidR="00435416" w:rsidRPr="008F3C04" w:rsidRDefault="00435416" w:rsidP="00AC122D">
            <w:pPr>
              <w:spacing w:before="40" w:after="40"/>
              <w:contextualSpacing/>
              <w:jc w:val="center"/>
              <w:rPr>
                <w:rFonts w:eastAsia="Calibri" w:cs="Arial"/>
                <w:b/>
                <w:bCs/>
                <w:lang w:val="fr-FR"/>
              </w:rPr>
            </w:pPr>
          </w:p>
        </w:tc>
        <w:tc>
          <w:tcPr>
            <w:tcW w:w="1277" w:type="dxa"/>
          </w:tcPr>
          <w:p w14:paraId="200B0589" w14:textId="77777777" w:rsidR="00435416" w:rsidRPr="008F3C04" w:rsidRDefault="00435416" w:rsidP="00AC122D">
            <w:pPr>
              <w:spacing w:before="40" w:after="40"/>
              <w:contextualSpacing/>
              <w:jc w:val="center"/>
              <w:rPr>
                <w:rFonts w:eastAsia="Calibri" w:cs="Arial"/>
                <w:lang w:val="fr-FR"/>
              </w:rPr>
            </w:pPr>
          </w:p>
        </w:tc>
      </w:tr>
      <w:tr w:rsidR="00435416" w:rsidRPr="008F3C04" w14:paraId="7968FBDF" w14:textId="77777777" w:rsidTr="00AC122D">
        <w:tc>
          <w:tcPr>
            <w:tcW w:w="5684" w:type="dxa"/>
            <w:vMerge w:val="restart"/>
            <w:shd w:val="clear" w:color="auto" w:fill="auto"/>
          </w:tcPr>
          <w:p w14:paraId="6E0B7E7C" w14:textId="77777777" w:rsidR="00435416" w:rsidRPr="008F3C04" w:rsidRDefault="00435416" w:rsidP="00AC122D">
            <w:pPr>
              <w:spacing w:before="40" w:after="40"/>
              <w:contextualSpacing/>
              <w:rPr>
                <w:rFonts w:eastAsia="Calibri" w:cs="Arial"/>
                <w:color w:val="000000"/>
              </w:rPr>
            </w:pPr>
            <w:r w:rsidRPr="008F3C04">
              <w:rPr>
                <w:rFonts w:eastAsia="Calibri" w:cs="Arial"/>
                <w:color w:val="000000"/>
              </w:rPr>
              <w:t xml:space="preserve">Ящики, шкафы или другие емкости, размещенные на палубе и предназначенные для хранения или удаления отходов </w:t>
            </w:r>
          </w:p>
        </w:tc>
        <w:tc>
          <w:tcPr>
            <w:tcW w:w="1133" w:type="dxa"/>
            <w:shd w:val="clear" w:color="auto" w:fill="auto"/>
            <w:noWrap/>
            <w:vAlign w:val="center"/>
          </w:tcPr>
          <w:p w14:paraId="4A004239" w14:textId="77777777" w:rsidR="00435416" w:rsidRPr="008F3C04" w:rsidRDefault="00435416" w:rsidP="00AC122D">
            <w:pPr>
              <w:spacing w:before="40" w:after="40"/>
              <w:contextualSpacing/>
              <w:jc w:val="center"/>
              <w:rPr>
                <w:rFonts w:eastAsia="Calibri" w:cs="Arial"/>
              </w:rPr>
            </w:pPr>
          </w:p>
        </w:tc>
        <w:tc>
          <w:tcPr>
            <w:tcW w:w="1633" w:type="dxa"/>
            <w:gridSpan w:val="2"/>
            <w:shd w:val="clear" w:color="auto" w:fill="auto"/>
            <w:noWrap/>
            <w:vAlign w:val="center"/>
          </w:tcPr>
          <w:p w14:paraId="06F9633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87" w:type="dxa"/>
            <w:shd w:val="clear" w:color="auto" w:fill="auto"/>
            <w:noWrap/>
            <w:vAlign w:val="center"/>
          </w:tcPr>
          <w:p w14:paraId="285F2A8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17" w:type="dxa"/>
            <w:shd w:val="clear" w:color="auto" w:fill="auto"/>
            <w:noWrap/>
            <w:vAlign w:val="center"/>
          </w:tcPr>
          <w:p w14:paraId="65EECA04" w14:textId="77777777" w:rsidR="00435416" w:rsidRPr="008F3C04" w:rsidRDefault="00435416" w:rsidP="00AC122D">
            <w:pPr>
              <w:spacing w:before="40" w:after="40"/>
              <w:contextualSpacing/>
              <w:jc w:val="center"/>
              <w:rPr>
                <w:rFonts w:eastAsia="Calibri" w:cs="Arial"/>
                <w:b/>
                <w:bCs/>
                <w:lang w:val="fr-FR"/>
              </w:rPr>
            </w:pPr>
          </w:p>
        </w:tc>
        <w:tc>
          <w:tcPr>
            <w:tcW w:w="1277" w:type="dxa"/>
          </w:tcPr>
          <w:p w14:paraId="14C8E0E9" w14:textId="77777777" w:rsidR="00435416" w:rsidRPr="008F3C04" w:rsidRDefault="00435416" w:rsidP="00AC122D">
            <w:pPr>
              <w:spacing w:before="40" w:after="40"/>
              <w:contextualSpacing/>
              <w:jc w:val="center"/>
              <w:rPr>
                <w:rFonts w:eastAsia="Calibri" w:cs="Arial"/>
                <w:lang w:val="fr-FR"/>
              </w:rPr>
            </w:pPr>
          </w:p>
        </w:tc>
      </w:tr>
      <w:tr w:rsidR="00435416" w:rsidRPr="006867C4" w14:paraId="405E041F" w14:textId="77777777" w:rsidTr="00AC122D">
        <w:tc>
          <w:tcPr>
            <w:tcW w:w="5684" w:type="dxa"/>
            <w:vMerge/>
            <w:shd w:val="clear" w:color="auto" w:fill="auto"/>
            <w:vAlign w:val="bottom"/>
          </w:tcPr>
          <w:p w14:paraId="4B9380D0" w14:textId="77777777" w:rsidR="00435416" w:rsidRPr="008F3C04" w:rsidRDefault="00435416" w:rsidP="00AC122D">
            <w:pPr>
              <w:spacing w:before="40" w:after="40"/>
              <w:contextualSpacing/>
              <w:rPr>
                <w:rFonts w:eastAsia="Calibri" w:cs="Arial"/>
                <w:b/>
                <w:lang w:val="fr-FR"/>
              </w:rPr>
            </w:pPr>
          </w:p>
        </w:tc>
        <w:tc>
          <w:tcPr>
            <w:tcW w:w="6947" w:type="dxa"/>
            <w:gridSpan w:val="6"/>
            <w:shd w:val="clear" w:color="auto" w:fill="auto"/>
            <w:noWrap/>
            <w:vAlign w:val="center"/>
          </w:tcPr>
          <w:p w14:paraId="74C18D7E" w14:textId="77777777" w:rsidR="00435416" w:rsidRPr="008F3C04" w:rsidRDefault="00435416" w:rsidP="00AC122D">
            <w:pPr>
              <w:spacing w:before="40" w:after="40"/>
              <w:contextualSpacing/>
              <w:jc w:val="center"/>
              <w:rPr>
                <w:rFonts w:eastAsia="Calibri" w:cs="Arial"/>
              </w:rPr>
            </w:pPr>
            <w:r w:rsidRPr="008F3C04">
              <w:rPr>
                <w:rFonts w:eastAsia="Calibri" w:cs="Arial"/>
              </w:rPr>
              <w:t>Для маслосодержащих отходов только огнестойкие сосуды (7.2.1.21.6)</w:t>
            </w:r>
          </w:p>
        </w:tc>
      </w:tr>
    </w:tbl>
    <w:p w14:paraId="71D10215" w14:textId="77777777" w:rsidR="00435416" w:rsidRPr="008F3C04" w:rsidRDefault="00435416" w:rsidP="00435416">
      <w:pPr>
        <w:rPr>
          <w:rFonts w:eastAsia="Calibri" w:cs="Arial"/>
        </w:rPr>
      </w:pPr>
    </w:p>
    <w:tbl>
      <w:tblPr>
        <w:tblW w:w="12624"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53"/>
        <w:gridCol w:w="1498"/>
        <w:gridCol w:w="1492"/>
        <w:gridCol w:w="9"/>
        <w:gridCol w:w="1496"/>
        <w:gridCol w:w="63"/>
        <w:gridCol w:w="1276"/>
      </w:tblGrid>
      <w:tr w:rsidR="00435416" w:rsidRPr="008F3C04" w14:paraId="0F585470" w14:textId="77777777" w:rsidTr="00AC122D">
        <w:trPr>
          <w:trHeight w:val="270"/>
          <w:tblHeader/>
        </w:trPr>
        <w:tc>
          <w:tcPr>
            <w:tcW w:w="5537" w:type="dxa"/>
            <w:gridSpan w:val="2"/>
            <w:tcBorders>
              <w:top w:val="nil"/>
              <w:left w:val="nil"/>
            </w:tcBorders>
            <w:shd w:val="clear" w:color="auto" w:fill="auto"/>
            <w:noWrap/>
            <w:vAlign w:val="bottom"/>
            <w:hideMark/>
          </w:tcPr>
          <w:p w14:paraId="7A49E440" w14:textId="77777777" w:rsidR="00435416" w:rsidRPr="008F3C04" w:rsidRDefault="00435416" w:rsidP="0070756D">
            <w:pPr>
              <w:keepNext/>
              <w:keepLines/>
              <w:spacing w:before="40" w:after="40" w:line="200" w:lineRule="exact"/>
              <w:contextualSpacing/>
              <w:rPr>
                <w:rFonts w:eastAsia="Calibri" w:cs="Arial"/>
                <w:b/>
              </w:rPr>
            </w:pPr>
          </w:p>
        </w:tc>
        <w:tc>
          <w:tcPr>
            <w:tcW w:w="1253" w:type="dxa"/>
            <w:tcBorders>
              <w:top w:val="single" w:sz="4" w:space="0" w:color="auto"/>
            </w:tcBorders>
            <w:shd w:val="clear" w:color="auto" w:fill="auto"/>
            <w:noWrap/>
            <w:vAlign w:val="center"/>
          </w:tcPr>
          <w:p w14:paraId="7FC65891" w14:textId="77777777" w:rsidR="00435416" w:rsidRPr="00FB799C" w:rsidRDefault="00435416" w:rsidP="0070756D">
            <w:pPr>
              <w:keepNext/>
              <w:keepLines/>
              <w:spacing w:before="40" w:after="40" w:line="200" w:lineRule="exact"/>
              <w:contextualSpacing/>
              <w:jc w:val="center"/>
              <w:rPr>
                <w:rFonts w:eastAsia="Calibri" w:cs="Arial"/>
                <w:b/>
                <w:sz w:val="16"/>
                <w:szCs w:val="16"/>
              </w:rPr>
            </w:pPr>
            <w:r w:rsidRPr="00FB799C">
              <w:rPr>
                <w:rFonts w:eastAsia="Calibri" w:cs="Arial"/>
                <w:b/>
                <w:bCs/>
                <w:sz w:val="16"/>
                <w:szCs w:val="16"/>
              </w:rPr>
              <w:t>Дерево</w:t>
            </w:r>
          </w:p>
        </w:tc>
        <w:tc>
          <w:tcPr>
            <w:tcW w:w="1498" w:type="dxa"/>
            <w:shd w:val="clear" w:color="auto" w:fill="auto"/>
            <w:noWrap/>
            <w:vAlign w:val="center"/>
          </w:tcPr>
          <w:p w14:paraId="7740B379" w14:textId="77777777" w:rsidR="00435416" w:rsidRPr="00FB799C" w:rsidRDefault="00435416" w:rsidP="0070756D">
            <w:pPr>
              <w:keepNext/>
              <w:keepLines/>
              <w:spacing w:before="40" w:after="40" w:line="200" w:lineRule="exact"/>
              <w:contextualSpacing/>
              <w:jc w:val="center"/>
              <w:rPr>
                <w:rFonts w:eastAsia="Calibri" w:cs="Arial"/>
                <w:b/>
                <w:sz w:val="16"/>
                <w:szCs w:val="16"/>
              </w:rPr>
            </w:pPr>
            <w:r w:rsidRPr="00FB799C">
              <w:rPr>
                <w:rFonts w:eastAsia="Calibri" w:cs="Arial"/>
                <w:b/>
                <w:bCs/>
                <w:sz w:val="16"/>
                <w:szCs w:val="16"/>
              </w:rPr>
              <w:t>Алюминиевые сплавы</w:t>
            </w:r>
          </w:p>
        </w:tc>
        <w:tc>
          <w:tcPr>
            <w:tcW w:w="1501" w:type="dxa"/>
            <w:gridSpan w:val="2"/>
            <w:shd w:val="clear" w:color="auto" w:fill="auto"/>
            <w:noWrap/>
            <w:vAlign w:val="center"/>
          </w:tcPr>
          <w:p w14:paraId="08323274" w14:textId="77777777" w:rsidR="00435416" w:rsidRPr="00FB799C" w:rsidRDefault="00435416" w:rsidP="0070756D">
            <w:pPr>
              <w:keepNext/>
              <w:keepLines/>
              <w:spacing w:before="40" w:after="40" w:line="200" w:lineRule="exact"/>
              <w:contextualSpacing/>
              <w:jc w:val="center"/>
              <w:rPr>
                <w:rFonts w:eastAsia="Calibri" w:cs="Arial"/>
                <w:b/>
                <w:sz w:val="16"/>
                <w:szCs w:val="16"/>
              </w:rPr>
            </w:pPr>
            <w:r w:rsidRPr="00FB799C">
              <w:rPr>
                <w:rFonts w:eastAsia="Calibri" w:cs="Arial"/>
                <w:b/>
                <w:bCs/>
                <w:sz w:val="16"/>
                <w:szCs w:val="16"/>
              </w:rPr>
              <w:t>Пластмассы/ Композитный материал</w:t>
            </w:r>
          </w:p>
        </w:tc>
        <w:tc>
          <w:tcPr>
            <w:tcW w:w="1559" w:type="dxa"/>
            <w:gridSpan w:val="2"/>
            <w:shd w:val="clear" w:color="auto" w:fill="auto"/>
            <w:noWrap/>
            <w:vAlign w:val="center"/>
          </w:tcPr>
          <w:p w14:paraId="08C64B9C" w14:textId="77777777" w:rsidR="00435416" w:rsidRPr="00FB799C" w:rsidRDefault="00435416" w:rsidP="0070756D">
            <w:pPr>
              <w:keepNext/>
              <w:keepLines/>
              <w:spacing w:before="40" w:after="40" w:line="200" w:lineRule="exact"/>
              <w:contextualSpacing/>
              <w:jc w:val="center"/>
              <w:rPr>
                <w:rFonts w:eastAsia="Calibri" w:cs="Arial"/>
                <w:b/>
                <w:sz w:val="16"/>
                <w:szCs w:val="16"/>
              </w:rPr>
            </w:pPr>
            <w:r w:rsidRPr="00FB799C">
              <w:rPr>
                <w:rFonts w:eastAsia="Calibri" w:cs="Arial"/>
                <w:b/>
                <w:bCs/>
                <w:sz w:val="16"/>
                <w:szCs w:val="16"/>
              </w:rPr>
              <w:t>Резина</w:t>
            </w:r>
          </w:p>
        </w:tc>
        <w:tc>
          <w:tcPr>
            <w:tcW w:w="1276" w:type="dxa"/>
            <w:vAlign w:val="center"/>
          </w:tcPr>
          <w:p w14:paraId="3A4F4D61" w14:textId="77777777" w:rsidR="00435416" w:rsidRPr="00FB799C" w:rsidRDefault="00435416" w:rsidP="0070756D">
            <w:pPr>
              <w:keepNext/>
              <w:keepLines/>
              <w:spacing w:before="40" w:after="40" w:line="200" w:lineRule="exact"/>
              <w:contextualSpacing/>
              <w:jc w:val="center"/>
              <w:rPr>
                <w:rFonts w:eastAsia="Calibri" w:cs="Arial"/>
                <w:b/>
                <w:sz w:val="16"/>
                <w:szCs w:val="16"/>
              </w:rPr>
            </w:pPr>
            <w:r w:rsidRPr="00FB799C">
              <w:rPr>
                <w:rFonts w:eastAsia="Calibri" w:cs="Arial"/>
                <w:b/>
                <w:bCs/>
                <w:sz w:val="16"/>
                <w:szCs w:val="16"/>
              </w:rPr>
              <w:t>Стекло</w:t>
            </w:r>
          </w:p>
        </w:tc>
      </w:tr>
      <w:tr w:rsidR="00435416" w:rsidRPr="008F3C04" w14:paraId="365B00E4" w14:textId="77777777" w:rsidTr="00AC122D">
        <w:tc>
          <w:tcPr>
            <w:tcW w:w="5537" w:type="dxa"/>
            <w:gridSpan w:val="2"/>
            <w:shd w:val="clear" w:color="auto" w:fill="auto"/>
            <w:vAlign w:val="bottom"/>
          </w:tcPr>
          <w:p w14:paraId="4AAC0A21" w14:textId="77777777" w:rsidR="00435416" w:rsidRPr="008F3C04" w:rsidRDefault="00435416" w:rsidP="00AC122D">
            <w:pPr>
              <w:keepNext/>
              <w:keepLines/>
              <w:spacing w:before="40" w:after="40"/>
              <w:contextualSpacing/>
              <w:rPr>
                <w:rFonts w:eastAsia="Calibri" w:cs="Arial"/>
                <w:b/>
              </w:rPr>
            </w:pPr>
          </w:p>
        </w:tc>
        <w:tc>
          <w:tcPr>
            <w:tcW w:w="1253" w:type="dxa"/>
            <w:shd w:val="clear" w:color="auto" w:fill="auto"/>
            <w:noWrap/>
            <w:vAlign w:val="center"/>
          </w:tcPr>
          <w:p w14:paraId="450D6BBB" w14:textId="77777777" w:rsidR="00435416" w:rsidRPr="008F3C04" w:rsidRDefault="00435416" w:rsidP="00AC122D">
            <w:pPr>
              <w:keepNext/>
              <w:keepLines/>
              <w:spacing w:before="40" w:after="40"/>
              <w:contextualSpacing/>
              <w:rPr>
                <w:rFonts w:eastAsia="Calibri" w:cs="Arial"/>
                <w:b/>
              </w:rPr>
            </w:pPr>
          </w:p>
        </w:tc>
        <w:tc>
          <w:tcPr>
            <w:tcW w:w="1498" w:type="dxa"/>
            <w:shd w:val="clear" w:color="auto" w:fill="auto"/>
            <w:noWrap/>
            <w:vAlign w:val="center"/>
          </w:tcPr>
          <w:p w14:paraId="2EEAB34F" w14:textId="77777777" w:rsidR="00435416" w:rsidRPr="008F3C04" w:rsidRDefault="00435416" w:rsidP="00AC122D">
            <w:pPr>
              <w:keepNext/>
              <w:keepLines/>
              <w:spacing w:before="40" w:after="40"/>
              <w:contextualSpacing/>
              <w:rPr>
                <w:rFonts w:eastAsia="Calibri" w:cs="Arial"/>
                <w:b/>
              </w:rPr>
            </w:pPr>
          </w:p>
        </w:tc>
        <w:tc>
          <w:tcPr>
            <w:tcW w:w="1501" w:type="dxa"/>
            <w:gridSpan w:val="2"/>
            <w:shd w:val="clear" w:color="auto" w:fill="auto"/>
            <w:noWrap/>
            <w:vAlign w:val="center"/>
          </w:tcPr>
          <w:p w14:paraId="7CEDB763" w14:textId="77777777" w:rsidR="00435416" w:rsidRPr="008F3C04" w:rsidRDefault="00435416" w:rsidP="00AC122D">
            <w:pPr>
              <w:keepNext/>
              <w:keepLines/>
              <w:spacing w:before="40" w:after="40"/>
              <w:contextualSpacing/>
              <w:rPr>
                <w:rFonts w:eastAsia="Calibri" w:cs="Arial"/>
                <w:b/>
              </w:rPr>
            </w:pPr>
          </w:p>
        </w:tc>
        <w:tc>
          <w:tcPr>
            <w:tcW w:w="1559" w:type="dxa"/>
            <w:gridSpan w:val="2"/>
            <w:shd w:val="clear" w:color="auto" w:fill="auto"/>
            <w:noWrap/>
            <w:vAlign w:val="center"/>
          </w:tcPr>
          <w:p w14:paraId="46A13B10" w14:textId="77777777" w:rsidR="00435416" w:rsidRPr="008F3C04" w:rsidRDefault="00435416" w:rsidP="00AC122D">
            <w:pPr>
              <w:keepNext/>
              <w:keepLines/>
              <w:spacing w:before="40" w:after="40"/>
              <w:contextualSpacing/>
              <w:rPr>
                <w:rFonts w:eastAsia="Calibri" w:cs="Arial"/>
                <w:b/>
              </w:rPr>
            </w:pPr>
          </w:p>
        </w:tc>
        <w:tc>
          <w:tcPr>
            <w:tcW w:w="1276" w:type="dxa"/>
          </w:tcPr>
          <w:p w14:paraId="3263B672" w14:textId="77777777" w:rsidR="00435416" w:rsidRPr="008F3C04" w:rsidRDefault="00435416" w:rsidP="00AC122D">
            <w:pPr>
              <w:keepNext/>
              <w:keepLines/>
              <w:spacing w:before="40" w:after="40"/>
              <w:contextualSpacing/>
              <w:rPr>
                <w:rFonts w:eastAsia="Calibri" w:cs="Arial"/>
                <w:b/>
              </w:rPr>
            </w:pPr>
          </w:p>
        </w:tc>
      </w:tr>
      <w:tr w:rsidR="00435416" w:rsidRPr="008F3C04" w14:paraId="10E4DE6E" w14:textId="77777777" w:rsidTr="00AC122D">
        <w:tc>
          <w:tcPr>
            <w:tcW w:w="5537" w:type="dxa"/>
            <w:gridSpan w:val="2"/>
            <w:shd w:val="clear" w:color="auto" w:fill="D9D9D9"/>
            <w:vAlign w:val="bottom"/>
          </w:tcPr>
          <w:p w14:paraId="5C3DFD9F" w14:textId="77777777" w:rsidR="00435416" w:rsidRPr="008F3C04" w:rsidRDefault="00435416" w:rsidP="00AC122D">
            <w:pPr>
              <w:keepNext/>
              <w:keepLines/>
              <w:spacing w:before="40" w:after="40"/>
              <w:contextualSpacing/>
              <w:rPr>
                <w:rFonts w:eastAsia="Calibri" w:cs="Arial"/>
                <w:b/>
              </w:rPr>
            </w:pPr>
            <w:r w:rsidRPr="008F3C04">
              <w:rPr>
                <w:rFonts w:eastAsia="Calibri" w:cs="Arial"/>
                <w:b/>
                <w:bCs/>
              </w:rPr>
              <w:t>Переносные предметы оборудования</w:t>
            </w:r>
          </w:p>
        </w:tc>
        <w:tc>
          <w:tcPr>
            <w:tcW w:w="1253" w:type="dxa"/>
            <w:shd w:val="clear" w:color="auto" w:fill="D9D9D9"/>
            <w:noWrap/>
            <w:vAlign w:val="center"/>
          </w:tcPr>
          <w:p w14:paraId="5137B1F3" w14:textId="77777777" w:rsidR="00435416" w:rsidRPr="008F3C04" w:rsidRDefault="00435416" w:rsidP="00AC122D">
            <w:pPr>
              <w:keepNext/>
              <w:keepLines/>
              <w:spacing w:before="40" w:after="40"/>
              <w:contextualSpacing/>
              <w:rPr>
                <w:rFonts w:eastAsia="Calibri" w:cs="Arial"/>
                <w:b/>
                <w:lang w:val="fr-FR"/>
              </w:rPr>
            </w:pPr>
          </w:p>
        </w:tc>
        <w:tc>
          <w:tcPr>
            <w:tcW w:w="1498" w:type="dxa"/>
            <w:shd w:val="clear" w:color="auto" w:fill="D9D9D9"/>
            <w:noWrap/>
            <w:vAlign w:val="center"/>
          </w:tcPr>
          <w:p w14:paraId="60B29469" w14:textId="77777777" w:rsidR="00435416" w:rsidRPr="008F3C04" w:rsidRDefault="00435416" w:rsidP="00AC122D">
            <w:pPr>
              <w:keepNext/>
              <w:keepLines/>
              <w:spacing w:before="40" w:after="40"/>
              <w:contextualSpacing/>
              <w:rPr>
                <w:rFonts w:eastAsia="Calibri" w:cs="Arial"/>
                <w:b/>
                <w:lang w:val="fr-FR"/>
              </w:rPr>
            </w:pPr>
          </w:p>
        </w:tc>
        <w:tc>
          <w:tcPr>
            <w:tcW w:w="1501" w:type="dxa"/>
            <w:gridSpan w:val="2"/>
            <w:shd w:val="clear" w:color="auto" w:fill="D9D9D9"/>
            <w:noWrap/>
            <w:vAlign w:val="center"/>
          </w:tcPr>
          <w:p w14:paraId="3DF477E1" w14:textId="77777777" w:rsidR="00435416" w:rsidRPr="008F3C04" w:rsidRDefault="00435416" w:rsidP="00AC122D">
            <w:pPr>
              <w:keepNext/>
              <w:keepLines/>
              <w:spacing w:before="40" w:after="40"/>
              <w:contextualSpacing/>
              <w:rPr>
                <w:rFonts w:eastAsia="Calibri" w:cs="Arial"/>
                <w:b/>
                <w:lang w:val="fr-FR"/>
              </w:rPr>
            </w:pPr>
          </w:p>
        </w:tc>
        <w:tc>
          <w:tcPr>
            <w:tcW w:w="1559" w:type="dxa"/>
            <w:gridSpan w:val="2"/>
            <w:shd w:val="clear" w:color="auto" w:fill="D9D9D9"/>
            <w:noWrap/>
            <w:vAlign w:val="center"/>
          </w:tcPr>
          <w:p w14:paraId="66A7D69E" w14:textId="77777777" w:rsidR="00435416" w:rsidRPr="008F3C04" w:rsidRDefault="00435416" w:rsidP="00AC122D">
            <w:pPr>
              <w:keepNext/>
              <w:keepLines/>
              <w:spacing w:before="40" w:after="40"/>
              <w:contextualSpacing/>
              <w:rPr>
                <w:rFonts w:eastAsia="Calibri" w:cs="Arial"/>
                <w:b/>
                <w:lang w:val="fr-FR"/>
              </w:rPr>
            </w:pPr>
          </w:p>
        </w:tc>
        <w:tc>
          <w:tcPr>
            <w:tcW w:w="1276" w:type="dxa"/>
            <w:shd w:val="clear" w:color="auto" w:fill="D9D9D9"/>
          </w:tcPr>
          <w:p w14:paraId="4FE14A1B" w14:textId="77777777" w:rsidR="00435416" w:rsidRPr="008F3C04" w:rsidRDefault="00435416" w:rsidP="00AC122D">
            <w:pPr>
              <w:keepNext/>
              <w:keepLines/>
              <w:spacing w:before="40" w:after="40"/>
              <w:contextualSpacing/>
              <w:rPr>
                <w:rFonts w:eastAsia="Calibri" w:cs="Arial"/>
                <w:b/>
                <w:lang w:val="fr-FR"/>
              </w:rPr>
            </w:pPr>
          </w:p>
        </w:tc>
      </w:tr>
      <w:tr w:rsidR="00435416" w:rsidRPr="008F3C04" w14:paraId="61EE20A5" w14:textId="77777777" w:rsidTr="00AC122D">
        <w:tc>
          <w:tcPr>
            <w:tcW w:w="5537" w:type="dxa"/>
            <w:gridSpan w:val="2"/>
            <w:vMerge w:val="restart"/>
            <w:shd w:val="clear" w:color="auto" w:fill="auto"/>
            <w:hideMark/>
          </w:tcPr>
          <w:p w14:paraId="3735D5AA" w14:textId="77777777" w:rsidR="00435416" w:rsidRPr="008F3C04" w:rsidRDefault="00435416" w:rsidP="00AC122D">
            <w:pPr>
              <w:keepNext/>
              <w:keepLines/>
              <w:spacing w:before="40" w:after="40"/>
              <w:contextualSpacing/>
              <w:rPr>
                <w:rFonts w:eastAsia="Calibri" w:cs="Arial"/>
              </w:rPr>
            </w:pPr>
            <w:r w:rsidRPr="008F3C04">
              <w:rPr>
                <w:rFonts w:eastAsia="Calibri" w:cs="Arial"/>
              </w:rPr>
              <w:t>Сходные трапы</w:t>
            </w:r>
          </w:p>
        </w:tc>
        <w:tc>
          <w:tcPr>
            <w:tcW w:w="1253" w:type="dxa"/>
            <w:shd w:val="clear" w:color="auto" w:fill="auto"/>
            <w:noWrap/>
            <w:vAlign w:val="center"/>
            <w:hideMark/>
          </w:tcPr>
          <w:p w14:paraId="27529AF9"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498" w:type="dxa"/>
            <w:shd w:val="clear" w:color="auto" w:fill="auto"/>
            <w:noWrap/>
            <w:vAlign w:val="center"/>
            <w:hideMark/>
          </w:tcPr>
          <w:p w14:paraId="27100F7C"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501" w:type="dxa"/>
            <w:gridSpan w:val="2"/>
            <w:shd w:val="clear" w:color="auto" w:fill="auto"/>
            <w:noWrap/>
            <w:vAlign w:val="center"/>
            <w:hideMark/>
          </w:tcPr>
          <w:p w14:paraId="2E2ED766"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559" w:type="dxa"/>
            <w:gridSpan w:val="2"/>
            <w:shd w:val="clear" w:color="auto" w:fill="auto"/>
            <w:noWrap/>
            <w:vAlign w:val="center"/>
            <w:hideMark/>
          </w:tcPr>
          <w:p w14:paraId="560A253E"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276" w:type="dxa"/>
          </w:tcPr>
          <w:p w14:paraId="5E439669" w14:textId="77777777" w:rsidR="00435416" w:rsidRPr="008F3C04" w:rsidRDefault="00435416" w:rsidP="00AC122D">
            <w:pPr>
              <w:keepNext/>
              <w:keepLines/>
              <w:spacing w:before="40" w:after="40"/>
              <w:contextualSpacing/>
              <w:jc w:val="center"/>
              <w:rPr>
                <w:rFonts w:eastAsia="Calibri" w:cs="Arial"/>
                <w:lang w:val="fr-FR"/>
              </w:rPr>
            </w:pPr>
          </w:p>
        </w:tc>
      </w:tr>
      <w:tr w:rsidR="00435416" w:rsidRPr="008F3C04" w14:paraId="20033142" w14:textId="77777777" w:rsidTr="00AC122D">
        <w:trPr>
          <w:gridAfter w:val="7"/>
          <w:wAfter w:w="7087" w:type="dxa"/>
          <w:cantSplit/>
          <w:trHeight w:val="240"/>
        </w:trPr>
        <w:tc>
          <w:tcPr>
            <w:tcW w:w="5537" w:type="dxa"/>
            <w:gridSpan w:val="2"/>
            <w:vMerge/>
            <w:shd w:val="clear" w:color="auto" w:fill="auto"/>
            <w:vAlign w:val="bottom"/>
          </w:tcPr>
          <w:p w14:paraId="0767465E" w14:textId="77777777" w:rsidR="00435416" w:rsidRPr="008F3C04" w:rsidRDefault="00435416" w:rsidP="00AC122D">
            <w:pPr>
              <w:keepNext/>
              <w:keepLines/>
              <w:spacing w:before="40" w:after="40"/>
              <w:contextualSpacing/>
              <w:rPr>
                <w:rFonts w:eastAsia="Calibri" w:cs="Arial"/>
                <w:lang w:val="fr-FR"/>
              </w:rPr>
            </w:pPr>
          </w:p>
        </w:tc>
      </w:tr>
      <w:tr w:rsidR="00435416" w:rsidRPr="008F3C04" w14:paraId="7C29B310" w14:textId="77777777" w:rsidTr="00AC122D">
        <w:tc>
          <w:tcPr>
            <w:tcW w:w="5537" w:type="dxa"/>
            <w:gridSpan w:val="2"/>
            <w:vMerge w:val="restart"/>
            <w:shd w:val="clear" w:color="auto" w:fill="auto"/>
            <w:hideMark/>
          </w:tcPr>
          <w:p w14:paraId="358571CA" w14:textId="77777777" w:rsidR="00435416" w:rsidRPr="008F3C04" w:rsidRDefault="00435416" w:rsidP="00AC122D">
            <w:pPr>
              <w:keepNext/>
              <w:keepLines/>
              <w:spacing w:before="40" w:after="40"/>
              <w:contextualSpacing/>
              <w:rPr>
                <w:rFonts w:eastAsia="Calibri" w:cs="Arial"/>
              </w:rPr>
            </w:pPr>
            <w:r w:rsidRPr="008F3C04">
              <w:rPr>
                <w:rFonts w:eastAsia="Calibri" w:cs="Arial"/>
              </w:rPr>
              <w:t xml:space="preserve">Наружные трапы и настилы (сходные </w:t>
            </w:r>
            <w:proofErr w:type="gramStart"/>
            <w:r w:rsidRPr="008F3C04">
              <w:rPr>
                <w:rFonts w:eastAsia="Calibri" w:cs="Arial"/>
              </w:rPr>
              <w:t>трапы)*</w:t>
            </w:r>
            <w:proofErr w:type="gramEnd"/>
          </w:p>
        </w:tc>
        <w:tc>
          <w:tcPr>
            <w:tcW w:w="1253" w:type="dxa"/>
            <w:shd w:val="clear" w:color="auto" w:fill="auto"/>
            <w:noWrap/>
            <w:vAlign w:val="center"/>
            <w:hideMark/>
          </w:tcPr>
          <w:p w14:paraId="5B6B30CB" w14:textId="77777777" w:rsidR="00435416" w:rsidRPr="008F3C04" w:rsidRDefault="00435416" w:rsidP="00AC122D">
            <w:pPr>
              <w:keepNext/>
              <w:keepLines/>
              <w:spacing w:before="40" w:after="40"/>
              <w:contextualSpacing/>
              <w:jc w:val="center"/>
              <w:rPr>
                <w:rFonts w:eastAsia="Calibri" w:cs="Arial"/>
              </w:rPr>
            </w:pPr>
          </w:p>
        </w:tc>
        <w:tc>
          <w:tcPr>
            <w:tcW w:w="1498" w:type="dxa"/>
            <w:shd w:val="clear" w:color="auto" w:fill="auto"/>
            <w:noWrap/>
            <w:vAlign w:val="center"/>
            <w:hideMark/>
          </w:tcPr>
          <w:p w14:paraId="3A3BB07E"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501" w:type="dxa"/>
            <w:gridSpan w:val="2"/>
            <w:shd w:val="clear" w:color="auto" w:fill="auto"/>
            <w:noWrap/>
            <w:vAlign w:val="center"/>
            <w:hideMark/>
          </w:tcPr>
          <w:p w14:paraId="1EEE95F6"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559" w:type="dxa"/>
            <w:gridSpan w:val="2"/>
            <w:shd w:val="clear" w:color="auto" w:fill="auto"/>
            <w:noWrap/>
            <w:vAlign w:val="center"/>
            <w:hideMark/>
          </w:tcPr>
          <w:p w14:paraId="41FBBD15" w14:textId="77777777" w:rsidR="00435416" w:rsidRPr="008F3C04" w:rsidRDefault="00435416" w:rsidP="00AC122D">
            <w:pPr>
              <w:keepNext/>
              <w:keepLines/>
              <w:spacing w:before="40" w:after="40"/>
              <w:contextualSpacing/>
              <w:jc w:val="center"/>
              <w:rPr>
                <w:rFonts w:eastAsia="Calibri" w:cs="Arial"/>
              </w:rPr>
            </w:pPr>
            <w:r w:rsidRPr="008F3C04">
              <w:rPr>
                <w:rFonts w:eastAsia="Calibri" w:cs="Arial"/>
              </w:rPr>
              <w:t>X</w:t>
            </w:r>
          </w:p>
        </w:tc>
        <w:tc>
          <w:tcPr>
            <w:tcW w:w="1276" w:type="dxa"/>
          </w:tcPr>
          <w:p w14:paraId="7191A9BD" w14:textId="77777777" w:rsidR="00435416" w:rsidRPr="008F3C04" w:rsidRDefault="00435416" w:rsidP="00AC122D">
            <w:pPr>
              <w:keepNext/>
              <w:keepLines/>
              <w:spacing w:before="40" w:after="40"/>
              <w:contextualSpacing/>
              <w:jc w:val="center"/>
              <w:rPr>
                <w:rFonts w:eastAsia="Calibri" w:cs="Arial"/>
                <w:lang w:val="fr-FR"/>
              </w:rPr>
            </w:pPr>
          </w:p>
        </w:tc>
      </w:tr>
      <w:tr w:rsidR="00435416" w:rsidRPr="008F3C04" w14:paraId="0C9F7957" w14:textId="77777777" w:rsidTr="00AC122D">
        <w:trPr>
          <w:gridAfter w:val="7"/>
          <w:wAfter w:w="7087" w:type="dxa"/>
          <w:cantSplit/>
          <w:trHeight w:val="240"/>
        </w:trPr>
        <w:tc>
          <w:tcPr>
            <w:tcW w:w="5537" w:type="dxa"/>
            <w:gridSpan w:val="2"/>
            <w:vMerge/>
            <w:shd w:val="clear" w:color="auto" w:fill="auto"/>
            <w:vAlign w:val="bottom"/>
          </w:tcPr>
          <w:p w14:paraId="66C7734F" w14:textId="77777777" w:rsidR="00435416" w:rsidRPr="008F3C04" w:rsidRDefault="00435416" w:rsidP="00AC122D">
            <w:pPr>
              <w:keepNext/>
              <w:keepLines/>
              <w:spacing w:before="40" w:after="40"/>
              <w:contextualSpacing/>
              <w:rPr>
                <w:rFonts w:eastAsia="Calibri" w:cs="Arial"/>
                <w:lang w:val="fr-FR"/>
              </w:rPr>
            </w:pPr>
          </w:p>
        </w:tc>
      </w:tr>
      <w:tr w:rsidR="00435416" w:rsidRPr="008F3C04" w14:paraId="6FA731C5" w14:textId="77777777" w:rsidTr="00AC122D">
        <w:tblPrEx>
          <w:tblLook w:val="0480" w:firstRow="0" w:lastRow="0" w:firstColumn="1" w:lastColumn="0" w:noHBand="0" w:noVBand="1"/>
        </w:tblPrEx>
        <w:trPr>
          <w:cantSplit/>
        </w:trPr>
        <w:tc>
          <w:tcPr>
            <w:tcW w:w="5526" w:type="dxa"/>
            <w:vMerge w:val="restart"/>
            <w:shd w:val="clear" w:color="auto" w:fill="auto"/>
          </w:tcPr>
          <w:p w14:paraId="5CFEB7B3" w14:textId="77777777" w:rsidR="00435416" w:rsidRPr="008F3C04" w:rsidRDefault="00435416" w:rsidP="00AC122D">
            <w:pPr>
              <w:spacing w:before="40" w:after="40"/>
              <w:contextualSpacing/>
              <w:rPr>
                <w:rFonts w:eastAsia="Calibri" w:cs="Arial"/>
              </w:rPr>
            </w:pPr>
            <w:r w:rsidRPr="008F3C04">
              <w:rPr>
                <w:rFonts w:eastAsia="Calibri" w:cs="Arial"/>
              </w:rPr>
              <w:t>Забортные трапы</w:t>
            </w:r>
          </w:p>
        </w:tc>
        <w:tc>
          <w:tcPr>
            <w:tcW w:w="1264" w:type="dxa"/>
            <w:gridSpan w:val="2"/>
            <w:shd w:val="clear" w:color="auto" w:fill="auto"/>
            <w:noWrap/>
            <w:vAlign w:val="center"/>
          </w:tcPr>
          <w:p w14:paraId="32DA379A"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7893E62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01" w:type="dxa"/>
            <w:gridSpan w:val="2"/>
            <w:shd w:val="clear" w:color="auto" w:fill="auto"/>
            <w:noWrap/>
            <w:vAlign w:val="center"/>
          </w:tcPr>
          <w:p w14:paraId="5CF19D37"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59" w:type="dxa"/>
            <w:gridSpan w:val="2"/>
            <w:shd w:val="clear" w:color="auto" w:fill="auto"/>
            <w:noWrap/>
            <w:vAlign w:val="center"/>
          </w:tcPr>
          <w:p w14:paraId="3C293D98"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152CB84D" w14:textId="77777777" w:rsidR="00435416" w:rsidRPr="008F3C04" w:rsidRDefault="00435416" w:rsidP="00AC122D">
            <w:pPr>
              <w:spacing w:before="40" w:after="40"/>
              <w:contextualSpacing/>
              <w:jc w:val="center"/>
              <w:rPr>
                <w:rFonts w:eastAsia="Calibri" w:cs="Arial"/>
                <w:b/>
                <w:bCs/>
              </w:rPr>
            </w:pPr>
          </w:p>
        </w:tc>
      </w:tr>
      <w:tr w:rsidR="00435416" w:rsidRPr="008F3C04" w14:paraId="6E9FA5D6" w14:textId="77777777" w:rsidTr="00AC122D">
        <w:tblPrEx>
          <w:tblLook w:val="0480" w:firstRow="0" w:lastRow="0" w:firstColumn="1" w:lastColumn="0" w:noHBand="0" w:noVBand="1"/>
        </w:tblPrEx>
        <w:trPr>
          <w:gridAfter w:val="8"/>
          <w:wAfter w:w="7098" w:type="dxa"/>
          <w:cantSplit/>
          <w:trHeight w:val="240"/>
        </w:trPr>
        <w:tc>
          <w:tcPr>
            <w:tcW w:w="5526" w:type="dxa"/>
            <w:vMerge/>
            <w:shd w:val="clear" w:color="auto" w:fill="auto"/>
            <w:vAlign w:val="bottom"/>
          </w:tcPr>
          <w:p w14:paraId="7C2D3D90" w14:textId="77777777" w:rsidR="00435416" w:rsidRPr="008F3C04" w:rsidRDefault="00435416" w:rsidP="00AC122D">
            <w:pPr>
              <w:spacing w:before="40" w:after="40"/>
              <w:contextualSpacing/>
              <w:rPr>
                <w:rFonts w:eastAsia="Calibri" w:cs="Arial"/>
                <w:lang w:val="fr-FR"/>
              </w:rPr>
            </w:pPr>
          </w:p>
        </w:tc>
      </w:tr>
      <w:tr w:rsidR="00435416" w:rsidRPr="008F3C04" w14:paraId="44952C2A" w14:textId="77777777" w:rsidTr="00AC122D">
        <w:tblPrEx>
          <w:tblLook w:val="0480" w:firstRow="0" w:lastRow="0" w:firstColumn="1" w:lastColumn="0" w:noHBand="0" w:noVBand="1"/>
        </w:tblPrEx>
        <w:trPr>
          <w:cantSplit/>
        </w:trPr>
        <w:tc>
          <w:tcPr>
            <w:tcW w:w="5526" w:type="dxa"/>
            <w:shd w:val="clear" w:color="auto" w:fill="auto"/>
            <w:vAlign w:val="bottom"/>
          </w:tcPr>
          <w:p w14:paraId="7DA9EB90" w14:textId="77777777" w:rsidR="00435416" w:rsidRPr="008F3C04" w:rsidRDefault="00435416" w:rsidP="00AC122D">
            <w:pPr>
              <w:spacing w:before="40" w:after="40"/>
              <w:contextualSpacing/>
              <w:rPr>
                <w:rFonts w:eastAsia="Calibri" w:cs="Arial"/>
              </w:rPr>
            </w:pPr>
            <w:r w:rsidRPr="008F3C04">
              <w:rPr>
                <w:rFonts w:eastAsia="Calibri" w:cs="Arial"/>
              </w:rPr>
              <w:t>Трапы</w:t>
            </w:r>
          </w:p>
        </w:tc>
        <w:tc>
          <w:tcPr>
            <w:tcW w:w="1264" w:type="dxa"/>
            <w:gridSpan w:val="2"/>
            <w:shd w:val="clear" w:color="auto" w:fill="auto"/>
            <w:noWrap/>
            <w:vAlign w:val="center"/>
          </w:tcPr>
          <w:p w14:paraId="7ABEF802"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0B3D58F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tcPr>
          <w:p w14:paraId="4B89E4E6"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tcPr>
          <w:p w14:paraId="041F331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3BF86DB2" w14:textId="77777777" w:rsidR="00435416" w:rsidRPr="008F3C04" w:rsidRDefault="00435416" w:rsidP="00AC122D">
            <w:pPr>
              <w:spacing w:before="40" w:after="40"/>
              <w:contextualSpacing/>
              <w:jc w:val="center"/>
              <w:rPr>
                <w:rFonts w:eastAsia="Calibri" w:cs="Arial"/>
                <w:b/>
                <w:bCs/>
              </w:rPr>
            </w:pPr>
          </w:p>
        </w:tc>
      </w:tr>
      <w:tr w:rsidR="00435416" w:rsidRPr="008F3C04" w14:paraId="75BDB9FD" w14:textId="77777777" w:rsidTr="00AC122D">
        <w:tblPrEx>
          <w:tblLook w:val="0480" w:firstRow="0" w:lastRow="0" w:firstColumn="1" w:lastColumn="0" w:noHBand="0" w:noVBand="1"/>
        </w:tblPrEx>
        <w:tc>
          <w:tcPr>
            <w:tcW w:w="5526" w:type="dxa"/>
            <w:shd w:val="clear" w:color="auto" w:fill="auto"/>
            <w:vAlign w:val="bottom"/>
            <w:hideMark/>
          </w:tcPr>
          <w:p w14:paraId="29CC33AE" w14:textId="77777777" w:rsidR="00435416" w:rsidRPr="008F3C04" w:rsidRDefault="00435416" w:rsidP="00AC122D">
            <w:pPr>
              <w:spacing w:before="40" w:after="40"/>
              <w:contextualSpacing/>
              <w:rPr>
                <w:rFonts w:eastAsia="Calibri" w:cs="Arial"/>
              </w:rPr>
            </w:pPr>
            <w:r w:rsidRPr="008F3C04">
              <w:rPr>
                <w:rFonts w:eastAsia="Calibri" w:cs="Arial"/>
              </w:rPr>
              <w:t>Оборудование для очистки, например метлы</w:t>
            </w:r>
          </w:p>
        </w:tc>
        <w:tc>
          <w:tcPr>
            <w:tcW w:w="1264" w:type="dxa"/>
            <w:gridSpan w:val="2"/>
            <w:shd w:val="clear" w:color="auto" w:fill="auto"/>
            <w:noWrap/>
            <w:vAlign w:val="center"/>
            <w:hideMark/>
          </w:tcPr>
          <w:p w14:paraId="19E76DA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8" w:type="dxa"/>
            <w:shd w:val="clear" w:color="auto" w:fill="auto"/>
            <w:noWrap/>
            <w:vAlign w:val="center"/>
            <w:hideMark/>
          </w:tcPr>
          <w:p w14:paraId="5E679363"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hideMark/>
          </w:tcPr>
          <w:p w14:paraId="468E1B60"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hideMark/>
          </w:tcPr>
          <w:p w14:paraId="54BD069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72B3C5F2" w14:textId="77777777" w:rsidR="00435416" w:rsidRPr="008F3C04" w:rsidRDefault="00435416" w:rsidP="00AC122D">
            <w:pPr>
              <w:spacing w:before="40" w:after="40"/>
              <w:contextualSpacing/>
              <w:jc w:val="center"/>
              <w:rPr>
                <w:rFonts w:eastAsia="Calibri" w:cs="Arial"/>
                <w:lang w:val="fr-FR"/>
              </w:rPr>
            </w:pPr>
          </w:p>
        </w:tc>
      </w:tr>
      <w:tr w:rsidR="00435416" w:rsidRPr="008F3C04" w14:paraId="139767C4" w14:textId="77777777" w:rsidTr="00AC122D">
        <w:tblPrEx>
          <w:tblLook w:val="0480" w:firstRow="0" w:lastRow="0" w:firstColumn="1" w:lastColumn="0" w:noHBand="0" w:noVBand="1"/>
        </w:tblPrEx>
        <w:tc>
          <w:tcPr>
            <w:tcW w:w="5526" w:type="dxa"/>
            <w:shd w:val="clear" w:color="auto" w:fill="auto"/>
            <w:vAlign w:val="bottom"/>
            <w:hideMark/>
          </w:tcPr>
          <w:p w14:paraId="0A952077" w14:textId="77777777" w:rsidR="00435416" w:rsidRPr="008F3C04" w:rsidRDefault="00435416" w:rsidP="00AC122D">
            <w:pPr>
              <w:spacing w:before="40" w:after="40"/>
              <w:contextualSpacing/>
              <w:rPr>
                <w:rFonts w:eastAsia="Calibri" w:cs="Arial"/>
              </w:rPr>
            </w:pPr>
            <w:r w:rsidRPr="008F3C04">
              <w:rPr>
                <w:rFonts w:eastAsia="Calibri" w:cs="Arial"/>
              </w:rPr>
              <w:t xml:space="preserve">Огнетушители, портативные индикаторы газов </w:t>
            </w:r>
          </w:p>
        </w:tc>
        <w:tc>
          <w:tcPr>
            <w:tcW w:w="1264" w:type="dxa"/>
            <w:gridSpan w:val="2"/>
            <w:shd w:val="clear" w:color="auto" w:fill="auto"/>
            <w:noWrap/>
            <w:vAlign w:val="center"/>
            <w:hideMark/>
          </w:tcPr>
          <w:p w14:paraId="160B2AF5"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hideMark/>
          </w:tcPr>
          <w:p w14:paraId="457BB58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hideMark/>
          </w:tcPr>
          <w:p w14:paraId="35F08CB5"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hideMark/>
          </w:tcPr>
          <w:p w14:paraId="6852D537"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4CCA9A89" w14:textId="77777777" w:rsidR="00435416" w:rsidRPr="008F3C04" w:rsidRDefault="00435416" w:rsidP="00AC122D">
            <w:pPr>
              <w:spacing w:before="40" w:after="40"/>
              <w:contextualSpacing/>
              <w:jc w:val="center"/>
              <w:rPr>
                <w:rFonts w:eastAsia="Calibri" w:cs="Arial"/>
                <w:lang w:val="fr-FR"/>
              </w:rPr>
            </w:pPr>
          </w:p>
        </w:tc>
      </w:tr>
      <w:tr w:rsidR="00435416" w:rsidRPr="008F3C04" w14:paraId="519FE184" w14:textId="77777777" w:rsidTr="00AC122D">
        <w:tblPrEx>
          <w:tblLook w:val="0480" w:firstRow="0" w:lastRow="0" w:firstColumn="1" w:lastColumn="0" w:noHBand="0" w:noVBand="1"/>
        </w:tblPrEx>
        <w:trPr>
          <w:cantSplit/>
        </w:trPr>
        <w:tc>
          <w:tcPr>
            <w:tcW w:w="5526" w:type="dxa"/>
            <w:shd w:val="clear" w:color="auto" w:fill="auto"/>
            <w:vAlign w:val="bottom"/>
          </w:tcPr>
          <w:p w14:paraId="3274968E" w14:textId="77777777" w:rsidR="00435416" w:rsidRPr="008F3C04" w:rsidRDefault="00435416" w:rsidP="00AC122D">
            <w:pPr>
              <w:spacing w:before="40" w:after="40"/>
              <w:contextualSpacing/>
              <w:rPr>
                <w:rFonts w:eastAsia="Calibri" w:cs="Arial"/>
              </w:rPr>
            </w:pPr>
            <w:r w:rsidRPr="008F3C04">
              <w:rPr>
                <w:rFonts w:eastAsia="Calibri" w:cs="Arial"/>
              </w:rPr>
              <w:t>Спасательные лебедки</w:t>
            </w:r>
          </w:p>
        </w:tc>
        <w:tc>
          <w:tcPr>
            <w:tcW w:w="1264" w:type="dxa"/>
            <w:gridSpan w:val="2"/>
            <w:shd w:val="clear" w:color="auto" w:fill="auto"/>
            <w:noWrap/>
            <w:vAlign w:val="center"/>
          </w:tcPr>
          <w:p w14:paraId="3DC0A2F2"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2238043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tcPr>
          <w:p w14:paraId="5A05A351" w14:textId="77777777" w:rsidR="00435416" w:rsidRPr="008F3C04" w:rsidRDefault="00435416" w:rsidP="00AC122D">
            <w:pPr>
              <w:spacing w:before="40" w:after="40"/>
              <w:contextualSpacing/>
              <w:jc w:val="center"/>
              <w:rPr>
                <w:rFonts w:eastAsia="Calibri" w:cs="Arial"/>
                <w:lang w:val="fr-FR"/>
              </w:rPr>
            </w:pPr>
          </w:p>
        </w:tc>
        <w:tc>
          <w:tcPr>
            <w:tcW w:w="1568" w:type="dxa"/>
            <w:gridSpan w:val="3"/>
            <w:shd w:val="clear" w:color="auto" w:fill="auto"/>
            <w:noWrap/>
            <w:vAlign w:val="center"/>
          </w:tcPr>
          <w:p w14:paraId="25573A43" w14:textId="77777777" w:rsidR="00435416" w:rsidRPr="008F3C04" w:rsidRDefault="00435416" w:rsidP="00AC122D">
            <w:pPr>
              <w:spacing w:before="40" w:after="40"/>
              <w:contextualSpacing/>
              <w:jc w:val="center"/>
              <w:rPr>
                <w:rFonts w:eastAsia="Calibri" w:cs="Arial"/>
              </w:rPr>
            </w:pPr>
          </w:p>
        </w:tc>
        <w:tc>
          <w:tcPr>
            <w:tcW w:w="1276" w:type="dxa"/>
          </w:tcPr>
          <w:p w14:paraId="1E62DC08" w14:textId="77777777" w:rsidR="00435416" w:rsidRPr="008F3C04" w:rsidRDefault="00435416" w:rsidP="00AC122D">
            <w:pPr>
              <w:spacing w:before="40" w:after="40"/>
              <w:contextualSpacing/>
              <w:jc w:val="center"/>
              <w:rPr>
                <w:rFonts w:eastAsia="Calibri" w:cs="Arial"/>
              </w:rPr>
            </w:pPr>
          </w:p>
        </w:tc>
      </w:tr>
      <w:tr w:rsidR="00435416" w:rsidRPr="008F3C04" w14:paraId="01FAD728" w14:textId="77777777" w:rsidTr="00AC122D">
        <w:tblPrEx>
          <w:tblLook w:val="0480" w:firstRow="0" w:lastRow="0" w:firstColumn="1" w:lastColumn="0" w:noHBand="0" w:noVBand="1"/>
        </w:tblPrEx>
        <w:tc>
          <w:tcPr>
            <w:tcW w:w="5526" w:type="dxa"/>
            <w:shd w:val="clear" w:color="auto" w:fill="auto"/>
            <w:vAlign w:val="bottom"/>
          </w:tcPr>
          <w:p w14:paraId="7D9B7125" w14:textId="77777777" w:rsidR="00435416" w:rsidRPr="008F3C04" w:rsidRDefault="00435416" w:rsidP="00AC122D">
            <w:pPr>
              <w:spacing w:before="40" w:after="40"/>
              <w:contextualSpacing/>
              <w:rPr>
                <w:rFonts w:eastAsia="Calibri" w:cs="Arial"/>
              </w:rPr>
            </w:pPr>
            <w:r w:rsidRPr="008F3C04">
              <w:rPr>
                <w:rFonts w:eastAsia="Calibri" w:cs="Arial"/>
              </w:rPr>
              <w:t>Индивидуальное защитно-предохранительное снаряжение, спасательное оборудование, соответствующее ЕС-ТТСВП</w:t>
            </w:r>
          </w:p>
        </w:tc>
        <w:tc>
          <w:tcPr>
            <w:tcW w:w="1264" w:type="dxa"/>
            <w:gridSpan w:val="2"/>
            <w:shd w:val="clear" w:color="auto" w:fill="auto"/>
            <w:noWrap/>
            <w:vAlign w:val="center"/>
          </w:tcPr>
          <w:p w14:paraId="4F50A3BC"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63A6308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tcPr>
          <w:p w14:paraId="79A14F1C"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tcPr>
          <w:p w14:paraId="3C64E6B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05F4234C" w14:textId="77777777" w:rsidR="00435416" w:rsidRPr="008F3C04" w:rsidRDefault="00435416" w:rsidP="00AC122D">
            <w:pPr>
              <w:spacing w:before="40" w:after="40"/>
              <w:contextualSpacing/>
              <w:jc w:val="center"/>
              <w:rPr>
                <w:rFonts w:eastAsia="Calibri" w:cs="Arial"/>
                <w:lang w:val="fr-FR"/>
              </w:rPr>
            </w:pPr>
          </w:p>
        </w:tc>
      </w:tr>
      <w:tr w:rsidR="00435416" w:rsidRPr="008F3C04" w14:paraId="6766E130" w14:textId="77777777" w:rsidTr="00AC122D">
        <w:tblPrEx>
          <w:tblLook w:val="0480" w:firstRow="0" w:lastRow="0" w:firstColumn="1" w:lastColumn="0" w:noHBand="0" w:noVBand="1"/>
        </w:tblPrEx>
        <w:tc>
          <w:tcPr>
            <w:tcW w:w="5526" w:type="dxa"/>
            <w:shd w:val="clear" w:color="auto" w:fill="auto"/>
            <w:vAlign w:val="bottom"/>
          </w:tcPr>
          <w:p w14:paraId="0F1CC405" w14:textId="77777777" w:rsidR="00435416" w:rsidRPr="008F3C04" w:rsidRDefault="00435416" w:rsidP="00AC122D">
            <w:pPr>
              <w:spacing w:before="40" w:after="40"/>
              <w:contextualSpacing/>
              <w:rPr>
                <w:rFonts w:eastAsia="Calibri" w:cs="Arial"/>
              </w:rPr>
            </w:pPr>
            <w:r w:rsidRPr="008F3C04">
              <w:rPr>
                <w:rFonts w:eastAsia="Calibri" w:cs="Arial"/>
              </w:rPr>
              <w:t>Поддоны для сбора капельных протечек</w:t>
            </w:r>
          </w:p>
        </w:tc>
        <w:tc>
          <w:tcPr>
            <w:tcW w:w="1264" w:type="dxa"/>
            <w:gridSpan w:val="2"/>
            <w:shd w:val="clear" w:color="auto" w:fill="auto"/>
            <w:noWrap/>
            <w:vAlign w:val="center"/>
          </w:tcPr>
          <w:p w14:paraId="5D98A6EB" w14:textId="77777777" w:rsidR="00435416" w:rsidRPr="008F3C04" w:rsidRDefault="00435416" w:rsidP="00AC122D">
            <w:pPr>
              <w:spacing w:before="40" w:after="40"/>
              <w:contextualSpacing/>
              <w:jc w:val="center"/>
              <w:rPr>
                <w:rFonts w:eastAsia="Calibri" w:cs="Arial"/>
                <w:strike/>
              </w:rPr>
            </w:pPr>
          </w:p>
        </w:tc>
        <w:tc>
          <w:tcPr>
            <w:tcW w:w="1498" w:type="dxa"/>
            <w:shd w:val="clear" w:color="auto" w:fill="auto"/>
            <w:noWrap/>
            <w:vAlign w:val="center"/>
          </w:tcPr>
          <w:p w14:paraId="44487191" w14:textId="77777777" w:rsidR="00435416" w:rsidRPr="008F3C04" w:rsidRDefault="00435416" w:rsidP="00AC122D">
            <w:pPr>
              <w:spacing w:before="40" w:after="40"/>
              <w:contextualSpacing/>
              <w:jc w:val="center"/>
              <w:rPr>
                <w:rFonts w:eastAsia="Calibri" w:cs="Arial"/>
              </w:rPr>
            </w:pPr>
          </w:p>
        </w:tc>
        <w:tc>
          <w:tcPr>
            <w:tcW w:w="1492" w:type="dxa"/>
            <w:shd w:val="clear" w:color="auto" w:fill="auto"/>
            <w:noWrap/>
            <w:vAlign w:val="center"/>
          </w:tcPr>
          <w:p w14:paraId="2A39AC9B"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tcPr>
          <w:p w14:paraId="019F837D" w14:textId="77777777" w:rsidR="00435416" w:rsidRPr="008F3C04" w:rsidRDefault="00435416" w:rsidP="00AC122D">
            <w:pPr>
              <w:spacing w:before="40" w:after="40"/>
              <w:contextualSpacing/>
              <w:jc w:val="center"/>
              <w:rPr>
                <w:rFonts w:eastAsia="Calibri" w:cs="Arial"/>
                <w:lang w:val="fr-FR"/>
              </w:rPr>
            </w:pPr>
          </w:p>
        </w:tc>
        <w:tc>
          <w:tcPr>
            <w:tcW w:w="1276" w:type="dxa"/>
          </w:tcPr>
          <w:p w14:paraId="5F840955" w14:textId="77777777" w:rsidR="00435416" w:rsidRPr="008F3C04" w:rsidRDefault="00435416" w:rsidP="00AC122D">
            <w:pPr>
              <w:spacing w:before="40" w:after="40"/>
              <w:contextualSpacing/>
              <w:jc w:val="center"/>
              <w:rPr>
                <w:rFonts w:eastAsia="Calibri" w:cs="Arial"/>
                <w:lang w:val="fr-FR"/>
              </w:rPr>
            </w:pPr>
          </w:p>
        </w:tc>
      </w:tr>
      <w:tr w:rsidR="00435416" w:rsidRPr="008F3C04" w14:paraId="67FA4A16" w14:textId="77777777" w:rsidTr="00AC122D">
        <w:tblPrEx>
          <w:tblLook w:val="0480" w:firstRow="0" w:lastRow="0" w:firstColumn="1" w:lastColumn="0" w:noHBand="0" w:noVBand="1"/>
        </w:tblPrEx>
        <w:tc>
          <w:tcPr>
            <w:tcW w:w="5526" w:type="dxa"/>
            <w:shd w:val="clear" w:color="auto" w:fill="auto"/>
            <w:vAlign w:val="bottom"/>
            <w:hideMark/>
          </w:tcPr>
          <w:p w14:paraId="70D9D589" w14:textId="77777777" w:rsidR="00435416" w:rsidRPr="008F3C04" w:rsidRDefault="00435416" w:rsidP="00AC122D">
            <w:pPr>
              <w:spacing w:before="40" w:after="40"/>
              <w:contextualSpacing/>
              <w:rPr>
                <w:rFonts w:eastAsia="Calibri" w:cs="Arial"/>
              </w:rPr>
            </w:pPr>
            <w:r w:rsidRPr="008F3C04">
              <w:rPr>
                <w:rFonts w:eastAsia="Calibri" w:cs="Arial"/>
              </w:rPr>
              <w:t>Кранцы</w:t>
            </w:r>
          </w:p>
        </w:tc>
        <w:tc>
          <w:tcPr>
            <w:tcW w:w="1264" w:type="dxa"/>
            <w:gridSpan w:val="2"/>
            <w:shd w:val="clear" w:color="auto" w:fill="auto"/>
            <w:noWrap/>
            <w:vAlign w:val="center"/>
            <w:hideMark/>
          </w:tcPr>
          <w:p w14:paraId="6FE1E69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8" w:type="dxa"/>
            <w:shd w:val="clear" w:color="auto" w:fill="auto"/>
            <w:noWrap/>
            <w:vAlign w:val="center"/>
            <w:hideMark/>
          </w:tcPr>
          <w:p w14:paraId="48576E58" w14:textId="77777777" w:rsidR="00435416" w:rsidRPr="008F3C04" w:rsidRDefault="00435416" w:rsidP="00AC122D">
            <w:pPr>
              <w:spacing w:before="40" w:after="40"/>
              <w:contextualSpacing/>
              <w:jc w:val="center"/>
              <w:rPr>
                <w:rFonts w:eastAsia="Calibri" w:cs="Arial"/>
                <w:lang w:val="fr-FR"/>
              </w:rPr>
            </w:pPr>
          </w:p>
        </w:tc>
        <w:tc>
          <w:tcPr>
            <w:tcW w:w="1492" w:type="dxa"/>
            <w:shd w:val="clear" w:color="auto" w:fill="auto"/>
            <w:noWrap/>
            <w:vAlign w:val="center"/>
            <w:hideMark/>
          </w:tcPr>
          <w:p w14:paraId="5D30F0D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hideMark/>
          </w:tcPr>
          <w:p w14:paraId="399393BD"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6D977F44" w14:textId="77777777" w:rsidR="00435416" w:rsidRPr="008F3C04" w:rsidRDefault="00435416" w:rsidP="00AC122D">
            <w:pPr>
              <w:spacing w:before="40" w:after="40"/>
              <w:contextualSpacing/>
              <w:jc w:val="center"/>
              <w:rPr>
                <w:rFonts w:eastAsia="Calibri" w:cs="Arial"/>
                <w:lang w:val="fr-FR"/>
              </w:rPr>
            </w:pPr>
          </w:p>
        </w:tc>
      </w:tr>
      <w:tr w:rsidR="00435416" w:rsidRPr="008F3C04" w14:paraId="57A47AB6" w14:textId="77777777" w:rsidTr="00AC122D">
        <w:tblPrEx>
          <w:tblLook w:val="0480" w:firstRow="0" w:lastRow="0" w:firstColumn="1" w:lastColumn="0" w:noHBand="0" w:noVBand="1"/>
        </w:tblPrEx>
        <w:tc>
          <w:tcPr>
            <w:tcW w:w="5526" w:type="dxa"/>
            <w:vMerge w:val="restart"/>
            <w:shd w:val="clear" w:color="auto" w:fill="auto"/>
            <w:hideMark/>
          </w:tcPr>
          <w:p w14:paraId="07F92DE6" w14:textId="77777777" w:rsidR="00435416" w:rsidRPr="008F3C04" w:rsidRDefault="00435416" w:rsidP="00AC122D">
            <w:pPr>
              <w:spacing w:before="40" w:after="40"/>
              <w:contextualSpacing/>
              <w:rPr>
                <w:rFonts w:eastAsia="Calibri" w:cs="Arial"/>
              </w:rPr>
            </w:pPr>
            <w:r w:rsidRPr="008F3C04">
              <w:rPr>
                <w:rFonts w:eastAsia="Calibri" w:cs="Arial"/>
              </w:rPr>
              <w:t>Швартовные канаты, канаты для кранцев и т. д.</w:t>
            </w:r>
          </w:p>
        </w:tc>
        <w:tc>
          <w:tcPr>
            <w:tcW w:w="1264" w:type="dxa"/>
            <w:gridSpan w:val="2"/>
            <w:shd w:val="clear" w:color="auto" w:fill="auto"/>
            <w:noWrap/>
            <w:vAlign w:val="center"/>
            <w:hideMark/>
          </w:tcPr>
          <w:p w14:paraId="7D62865A"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hideMark/>
          </w:tcPr>
          <w:p w14:paraId="47C91492" w14:textId="77777777" w:rsidR="00435416" w:rsidRPr="008F3C04" w:rsidRDefault="00435416" w:rsidP="00AC122D">
            <w:pPr>
              <w:spacing w:before="40" w:after="40"/>
              <w:contextualSpacing/>
              <w:jc w:val="center"/>
              <w:rPr>
                <w:rFonts w:eastAsia="Calibri" w:cs="Arial"/>
                <w:b/>
                <w:bCs/>
              </w:rPr>
            </w:pPr>
          </w:p>
        </w:tc>
        <w:tc>
          <w:tcPr>
            <w:tcW w:w="1492" w:type="dxa"/>
            <w:shd w:val="clear" w:color="auto" w:fill="auto"/>
            <w:noWrap/>
            <w:vAlign w:val="center"/>
            <w:hideMark/>
          </w:tcPr>
          <w:p w14:paraId="0826F1D8"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hideMark/>
          </w:tcPr>
          <w:p w14:paraId="5918A5E9" w14:textId="77777777" w:rsidR="00435416" w:rsidRPr="008F3C04" w:rsidRDefault="00435416" w:rsidP="00AC122D">
            <w:pPr>
              <w:spacing w:before="40" w:after="40"/>
              <w:contextualSpacing/>
              <w:jc w:val="center"/>
              <w:rPr>
                <w:rFonts w:eastAsia="Calibri" w:cs="Arial"/>
                <w:b/>
                <w:bCs/>
                <w:lang w:val="fr-FR"/>
              </w:rPr>
            </w:pPr>
          </w:p>
        </w:tc>
        <w:tc>
          <w:tcPr>
            <w:tcW w:w="1276" w:type="dxa"/>
          </w:tcPr>
          <w:p w14:paraId="21A1CF90" w14:textId="77777777" w:rsidR="00435416" w:rsidRPr="008F3C04" w:rsidRDefault="00435416" w:rsidP="00AC122D">
            <w:pPr>
              <w:spacing w:before="40" w:after="40"/>
              <w:contextualSpacing/>
              <w:jc w:val="center"/>
              <w:rPr>
                <w:rFonts w:eastAsia="Calibri" w:cs="Arial"/>
                <w:lang w:val="fr-FR"/>
              </w:rPr>
            </w:pPr>
          </w:p>
        </w:tc>
      </w:tr>
      <w:tr w:rsidR="00435416" w:rsidRPr="008F3C04" w14:paraId="4043000E" w14:textId="77777777" w:rsidTr="00AC122D">
        <w:tblPrEx>
          <w:tblLook w:val="0480" w:firstRow="0" w:lastRow="0" w:firstColumn="1" w:lastColumn="0" w:noHBand="0" w:noVBand="1"/>
        </w:tblPrEx>
        <w:tc>
          <w:tcPr>
            <w:tcW w:w="5526" w:type="dxa"/>
            <w:vMerge/>
            <w:shd w:val="clear" w:color="auto" w:fill="auto"/>
            <w:vAlign w:val="bottom"/>
          </w:tcPr>
          <w:p w14:paraId="5C04892F" w14:textId="77777777" w:rsidR="00435416" w:rsidRPr="008F3C04" w:rsidRDefault="00435416" w:rsidP="00AC122D">
            <w:pPr>
              <w:spacing w:before="40" w:after="40"/>
              <w:contextualSpacing/>
              <w:rPr>
                <w:rFonts w:eastAsia="Calibri" w:cs="Arial"/>
              </w:rPr>
            </w:pPr>
          </w:p>
        </w:tc>
        <w:tc>
          <w:tcPr>
            <w:tcW w:w="1264" w:type="dxa"/>
            <w:gridSpan w:val="2"/>
            <w:shd w:val="clear" w:color="auto" w:fill="auto"/>
            <w:noWrap/>
            <w:vAlign w:val="center"/>
          </w:tcPr>
          <w:p w14:paraId="350FAD96"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35832158" w14:textId="77777777" w:rsidR="00435416" w:rsidRPr="008F3C04" w:rsidRDefault="00435416" w:rsidP="00AC122D">
            <w:pPr>
              <w:spacing w:before="40" w:after="40"/>
              <w:contextualSpacing/>
              <w:jc w:val="center"/>
              <w:rPr>
                <w:rFonts w:eastAsia="Calibri" w:cs="Arial"/>
                <w:b/>
                <w:bCs/>
                <w:lang w:val="fr-FR"/>
              </w:rPr>
            </w:pPr>
          </w:p>
        </w:tc>
        <w:tc>
          <w:tcPr>
            <w:tcW w:w="1492" w:type="dxa"/>
            <w:shd w:val="clear" w:color="auto" w:fill="auto"/>
            <w:noWrap/>
            <w:vAlign w:val="center"/>
          </w:tcPr>
          <w:p w14:paraId="02A2FC3F" w14:textId="77777777" w:rsidR="00435416" w:rsidRPr="008F3C04" w:rsidRDefault="00435416" w:rsidP="00AC122D">
            <w:pPr>
              <w:spacing w:before="40" w:after="40"/>
              <w:contextualSpacing/>
              <w:jc w:val="center"/>
              <w:rPr>
                <w:rFonts w:eastAsia="Calibri" w:cs="Arial"/>
              </w:rPr>
            </w:pPr>
            <w:r w:rsidRPr="008F3C04">
              <w:rPr>
                <w:rFonts w:eastAsia="Calibri" w:cs="Arial"/>
              </w:rPr>
              <w:t xml:space="preserve">С соблюдением </w:t>
            </w:r>
            <w:proofErr w:type="gramStart"/>
            <w:r w:rsidRPr="008F3C04">
              <w:rPr>
                <w:rFonts w:eastAsia="Calibri" w:cs="Arial"/>
              </w:rPr>
              <w:t>7.x.</w:t>
            </w:r>
            <w:proofErr w:type="gramEnd"/>
            <w:r w:rsidRPr="008F3C04">
              <w:rPr>
                <w:rFonts w:eastAsia="Calibri" w:cs="Arial"/>
              </w:rPr>
              <w:t>4.76</w:t>
            </w:r>
          </w:p>
        </w:tc>
        <w:tc>
          <w:tcPr>
            <w:tcW w:w="1568" w:type="dxa"/>
            <w:gridSpan w:val="3"/>
            <w:shd w:val="clear" w:color="auto" w:fill="auto"/>
            <w:noWrap/>
            <w:vAlign w:val="center"/>
          </w:tcPr>
          <w:p w14:paraId="41B3B71B" w14:textId="77777777" w:rsidR="00435416" w:rsidRPr="008F3C04" w:rsidRDefault="00435416" w:rsidP="00AC122D">
            <w:pPr>
              <w:spacing w:before="40" w:after="40"/>
              <w:contextualSpacing/>
              <w:jc w:val="center"/>
              <w:rPr>
                <w:rFonts w:eastAsia="Calibri" w:cs="Arial"/>
                <w:b/>
                <w:bCs/>
                <w:lang w:val="fr-FR"/>
              </w:rPr>
            </w:pPr>
          </w:p>
        </w:tc>
        <w:tc>
          <w:tcPr>
            <w:tcW w:w="1276" w:type="dxa"/>
          </w:tcPr>
          <w:p w14:paraId="268465D2" w14:textId="77777777" w:rsidR="00435416" w:rsidRPr="008F3C04" w:rsidRDefault="00435416" w:rsidP="00AC122D">
            <w:pPr>
              <w:spacing w:before="40" w:after="40"/>
              <w:contextualSpacing/>
              <w:jc w:val="center"/>
              <w:rPr>
                <w:rFonts w:eastAsia="Calibri" w:cs="Arial"/>
                <w:lang w:val="fr-FR"/>
              </w:rPr>
            </w:pPr>
          </w:p>
        </w:tc>
      </w:tr>
      <w:tr w:rsidR="00435416" w:rsidRPr="008F3C04" w14:paraId="2163EC45" w14:textId="77777777" w:rsidTr="00AC122D">
        <w:tblPrEx>
          <w:tblLook w:val="0480" w:firstRow="0" w:lastRow="0" w:firstColumn="1" w:lastColumn="0" w:noHBand="0" w:noVBand="1"/>
        </w:tblPrEx>
        <w:tc>
          <w:tcPr>
            <w:tcW w:w="5526" w:type="dxa"/>
            <w:shd w:val="clear" w:color="auto" w:fill="auto"/>
            <w:vAlign w:val="bottom"/>
          </w:tcPr>
          <w:p w14:paraId="6565FFF6" w14:textId="77777777" w:rsidR="00435416" w:rsidRPr="008F3C04" w:rsidRDefault="00435416" w:rsidP="00AC122D">
            <w:pPr>
              <w:spacing w:before="40" w:after="40"/>
              <w:contextualSpacing/>
              <w:rPr>
                <w:rFonts w:eastAsia="Calibri" w:cs="Arial"/>
              </w:rPr>
            </w:pPr>
            <w:r w:rsidRPr="008F3C04">
              <w:rPr>
                <w:rFonts w:eastAsia="Calibri" w:cs="Arial"/>
              </w:rPr>
              <w:t>Мат под шлангами в сборе для погрузочно-разгрузочных трубопроводов</w:t>
            </w:r>
          </w:p>
        </w:tc>
        <w:tc>
          <w:tcPr>
            <w:tcW w:w="1264" w:type="dxa"/>
            <w:gridSpan w:val="2"/>
            <w:shd w:val="clear" w:color="auto" w:fill="auto"/>
            <w:noWrap/>
            <w:vAlign w:val="center"/>
          </w:tcPr>
          <w:p w14:paraId="15196945" w14:textId="77777777" w:rsidR="00435416" w:rsidRPr="008F3C04" w:rsidRDefault="00435416" w:rsidP="00AC122D">
            <w:pPr>
              <w:spacing w:before="40" w:after="40"/>
              <w:contextualSpacing/>
              <w:jc w:val="center"/>
              <w:rPr>
                <w:rFonts w:eastAsia="Calibri" w:cs="Arial"/>
              </w:rPr>
            </w:pPr>
          </w:p>
        </w:tc>
        <w:tc>
          <w:tcPr>
            <w:tcW w:w="1498" w:type="dxa"/>
            <w:shd w:val="clear" w:color="auto" w:fill="auto"/>
            <w:noWrap/>
            <w:vAlign w:val="center"/>
          </w:tcPr>
          <w:p w14:paraId="0AE83AEF" w14:textId="77777777" w:rsidR="00435416" w:rsidRPr="008F3C04" w:rsidRDefault="00435416" w:rsidP="00AC122D">
            <w:pPr>
              <w:spacing w:before="40" w:after="40"/>
              <w:contextualSpacing/>
              <w:jc w:val="center"/>
              <w:rPr>
                <w:rFonts w:eastAsia="Calibri" w:cs="Arial"/>
              </w:rPr>
            </w:pPr>
          </w:p>
        </w:tc>
        <w:tc>
          <w:tcPr>
            <w:tcW w:w="1492" w:type="dxa"/>
            <w:shd w:val="clear" w:color="auto" w:fill="auto"/>
            <w:noWrap/>
            <w:vAlign w:val="center"/>
          </w:tcPr>
          <w:p w14:paraId="0A29A584"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tcPr>
          <w:p w14:paraId="7ABF5F63"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1ABB6023" w14:textId="77777777" w:rsidR="00435416" w:rsidRPr="008F3C04" w:rsidRDefault="00435416" w:rsidP="00AC122D">
            <w:pPr>
              <w:spacing w:before="40" w:after="40"/>
              <w:contextualSpacing/>
              <w:jc w:val="center"/>
              <w:rPr>
                <w:rFonts w:eastAsia="Calibri" w:cs="Arial"/>
                <w:lang w:val="fr-FR"/>
              </w:rPr>
            </w:pPr>
          </w:p>
        </w:tc>
      </w:tr>
      <w:tr w:rsidR="00435416" w:rsidRPr="008F3C04" w14:paraId="4E13058E" w14:textId="77777777" w:rsidTr="00AC122D">
        <w:tblPrEx>
          <w:tblLook w:val="0480" w:firstRow="0" w:lastRow="0" w:firstColumn="1" w:lastColumn="0" w:noHBand="0" w:noVBand="1"/>
        </w:tblPrEx>
        <w:tc>
          <w:tcPr>
            <w:tcW w:w="5526" w:type="dxa"/>
            <w:shd w:val="clear" w:color="auto" w:fill="auto"/>
            <w:vAlign w:val="bottom"/>
          </w:tcPr>
          <w:p w14:paraId="116BC678" w14:textId="77777777" w:rsidR="00435416" w:rsidRPr="008F3C04" w:rsidRDefault="00435416" w:rsidP="00AC122D">
            <w:pPr>
              <w:spacing w:before="40" w:after="40"/>
              <w:contextualSpacing/>
              <w:rPr>
                <w:rFonts w:eastAsia="Calibri" w:cs="Arial"/>
              </w:rPr>
            </w:pPr>
            <w:r w:rsidRPr="008F3C04">
              <w:rPr>
                <w:rFonts w:eastAsia="Calibri" w:cs="Arial"/>
              </w:rPr>
              <w:t>Пожарные рукава, воздушные шланги, шланги для мойки палубы и т. д.</w:t>
            </w:r>
          </w:p>
        </w:tc>
        <w:tc>
          <w:tcPr>
            <w:tcW w:w="1264" w:type="dxa"/>
            <w:gridSpan w:val="2"/>
            <w:shd w:val="clear" w:color="auto" w:fill="auto"/>
            <w:noWrap/>
            <w:vAlign w:val="center"/>
          </w:tcPr>
          <w:p w14:paraId="6EA9B44B" w14:textId="77777777" w:rsidR="00435416" w:rsidRPr="008F3C04" w:rsidRDefault="00435416" w:rsidP="00AC122D">
            <w:pPr>
              <w:spacing w:before="40" w:after="40"/>
              <w:contextualSpacing/>
              <w:jc w:val="center"/>
              <w:rPr>
                <w:rFonts w:eastAsia="Calibri" w:cs="Arial"/>
              </w:rPr>
            </w:pPr>
          </w:p>
        </w:tc>
        <w:tc>
          <w:tcPr>
            <w:tcW w:w="1498" w:type="dxa"/>
            <w:shd w:val="clear" w:color="auto" w:fill="auto"/>
            <w:noWrap/>
            <w:vAlign w:val="center"/>
          </w:tcPr>
          <w:p w14:paraId="7F76A51E" w14:textId="77777777" w:rsidR="00435416" w:rsidRPr="008F3C04" w:rsidRDefault="00435416" w:rsidP="00AC122D">
            <w:pPr>
              <w:spacing w:before="40" w:after="40"/>
              <w:contextualSpacing/>
              <w:jc w:val="center"/>
              <w:rPr>
                <w:rFonts w:eastAsia="Calibri" w:cs="Arial"/>
              </w:rPr>
            </w:pPr>
          </w:p>
        </w:tc>
        <w:tc>
          <w:tcPr>
            <w:tcW w:w="1492" w:type="dxa"/>
            <w:shd w:val="clear" w:color="auto" w:fill="auto"/>
            <w:noWrap/>
            <w:vAlign w:val="center"/>
          </w:tcPr>
          <w:p w14:paraId="05A9641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68" w:type="dxa"/>
            <w:gridSpan w:val="3"/>
            <w:shd w:val="clear" w:color="auto" w:fill="auto"/>
            <w:noWrap/>
            <w:vAlign w:val="center"/>
          </w:tcPr>
          <w:p w14:paraId="4E727BE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276" w:type="dxa"/>
          </w:tcPr>
          <w:p w14:paraId="190774A8" w14:textId="77777777" w:rsidR="00435416" w:rsidRPr="008F3C04" w:rsidRDefault="00435416" w:rsidP="00AC122D">
            <w:pPr>
              <w:spacing w:before="40" w:after="40"/>
              <w:contextualSpacing/>
              <w:jc w:val="center"/>
              <w:rPr>
                <w:rFonts w:eastAsia="Calibri" w:cs="Arial"/>
                <w:lang w:val="fr-FR"/>
              </w:rPr>
            </w:pPr>
          </w:p>
        </w:tc>
      </w:tr>
      <w:tr w:rsidR="00435416" w:rsidRPr="006867C4" w14:paraId="356444FB" w14:textId="77777777" w:rsidTr="00AC122D">
        <w:tblPrEx>
          <w:tblLook w:val="0480" w:firstRow="0" w:lastRow="0" w:firstColumn="1" w:lastColumn="0" w:noHBand="0" w:noVBand="1"/>
        </w:tblPrEx>
        <w:tc>
          <w:tcPr>
            <w:tcW w:w="5526" w:type="dxa"/>
            <w:shd w:val="clear" w:color="auto" w:fill="auto"/>
            <w:vAlign w:val="bottom"/>
          </w:tcPr>
          <w:p w14:paraId="4AC8FF16" w14:textId="77777777" w:rsidR="00435416" w:rsidRPr="008F3C04" w:rsidRDefault="00435416" w:rsidP="00AC122D">
            <w:pPr>
              <w:spacing w:before="40" w:after="40"/>
              <w:contextualSpacing/>
              <w:rPr>
                <w:rFonts w:eastAsia="Calibri" w:cs="Arial"/>
              </w:rPr>
            </w:pPr>
            <w:r w:rsidRPr="008F3C04">
              <w:rPr>
                <w:rFonts w:eastAsia="Calibri" w:cs="Arial"/>
              </w:rPr>
              <w:t>Другие виды шлангов</w:t>
            </w:r>
          </w:p>
        </w:tc>
        <w:tc>
          <w:tcPr>
            <w:tcW w:w="7098" w:type="dxa"/>
            <w:gridSpan w:val="8"/>
            <w:shd w:val="clear" w:color="auto" w:fill="auto"/>
            <w:noWrap/>
            <w:vAlign w:val="center"/>
          </w:tcPr>
          <w:p w14:paraId="1BEEDB6A" w14:textId="77777777" w:rsidR="00435416" w:rsidRPr="008F3C04" w:rsidRDefault="00435416" w:rsidP="00AC122D">
            <w:pPr>
              <w:spacing w:before="40" w:after="40"/>
              <w:contextualSpacing/>
              <w:jc w:val="center"/>
              <w:rPr>
                <w:rFonts w:eastAsia="Calibri" w:cs="Arial"/>
              </w:rPr>
            </w:pPr>
            <w:r w:rsidRPr="008F3C04">
              <w:rPr>
                <w:rFonts w:eastAsia="Calibri" w:cs="Arial"/>
              </w:rPr>
              <w:t>В соответствии с пунктом 8.1.6.2 и указанными стандартами</w:t>
            </w:r>
          </w:p>
        </w:tc>
      </w:tr>
      <w:tr w:rsidR="00435416" w:rsidRPr="008F3C04" w14:paraId="2FB6683F" w14:textId="77777777" w:rsidTr="00AC122D">
        <w:tblPrEx>
          <w:tblLook w:val="0480" w:firstRow="0" w:lastRow="0" w:firstColumn="1" w:lastColumn="0" w:noHBand="0" w:noVBand="1"/>
        </w:tblPrEx>
        <w:tc>
          <w:tcPr>
            <w:tcW w:w="5526" w:type="dxa"/>
            <w:vMerge w:val="restart"/>
            <w:shd w:val="clear" w:color="auto" w:fill="auto"/>
          </w:tcPr>
          <w:p w14:paraId="62B711FF" w14:textId="77777777" w:rsidR="00435416" w:rsidRPr="008F3C04" w:rsidRDefault="00435416" w:rsidP="00AC122D">
            <w:pPr>
              <w:spacing w:before="40" w:after="40"/>
              <w:contextualSpacing/>
              <w:rPr>
                <w:rFonts w:eastAsia="Calibri" w:cs="Arial"/>
              </w:rPr>
            </w:pPr>
            <w:r w:rsidRPr="008F3C04">
              <w:rPr>
                <w:rFonts w:eastAsia="Calibri" w:cs="Arial"/>
              </w:rPr>
              <w:t>Алюминиевые мерные стержни</w:t>
            </w:r>
          </w:p>
        </w:tc>
        <w:tc>
          <w:tcPr>
            <w:tcW w:w="1264" w:type="dxa"/>
            <w:gridSpan w:val="2"/>
            <w:shd w:val="clear" w:color="auto" w:fill="auto"/>
            <w:noWrap/>
            <w:vAlign w:val="center"/>
          </w:tcPr>
          <w:p w14:paraId="243A420C" w14:textId="77777777" w:rsidR="00435416" w:rsidRPr="008F3C04" w:rsidRDefault="00435416" w:rsidP="00AC122D">
            <w:pPr>
              <w:spacing w:before="40" w:after="40"/>
              <w:contextualSpacing/>
              <w:jc w:val="center"/>
              <w:rPr>
                <w:rFonts w:eastAsia="Calibri" w:cs="Arial"/>
              </w:rPr>
            </w:pPr>
          </w:p>
        </w:tc>
        <w:tc>
          <w:tcPr>
            <w:tcW w:w="1498" w:type="dxa"/>
            <w:shd w:val="clear" w:color="auto" w:fill="auto"/>
            <w:noWrap/>
            <w:vAlign w:val="center"/>
          </w:tcPr>
          <w:p w14:paraId="6A049B1A"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2" w:type="dxa"/>
            <w:shd w:val="clear" w:color="auto" w:fill="auto"/>
            <w:noWrap/>
            <w:vAlign w:val="center"/>
          </w:tcPr>
          <w:p w14:paraId="4DBF1EFE" w14:textId="77777777" w:rsidR="00435416" w:rsidRPr="008F3C04" w:rsidRDefault="00435416" w:rsidP="00AC122D">
            <w:pPr>
              <w:spacing w:before="40" w:after="40"/>
              <w:contextualSpacing/>
              <w:jc w:val="center"/>
              <w:rPr>
                <w:rFonts w:eastAsia="Calibri" w:cs="Arial"/>
              </w:rPr>
            </w:pPr>
          </w:p>
        </w:tc>
        <w:tc>
          <w:tcPr>
            <w:tcW w:w="1505" w:type="dxa"/>
            <w:gridSpan w:val="2"/>
            <w:shd w:val="clear" w:color="auto" w:fill="auto"/>
            <w:noWrap/>
            <w:vAlign w:val="center"/>
          </w:tcPr>
          <w:p w14:paraId="3814DB5A" w14:textId="77777777" w:rsidR="00435416" w:rsidRPr="008F3C04" w:rsidRDefault="00435416" w:rsidP="00AC122D">
            <w:pPr>
              <w:spacing w:before="40" w:after="40"/>
              <w:contextualSpacing/>
              <w:jc w:val="center"/>
              <w:rPr>
                <w:rFonts w:eastAsia="Calibri" w:cs="Arial"/>
                <w:lang w:val="fr-FR"/>
              </w:rPr>
            </w:pPr>
          </w:p>
        </w:tc>
        <w:tc>
          <w:tcPr>
            <w:tcW w:w="1339" w:type="dxa"/>
            <w:gridSpan w:val="2"/>
          </w:tcPr>
          <w:p w14:paraId="132FE6D0" w14:textId="77777777" w:rsidR="00435416" w:rsidRPr="008F3C04" w:rsidRDefault="00435416" w:rsidP="00AC122D">
            <w:pPr>
              <w:spacing w:before="40" w:after="40"/>
              <w:contextualSpacing/>
              <w:jc w:val="center"/>
              <w:rPr>
                <w:rFonts w:eastAsia="Calibri" w:cs="Arial"/>
                <w:lang w:val="fr-FR"/>
              </w:rPr>
            </w:pPr>
          </w:p>
        </w:tc>
      </w:tr>
      <w:tr w:rsidR="00435416" w:rsidRPr="006867C4" w14:paraId="4E171FD1" w14:textId="77777777" w:rsidTr="00AC122D">
        <w:tblPrEx>
          <w:tblLook w:val="0480" w:firstRow="0" w:lastRow="0" w:firstColumn="1" w:lastColumn="0" w:noHBand="0" w:noVBand="1"/>
        </w:tblPrEx>
        <w:tc>
          <w:tcPr>
            <w:tcW w:w="5526" w:type="dxa"/>
            <w:vMerge/>
            <w:shd w:val="clear" w:color="auto" w:fill="auto"/>
            <w:vAlign w:val="bottom"/>
          </w:tcPr>
          <w:p w14:paraId="03C9F296" w14:textId="77777777" w:rsidR="00435416" w:rsidRPr="008F3C04" w:rsidRDefault="00435416" w:rsidP="00AC122D">
            <w:pPr>
              <w:spacing w:before="40" w:after="40"/>
              <w:contextualSpacing/>
              <w:rPr>
                <w:rFonts w:eastAsia="Calibri" w:cs="Arial"/>
              </w:rPr>
            </w:pPr>
          </w:p>
        </w:tc>
        <w:tc>
          <w:tcPr>
            <w:tcW w:w="7098" w:type="dxa"/>
            <w:gridSpan w:val="8"/>
            <w:shd w:val="clear" w:color="auto" w:fill="auto"/>
            <w:noWrap/>
            <w:vAlign w:val="center"/>
          </w:tcPr>
          <w:p w14:paraId="756C12B8" w14:textId="45A249C4" w:rsidR="00435416" w:rsidRPr="008F3C04" w:rsidRDefault="00435416" w:rsidP="00AC122D">
            <w:pPr>
              <w:spacing w:before="40" w:after="40"/>
              <w:contextualSpacing/>
              <w:jc w:val="center"/>
              <w:rPr>
                <w:rFonts w:eastAsia="Calibri" w:cs="Arial"/>
              </w:rPr>
            </w:pPr>
            <w:r w:rsidRPr="008F3C04">
              <w:rPr>
                <w:rFonts w:eastAsia="Calibri" w:cs="Arial"/>
              </w:rPr>
              <w:t>Если их нижняя часть изготовлена из латуни или защищена каким-либо другим способом</w:t>
            </w:r>
            <w:r w:rsidRPr="002102F3">
              <w:t xml:space="preserve"> во избежание искрообразования</w:t>
            </w:r>
          </w:p>
        </w:tc>
      </w:tr>
      <w:tr w:rsidR="00435416" w:rsidRPr="008F3C04" w14:paraId="2F10418C" w14:textId="77777777" w:rsidTr="00AC122D">
        <w:tblPrEx>
          <w:tblLook w:val="0480" w:firstRow="0" w:lastRow="0" w:firstColumn="1" w:lastColumn="0" w:noHBand="0" w:noVBand="1"/>
        </w:tblPrEx>
        <w:tc>
          <w:tcPr>
            <w:tcW w:w="5526" w:type="dxa"/>
            <w:shd w:val="clear" w:color="auto" w:fill="auto"/>
            <w:vAlign w:val="bottom"/>
          </w:tcPr>
          <w:p w14:paraId="682C823E" w14:textId="77777777" w:rsidR="00435416" w:rsidRPr="008F3C04" w:rsidRDefault="00435416" w:rsidP="00AC122D">
            <w:pPr>
              <w:spacing w:before="40" w:after="40"/>
              <w:contextualSpacing/>
              <w:rPr>
                <w:rFonts w:eastAsia="Calibri" w:cs="Arial"/>
              </w:rPr>
            </w:pPr>
            <w:r w:rsidRPr="008F3C04">
              <w:rPr>
                <w:rFonts w:eastAsia="Calibri" w:cs="Arial"/>
              </w:rPr>
              <w:t>Приборы для взятия проб</w:t>
            </w:r>
          </w:p>
        </w:tc>
        <w:tc>
          <w:tcPr>
            <w:tcW w:w="1264" w:type="dxa"/>
            <w:gridSpan w:val="2"/>
            <w:shd w:val="clear" w:color="auto" w:fill="auto"/>
            <w:noWrap/>
            <w:vAlign w:val="center"/>
          </w:tcPr>
          <w:p w14:paraId="0E8D8541" w14:textId="77777777" w:rsidR="00435416" w:rsidRPr="008F3C04" w:rsidRDefault="00435416" w:rsidP="00AC122D">
            <w:pPr>
              <w:spacing w:before="40" w:after="40"/>
              <w:contextualSpacing/>
              <w:jc w:val="center"/>
              <w:rPr>
                <w:rFonts w:eastAsia="Calibri" w:cs="Arial"/>
              </w:rPr>
            </w:pPr>
          </w:p>
        </w:tc>
        <w:tc>
          <w:tcPr>
            <w:tcW w:w="1498" w:type="dxa"/>
            <w:shd w:val="clear" w:color="auto" w:fill="auto"/>
            <w:noWrap/>
            <w:vAlign w:val="center"/>
          </w:tcPr>
          <w:p w14:paraId="663DC456" w14:textId="77777777" w:rsidR="00435416" w:rsidRPr="008F3C04" w:rsidRDefault="00435416" w:rsidP="00AC122D">
            <w:pPr>
              <w:spacing w:before="40" w:after="40"/>
              <w:contextualSpacing/>
              <w:jc w:val="center"/>
              <w:rPr>
                <w:rFonts w:eastAsia="Calibri" w:cs="Arial"/>
              </w:rPr>
            </w:pPr>
          </w:p>
        </w:tc>
        <w:tc>
          <w:tcPr>
            <w:tcW w:w="1492" w:type="dxa"/>
            <w:shd w:val="clear" w:color="auto" w:fill="auto"/>
            <w:noWrap/>
            <w:vAlign w:val="center"/>
          </w:tcPr>
          <w:p w14:paraId="6AA1FA25"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505" w:type="dxa"/>
            <w:gridSpan w:val="2"/>
            <w:shd w:val="clear" w:color="auto" w:fill="auto"/>
            <w:noWrap/>
            <w:vAlign w:val="center"/>
          </w:tcPr>
          <w:p w14:paraId="630654A7" w14:textId="77777777" w:rsidR="00435416" w:rsidRPr="008F3C04" w:rsidRDefault="00435416" w:rsidP="00AC122D">
            <w:pPr>
              <w:spacing w:before="40" w:after="40"/>
              <w:contextualSpacing/>
              <w:jc w:val="center"/>
              <w:rPr>
                <w:rFonts w:eastAsia="Calibri" w:cs="Arial"/>
              </w:rPr>
            </w:pPr>
          </w:p>
        </w:tc>
        <w:tc>
          <w:tcPr>
            <w:tcW w:w="1339" w:type="dxa"/>
            <w:gridSpan w:val="2"/>
          </w:tcPr>
          <w:p w14:paraId="04EA6423" w14:textId="77777777" w:rsidR="00435416" w:rsidRPr="008F3C04" w:rsidRDefault="00435416" w:rsidP="00AC122D">
            <w:pPr>
              <w:spacing w:before="40" w:after="40"/>
              <w:contextualSpacing/>
              <w:jc w:val="center"/>
              <w:rPr>
                <w:rFonts w:eastAsia="Calibri" w:cs="Arial"/>
              </w:rPr>
            </w:pPr>
          </w:p>
        </w:tc>
      </w:tr>
    </w:tbl>
    <w:p w14:paraId="1DAF5F7E" w14:textId="77777777" w:rsidR="00435416" w:rsidRPr="008F3C04" w:rsidRDefault="00435416" w:rsidP="00435416">
      <w:pPr>
        <w:rPr>
          <w:rFonts w:eastAsia="Calibri" w:cs="Arial"/>
        </w:rPr>
      </w:pPr>
      <w:r w:rsidRPr="008F3C04">
        <w:rPr>
          <w:rFonts w:eastAsia="Calibri" w:cs="Arial"/>
        </w:rPr>
        <w:br w:type="page"/>
      </w:r>
    </w:p>
    <w:tbl>
      <w:tblPr>
        <w:tblW w:w="12561"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7"/>
        <w:gridCol w:w="1259"/>
        <w:gridCol w:w="1498"/>
        <w:gridCol w:w="1470"/>
        <w:gridCol w:w="1602"/>
        <w:gridCol w:w="142"/>
        <w:gridCol w:w="1073"/>
      </w:tblGrid>
      <w:tr w:rsidR="00435416" w:rsidRPr="008F3C04" w14:paraId="1BD827CC" w14:textId="77777777" w:rsidTr="00AC122D">
        <w:trPr>
          <w:trHeight w:val="270"/>
          <w:tblHeader/>
        </w:trPr>
        <w:tc>
          <w:tcPr>
            <w:tcW w:w="5517" w:type="dxa"/>
            <w:tcBorders>
              <w:top w:val="nil"/>
              <w:left w:val="nil"/>
            </w:tcBorders>
            <w:shd w:val="clear" w:color="auto" w:fill="auto"/>
            <w:noWrap/>
            <w:vAlign w:val="bottom"/>
            <w:hideMark/>
          </w:tcPr>
          <w:p w14:paraId="6BEF311F" w14:textId="77777777" w:rsidR="00435416" w:rsidRPr="008F3C04" w:rsidRDefault="00435416" w:rsidP="0070756D">
            <w:pPr>
              <w:spacing w:before="40" w:after="40" w:line="200" w:lineRule="exact"/>
              <w:contextualSpacing/>
              <w:rPr>
                <w:rFonts w:eastAsia="Calibri" w:cs="Arial"/>
                <w:b/>
              </w:rPr>
            </w:pPr>
          </w:p>
        </w:tc>
        <w:tc>
          <w:tcPr>
            <w:tcW w:w="1259" w:type="dxa"/>
            <w:tcBorders>
              <w:top w:val="single" w:sz="4" w:space="0" w:color="auto"/>
            </w:tcBorders>
            <w:shd w:val="clear" w:color="auto" w:fill="auto"/>
            <w:noWrap/>
            <w:vAlign w:val="center"/>
            <w:hideMark/>
          </w:tcPr>
          <w:p w14:paraId="523C75FC"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Дерево</w:t>
            </w:r>
          </w:p>
        </w:tc>
        <w:tc>
          <w:tcPr>
            <w:tcW w:w="1498" w:type="dxa"/>
            <w:shd w:val="clear" w:color="auto" w:fill="auto"/>
            <w:noWrap/>
            <w:vAlign w:val="center"/>
            <w:hideMark/>
          </w:tcPr>
          <w:p w14:paraId="74872AF9"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Алюминиевые сплавы</w:t>
            </w:r>
          </w:p>
        </w:tc>
        <w:tc>
          <w:tcPr>
            <w:tcW w:w="1470" w:type="dxa"/>
            <w:shd w:val="clear" w:color="auto" w:fill="auto"/>
            <w:noWrap/>
            <w:vAlign w:val="center"/>
            <w:hideMark/>
          </w:tcPr>
          <w:p w14:paraId="008877EA"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Пластмассы/ Композитный материал</w:t>
            </w:r>
          </w:p>
        </w:tc>
        <w:tc>
          <w:tcPr>
            <w:tcW w:w="1602" w:type="dxa"/>
            <w:shd w:val="clear" w:color="auto" w:fill="auto"/>
            <w:noWrap/>
            <w:vAlign w:val="center"/>
            <w:hideMark/>
          </w:tcPr>
          <w:p w14:paraId="0E6CFD64"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Резина</w:t>
            </w:r>
          </w:p>
        </w:tc>
        <w:tc>
          <w:tcPr>
            <w:tcW w:w="1215" w:type="dxa"/>
            <w:gridSpan w:val="2"/>
            <w:vAlign w:val="center"/>
          </w:tcPr>
          <w:p w14:paraId="06418D58" w14:textId="77777777" w:rsidR="00435416" w:rsidRPr="00FB799C" w:rsidRDefault="00435416" w:rsidP="0070756D">
            <w:pPr>
              <w:spacing w:before="40" w:after="40" w:line="200" w:lineRule="exact"/>
              <w:contextualSpacing/>
              <w:jc w:val="center"/>
              <w:rPr>
                <w:rFonts w:eastAsia="Calibri" w:cs="Arial"/>
                <w:b/>
                <w:sz w:val="16"/>
                <w:szCs w:val="16"/>
              </w:rPr>
            </w:pPr>
            <w:r w:rsidRPr="00FB799C">
              <w:rPr>
                <w:rFonts w:eastAsia="Calibri" w:cs="Arial"/>
                <w:b/>
                <w:bCs/>
                <w:sz w:val="16"/>
                <w:szCs w:val="16"/>
              </w:rPr>
              <w:t>Стекло</w:t>
            </w:r>
          </w:p>
        </w:tc>
      </w:tr>
      <w:tr w:rsidR="00435416" w:rsidRPr="008F3C04" w14:paraId="042192B4" w14:textId="77777777" w:rsidTr="00AC122D">
        <w:tblPrEx>
          <w:tblLook w:val="0480" w:firstRow="0" w:lastRow="0" w:firstColumn="1" w:lastColumn="0" w:noHBand="0" w:noVBand="1"/>
        </w:tblPrEx>
        <w:tc>
          <w:tcPr>
            <w:tcW w:w="5517" w:type="dxa"/>
            <w:shd w:val="clear" w:color="auto" w:fill="auto"/>
          </w:tcPr>
          <w:p w14:paraId="4E7B8F7E" w14:textId="77777777" w:rsidR="00435416" w:rsidRPr="008F3C04" w:rsidRDefault="00435416" w:rsidP="00AC122D">
            <w:pPr>
              <w:spacing w:before="40" w:after="40"/>
              <w:contextualSpacing/>
              <w:rPr>
                <w:rFonts w:eastAsia="Calibri" w:cs="Arial"/>
                <w:b/>
                <w:bCs/>
              </w:rPr>
            </w:pPr>
            <w:r w:rsidRPr="008F3C04">
              <w:rPr>
                <w:rFonts w:eastAsia="Calibri" w:cs="Arial"/>
                <w:b/>
                <w:bCs/>
              </w:rPr>
              <w:t>Сосуды для маслосодержащих отходов (7.2.4.1)</w:t>
            </w:r>
          </w:p>
        </w:tc>
        <w:tc>
          <w:tcPr>
            <w:tcW w:w="1259" w:type="dxa"/>
            <w:shd w:val="clear" w:color="auto" w:fill="auto"/>
            <w:noWrap/>
            <w:vAlign w:val="center"/>
          </w:tcPr>
          <w:p w14:paraId="753CB6D0"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353E5096"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auto"/>
            <w:noWrap/>
            <w:vAlign w:val="center"/>
          </w:tcPr>
          <w:p w14:paraId="32A64A42"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02" w:type="dxa"/>
            <w:shd w:val="clear" w:color="auto" w:fill="auto"/>
            <w:noWrap/>
            <w:vAlign w:val="center"/>
          </w:tcPr>
          <w:p w14:paraId="307B8F8F" w14:textId="77777777" w:rsidR="00435416" w:rsidRPr="008F3C04" w:rsidRDefault="00435416" w:rsidP="00AC122D">
            <w:pPr>
              <w:spacing w:before="40" w:after="40"/>
              <w:contextualSpacing/>
              <w:jc w:val="center"/>
              <w:rPr>
                <w:rFonts w:eastAsia="Calibri" w:cs="Arial"/>
                <w:b/>
                <w:bCs/>
              </w:rPr>
            </w:pPr>
          </w:p>
        </w:tc>
        <w:tc>
          <w:tcPr>
            <w:tcW w:w="1215" w:type="dxa"/>
            <w:gridSpan w:val="2"/>
          </w:tcPr>
          <w:p w14:paraId="0F3F22AA" w14:textId="77777777" w:rsidR="00435416" w:rsidRPr="008F3C04" w:rsidRDefault="00435416" w:rsidP="00AC122D">
            <w:pPr>
              <w:spacing w:before="40" w:after="40"/>
              <w:contextualSpacing/>
              <w:jc w:val="center"/>
              <w:rPr>
                <w:rFonts w:eastAsia="Calibri" w:cs="Arial"/>
              </w:rPr>
            </w:pPr>
          </w:p>
        </w:tc>
      </w:tr>
      <w:tr w:rsidR="00435416" w:rsidRPr="008F3C04" w14:paraId="18BD9224" w14:textId="77777777" w:rsidTr="00AC122D">
        <w:tblPrEx>
          <w:tblLook w:val="0480" w:firstRow="0" w:lastRow="0" w:firstColumn="1" w:lastColumn="0" w:noHBand="0" w:noVBand="1"/>
        </w:tblPrEx>
        <w:tc>
          <w:tcPr>
            <w:tcW w:w="5517" w:type="dxa"/>
            <w:shd w:val="clear" w:color="auto" w:fill="auto"/>
          </w:tcPr>
          <w:p w14:paraId="1705A6AF" w14:textId="77777777" w:rsidR="00435416" w:rsidRPr="008F3C04" w:rsidRDefault="00435416" w:rsidP="00AC122D">
            <w:pPr>
              <w:spacing w:before="40" w:after="40"/>
              <w:contextualSpacing/>
              <w:rPr>
                <w:rFonts w:eastAsia="Calibri" w:cs="Arial"/>
                <w:b/>
                <w:bCs/>
              </w:rPr>
            </w:pPr>
          </w:p>
        </w:tc>
        <w:tc>
          <w:tcPr>
            <w:tcW w:w="1259" w:type="dxa"/>
            <w:shd w:val="clear" w:color="auto" w:fill="auto"/>
            <w:noWrap/>
            <w:vAlign w:val="center"/>
          </w:tcPr>
          <w:p w14:paraId="4ED85041" w14:textId="77777777" w:rsidR="00435416" w:rsidRPr="008F3C04" w:rsidRDefault="00435416" w:rsidP="00AC122D">
            <w:pPr>
              <w:spacing w:before="40" w:after="40"/>
              <w:contextualSpacing/>
              <w:jc w:val="center"/>
              <w:rPr>
                <w:rFonts w:eastAsia="Calibri" w:cs="Arial"/>
                <w:b/>
                <w:bCs/>
              </w:rPr>
            </w:pPr>
          </w:p>
        </w:tc>
        <w:tc>
          <w:tcPr>
            <w:tcW w:w="5785" w:type="dxa"/>
            <w:gridSpan w:val="5"/>
            <w:shd w:val="clear" w:color="auto" w:fill="auto"/>
            <w:noWrap/>
            <w:vAlign w:val="center"/>
          </w:tcPr>
          <w:p w14:paraId="5B8BAECB" w14:textId="77777777" w:rsidR="00435416" w:rsidRPr="008F3C04" w:rsidRDefault="00435416" w:rsidP="00AC122D">
            <w:pPr>
              <w:spacing w:before="40" w:after="40"/>
              <w:contextualSpacing/>
              <w:jc w:val="center"/>
              <w:rPr>
                <w:rFonts w:eastAsia="Calibri" w:cs="Arial"/>
              </w:rPr>
            </w:pPr>
            <w:r w:rsidRPr="008F3C04">
              <w:rPr>
                <w:rFonts w:eastAsia="Calibri" w:cs="Arial"/>
              </w:rPr>
              <w:t>огнестойкие сосуды (7.2.1.21.6)</w:t>
            </w:r>
          </w:p>
        </w:tc>
      </w:tr>
      <w:tr w:rsidR="00435416" w:rsidRPr="008F3C04" w14:paraId="70593CC4" w14:textId="77777777" w:rsidTr="00AC122D">
        <w:tblPrEx>
          <w:tblLook w:val="0480" w:firstRow="0" w:lastRow="0" w:firstColumn="1" w:lastColumn="0" w:noHBand="0" w:noVBand="1"/>
        </w:tblPrEx>
        <w:tc>
          <w:tcPr>
            <w:tcW w:w="5517" w:type="dxa"/>
            <w:shd w:val="clear" w:color="auto" w:fill="auto"/>
          </w:tcPr>
          <w:p w14:paraId="3B9C343D" w14:textId="77777777" w:rsidR="00435416" w:rsidRPr="008F3C04" w:rsidRDefault="00435416" w:rsidP="00AC122D">
            <w:pPr>
              <w:spacing w:before="40" w:after="40"/>
              <w:contextualSpacing/>
              <w:rPr>
                <w:rFonts w:eastAsia="Calibri" w:cs="Arial"/>
              </w:rPr>
            </w:pPr>
            <w:r w:rsidRPr="008F3C04">
              <w:rPr>
                <w:rFonts w:eastAsia="Calibri" w:cs="Arial"/>
              </w:rPr>
              <w:t>Емкости для остаточных продуктов и сосуды для отстоев</w:t>
            </w:r>
          </w:p>
        </w:tc>
        <w:tc>
          <w:tcPr>
            <w:tcW w:w="1259" w:type="dxa"/>
            <w:shd w:val="clear" w:color="auto" w:fill="auto"/>
            <w:noWrap/>
            <w:vAlign w:val="center"/>
          </w:tcPr>
          <w:p w14:paraId="728CD4BC"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1FCA229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auto"/>
            <w:noWrap/>
            <w:vAlign w:val="center"/>
          </w:tcPr>
          <w:p w14:paraId="289CC84E"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02" w:type="dxa"/>
            <w:shd w:val="clear" w:color="auto" w:fill="auto"/>
            <w:noWrap/>
            <w:vAlign w:val="center"/>
          </w:tcPr>
          <w:p w14:paraId="21BD1195" w14:textId="77777777" w:rsidR="00435416" w:rsidRPr="008F3C04" w:rsidRDefault="00435416" w:rsidP="00AC122D">
            <w:pPr>
              <w:spacing w:before="40" w:after="40"/>
              <w:contextualSpacing/>
              <w:jc w:val="center"/>
              <w:rPr>
                <w:rFonts w:eastAsia="Calibri" w:cs="Arial"/>
                <w:b/>
                <w:bCs/>
              </w:rPr>
            </w:pPr>
          </w:p>
        </w:tc>
        <w:tc>
          <w:tcPr>
            <w:tcW w:w="1215" w:type="dxa"/>
            <w:gridSpan w:val="2"/>
          </w:tcPr>
          <w:p w14:paraId="6D585246" w14:textId="77777777" w:rsidR="00435416" w:rsidRPr="008F3C04" w:rsidRDefault="00435416" w:rsidP="00AC122D">
            <w:pPr>
              <w:spacing w:before="40" w:after="40"/>
              <w:contextualSpacing/>
              <w:jc w:val="center"/>
              <w:rPr>
                <w:rFonts w:eastAsia="Calibri" w:cs="Arial"/>
              </w:rPr>
            </w:pPr>
          </w:p>
        </w:tc>
      </w:tr>
      <w:tr w:rsidR="00435416" w:rsidRPr="006867C4" w14:paraId="68BE7803" w14:textId="77777777" w:rsidTr="00AC122D">
        <w:tblPrEx>
          <w:tblLook w:val="0480" w:firstRow="0" w:lastRow="0" w:firstColumn="1" w:lastColumn="0" w:noHBand="0" w:noVBand="1"/>
        </w:tblPrEx>
        <w:tc>
          <w:tcPr>
            <w:tcW w:w="5517" w:type="dxa"/>
            <w:shd w:val="clear" w:color="auto" w:fill="auto"/>
          </w:tcPr>
          <w:p w14:paraId="2A7D166D" w14:textId="77777777" w:rsidR="00435416" w:rsidRPr="008F3C04" w:rsidRDefault="00435416" w:rsidP="00AC122D">
            <w:pPr>
              <w:spacing w:before="40" w:after="40"/>
              <w:contextualSpacing/>
              <w:rPr>
                <w:rFonts w:eastAsia="Calibri" w:cs="Arial"/>
              </w:rPr>
            </w:pPr>
          </w:p>
        </w:tc>
        <w:tc>
          <w:tcPr>
            <w:tcW w:w="7044" w:type="dxa"/>
            <w:gridSpan w:val="6"/>
            <w:shd w:val="clear" w:color="auto" w:fill="auto"/>
            <w:noWrap/>
            <w:vAlign w:val="center"/>
          </w:tcPr>
          <w:p w14:paraId="1BD22ABE" w14:textId="77777777" w:rsidR="00435416" w:rsidRPr="008F3C04" w:rsidRDefault="00435416" w:rsidP="00AC122D">
            <w:pPr>
              <w:spacing w:before="40" w:after="40"/>
              <w:contextualSpacing/>
              <w:jc w:val="center"/>
              <w:rPr>
                <w:rFonts w:eastAsia="Calibri" w:cs="Arial"/>
              </w:rPr>
            </w:pPr>
            <w:r w:rsidRPr="008F3C04">
              <w:rPr>
                <w:rFonts w:eastAsia="Calibri" w:cs="Arial"/>
              </w:rPr>
              <w:t>С соблюдением требований ДОПОГ, МПОГ или МКМПОГ, касающихся допущения материалов</w:t>
            </w:r>
          </w:p>
        </w:tc>
      </w:tr>
      <w:tr w:rsidR="00435416" w:rsidRPr="008F3C04" w14:paraId="326F8724" w14:textId="77777777" w:rsidTr="00AC122D">
        <w:tblPrEx>
          <w:tblLook w:val="0480" w:firstRow="0" w:lastRow="0" w:firstColumn="1" w:lastColumn="0" w:noHBand="0" w:noVBand="1"/>
        </w:tblPrEx>
        <w:tc>
          <w:tcPr>
            <w:tcW w:w="5517" w:type="dxa"/>
            <w:vMerge w:val="restart"/>
            <w:shd w:val="clear" w:color="auto" w:fill="auto"/>
          </w:tcPr>
          <w:p w14:paraId="6E0F05BF" w14:textId="77777777" w:rsidR="00435416" w:rsidRPr="008F3C04" w:rsidRDefault="00435416" w:rsidP="00AC122D">
            <w:pPr>
              <w:spacing w:before="40" w:after="40"/>
              <w:contextualSpacing/>
              <w:rPr>
                <w:rFonts w:eastAsia="Calibri" w:cs="Arial"/>
              </w:rPr>
            </w:pPr>
            <w:r w:rsidRPr="008F3C04">
              <w:rPr>
                <w:rFonts w:eastAsia="Calibri" w:cs="Arial"/>
              </w:rPr>
              <w:t>Бутыли для взятия проб</w:t>
            </w:r>
          </w:p>
        </w:tc>
        <w:tc>
          <w:tcPr>
            <w:tcW w:w="1259" w:type="dxa"/>
            <w:shd w:val="clear" w:color="auto" w:fill="auto"/>
            <w:noWrap/>
            <w:vAlign w:val="center"/>
          </w:tcPr>
          <w:p w14:paraId="515C577D"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5E952DDA" w14:textId="77777777" w:rsidR="00435416" w:rsidRPr="008F3C04" w:rsidRDefault="00435416" w:rsidP="00AC122D">
            <w:pPr>
              <w:spacing w:before="40" w:after="40"/>
              <w:contextualSpacing/>
              <w:jc w:val="center"/>
              <w:rPr>
                <w:rFonts w:eastAsia="Calibri" w:cs="Arial"/>
              </w:rPr>
            </w:pPr>
          </w:p>
        </w:tc>
        <w:tc>
          <w:tcPr>
            <w:tcW w:w="1470" w:type="dxa"/>
            <w:shd w:val="clear" w:color="auto" w:fill="auto"/>
            <w:noWrap/>
            <w:vAlign w:val="center"/>
          </w:tcPr>
          <w:p w14:paraId="1C0CDD10"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602" w:type="dxa"/>
            <w:shd w:val="clear" w:color="auto" w:fill="auto"/>
            <w:noWrap/>
            <w:vAlign w:val="center"/>
          </w:tcPr>
          <w:p w14:paraId="348972A0" w14:textId="77777777" w:rsidR="00435416" w:rsidRPr="008F3C04" w:rsidRDefault="00435416" w:rsidP="00AC122D">
            <w:pPr>
              <w:spacing w:before="40" w:after="40"/>
              <w:contextualSpacing/>
              <w:jc w:val="center"/>
              <w:rPr>
                <w:rFonts w:eastAsia="Calibri" w:cs="Arial"/>
                <w:b/>
                <w:bCs/>
              </w:rPr>
            </w:pPr>
          </w:p>
        </w:tc>
        <w:tc>
          <w:tcPr>
            <w:tcW w:w="1215" w:type="dxa"/>
            <w:gridSpan w:val="2"/>
          </w:tcPr>
          <w:p w14:paraId="17FF265D"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r>
      <w:tr w:rsidR="00435416" w:rsidRPr="006867C4" w14:paraId="453A4304" w14:textId="77777777" w:rsidTr="00AC122D">
        <w:tblPrEx>
          <w:tblLook w:val="0480" w:firstRow="0" w:lastRow="0" w:firstColumn="1" w:lastColumn="0" w:noHBand="0" w:noVBand="1"/>
        </w:tblPrEx>
        <w:tc>
          <w:tcPr>
            <w:tcW w:w="5517" w:type="dxa"/>
            <w:vMerge/>
            <w:shd w:val="clear" w:color="auto" w:fill="auto"/>
            <w:vAlign w:val="bottom"/>
          </w:tcPr>
          <w:p w14:paraId="7BA0433F" w14:textId="77777777" w:rsidR="00435416" w:rsidRPr="008F3C04" w:rsidRDefault="00435416" w:rsidP="00AC122D">
            <w:pPr>
              <w:spacing w:before="40" w:after="40"/>
              <w:contextualSpacing/>
              <w:rPr>
                <w:rFonts w:eastAsia="Calibri" w:cs="Arial"/>
              </w:rPr>
            </w:pPr>
          </w:p>
        </w:tc>
        <w:tc>
          <w:tcPr>
            <w:tcW w:w="7044" w:type="dxa"/>
            <w:gridSpan w:val="6"/>
            <w:shd w:val="clear" w:color="auto" w:fill="auto"/>
            <w:noWrap/>
            <w:vAlign w:val="center"/>
          </w:tcPr>
          <w:p w14:paraId="241B4532" w14:textId="7687AF95" w:rsidR="00435416" w:rsidRPr="008F3C04" w:rsidRDefault="00435416" w:rsidP="008A2479">
            <w:pPr>
              <w:spacing w:before="40" w:after="40"/>
              <w:contextualSpacing/>
              <w:jc w:val="center"/>
              <w:rPr>
                <w:rFonts w:eastAsia="Calibri" w:cs="Arial"/>
              </w:rPr>
            </w:pPr>
            <w:r w:rsidRPr="008F3C04">
              <w:rPr>
                <w:rFonts w:eastAsia="Calibri" w:cs="Arial"/>
              </w:rPr>
              <w:t>С соблюдением требований ДОПОГ, касающихся допущения материалов</w:t>
            </w:r>
          </w:p>
        </w:tc>
      </w:tr>
      <w:tr w:rsidR="00435416" w:rsidRPr="008F3C04" w14:paraId="0F96A17A" w14:textId="77777777" w:rsidTr="00AC122D">
        <w:tblPrEx>
          <w:tblLook w:val="0480" w:firstRow="0" w:lastRow="0" w:firstColumn="1" w:lastColumn="0" w:noHBand="0" w:noVBand="1"/>
        </w:tblPrEx>
        <w:tc>
          <w:tcPr>
            <w:tcW w:w="5517" w:type="dxa"/>
            <w:shd w:val="clear" w:color="auto" w:fill="auto"/>
            <w:vAlign w:val="bottom"/>
          </w:tcPr>
          <w:p w14:paraId="6729BE9A" w14:textId="77777777" w:rsidR="00435416" w:rsidRPr="008F3C04" w:rsidRDefault="00435416" w:rsidP="00AC122D">
            <w:pPr>
              <w:spacing w:before="40" w:after="40"/>
              <w:contextualSpacing/>
              <w:rPr>
                <w:rFonts w:eastAsia="Calibri" w:cs="Arial"/>
              </w:rPr>
            </w:pPr>
            <w:r w:rsidRPr="008F3C04">
              <w:rPr>
                <w:rFonts w:eastAsia="Calibri" w:cs="Arial"/>
              </w:rPr>
              <w:t>Воспроизведенные фотооптическим методом копии свидетельства о допущении в соответствии с пунктом 8.1.2.6 или 8.1.2.7, а также судового свидетельства, мерительного свидетельства и других применимых документов</w:t>
            </w:r>
            <w:r w:rsidRPr="008F3C04">
              <w:rPr>
                <w:rFonts w:eastAsia="Calibri" w:cs="Arial"/>
                <w:sz w:val="18"/>
                <w:vertAlign w:val="superscript"/>
              </w:rPr>
              <w:footnoteReference w:id="3"/>
            </w:r>
            <w:r w:rsidRPr="008F3C04">
              <w:rPr>
                <w:rFonts w:eastAsia="Calibri" w:cs="Arial"/>
                <w:color w:val="000000"/>
              </w:rPr>
              <w:t xml:space="preserve"> </w:t>
            </w:r>
          </w:p>
        </w:tc>
        <w:tc>
          <w:tcPr>
            <w:tcW w:w="1259" w:type="dxa"/>
            <w:shd w:val="clear" w:color="auto" w:fill="auto"/>
            <w:noWrap/>
            <w:vAlign w:val="center"/>
          </w:tcPr>
          <w:p w14:paraId="47820518" w14:textId="77777777" w:rsidR="00435416" w:rsidRPr="008F3C04" w:rsidRDefault="00435416" w:rsidP="00AC122D">
            <w:pPr>
              <w:spacing w:before="40" w:after="40"/>
              <w:contextualSpacing/>
              <w:jc w:val="center"/>
              <w:rPr>
                <w:rFonts w:eastAsia="Calibri" w:cs="Arial"/>
              </w:rPr>
            </w:pPr>
          </w:p>
        </w:tc>
        <w:tc>
          <w:tcPr>
            <w:tcW w:w="1498" w:type="dxa"/>
            <w:shd w:val="clear" w:color="auto" w:fill="auto"/>
            <w:noWrap/>
            <w:vAlign w:val="center"/>
          </w:tcPr>
          <w:p w14:paraId="620A39D1"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auto"/>
            <w:noWrap/>
            <w:vAlign w:val="center"/>
          </w:tcPr>
          <w:p w14:paraId="3D58E76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744" w:type="dxa"/>
            <w:gridSpan w:val="2"/>
            <w:shd w:val="clear" w:color="auto" w:fill="auto"/>
            <w:noWrap/>
            <w:vAlign w:val="center"/>
          </w:tcPr>
          <w:p w14:paraId="16B3655E" w14:textId="77777777" w:rsidR="00435416" w:rsidRPr="008F3C04" w:rsidRDefault="00435416" w:rsidP="00AC122D">
            <w:pPr>
              <w:spacing w:before="40" w:after="40"/>
              <w:contextualSpacing/>
              <w:jc w:val="center"/>
              <w:rPr>
                <w:rFonts w:eastAsia="Calibri" w:cs="Arial"/>
              </w:rPr>
            </w:pPr>
          </w:p>
        </w:tc>
        <w:tc>
          <w:tcPr>
            <w:tcW w:w="1073" w:type="dxa"/>
          </w:tcPr>
          <w:p w14:paraId="7B448B08" w14:textId="77777777" w:rsidR="00435416" w:rsidRPr="008F3C04" w:rsidRDefault="00435416" w:rsidP="00AC122D">
            <w:pPr>
              <w:spacing w:before="40" w:after="40"/>
              <w:contextualSpacing/>
              <w:jc w:val="center"/>
              <w:rPr>
                <w:rFonts w:eastAsia="Calibri" w:cs="Arial"/>
              </w:rPr>
            </w:pPr>
          </w:p>
        </w:tc>
      </w:tr>
      <w:tr w:rsidR="00435416" w:rsidRPr="008F3C04" w14:paraId="0FC038EE" w14:textId="77777777" w:rsidTr="00AC122D">
        <w:tblPrEx>
          <w:tblLook w:val="0480" w:firstRow="0" w:lastRow="0" w:firstColumn="1" w:lastColumn="0" w:noHBand="0" w:noVBand="1"/>
        </w:tblPrEx>
        <w:tc>
          <w:tcPr>
            <w:tcW w:w="5517" w:type="dxa"/>
            <w:shd w:val="clear" w:color="auto" w:fill="auto"/>
            <w:vAlign w:val="bottom"/>
          </w:tcPr>
          <w:p w14:paraId="20BD8AA2" w14:textId="77777777" w:rsidR="00435416" w:rsidRPr="008F3C04" w:rsidRDefault="00435416" w:rsidP="00AC122D">
            <w:pPr>
              <w:spacing w:before="40" w:after="40"/>
              <w:contextualSpacing/>
              <w:rPr>
                <w:rFonts w:eastAsia="Calibri" w:cs="Arial"/>
              </w:rPr>
            </w:pPr>
            <w:r w:rsidRPr="008F3C04">
              <w:rPr>
                <w:rFonts w:eastAsia="Calibri" w:cs="Arial"/>
              </w:rPr>
              <w:t>Алюминиевая корзина для хранения швартовных тросов/канатов</w:t>
            </w:r>
          </w:p>
        </w:tc>
        <w:tc>
          <w:tcPr>
            <w:tcW w:w="1259" w:type="dxa"/>
            <w:shd w:val="clear" w:color="auto" w:fill="auto"/>
            <w:noWrap/>
            <w:vAlign w:val="center"/>
          </w:tcPr>
          <w:p w14:paraId="227C1D01"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auto"/>
            <w:noWrap/>
            <w:vAlign w:val="center"/>
          </w:tcPr>
          <w:p w14:paraId="0E717307"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auto"/>
            <w:noWrap/>
            <w:vAlign w:val="center"/>
          </w:tcPr>
          <w:p w14:paraId="315687D8" w14:textId="77777777" w:rsidR="00435416" w:rsidRPr="008F3C04" w:rsidRDefault="00435416" w:rsidP="00AC122D">
            <w:pPr>
              <w:spacing w:before="40" w:after="40"/>
              <w:contextualSpacing/>
              <w:jc w:val="center"/>
              <w:rPr>
                <w:rFonts w:eastAsia="Calibri" w:cs="Arial"/>
                <w:b/>
                <w:bCs/>
              </w:rPr>
            </w:pPr>
          </w:p>
        </w:tc>
        <w:tc>
          <w:tcPr>
            <w:tcW w:w="1744" w:type="dxa"/>
            <w:gridSpan w:val="2"/>
            <w:shd w:val="clear" w:color="auto" w:fill="auto"/>
            <w:noWrap/>
            <w:vAlign w:val="center"/>
          </w:tcPr>
          <w:p w14:paraId="5FA63B10" w14:textId="77777777" w:rsidR="00435416" w:rsidRPr="008F3C04" w:rsidRDefault="00435416" w:rsidP="00AC122D">
            <w:pPr>
              <w:spacing w:before="40" w:after="40"/>
              <w:contextualSpacing/>
              <w:jc w:val="center"/>
              <w:rPr>
                <w:rFonts w:eastAsia="Calibri" w:cs="Arial"/>
                <w:b/>
                <w:bCs/>
              </w:rPr>
            </w:pPr>
          </w:p>
        </w:tc>
        <w:tc>
          <w:tcPr>
            <w:tcW w:w="1073" w:type="dxa"/>
          </w:tcPr>
          <w:p w14:paraId="0734CD9A" w14:textId="77777777" w:rsidR="00435416" w:rsidRPr="008F3C04" w:rsidRDefault="00435416" w:rsidP="00AC122D">
            <w:pPr>
              <w:spacing w:before="40" w:after="40"/>
              <w:contextualSpacing/>
              <w:jc w:val="center"/>
              <w:rPr>
                <w:rFonts w:eastAsia="Calibri" w:cs="Arial"/>
                <w:b/>
                <w:bCs/>
              </w:rPr>
            </w:pPr>
          </w:p>
        </w:tc>
      </w:tr>
      <w:tr w:rsidR="00435416" w:rsidRPr="008F3C04" w14:paraId="28773DF5" w14:textId="77777777" w:rsidTr="00AC122D">
        <w:tblPrEx>
          <w:tblLook w:val="0480" w:firstRow="0" w:lastRow="0" w:firstColumn="1" w:lastColumn="0" w:noHBand="0" w:noVBand="1"/>
        </w:tblPrEx>
        <w:tc>
          <w:tcPr>
            <w:tcW w:w="5517" w:type="dxa"/>
            <w:shd w:val="clear" w:color="auto" w:fill="auto"/>
            <w:vAlign w:val="bottom"/>
          </w:tcPr>
          <w:p w14:paraId="5C54CDD6" w14:textId="77777777" w:rsidR="00435416" w:rsidRPr="008F3C04" w:rsidRDefault="00435416" w:rsidP="00AC122D">
            <w:pPr>
              <w:spacing w:before="40" w:after="40"/>
              <w:contextualSpacing/>
              <w:rPr>
                <w:rFonts w:eastAsia="Calibri" w:cs="Arial"/>
              </w:rPr>
            </w:pPr>
            <w:r w:rsidRPr="008F3C04">
              <w:rPr>
                <w:rFonts w:eastAsia="Calibri" w:cs="Arial"/>
              </w:rPr>
              <w:t>Шлюпочный крюк</w:t>
            </w:r>
          </w:p>
        </w:tc>
        <w:tc>
          <w:tcPr>
            <w:tcW w:w="1259" w:type="dxa"/>
            <w:shd w:val="clear" w:color="auto" w:fill="auto"/>
            <w:noWrap/>
            <w:vAlign w:val="center"/>
          </w:tcPr>
          <w:p w14:paraId="3C69809B"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98" w:type="dxa"/>
            <w:shd w:val="clear" w:color="auto" w:fill="auto"/>
            <w:noWrap/>
            <w:vAlign w:val="center"/>
          </w:tcPr>
          <w:p w14:paraId="3677896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auto"/>
            <w:noWrap/>
            <w:vAlign w:val="center"/>
          </w:tcPr>
          <w:p w14:paraId="22E039F9"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744" w:type="dxa"/>
            <w:gridSpan w:val="2"/>
            <w:shd w:val="clear" w:color="auto" w:fill="auto"/>
            <w:noWrap/>
            <w:vAlign w:val="center"/>
          </w:tcPr>
          <w:p w14:paraId="0F1CC659" w14:textId="77777777" w:rsidR="00435416" w:rsidRPr="008F3C04" w:rsidRDefault="00435416" w:rsidP="00AC122D">
            <w:pPr>
              <w:spacing w:before="40" w:after="40"/>
              <w:contextualSpacing/>
              <w:jc w:val="center"/>
              <w:rPr>
                <w:rFonts w:eastAsia="Calibri" w:cs="Arial"/>
                <w:b/>
                <w:bCs/>
              </w:rPr>
            </w:pPr>
          </w:p>
        </w:tc>
        <w:tc>
          <w:tcPr>
            <w:tcW w:w="1073" w:type="dxa"/>
          </w:tcPr>
          <w:p w14:paraId="5DF20358" w14:textId="77777777" w:rsidR="00435416" w:rsidRPr="008F3C04" w:rsidRDefault="00435416" w:rsidP="00AC122D">
            <w:pPr>
              <w:spacing w:before="40" w:after="40"/>
              <w:contextualSpacing/>
              <w:jc w:val="center"/>
              <w:rPr>
                <w:rFonts w:eastAsia="Calibri" w:cs="Arial"/>
                <w:b/>
                <w:bCs/>
              </w:rPr>
            </w:pPr>
          </w:p>
        </w:tc>
      </w:tr>
      <w:tr w:rsidR="00435416" w:rsidRPr="008F3C04" w14:paraId="1DDC8935" w14:textId="77777777" w:rsidTr="00AC122D">
        <w:tblPrEx>
          <w:tblLook w:val="0480" w:firstRow="0" w:lastRow="0" w:firstColumn="1" w:lastColumn="0" w:noHBand="0" w:noVBand="1"/>
        </w:tblPrEx>
        <w:tc>
          <w:tcPr>
            <w:tcW w:w="5517" w:type="dxa"/>
            <w:vMerge w:val="restart"/>
            <w:shd w:val="clear" w:color="auto" w:fill="D9D9D9"/>
            <w:vAlign w:val="bottom"/>
          </w:tcPr>
          <w:p w14:paraId="0190A491" w14:textId="77777777" w:rsidR="00435416" w:rsidRPr="008F3C04" w:rsidRDefault="00435416" w:rsidP="00AC122D">
            <w:pPr>
              <w:spacing w:before="40" w:after="40"/>
              <w:contextualSpacing/>
              <w:rPr>
                <w:rFonts w:eastAsia="Calibri" w:cs="Arial"/>
              </w:rPr>
            </w:pPr>
            <w:r w:rsidRPr="008F3C04">
              <w:rPr>
                <w:rFonts w:eastAsia="Calibri" w:cs="Arial"/>
              </w:rPr>
              <w:t>Судовая шлюпка</w:t>
            </w:r>
          </w:p>
          <w:p w14:paraId="250609DF" w14:textId="77777777" w:rsidR="00435416" w:rsidRPr="008F3C04" w:rsidRDefault="00435416" w:rsidP="00AC122D">
            <w:pPr>
              <w:spacing w:before="40" w:after="40"/>
              <w:contextualSpacing/>
              <w:rPr>
                <w:rFonts w:eastAsia="Calibri" w:cs="Arial"/>
              </w:rPr>
            </w:pPr>
            <w:r w:rsidRPr="008F3C04">
              <w:rPr>
                <w:rFonts w:eastAsia="Calibri" w:cs="Arial"/>
              </w:rPr>
              <w:t>(В случае пунктов 7.2.3.29.1 и 7.2.3.31.1 разрешается расположение в пределах грузового пространства)</w:t>
            </w:r>
          </w:p>
        </w:tc>
        <w:tc>
          <w:tcPr>
            <w:tcW w:w="1259" w:type="dxa"/>
            <w:shd w:val="clear" w:color="auto" w:fill="D9D9D9"/>
            <w:noWrap/>
            <w:vAlign w:val="center"/>
          </w:tcPr>
          <w:p w14:paraId="73B57685" w14:textId="77777777" w:rsidR="00435416" w:rsidRPr="008F3C04" w:rsidRDefault="00435416" w:rsidP="00AC122D">
            <w:pPr>
              <w:spacing w:before="40" w:after="40"/>
              <w:contextualSpacing/>
              <w:jc w:val="center"/>
              <w:rPr>
                <w:rFonts w:eastAsia="Calibri" w:cs="Arial"/>
                <w:b/>
                <w:bCs/>
              </w:rPr>
            </w:pPr>
          </w:p>
        </w:tc>
        <w:tc>
          <w:tcPr>
            <w:tcW w:w="1498" w:type="dxa"/>
            <w:shd w:val="clear" w:color="auto" w:fill="D9D9D9"/>
            <w:noWrap/>
            <w:vAlign w:val="center"/>
          </w:tcPr>
          <w:p w14:paraId="1390AEBD"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470" w:type="dxa"/>
            <w:shd w:val="clear" w:color="auto" w:fill="D9D9D9"/>
            <w:noWrap/>
            <w:vAlign w:val="center"/>
          </w:tcPr>
          <w:p w14:paraId="308C3F6F" w14:textId="77777777" w:rsidR="00435416" w:rsidRPr="008F3C04" w:rsidRDefault="00435416" w:rsidP="00AC122D">
            <w:pPr>
              <w:spacing w:before="40" w:after="40"/>
              <w:contextualSpacing/>
              <w:jc w:val="center"/>
              <w:rPr>
                <w:rFonts w:eastAsia="Calibri" w:cs="Arial"/>
              </w:rPr>
            </w:pPr>
            <w:r w:rsidRPr="008F3C04">
              <w:rPr>
                <w:rFonts w:eastAsia="Calibri" w:cs="Arial"/>
              </w:rPr>
              <w:t>X</w:t>
            </w:r>
          </w:p>
        </w:tc>
        <w:tc>
          <w:tcPr>
            <w:tcW w:w="1744" w:type="dxa"/>
            <w:gridSpan w:val="2"/>
            <w:shd w:val="clear" w:color="auto" w:fill="D9D9D9"/>
            <w:noWrap/>
            <w:vAlign w:val="center"/>
          </w:tcPr>
          <w:p w14:paraId="0F6A56B3" w14:textId="77777777" w:rsidR="00435416" w:rsidRPr="008F3C04" w:rsidRDefault="00435416" w:rsidP="00AC122D">
            <w:pPr>
              <w:spacing w:before="40" w:after="40"/>
              <w:contextualSpacing/>
              <w:jc w:val="center"/>
              <w:rPr>
                <w:rFonts w:eastAsia="Calibri" w:cs="Arial"/>
                <w:b/>
                <w:bCs/>
              </w:rPr>
            </w:pPr>
          </w:p>
        </w:tc>
        <w:tc>
          <w:tcPr>
            <w:tcW w:w="1073" w:type="dxa"/>
            <w:shd w:val="clear" w:color="auto" w:fill="D9D9D9"/>
          </w:tcPr>
          <w:p w14:paraId="7D8CCE8A" w14:textId="77777777" w:rsidR="00435416" w:rsidRPr="008F3C04" w:rsidRDefault="00435416" w:rsidP="00AC122D">
            <w:pPr>
              <w:spacing w:before="40" w:after="40"/>
              <w:contextualSpacing/>
              <w:jc w:val="center"/>
              <w:rPr>
                <w:rFonts w:eastAsia="Calibri" w:cs="Arial"/>
                <w:b/>
                <w:bCs/>
              </w:rPr>
            </w:pPr>
          </w:p>
        </w:tc>
      </w:tr>
      <w:tr w:rsidR="00435416" w:rsidRPr="006867C4" w14:paraId="24215E76" w14:textId="77777777" w:rsidTr="00AC122D">
        <w:tblPrEx>
          <w:tblLook w:val="0480" w:firstRow="0" w:lastRow="0" w:firstColumn="1" w:lastColumn="0" w:noHBand="0" w:noVBand="1"/>
        </w:tblPrEx>
        <w:tc>
          <w:tcPr>
            <w:tcW w:w="5517" w:type="dxa"/>
            <w:vMerge/>
            <w:shd w:val="clear" w:color="auto" w:fill="D9D9D9"/>
            <w:vAlign w:val="bottom"/>
          </w:tcPr>
          <w:p w14:paraId="30888082" w14:textId="77777777" w:rsidR="00435416" w:rsidRPr="008F3C04" w:rsidRDefault="00435416" w:rsidP="00AC122D">
            <w:pPr>
              <w:spacing w:before="40" w:after="40"/>
              <w:contextualSpacing/>
              <w:rPr>
                <w:rFonts w:eastAsia="Calibri" w:cs="Arial"/>
              </w:rPr>
            </w:pPr>
          </w:p>
        </w:tc>
        <w:tc>
          <w:tcPr>
            <w:tcW w:w="7044" w:type="dxa"/>
            <w:gridSpan w:val="6"/>
            <w:shd w:val="clear" w:color="auto" w:fill="D9D9D9"/>
            <w:noWrap/>
            <w:vAlign w:val="center"/>
          </w:tcPr>
          <w:p w14:paraId="7FB6D549" w14:textId="77777777" w:rsidR="00435416" w:rsidRPr="008F3C04" w:rsidRDefault="00435416" w:rsidP="00AC122D">
            <w:pPr>
              <w:spacing w:before="40" w:after="40"/>
              <w:contextualSpacing/>
              <w:jc w:val="center"/>
              <w:rPr>
                <w:rFonts w:eastAsia="Calibri" w:cs="Arial"/>
              </w:rPr>
            </w:pPr>
            <w:r w:rsidRPr="008F3C04">
              <w:rPr>
                <w:rFonts w:eastAsia="Calibri" w:cs="Arial"/>
              </w:rPr>
              <w:t xml:space="preserve">Только если материал является </w:t>
            </w:r>
            <w:proofErr w:type="spellStart"/>
            <w:r w:rsidRPr="008F3C04">
              <w:rPr>
                <w:rFonts w:eastAsia="Calibri" w:cs="Arial"/>
              </w:rPr>
              <w:t>трудновоспламеняющимся</w:t>
            </w:r>
            <w:proofErr w:type="spellEnd"/>
          </w:p>
        </w:tc>
      </w:tr>
    </w:tbl>
    <w:p w14:paraId="2F31A1F8" w14:textId="77777777" w:rsidR="00435416" w:rsidRPr="008F3C04" w:rsidRDefault="00435416" w:rsidP="008A2479">
      <w:pPr>
        <w:pStyle w:val="SingleTxtG"/>
        <w:spacing w:before="120"/>
        <w:rPr>
          <w:b/>
          <w:bCs/>
        </w:rPr>
      </w:pPr>
      <w:r w:rsidRPr="008F3C04">
        <w:rPr>
          <w:rFonts w:eastAsia="Calibri" w:cs="Arial"/>
          <w:i/>
          <w:iCs/>
          <w:szCs w:val="22"/>
        </w:rPr>
        <w:t>(Справочный документ: ECE/TRANS/WP.15/AC.2/2021/30 с поправкам</w:t>
      </w:r>
      <w:r>
        <w:rPr>
          <w:rFonts w:eastAsia="Calibri" w:cs="Arial"/>
          <w:i/>
          <w:iCs/>
          <w:szCs w:val="22"/>
        </w:rPr>
        <w:t>и)</w:t>
      </w:r>
    </w:p>
    <w:p w14:paraId="2AC5307A" w14:textId="69E18DA9" w:rsidR="00435416" w:rsidRDefault="00435416" w:rsidP="00435416">
      <w:pPr>
        <w:suppressAutoHyphens w:val="0"/>
        <w:spacing w:line="240" w:lineRule="auto"/>
        <w:rPr>
          <w:rFonts w:eastAsia="Times New Roman" w:cs="Times New Roman"/>
          <w:szCs w:val="20"/>
        </w:rPr>
      </w:pPr>
    </w:p>
    <w:p w14:paraId="650ABFA9" w14:textId="77777777" w:rsidR="00AC122D" w:rsidRDefault="00AC122D" w:rsidP="00435416">
      <w:pPr>
        <w:suppressAutoHyphens w:val="0"/>
        <w:spacing w:line="240" w:lineRule="auto"/>
        <w:rPr>
          <w:rFonts w:eastAsia="Times New Roman" w:cs="Times New Roman"/>
          <w:szCs w:val="20"/>
        </w:rPr>
        <w:sectPr w:rsidR="00AC122D" w:rsidSect="00435416">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pPr>
    </w:p>
    <w:p w14:paraId="0AA4925F" w14:textId="77777777" w:rsidR="00AC122D" w:rsidRPr="00A23666" w:rsidRDefault="00AC122D" w:rsidP="008A2479">
      <w:pPr>
        <w:pStyle w:val="SingleTxtG"/>
      </w:pPr>
      <w:r>
        <w:lastRenderedPageBreak/>
        <w:t>9.</w:t>
      </w:r>
      <w:proofErr w:type="gramStart"/>
      <w:r>
        <w:t>3.x.</w:t>
      </w:r>
      <w:proofErr w:type="gramEnd"/>
      <w:r>
        <w:t>0</w:t>
      </w:r>
      <w:r>
        <w:tab/>
      </w:r>
      <w:r>
        <w:tab/>
        <w:t>Заменить пункты после таблицы следующими пунктами:</w:t>
      </w:r>
    </w:p>
    <w:p w14:paraId="66900D04" w14:textId="77777777" w:rsidR="00AC122D" w:rsidRPr="00A23666" w:rsidRDefault="00AC122D" w:rsidP="008A2479">
      <w:pPr>
        <w:pStyle w:val="SingleTxtG"/>
      </w:pPr>
      <w:r>
        <w:t>«9.</w:t>
      </w:r>
      <w:proofErr w:type="gramStart"/>
      <w:r>
        <w:t>3.x.</w:t>
      </w:r>
      <w:proofErr w:type="gramEnd"/>
      <w:r>
        <w:t>0.5</w:t>
      </w:r>
      <w:r>
        <w:tab/>
        <w:t>Используемая в пределах грузового пространства краска не должна быть способной к искрообразованию, в частности при ударе.</w:t>
      </w:r>
    </w:p>
    <w:p w14:paraId="3F504FBC" w14:textId="77777777" w:rsidR="00AC122D" w:rsidRPr="00A23666" w:rsidRDefault="00AC122D" w:rsidP="008A2479">
      <w:pPr>
        <w:pStyle w:val="SingleTxtG"/>
      </w:pPr>
      <w:r>
        <w:t>9.</w:t>
      </w:r>
      <w:proofErr w:type="gramStart"/>
      <w:r>
        <w:t>3.x.</w:t>
      </w:r>
      <w:proofErr w:type="gramEnd"/>
      <w:r>
        <w:t>0.6</w:t>
      </w:r>
      <w:r>
        <w:tab/>
        <w:t xml:space="preserve">Все материалы, используемые в постоянно закрепленных предметах в жилых помещениях или рулевой рубке, за исключением мебели, должны быть </w:t>
      </w:r>
      <w:proofErr w:type="spellStart"/>
      <w:r>
        <w:t>трудновоспламеняющимися</w:t>
      </w:r>
      <w:proofErr w:type="spellEnd"/>
      <w:r>
        <w:t xml:space="preserve">. В случае пожара они не должны выделять дым или токсичные </w:t>
      </w:r>
      <w:proofErr w:type="spellStart"/>
      <w:r>
        <w:t>газы</w:t>
      </w:r>
      <w:proofErr w:type="spellEnd"/>
      <w:r>
        <w:t xml:space="preserve"> в опасных количествах.».</w:t>
      </w:r>
    </w:p>
    <w:p w14:paraId="070FADC0" w14:textId="77777777" w:rsidR="00AC122D" w:rsidRPr="00A23666" w:rsidRDefault="00AC122D" w:rsidP="008A2479">
      <w:pPr>
        <w:pStyle w:val="SingleTxtG"/>
      </w:pPr>
      <w:r>
        <w:rPr>
          <w:i/>
          <w:iCs/>
        </w:rPr>
        <w:t>(Справочный документ: ECE/TRANS/WP.15/AC.2/2021/30)</w:t>
      </w:r>
    </w:p>
    <w:p w14:paraId="7F89590A" w14:textId="77777777" w:rsidR="00AC122D" w:rsidRPr="00A23666" w:rsidRDefault="00AC122D" w:rsidP="008A2479">
      <w:pPr>
        <w:pStyle w:val="SingleTxtG"/>
      </w:pPr>
      <w:r>
        <w:t>9.3.3.60</w:t>
      </w:r>
      <w:r>
        <w:tab/>
        <w:t xml:space="preserve">Данная поправка не касается текста на русском языке. </w:t>
      </w:r>
    </w:p>
    <w:p w14:paraId="5329E0F9" w14:textId="77777777" w:rsidR="00AC122D" w:rsidRPr="00A23666" w:rsidRDefault="00AC122D" w:rsidP="008A2479">
      <w:pPr>
        <w:pStyle w:val="SingleTxtG"/>
        <w:rPr>
          <w:i/>
        </w:rPr>
      </w:pPr>
      <w:r>
        <w:rPr>
          <w:i/>
          <w:iCs/>
        </w:rPr>
        <w:t>(Справочный документ: ECE/TRANS/WP.15/AC.2/2021/24)</w:t>
      </w:r>
    </w:p>
    <w:p w14:paraId="08A8928B" w14:textId="77777777" w:rsidR="00AC122D" w:rsidRPr="00A23666" w:rsidRDefault="00AC122D" w:rsidP="00AC122D">
      <w:pPr>
        <w:pStyle w:val="HChG"/>
      </w:pPr>
      <w:r w:rsidRPr="00A23666">
        <w:br w:type="page"/>
      </w:r>
    </w:p>
    <w:p w14:paraId="460A890E" w14:textId="77777777" w:rsidR="00AC122D" w:rsidRPr="00A23666" w:rsidRDefault="00AC122D" w:rsidP="00AC122D">
      <w:pPr>
        <w:pStyle w:val="HChG"/>
      </w:pPr>
      <w:r>
        <w:rPr>
          <w:bCs/>
        </w:rPr>
        <w:lastRenderedPageBreak/>
        <w:t>Приложение II</w:t>
      </w:r>
    </w:p>
    <w:p w14:paraId="1D38BE85" w14:textId="77777777" w:rsidR="00AC122D" w:rsidRPr="00A23666" w:rsidRDefault="00AC122D" w:rsidP="008A2479">
      <w:pPr>
        <w:pStyle w:val="SingleTxtG"/>
        <w:jc w:val="right"/>
      </w:pPr>
      <w:r>
        <w:t>[Языки оригинала: английский и французский]</w:t>
      </w:r>
    </w:p>
    <w:p w14:paraId="24F1C564" w14:textId="7C7048AB" w:rsidR="00AC122D" w:rsidRPr="00A23666" w:rsidRDefault="00AC122D" w:rsidP="00AC122D">
      <w:pPr>
        <w:pStyle w:val="HChG"/>
        <w:spacing w:after="0"/>
      </w:pPr>
      <w:r>
        <w:tab/>
      </w:r>
      <w:r>
        <w:tab/>
      </w:r>
      <w:r>
        <w:rPr>
          <w:bCs/>
        </w:rPr>
        <w:t>Исправления к документу ECE/TRANS/301 (издание</w:t>
      </w:r>
      <w:r w:rsidR="008A2479">
        <w:rPr>
          <w:bCs/>
          <w:lang w:val="en-US"/>
        </w:rPr>
        <w:t> </w:t>
      </w:r>
      <w:r>
        <w:rPr>
          <w:bCs/>
        </w:rPr>
        <w:t>ВОПОГ 2021 года)</w:t>
      </w:r>
    </w:p>
    <w:p w14:paraId="6A2E5555" w14:textId="77777777" w:rsidR="00AC122D" w:rsidRPr="00A23666" w:rsidRDefault="00AC122D" w:rsidP="00AC122D">
      <w:pPr>
        <w:pStyle w:val="H4G"/>
        <w:spacing w:before="0" w:after="240"/>
      </w:pPr>
      <w:r>
        <w:tab/>
      </w:r>
      <w:r>
        <w:tab/>
      </w:r>
      <w:r>
        <w:rPr>
          <w:iCs/>
        </w:rPr>
        <w:t>(Исправления, не требующие принятия Договаривающимися сторонами)</w:t>
      </w:r>
    </w:p>
    <w:p w14:paraId="0E8C8D13" w14:textId="77777777" w:rsidR="00AC122D" w:rsidRPr="00A23666" w:rsidRDefault="00AC122D" w:rsidP="002C3E62">
      <w:pPr>
        <w:pStyle w:val="SingleTxtG"/>
        <w:rPr>
          <w:b/>
          <w:bCs/>
        </w:rPr>
      </w:pPr>
      <w:r w:rsidRPr="00C32728">
        <w:rPr>
          <w:b/>
          <w:bCs/>
        </w:rPr>
        <w:t>1.</w:t>
      </w:r>
      <w:r w:rsidRPr="00C32728">
        <w:rPr>
          <w:b/>
          <w:bCs/>
        </w:rPr>
        <w:tab/>
      </w:r>
      <w:r>
        <w:rPr>
          <w:b/>
          <w:bCs/>
        </w:rPr>
        <w:t>Глава 3.2, таблица C, № ООН 1202, вторая позиция, колонка 2</w:t>
      </w:r>
    </w:p>
    <w:p w14:paraId="410CDAA8" w14:textId="77777777" w:rsidR="00AC122D" w:rsidRPr="00A23666" w:rsidRDefault="00AC122D" w:rsidP="002C3E62">
      <w:pPr>
        <w:pStyle w:val="SingleTxtG"/>
      </w:pPr>
      <w:r>
        <w:rPr>
          <w:i/>
          <w:iCs/>
        </w:rPr>
        <w:t>Вместо</w:t>
      </w:r>
      <w:r>
        <w:t xml:space="preserve"> «ГАЗОЙЛЬ, соответствующий стандарту EN 590:2013 + A1:2017, или ТОПЛИВО ДИЗЕЛЬНОЕ или ТОПЛИВО ПЕЧНОЕ ЛЕГКОЕ»</w:t>
      </w:r>
    </w:p>
    <w:p w14:paraId="252D472F" w14:textId="77777777" w:rsidR="00AC122D" w:rsidRPr="00A23666" w:rsidRDefault="00AC122D" w:rsidP="002C3E62">
      <w:pPr>
        <w:pStyle w:val="SingleTxtG"/>
      </w:pPr>
      <w:r>
        <w:rPr>
          <w:i/>
          <w:iCs/>
        </w:rPr>
        <w:t>читать</w:t>
      </w:r>
      <w:r>
        <w:t xml:space="preserve"> «ТОПЛИВО ДИЗЕЛЬНОЕ, соответствующее стандарту EN 590:2013 + A1:2017, или ГАЗОЙЛЬ или ТОПЛИВО ПЕЧНОЕ ЛЕГКОЕ».</w:t>
      </w:r>
    </w:p>
    <w:p w14:paraId="55109BFB" w14:textId="77777777" w:rsidR="00AC122D" w:rsidRPr="00A23666" w:rsidRDefault="00AC122D" w:rsidP="002C3E62">
      <w:pPr>
        <w:pStyle w:val="SingleTxtG"/>
        <w:rPr>
          <w:i/>
        </w:rPr>
      </w:pPr>
      <w:r>
        <w:rPr>
          <w:i/>
          <w:iCs/>
        </w:rPr>
        <w:t>(Справочный документ: неофициальный документ INF.10)</w:t>
      </w:r>
    </w:p>
    <w:p w14:paraId="793CD814" w14:textId="50CCF233" w:rsidR="00AC122D" w:rsidRPr="00A23666" w:rsidRDefault="00AC122D" w:rsidP="002C3E62">
      <w:pPr>
        <w:pStyle w:val="SingleTxtG"/>
        <w:rPr>
          <w:b/>
          <w:bCs/>
        </w:rPr>
      </w:pPr>
      <w:r w:rsidRPr="009A2000">
        <w:rPr>
          <w:b/>
          <w:bCs/>
        </w:rPr>
        <w:t>2.</w:t>
      </w:r>
      <w:r w:rsidRPr="009A2000">
        <w:rPr>
          <w:b/>
          <w:bCs/>
        </w:rPr>
        <w:tab/>
      </w:r>
      <w:r>
        <w:rPr>
          <w:b/>
          <w:bCs/>
        </w:rPr>
        <w:t>Глава 3.2, таблица С, № ООН 3295 УГЛЕВОДОРОДЫ ЖИДКИЕ, Н.У.К., СОДЕРЖАЩИЕ ИЗОПРЕН И ПЕНТАДИЕН, СТАБИЛИЗИРОВАННЫЕ</w:t>
      </w:r>
      <w:r w:rsidR="002C3E62">
        <w:rPr>
          <w:b/>
          <w:bCs/>
          <w:lang w:val="en-US"/>
        </w:rPr>
        <w:t> </w:t>
      </w:r>
      <w:r>
        <w:rPr>
          <w:b/>
          <w:bCs/>
        </w:rPr>
        <w:t>— две</w:t>
      </w:r>
      <w:r w:rsidR="002C3E62">
        <w:rPr>
          <w:b/>
          <w:bCs/>
          <w:lang w:val="en-US"/>
        </w:rPr>
        <w:t> </w:t>
      </w:r>
      <w:r>
        <w:rPr>
          <w:b/>
          <w:bCs/>
        </w:rPr>
        <w:t>позиции, колонка 5</w:t>
      </w:r>
    </w:p>
    <w:p w14:paraId="2E3A66AF" w14:textId="77777777" w:rsidR="00AC122D" w:rsidRPr="00A23666" w:rsidRDefault="00AC122D" w:rsidP="002C3E62">
      <w:pPr>
        <w:pStyle w:val="SingleTxtG"/>
        <w:rPr>
          <w:i/>
          <w:iCs/>
        </w:rPr>
      </w:pPr>
      <w:r>
        <w:t>Данное исправление не касается текста на русском языке.</w:t>
      </w:r>
    </w:p>
    <w:p w14:paraId="11822550" w14:textId="77777777" w:rsidR="00AC122D" w:rsidRPr="00A23666" w:rsidRDefault="00AC122D" w:rsidP="002C3E62">
      <w:pPr>
        <w:pStyle w:val="SingleTxtG"/>
        <w:rPr>
          <w:i/>
        </w:rPr>
      </w:pPr>
      <w:r>
        <w:rPr>
          <w:i/>
          <w:iCs/>
        </w:rPr>
        <w:t>(Справочный документ: неофициальный документ INF.11)</w:t>
      </w:r>
    </w:p>
    <w:p w14:paraId="48DE2A74" w14:textId="77777777" w:rsidR="00AC122D" w:rsidRPr="00A23666" w:rsidRDefault="00AC122D" w:rsidP="002C3E62">
      <w:pPr>
        <w:pStyle w:val="SingleTxtG"/>
        <w:rPr>
          <w:b/>
          <w:bCs/>
        </w:rPr>
      </w:pPr>
      <w:r w:rsidRPr="009A2000">
        <w:rPr>
          <w:b/>
          <w:bCs/>
        </w:rPr>
        <w:t>3.</w:t>
      </w:r>
      <w:r w:rsidRPr="009A2000">
        <w:rPr>
          <w:b/>
          <w:bCs/>
        </w:rPr>
        <w:tab/>
      </w:r>
      <w:r>
        <w:rPr>
          <w:b/>
          <w:bCs/>
        </w:rPr>
        <w:t>Глава 9.3, 9.3.1.14.2, 9.3.2.14.2 и 9.3.3.14.2, подпункт a)</w:t>
      </w:r>
    </w:p>
    <w:p w14:paraId="0E0F8D6B" w14:textId="77777777" w:rsidR="00AC122D" w:rsidRPr="00A23666" w:rsidRDefault="00AC122D" w:rsidP="002C3E62">
      <w:pPr>
        <w:pStyle w:val="SingleTxtG"/>
        <w:rPr>
          <w:b/>
          <w:bCs/>
        </w:rPr>
      </w:pPr>
      <w:r>
        <w:t>Данное исправление не касается текста на русском языке.</w:t>
      </w:r>
    </w:p>
    <w:p w14:paraId="05B0FD38" w14:textId="77777777" w:rsidR="00AC122D" w:rsidRPr="00A23666" w:rsidRDefault="00AC122D" w:rsidP="002C3E62">
      <w:pPr>
        <w:pStyle w:val="SingleTxtG"/>
        <w:rPr>
          <w:i/>
        </w:rPr>
      </w:pPr>
      <w:r>
        <w:rPr>
          <w:i/>
          <w:iCs/>
        </w:rPr>
        <w:t>(Справочный документ: неофициальный документ INF.18)</w:t>
      </w:r>
    </w:p>
    <w:p w14:paraId="71EEFB6C" w14:textId="77777777" w:rsidR="00AC122D" w:rsidRPr="00A23666" w:rsidRDefault="00AC122D" w:rsidP="002C3E62">
      <w:pPr>
        <w:pStyle w:val="SingleTxtG"/>
        <w:rPr>
          <w:b/>
          <w:bCs/>
        </w:rPr>
      </w:pPr>
      <w:r w:rsidRPr="009A2000">
        <w:rPr>
          <w:b/>
          <w:bCs/>
        </w:rPr>
        <w:t>4.</w:t>
      </w:r>
      <w:r w:rsidRPr="009A2000">
        <w:rPr>
          <w:b/>
          <w:bCs/>
        </w:rPr>
        <w:tab/>
      </w:r>
      <w:r>
        <w:rPr>
          <w:b/>
          <w:bCs/>
        </w:rPr>
        <w:t>Глава 9.3, 9.3.1.14.2, 9.3.2.14.2 и 9.3.3.14.2, подпункт b)</w:t>
      </w:r>
    </w:p>
    <w:p w14:paraId="78305345" w14:textId="77777777" w:rsidR="00AC122D" w:rsidRPr="00A23666" w:rsidRDefault="00AC122D" w:rsidP="002C3E62">
      <w:pPr>
        <w:pStyle w:val="SingleTxtG"/>
        <w:rPr>
          <w:b/>
          <w:bCs/>
        </w:rPr>
      </w:pPr>
      <w:r>
        <w:t>Данное исправление не касается текста на русском языке.</w:t>
      </w:r>
    </w:p>
    <w:p w14:paraId="70F773C7" w14:textId="77777777" w:rsidR="00AC122D" w:rsidRPr="00A23666" w:rsidRDefault="00AC122D" w:rsidP="002C3E62">
      <w:pPr>
        <w:pStyle w:val="SingleTxtG"/>
        <w:rPr>
          <w:b/>
          <w:bCs/>
        </w:rPr>
      </w:pPr>
      <w:r>
        <w:rPr>
          <w:i/>
          <w:iCs/>
        </w:rPr>
        <w:t>(Справочный документ: неофициальный документ INF.18)</w:t>
      </w:r>
    </w:p>
    <w:p w14:paraId="602180EB" w14:textId="77777777" w:rsidR="00AC122D" w:rsidRPr="00A23666" w:rsidRDefault="00AC122D" w:rsidP="002C3E62">
      <w:pPr>
        <w:pStyle w:val="SingleTxtG"/>
        <w:rPr>
          <w:b/>
          <w:bCs/>
        </w:rPr>
      </w:pPr>
      <w:r w:rsidRPr="009A2000">
        <w:rPr>
          <w:b/>
          <w:bCs/>
        </w:rPr>
        <w:t>5.</w:t>
      </w:r>
      <w:r w:rsidRPr="009A2000">
        <w:rPr>
          <w:b/>
          <w:bCs/>
        </w:rPr>
        <w:tab/>
      </w:r>
      <w:r>
        <w:rPr>
          <w:b/>
          <w:bCs/>
        </w:rPr>
        <w:t>Глава 9.3, 9.3.1.15.2, последнее предложение последнего абзаца</w:t>
      </w:r>
    </w:p>
    <w:p w14:paraId="005B994E" w14:textId="77777777" w:rsidR="00AC122D" w:rsidRPr="00A23666" w:rsidRDefault="00AC122D" w:rsidP="002C3E62">
      <w:pPr>
        <w:pStyle w:val="SingleTxtG"/>
        <w:rPr>
          <w:b/>
          <w:bCs/>
        </w:rPr>
      </w:pPr>
      <w:r>
        <w:t>Данное исправление не касается текста на русском языке.</w:t>
      </w:r>
    </w:p>
    <w:p w14:paraId="55150852" w14:textId="77777777" w:rsidR="00AC122D" w:rsidRPr="00A23666" w:rsidRDefault="00AC122D" w:rsidP="002C3E62">
      <w:pPr>
        <w:pStyle w:val="SingleTxtG"/>
        <w:rPr>
          <w:i/>
        </w:rPr>
      </w:pPr>
      <w:r>
        <w:rPr>
          <w:i/>
          <w:iCs/>
        </w:rPr>
        <w:t>(Справочный документ: неофициальный документ INF.8)</w:t>
      </w:r>
    </w:p>
    <w:p w14:paraId="22ED1A78" w14:textId="77777777" w:rsidR="00AC122D" w:rsidRPr="00A23666" w:rsidRDefault="00AC122D" w:rsidP="002C3E62">
      <w:pPr>
        <w:pStyle w:val="SingleTxtG"/>
        <w:rPr>
          <w:b/>
          <w:bCs/>
        </w:rPr>
      </w:pPr>
      <w:r w:rsidRPr="009A2000">
        <w:rPr>
          <w:b/>
          <w:bCs/>
        </w:rPr>
        <w:t>6.</w:t>
      </w:r>
      <w:r w:rsidRPr="009A2000">
        <w:rPr>
          <w:b/>
          <w:bCs/>
        </w:rPr>
        <w:tab/>
      </w:r>
      <w:r>
        <w:rPr>
          <w:b/>
          <w:bCs/>
        </w:rPr>
        <w:t>Глава 9.3, 9.3.2.15.2, последний абзац</w:t>
      </w:r>
    </w:p>
    <w:p w14:paraId="7D1D25F0" w14:textId="77777777" w:rsidR="00AC122D" w:rsidRPr="00A23666" w:rsidRDefault="00AC122D" w:rsidP="002C3E62">
      <w:pPr>
        <w:pStyle w:val="SingleTxtG"/>
        <w:rPr>
          <w:b/>
          <w:bCs/>
        </w:rPr>
      </w:pPr>
      <w:r>
        <w:t>Данное исправление не касается текста на русском языке.</w:t>
      </w:r>
    </w:p>
    <w:p w14:paraId="624558CE" w14:textId="77777777" w:rsidR="00AC122D" w:rsidRPr="00A23666" w:rsidRDefault="00AC122D" w:rsidP="002C3E62">
      <w:pPr>
        <w:pStyle w:val="SingleTxtG"/>
        <w:rPr>
          <w:i/>
        </w:rPr>
      </w:pPr>
      <w:r>
        <w:rPr>
          <w:i/>
          <w:iCs/>
        </w:rPr>
        <w:t>(Справочный документ: неофициальный документ INF.8)</w:t>
      </w:r>
    </w:p>
    <w:p w14:paraId="196CB0FA" w14:textId="77777777" w:rsidR="00AC122D" w:rsidRPr="00A23666" w:rsidRDefault="00AC122D" w:rsidP="002C3E62">
      <w:pPr>
        <w:pStyle w:val="SingleTxtG"/>
        <w:rPr>
          <w:b/>
          <w:bCs/>
        </w:rPr>
      </w:pPr>
      <w:r w:rsidRPr="009A2000">
        <w:rPr>
          <w:b/>
          <w:bCs/>
        </w:rPr>
        <w:t>7.</w:t>
      </w:r>
      <w:r w:rsidRPr="009A2000">
        <w:rPr>
          <w:b/>
          <w:bCs/>
        </w:rPr>
        <w:tab/>
      </w:r>
      <w:r>
        <w:rPr>
          <w:b/>
          <w:bCs/>
        </w:rPr>
        <w:t>Глава 9.3, 9.3.3.15.2, последний абзац</w:t>
      </w:r>
    </w:p>
    <w:p w14:paraId="79CE2E00" w14:textId="77777777" w:rsidR="00AC122D" w:rsidRPr="00A23666" w:rsidRDefault="00AC122D" w:rsidP="002C3E62">
      <w:pPr>
        <w:pStyle w:val="SingleTxtG"/>
        <w:rPr>
          <w:b/>
          <w:bCs/>
        </w:rPr>
      </w:pPr>
      <w:r>
        <w:t>Данное исправление не касается текста на</w:t>
      </w:r>
      <w:r w:rsidRPr="006867C4">
        <w:t xml:space="preserve"> </w:t>
      </w:r>
      <w:r>
        <w:t>русском языке.</w:t>
      </w:r>
    </w:p>
    <w:p w14:paraId="75C7A544" w14:textId="77777777" w:rsidR="00AC122D" w:rsidRPr="00A23666" w:rsidRDefault="00AC122D" w:rsidP="002C3E62">
      <w:pPr>
        <w:pStyle w:val="SingleTxtG"/>
        <w:rPr>
          <w:i/>
        </w:rPr>
      </w:pPr>
      <w:r>
        <w:rPr>
          <w:i/>
          <w:iCs/>
        </w:rPr>
        <w:t>(Справочный документ: неофициальный документ INF.8)</w:t>
      </w:r>
    </w:p>
    <w:p w14:paraId="303AB391" w14:textId="6FAB18F8" w:rsidR="00AC122D" w:rsidRPr="00AC122D" w:rsidRDefault="00AC122D" w:rsidP="002C3E62">
      <w:pPr>
        <w:spacing w:after="120"/>
        <w:ind w:left="1134" w:right="1134"/>
        <w:jc w:val="center"/>
        <w:rPr>
          <w:u w:val="single"/>
        </w:rPr>
      </w:pPr>
      <w:bookmarkStart w:id="130" w:name="_Hlk536608115"/>
      <w:r w:rsidRPr="00A23666">
        <w:rPr>
          <w:u w:val="single"/>
        </w:rPr>
        <w:tab/>
      </w:r>
      <w:r w:rsidRPr="00A23666">
        <w:rPr>
          <w:u w:val="single"/>
        </w:rPr>
        <w:tab/>
      </w:r>
      <w:r w:rsidR="002C3E62">
        <w:rPr>
          <w:u w:val="single"/>
        </w:rPr>
        <w:tab/>
      </w:r>
      <w:r w:rsidRPr="00A23666">
        <w:rPr>
          <w:u w:val="single"/>
        </w:rPr>
        <w:tab/>
      </w:r>
      <w:bookmarkEnd w:id="130"/>
    </w:p>
    <w:sectPr w:rsidR="00AC122D" w:rsidRPr="00AC122D" w:rsidSect="00AC122D">
      <w:headerReference w:type="even" r:id="rId28"/>
      <w:headerReference w:type="default" r:id="rId29"/>
      <w:footerReference w:type="even" r:id="rId30"/>
      <w:footerReference w:type="default" r:id="rId3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593B" w14:textId="77777777" w:rsidR="00AC122D" w:rsidRPr="00A312BC" w:rsidRDefault="00AC122D" w:rsidP="00A312BC"/>
  </w:endnote>
  <w:endnote w:type="continuationSeparator" w:id="0">
    <w:p w14:paraId="7F88C382" w14:textId="77777777" w:rsidR="00AC122D" w:rsidRPr="00A312BC" w:rsidRDefault="00AC12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0D3D" w14:textId="14C0C71A" w:rsidR="00AC122D" w:rsidRPr="00B0401D" w:rsidRDefault="00AC122D">
    <w:pPr>
      <w:pStyle w:val="a8"/>
    </w:pPr>
    <w:r w:rsidRPr="00B0401D">
      <w:rPr>
        <w:b/>
        <w:sz w:val="18"/>
      </w:rPr>
      <w:fldChar w:fldCharType="begin"/>
    </w:r>
    <w:r w:rsidRPr="00B0401D">
      <w:rPr>
        <w:b/>
        <w:sz w:val="18"/>
      </w:rPr>
      <w:instrText xml:space="preserve"> PAGE  \* MERGEFORMAT </w:instrText>
    </w:r>
    <w:r w:rsidRPr="00B0401D">
      <w:rPr>
        <w:b/>
        <w:sz w:val="18"/>
      </w:rPr>
      <w:fldChar w:fldCharType="separate"/>
    </w:r>
    <w:r w:rsidRPr="00B0401D">
      <w:rPr>
        <w:b/>
        <w:noProof/>
        <w:sz w:val="18"/>
      </w:rPr>
      <w:t>2</w:t>
    </w:r>
    <w:r w:rsidRPr="00B0401D">
      <w:rPr>
        <w:b/>
        <w:sz w:val="18"/>
      </w:rPr>
      <w:fldChar w:fldCharType="end"/>
    </w:r>
    <w:r>
      <w:rPr>
        <w:b/>
        <w:sz w:val="18"/>
      </w:rPr>
      <w:tab/>
    </w:r>
    <w:r>
      <w:t>GE.21-13664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DC94" w14:textId="1B5562B8" w:rsidR="00AC122D" w:rsidRPr="00AC122D" w:rsidRDefault="00AC122D" w:rsidP="00AC122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r w:rsidRPr="00AC122D">
      <w:t>GE.21-13664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EA4C" w14:textId="51032BB9" w:rsidR="00AC122D" w:rsidRPr="00AC122D" w:rsidRDefault="00AC122D" w:rsidP="00AC122D">
    <w:pPr>
      <w:pStyle w:val="a8"/>
      <w:rPr>
        <w:b/>
        <w:sz w:val="18"/>
      </w:rPr>
    </w:pPr>
    <w:r>
      <w:t>GE.</w:t>
    </w:r>
    <w:r w:rsidRPr="00AC122D">
      <w:t>21</w:t>
    </w:r>
    <w:r>
      <w:t>-</w:t>
    </w:r>
    <w:r w:rsidRPr="00AC122D">
      <w:t>13664</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688E" w14:textId="63789F46" w:rsidR="00AC122D" w:rsidRPr="00B0401D" w:rsidRDefault="00AC122D" w:rsidP="00B0401D">
    <w:pPr>
      <w:pStyle w:val="a8"/>
      <w:tabs>
        <w:tab w:val="clear" w:pos="9639"/>
        <w:tab w:val="right" w:pos="9638"/>
      </w:tabs>
      <w:rPr>
        <w:b/>
        <w:sz w:val="18"/>
      </w:rPr>
    </w:pPr>
    <w:r>
      <w:t>GE.21-13664</w:t>
    </w:r>
    <w:r>
      <w:tab/>
    </w:r>
    <w:r w:rsidRPr="00B0401D">
      <w:rPr>
        <w:b/>
        <w:sz w:val="18"/>
      </w:rPr>
      <w:fldChar w:fldCharType="begin"/>
    </w:r>
    <w:r w:rsidRPr="00B0401D">
      <w:rPr>
        <w:b/>
        <w:sz w:val="18"/>
      </w:rPr>
      <w:instrText xml:space="preserve"> PAGE  \* MERGEFORMAT </w:instrText>
    </w:r>
    <w:r w:rsidRPr="00B0401D">
      <w:rPr>
        <w:b/>
        <w:sz w:val="18"/>
      </w:rPr>
      <w:fldChar w:fldCharType="separate"/>
    </w:r>
    <w:r w:rsidRPr="00B0401D">
      <w:rPr>
        <w:b/>
        <w:noProof/>
        <w:sz w:val="18"/>
      </w:rPr>
      <w:t>3</w:t>
    </w:r>
    <w:r w:rsidRPr="00B040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FEBE" w14:textId="4F3AF08D" w:rsidR="00AC122D" w:rsidRPr="00B0401D" w:rsidRDefault="00AC122D" w:rsidP="00B0401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A849735" wp14:editId="024092F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13664  (</w:t>
    </w:r>
    <w:proofErr w:type="gramEnd"/>
    <w:r>
      <w:t>R)</w:t>
    </w:r>
    <w:r>
      <w:rPr>
        <w:noProof/>
      </w:rPr>
      <w:drawing>
        <wp:anchor distT="0" distB="0" distL="114300" distR="114300" simplePos="0" relativeHeight="251659264" behindDoc="0" locked="0" layoutInCell="1" allowOverlap="1" wp14:anchorId="373467F9" wp14:editId="6E089CA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151021  2</w:t>
    </w:r>
    <w:r w:rsidR="00220F25">
      <w:rPr>
        <w:lang w:val="en-US"/>
      </w:rPr>
      <w:t>5</w:t>
    </w:r>
    <w:r>
      <w:rPr>
        <w:lang w:val="en-US"/>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285D" w14:textId="6D0E2106" w:rsidR="00AC122D" w:rsidRPr="002F69D8" w:rsidRDefault="00AC122D" w:rsidP="002F69D8">
    <w:pPr>
      <w:pStyle w:val="a8"/>
    </w:pPr>
    <w:r>
      <w:rPr>
        <w:noProof/>
      </w:rPr>
      <mc:AlternateContent>
        <mc:Choice Requires="wps">
          <w:drawing>
            <wp:anchor distT="0" distB="0" distL="114300" distR="114300" simplePos="0" relativeHeight="251663360" behindDoc="0" locked="0" layoutInCell="1" allowOverlap="1" wp14:anchorId="5215C94E" wp14:editId="636CBC1F">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ACC183" w14:textId="77777777" w:rsidR="00AC122D" w:rsidRPr="00B0401D" w:rsidRDefault="00AC122D" w:rsidP="002F69D8">
                          <w:pPr>
                            <w:pStyle w:val="a8"/>
                          </w:pPr>
                          <w:r w:rsidRPr="00B0401D">
                            <w:rPr>
                              <w:b/>
                              <w:sz w:val="18"/>
                            </w:rPr>
                            <w:fldChar w:fldCharType="begin"/>
                          </w:r>
                          <w:r w:rsidRPr="00B0401D">
                            <w:rPr>
                              <w:b/>
                              <w:sz w:val="18"/>
                            </w:rPr>
                            <w:instrText xml:space="preserve"> PAGE  \* MERGEFORMAT </w:instrText>
                          </w:r>
                          <w:r w:rsidRPr="00B0401D">
                            <w:rPr>
                              <w:b/>
                              <w:sz w:val="18"/>
                            </w:rPr>
                            <w:fldChar w:fldCharType="separate"/>
                          </w:r>
                          <w:r>
                            <w:rPr>
                              <w:b/>
                              <w:sz w:val="18"/>
                            </w:rPr>
                            <w:t>20</w:t>
                          </w:r>
                          <w:r w:rsidRPr="00B0401D">
                            <w:rPr>
                              <w:b/>
                              <w:sz w:val="18"/>
                            </w:rPr>
                            <w:fldChar w:fldCharType="end"/>
                          </w:r>
                          <w:r>
                            <w:rPr>
                              <w:b/>
                              <w:sz w:val="18"/>
                            </w:rPr>
                            <w:tab/>
                          </w:r>
                          <w:r>
                            <w:t>GE.21-13664</w:t>
                          </w:r>
                        </w:p>
                        <w:p w14:paraId="7E8E9FD7"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15C94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2BACC183" w14:textId="77777777" w:rsidR="00AC122D" w:rsidRPr="00B0401D" w:rsidRDefault="00AC122D" w:rsidP="002F69D8">
                    <w:pPr>
                      <w:pStyle w:val="a8"/>
                    </w:pPr>
                    <w:r w:rsidRPr="00B0401D">
                      <w:rPr>
                        <w:b/>
                        <w:sz w:val="18"/>
                      </w:rPr>
                      <w:fldChar w:fldCharType="begin"/>
                    </w:r>
                    <w:r w:rsidRPr="00B0401D">
                      <w:rPr>
                        <w:b/>
                        <w:sz w:val="18"/>
                      </w:rPr>
                      <w:instrText xml:space="preserve"> PAGE  \* MERGEFORMAT </w:instrText>
                    </w:r>
                    <w:r w:rsidRPr="00B0401D">
                      <w:rPr>
                        <w:b/>
                        <w:sz w:val="18"/>
                      </w:rPr>
                      <w:fldChar w:fldCharType="separate"/>
                    </w:r>
                    <w:r>
                      <w:rPr>
                        <w:b/>
                        <w:sz w:val="18"/>
                      </w:rPr>
                      <w:t>20</w:t>
                    </w:r>
                    <w:r w:rsidRPr="00B0401D">
                      <w:rPr>
                        <w:b/>
                        <w:sz w:val="18"/>
                      </w:rPr>
                      <w:fldChar w:fldCharType="end"/>
                    </w:r>
                    <w:r>
                      <w:rPr>
                        <w:b/>
                        <w:sz w:val="18"/>
                      </w:rPr>
                      <w:tab/>
                    </w:r>
                    <w:r>
                      <w:t>GE.21-13664</w:t>
                    </w:r>
                  </w:p>
                  <w:p w14:paraId="7E8E9FD7" w14:textId="77777777" w:rsidR="00AC122D" w:rsidRDefault="00AC122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227A" w14:textId="38607DA9" w:rsidR="00AC122D" w:rsidRPr="002F69D8" w:rsidRDefault="00AC122D" w:rsidP="002F69D8">
    <w:pPr>
      <w:pStyle w:val="a8"/>
    </w:pPr>
    <w:r>
      <w:rPr>
        <w:noProof/>
      </w:rPr>
      <mc:AlternateContent>
        <mc:Choice Requires="wps">
          <w:drawing>
            <wp:anchor distT="0" distB="0" distL="114300" distR="114300" simplePos="0" relativeHeight="251661312" behindDoc="0" locked="0" layoutInCell="1" allowOverlap="1" wp14:anchorId="68C19D33" wp14:editId="576FD61C">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E2B60C" w14:textId="77777777" w:rsidR="00AC122D" w:rsidRPr="00B0401D" w:rsidRDefault="00AC122D" w:rsidP="002F69D8">
                          <w:pPr>
                            <w:pStyle w:val="a8"/>
                            <w:tabs>
                              <w:tab w:val="clear" w:pos="9639"/>
                              <w:tab w:val="right" w:pos="9638"/>
                            </w:tabs>
                            <w:rPr>
                              <w:b/>
                              <w:sz w:val="18"/>
                            </w:rPr>
                          </w:pPr>
                          <w:r>
                            <w:t>GE.21-13664</w:t>
                          </w:r>
                          <w:r>
                            <w:tab/>
                          </w:r>
                          <w:r w:rsidRPr="00B0401D">
                            <w:rPr>
                              <w:b/>
                              <w:sz w:val="18"/>
                            </w:rPr>
                            <w:fldChar w:fldCharType="begin"/>
                          </w:r>
                          <w:r w:rsidRPr="00B0401D">
                            <w:rPr>
                              <w:b/>
                              <w:sz w:val="18"/>
                            </w:rPr>
                            <w:instrText xml:space="preserve"> PAGE  \* MERGEFORMAT </w:instrText>
                          </w:r>
                          <w:r w:rsidRPr="00B0401D">
                            <w:rPr>
                              <w:b/>
                              <w:sz w:val="18"/>
                            </w:rPr>
                            <w:fldChar w:fldCharType="separate"/>
                          </w:r>
                          <w:r>
                            <w:rPr>
                              <w:b/>
                              <w:sz w:val="18"/>
                            </w:rPr>
                            <w:t>19</w:t>
                          </w:r>
                          <w:r w:rsidRPr="00B0401D">
                            <w:rPr>
                              <w:b/>
                              <w:sz w:val="18"/>
                            </w:rPr>
                            <w:fldChar w:fldCharType="end"/>
                          </w:r>
                        </w:p>
                        <w:p w14:paraId="75812DA0"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C19D33"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2DE2B60C" w14:textId="77777777" w:rsidR="00AC122D" w:rsidRPr="00B0401D" w:rsidRDefault="00AC122D" w:rsidP="002F69D8">
                    <w:pPr>
                      <w:pStyle w:val="a8"/>
                      <w:tabs>
                        <w:tab w:val="clear" w:pos="9639"/>
                        <w:tab w:val="right" w:pos="9638"/>
                      </w:tabs>
                      <w:rPr>
                        <w:b/>
                        <w:sz w:val="18"/>
                      </w:rPr>
                    </w:pPr>
                    <w:r>
                      <w:t>GE.21-13664</w:t>
                    </w:r>
                    <w:r>
                      <w:tab/>
                    </w:r>
                    <w:r w:rsidRPr="00B0401D">
                      <w:rPr>
                        <w:b/>
                        <w:sz w:val="18"/>
                      </w:rPr>
                      <w:fldChar w:fldCharType="begin"/>
                    </w:r>
                    <w:r w:rsidRPr="00B0401D">
                      <w:rPr>
                        <w:b/>
                        <w:sz w:val="18"/>
                      </w:rPr>
                      <w:instrText xml:space="preserve"> PAGE  \* MERGEFORMAT </w:instrText>
                    </w:r>
                    <w:r w:rsidRPr="00B0401D">
                      <w:rPr>
                        <w:b/>
                        <w:sz w:val="18"/>
                      </w:rPr>
                      <w:fldChar w:fldCharType="separate"/>
                    </w:r>
                    <w:r>
                      <w:rPr>
                        <w:b/>
                        <w:sz w:val="18"/>
                      </w:rPr>
                      <w:t>19</w:t>
                    </w:r>
                    <w:r w:rsidRPr="00B0401D">
                      <w:rPr>
                        <w:b/>
                        <w:sz w:val="18"/>
                      </w:rPr>
                      <w:fldChar w:fldCharType="end"/>
                    </w:r>
                  </w:p>
                  <w:p w14:paraId="75812DA0" w14:textId="77777777" w:rsidR="00AC122D" w:rsidRDefault="00AC122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3581" w14:textId="5D7B19EE" w:rsidR="00AC122D" w:rsidRPr="005F6D7B" w:rsidRDefault="00AC122D" w:rsidP="005F6D7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5F6D7B">
      <w:t>GE.21-13664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FC99" w14:textId="71DCE27C" w:rsidR="00AC122D" w:rsidRPr="005F6D7B" w:rsidRDefault="00AC122D" w:rsidP="005F6D7B">
    <w:pPr>
      <w:pStyle w:val="a8"/>
      <w:rPr>
        <w:b/>
        <w:sz w:val="18"/>
      </w:rPr>
    </w:pPr>
    <w:r>
      <w:t>GE.</w:t>
    </w:r>
    <w:r w:rsidRPr="005F6D7B">
      <w:t>21</w:t>
    </w:r>
    <w:r>
      <w:t>-</w:t>
    </w:r>
    <w:r w:rsidRPr="005F6D7B">
      <w:t>13664</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D407" w14:textId="172D8960" w:rsidR="00AC122D" w:rsidRPr="00435416" w:rsidRDefault="00AC122D" w:rsidP="00435416">
    <w:pPr>
      <w:pStyle w:val="a8"/>
    </w:pPr>
    <w:r>
      <w:rPr>
        <w:noProof/>
      </w:rPr>
      <mc:AlternateContent>
        <mc:Choice Requires="wps">
          <w:drawing>
            <wp:anchor distT="0" distB="0" distL="114300" distR="114300" simplePos="0" relativeHeight="251665408" behindDoc="0" locked="0" layoutInCell="1" allowOverlap="1" wp14:anchorId="48FBDFB2" wp14:editId="1802A80A">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A79DC8" w14:textId="77777777" w:rsidR="00AC122D" w:rsidRPr="005F6D7B" w:rsidRDefault="00AC122D" w:rsidP="00435416">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5F6D7B">
                            <w:t>GE.21-13664</w:t>
                          </w:r>
                        </w:p>
                        <w:p w14:paraId="48EF001F"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FBDFB2" id="_x0000_t202" coordsize="21600,21600" o:spt="202" path="m,l,21600r21600,l21600,xe">
              <v:stroke joinstyle="miter"/>
              <v:path gradientshapeok="t" o:connecttype="rect"/>
            </v:shapetype>
            <v:shape id="Надпись 13" o:spid="_x0000_s1032"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iEowIAADM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DXmriEowIAADMFAAAOAAAAAAAAAAAAAAAAAC4CAABk&#10;cnMvZTJvRG9jLnhtbFBLAQItABQABgAIAAAAIQCSXiq82wAAAAgBAAAPAAAAAAAAAAAAAAAAAP0E&#10;AABkcnMvZG93bnJldi54bWxQSwUGAAAAAAQABADzAAAABQYAAAAA&#10;" fillcolor="#4f81bd [3204]" stroked="f" strokeweight=".5pt">
              <v:fill opacity="0"/>
              <v:stroke joinstyle="round"/>
              <v:textbox style="layout-flow:vertical" inset="0,0,0,0">
                <w:txbxContent>
                  <w:p w14:paraId="1FA79DC8" w14:textId="77777777" w:rsidR="00AC122D" w:rsidRPr="005F6D7B" w:rsidRDefault="00AC122D" w:rsidP="00435416">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5F6D7B">
                      <w:t>GE.21-13664</w:t>
                    </w:r>
                  </w:p>
                  <w:p w14:paraId="48EF001F" w14:textId="77777777" w:rsidR="00AC122D" w:rsidRDefault="00AC122D"/>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7AC2" w14:textId="1E73D9FE" w:rsidR="00AC122D" w:rsidRPr="00435416" w:rsidRDefault="00AC122D" w:rsidP="00435416">
    <w:pPr>
      <w:pStyle w:val="a8"/>
    </w:pPr>
    <w:r>
      <w:rPr>
        <w:noProof/>
      </w:rPr>
      <mc:AlternateContent>
        <mc:Choice Requires="wps">
          <w:drawing>
            <wp:anchor distT="0" distB="0" distL="114300" distR="114300" simplePos="0" relativeHeight="251667456" behindDoc="0" locked="0" layoutInCell="1" allowOverlap="1" wp14:anchorId="5D7E94A0" wp14:editId="5E3E471F">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1AAE42" w14:textId="77777777" w:rsidR="00AC122D" w:rsidRPr="005F6D7B" w:rsidRDefault="00AC122D" w:rsidP="00435416">
                          <w:pPr>
                            <w:pStyle w:val="a8"/>
                            <w:rPr>
                              <w:b/>
                              <w:sz w:val="18"/>
                            </w:rPr>
                          </w:pPr>
                          <w:r>
                            <w:t>GE.</w:t>
                          </w:r>
                          <w:r w:rsidRPr="005F6D7B">
                            <w:t>21</w:t>
                          </w:r>
                          <w:r>
                            <w:t>-</w:t>
                          </w:r>
                          <w:r w:rsidRPr="005F6D7B">
                            <w:t>13664</w:t>
                          </w: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41D6FC33"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7E94A0" id="_x0000_t202" coordsize="21600,21600" o:spt="202" path="m,l,21600r21600,l21600,xe">
              <v:stroke joinstyle="miter"/>
              <v:path gradientshapeok="t" o:connecttype="rect"/>
            </v:shapetype>
            <v:shape id="Надпись 15" o:spid="_x0000_s1033"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ilDgsKQCAAAz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161AAE42" w14:textId="77777777" w:rsidR="00AC122D" w:rsidRPr="005F6D7B" w:rsidRDefault="00AC122D" w:rsidP="00435416">
                    <w:pPr>
                      <w:pStyle w:val="a8"/>
                      <w:rPr>
                        <w:b/>
                        <w:sz w:val="18"/>
                      </w:rPr>
                    </w:pPr>
                    <w:r>
                      <w:t>GE.</w:t>
                    </w:r>
                    <w:r w:rsidRPr="005F6D7B">
                      <w:t>21</w:t>
                    </w:r>
                    <w:r>
                      <w:t>-</w:t>
                    </w:r>
                    <w:r w:rsidRPr="005F6D7B">
                      <w:t>13664</w:t>
                    </w: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41D6FC33" w14:textId="77777777" w:rsidR="00AC122D" w:rsidRDefault="00AC122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3163" w14:textId="77777777" w:rsidR="00AC122D" w:rsidRPr="001075E9" w:rsidRDefault="00AC122D" w:rsidP="001075E9">
      <w:pPr>
        <w:tabs>
          <w:tab w:val="right" w:pos="2155"/>
        </w:tabs>
        <w:spacing w:after="80" w:line="240" w:lineRule="auto"/>
        <w:ind w:left="680"/>
        <w:rPr>
          <w:u w:val="single"/>
        </w:rPr>
      </w:pPr>
      <w:r>
        <w:rPr>
          <w:u w:val="single"/>
        </w:rPr>
        <w:tab/>
      </w:r>
    </w:p>
  </w:footnote>
  <w:footnote w:type="continuationSeparator" w:id="0">
    <w:p w14:paraId="7688127D" w14:textId="77777777" w:rsidR="00AC122D" w:rsidRDefault="00AC122D" w:rsidP="00407B78">
      <w:pPr>
        <w:tabs>
          <w:tab w:val="right" w:pos="2155"/>
        </w:tabs>
        <w:spacing w:after="80"/>
        <w:ind w:left="680"/>
        <w:rPr>
          <w:u w:val="single"/>
        </w:rPr>
      </w:pPr>
      <w:r>
        <w:rPr>
          <w:u w:val="single"/>
        </w:rPr>
        <w:tab/>
      </w:r>
    </w:p>
  </w:footnote>
  <w:footnote w:id="1">
    <w:p w14:paraId="36F9E1A0" w14:textId="20C5C0A3" w:rsidR="00AC122D" w:rsidRPr="00A23666" w:rsidRDefault="00AC122D" w:rsidP="00B0401D">
      <w:pPr>
        <w:pStyle w:val="ad"/>
      </w:pPr>
      <w:r>
        <w:tab/>
      </w:r>
      <w:r w:rsidRPr="00B0401D">
        <w:rPr>
          <w:rStyle w:val="aa"/>
          <w:sz w:val="20"/>
          <w:vertAlign w:val="baseline"/>
        </w:rPr>
        <w:sym w:font="Symbol" w:char="F02A"/>
      </w:r>
      <w:r>
        <w:tab/>
        <w:t>Распространено на немецком языке Центральной комиссией судоходства по Рейну под</w:t>
      </w:r>
      <w:r>
        <w:rPr>
          <w:lang w:val="en-US"/>
        </w:rPr>
        <w:t> </w:t>
      </w:r>
      <w:r>
        <w:t>условным обозначением CCNR-ZKR/ADN/WP.15/AC.2/78.</w:t>
      </w:r>
    </w:p>
  </w:footnote>
  <w:footnote w:id="2">
    <w:p w14:paraId="322C6555" w14:textId="078FFB6B" w:rsidR="00AC122D" w:rsidRPr="00284CB8" w:rsidRDefault="00AC122D" w:rsidP="00B0401D">
      <w:pPr>
        <w:pStyle w:val="ad"/>
      </w:pPr>
      <w:r>
        <w:tab/>
      </w:r>
      <w:r>
        <w:rPr>
          <w:rStyle w:val="aa"/>
        </w:rPr>
        <w:footnoteRef/>
      </w:r>
      <w:r>
        <w:t xml:space="preserve"> </w:t>
      </w:r>
      <w:r>
        <w:tab/>
        <w:t xml:space="preserve">См. доклады: </w:t>
      </w:r>
      <w:hyperlink r:id="rId1" w:history="1">
        <w:r w:rsidR="00D057C3" w:rsidRPr="00D057C3">
          <w:rPr>
            <w:rStyle w:val="af1"/>
          </w:rPr>
          <w:t>https://unece.org/DAM/trans/doc/2019/dgadn/ECE-ADN-51r.pdf</w:t>
        </w:r>
      </w:hyperlink>
      <w:r>
        <w:t xml:space="preserve"> и </w:t>
      </w:r>
      <w:hyperlink r:id="rId2" w:history="1">
        <w:r w:rsidR="00D057C3" w:rsidRPr="00D057C3">
          <w:rPr>
            <w:rStyle w:val="af1"/>
          </w:rPr>
          <w:t>https://unece.org/DAM/trans/doc/2020/dgadn/ECE-ADN-53r.pdf</w:t>
        </w:r>
      </w:hyperlink>
      <w:r w:rsidRPr="00284CB8">
        <w:t>.</w:t>
      </w:r>
    </w:p>
  </w:footnote>
  <w:footnote w:id="3">
    <w:p w14:paraId="1E1F7D6A" w14:textId="77777777" w:rsidR="00AC122D" w:rsidRPr="008F3C04" w:rsidRDefault="00AC122D" w:rsidP="00435416">
      <w:pPr>
        <w:pStyle w:val="ad"/>
      </w:pPr>
      <w:r w:rsidRPr="006867C4">
        <w:tab/>
      </w:r>
      <w:r>
        <w:rPr>
          <w:rStyle w:val="aa"/>
        </w:rPr>
        <w:footnoteRef/>
      </w:r>
      <w:r w:rsidRPr="008F3C04">
        <w:tab/>
        <w:t xml:space="preserve">Свидетельство о принадлежности к судоходству по Рейну или Дунаю.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54C3" w14:textId="32660673" w:rsidR="00AC122D" w:rsidRPr="00B0401D" w:rsidRDefault="006002F6">
    <w:pPr>
      <w:pStyle w:val="a5"/>
    </w:pPr>
    <w:fldSimple w:instr=" TITLE  \* MERGEFORMAT ">
      <w:r w:rsidR="003E1451">
        <w:t>ECE/TRANS/WP.15/AC.2/78</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51A3" w14:textId="48DFC0E8" w:rsidR="00AC122D" w:rsidRPr="00AC122D" w:rsidRDefault="006002F6" w:rsidP="00AC122D">
    <w:pPr>
      <w:pStyle w:val="a5"/>
    </w:pPr>
    <w:fldSimple w:instr=" TITLE  \* MERGEFORMAT ">
      <w:r w:rsidR="003E1451">
        <w:t>ECE/TRANS/WP.15/AC.2/78</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9557" w14:textId="3376917F" w:rsidR="00AC122D" w:rsidRPr="00AC122D" w:rsidRDefault="006002F6" w:rsidP="00AC122D">
    <w:pPr>
      <w:pStyle w:val="a5"/>
      <w:jc w:val="right"/>
    </w:pPr>
    <w:fldSimple w:instr=" TITLE  \* MERGEFORMAT ">
      <w:r w:rsidR="003E1451">
        <w:t>ECE/TRANS/WP.15/AC.2/78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3068" w14:textId="4AA4B6FA" w:rsidR="00AC122D" w:rsidRPr="00B0401D" w:rsidRDefault="006002F6" w:rsidP="00B0401D">
    <w:pPr>
      <w:pStyle w:val="a5"/>
      <w:jc w:val="right"/>
    </w:pPr>
    <w:fldSimple w:instr=" TITLE  \* MERGEFORMAT ">
      <w:r w:rsidR="003E1451">
        <w:t>ECE/TRANS/WP.15/AC.2/78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077D" w14:textId="77777777" w:rsidR="00AC122D" w:rsidRDefault="00AC122D" w:rsidP="00B0401D">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EE84" w14:textId="2B69F4DC" w:rsidR="00AC122D" w:rsidRPr="002F69D8" w:rsidRDefault="00AC122D" w:rsidP="002F69D8">
    <w:r>
      <w:rPr>
        <w:noProof/>
      </w:rPr>
      <mc:AlternateContent>
        <mc:Choice Requires="wps">
          <w:drawing>
            <wp:anchor distT="0" distB="0" distL="114300" distR="114300" simplePos="0" relativeHeight="251662336" behindDoc="0" locked="0" layoutInCell="1" allowOverlap="1" wp14:anchorId="1AE3613C" wp14:editId="11015748">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A8EE7A" w14:textId="51B679F7" w:rsidR="00AC122D" w:rsidRPr="00B0401D" w:rsidRDefault="006002F6" w:rsidP="002F69D8">
                          <w:pPr>
                            <w:pStyle w:val="a5"/>
                          </w:pPr>
                          <w:fldSimple w:instr=" TITLE  \* MERGEFORMAT ">
                            <w:r w:rsidR="003E1451">
                              <w:t>ECE/TRANS/WP.15/AC.2/78</w:t>
                            </w:r>
                          </w:fldSimple>
                        </w:p>
                        <w:p w14:paraId="3CAA08DA"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E3613C"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05A8EE7A" w14:textId="51B679F7" w:rsidR="00AC122D" w:rsidRPr="00B0401D" w:rsidRDefault="006002F6" w:rsidP="002F69D8">
                    <w:pPr>
                      <w:pStyle w:val="a5"/>
                    </w:pPr>
                    <w:fldSimple w:instr=" TITLE  \* MERGEFORMAT ">
                      <w:r w:rsidR="003E1451">
                        <w:t>ECE/TRANS/WP.15/AC.2/78</w:t>
                      </w:r>
                    </w:fldSimple>
                  </w:p>
                  <w:p w14:paraId="3CAA08DA" w14:textId="77777777" w:rsidR="00AC122D" w:rsidRDefault="00AC122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19BB" w14:textId="7465E1B3" w:rsidR="00AC122D" w:rsidRPr="002F69D8" w:rsidRDefault="00AC122D" w:rsidP="002F69D8">
    <w:r>
      <w:rPr>
        <w:noProof/>
      </w:rPr>
      <mc:AlternateContent>
        <mc:Choice Requires="wps">
          <w:drawing>
            <wp:anchor distT="0" distB="0" distL="114300" distR="114300" simplePos="0" relativeHeight="251660288" behindDoc="0" locked="0" layoutInCell="1" allowOverlap="1" wp14:anchorId="03908991" wp14:editId="6CAA09EF">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FDB75F" w14:textId="0AF84D95" w:rsidR="00AC122D" w:rsidRPr="00B0401D" w:rsidRDefault="006002F6" w:rsidP="002F69D8">
                          <w:pPr>
                            <w:pStyle w:val="a5"/>
                            <w:jc w:val="right"/>
                          </w:pPr>
                          <w:fldSimple w:instr=" TITLE  \* MERGEFORMAT ">
                            <w:r w:rsidR="003E1451">
                              <w:t>ECE/TRANS/WP.15/AC.2/78</w:t>
                            </w:r>
                          </w:fldSimple>
                        </w:p>
                        <w:p w14:paraId="18EF8C6F"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908991"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0CFDB75F" w14:textId="0AF84D95" w:rsidR="00AC122D" w:rsidRPr="00B0401D" w:rsidRDefault="006002F6" w:rsidP="002F69D8">
                    <w:pPr>
                      <w:pStyle w:val="a5"/>
                      <w:jc w:val="right"/>
                    </w:pPr>
                    <w:fldSimple w:instr=" TITLE  \* MERGEFORMAT ">
                      <w:r w:rsidR="003E1451">
                        <w:t>ECE/TRANS/WP.15/AC.2/78</w:t>
                      </w:r>
                    </w:fldSimple>
                  </w:p>
                  <w:p w14:paraId="18EF8C6F" w14:textId="77777777" w:rsidR="00AC122D" w:rsidRDefault="00AC122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CCE4" w14:textId="727FCC44" w:rsidR="00AC122D" w:rsidRPr="005F6D7B" w:rsidRDefault="006002F6" w:rsidP="005F6D7B">
    <w:pPr>
      <w:pStyle w:val="a5"/>
    </w:pPr>
    <w:fldSimple w:instr=" TITLE  \* MERGEFORMAT ">
      <w:r w:rsidR="003E1451">
        <w:t>ECE/TRANS/WP.15/AC.2/78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F8D9" w14:textId="5384C1EF" w:rsidR="00AC122D" w:rsidRPr="005F6D7B" w:rsidRDefault="006002F6" w:rsidP="005F6D7B">
    <w:pPr>
      <w:pStyle w:val="a5"/>
      <w:jc w:val="right"/>
    </w:pPr>
    <w:fldSimple w:instr=" TITLE  \* MERGEFORMAT ">
      <w:r w:rsidR="003E1451">
        <w:t>ECE/TRANS/WP.15/AC.2/78</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22C4" w14:textId="0A98BB0A" w:rsidR="00AC122D" w:rsidRPr="00435416" w:rsidRDefault="00AC122D" w:rsidP="00435416">
    <w:r>
      <w:rPr>
        <w:noProof/>
      </w:rPr>
      <mc:AlternateContent>
        <mc:Choice Requires="wps">
          <w:drawing>
            <wp:anchor distT="0" distB="0" distL="114300" distR="114300" simplePos="0" relativeHeight="251664384" behindDoc="0" locked="0" layoutInCell="1" allowOverlap="1" wp14:anchorId="204C1E70" wp14:editId="5223778E">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8C556A" w14:textId="0D1F102E" w:rsidR="00AC122D" w:rsidRPr="005F6D7B" w:rsidRDefault="006002F6" w:rsidP="00435416">
                          <w:pPr>
                            <w:pStyle w:val="a5"/>
                          </w:pPr>
                          <w:fldSimple w:instr=" TITLE  \* MERGEFORMAT ">
                            <w:r w:rsidR="003E1451">
                              <w:t>ECE/TRANS/WP.15/AC.2/78</w:t>
                            </w:r>
                          </w:fldSimple>
                        </w:p>
                        <w:p w14:paraId="4A33BC37"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4C1E70" id="_x0000_t202" coordsize="21600,21600" o:spt="202" path="m,l,21600r21600,l21600,xe">
              <v:stroke joinstyle="miter"/>
              <v:path gradientshapeok="t" o:connecttype="rect"/>
            </v:shapetype>
            <v:shape id="Надпись 12" o:spid="_x0000_s1030"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NP98++kAgAAMw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288C556A" w14:textId="0D1F102E" w:rsidR="00AC122D" w:rsidRPr="005F6D7B" w:rsidRDefault="006002F6" w:rsidP="00435416">
                    <w:pPr>
                      <w:pStyle w:val="a5"/>
                    </w:pPr>
                    <w:fldSimple w:instr=" TITLE  \* MERGEFORMAT ">
                      <w:r w:rsidR="003E1451">
                        <w:t>ECE/TRANS/WP.15/AC.2/78</w:t>
                      </w:r>
                    </w:fldSimple>
                  </w:p>
                  <w:p w14:paraId="4A33BC37" w14:textId="77777777" w:rsidR="00AC122D" w:rsidRDefault="00AC122D"/>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4CD7" w14:textId="0FD89462" w:rsidR="00AC122D" w:rsidRPr="00435416" w:rsidRDefault="00AC122D" w:rsidP="00435416">
    <w:r>
      <w:rPr>
        <w:noProof/>
      </w:rPr>
      <mc:AlternateContent>
        <mc:Choice Requires="wps">
          <w:drawing>
            <wp:anchor distT="0" distB="0" distL="114300" distR="114300" simplePos="0" relativeHeight="251666432" behindDoc="0" locked="0" layoutInCell="1" allowOverlap="1" wp14:anchorId="02C12210" wp14:editId="589DF7A6">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9F927B" w14:textId="055A9219" w:rsidR="00AC122D" w:rsidRPr="005F6D7B" w:rsidRDefault="006002F6" w:rsidP="00435416">
                          <w:pPr>
                            <w:pStyle w:val="a5"/>
                            <w:jc w:val="right"/>
                          </w:pPr>
                          <w:fldSimple w:instr=" TITLE  \* MERGEFORMAT ">
                            <w:r w:rsidR="003E1451">
                              <w:t>ECE/TRANS/WP.15/AC.2/78</w:t>
                            </w:r>
                          </w:fldSimple>
                        </w:p>
                        <w:p w14:paraId="12FDB869" w14:textId="77777777" w:rsidR="00AC122D" w:rsidRDefault="00AC122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C12210" id="_x0000_t202" coordsize="21600,21600" o:spt="202" path="m,l,21600r21600,l21600,xe">
              <v:stroke joinstyle="miter"/>
              <v:path gradientshapeok="t" o:connecttype="rect"/>
            </v:shapetype>
            <v:shape id="Надпись 14" o:spid="_x0000_s1031"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" fillcolor="#4f81bd [3204]" stroked="f" strokeweight=".5pt">
              <v:fill opacity="0"/>
              <v:path arrowok="t"/>
              <v:textbox style="layout-flow:vertical" inset="0,0,0,0">
                <w:txbxContent>
                  <w:p w14:paraId="3A9F927B" w14:textId="055A9219" w:rsidR="00AC122D" w:rsidRPr="005F6D7B" w:rsidRDefault="006002F6" w:rsidP="00435416">
                    <w:pPr>
                      <w:pStyle w:val="a5"/>
                      <w:jc w:val="right"/>
                    </w:pPr>
                    <w:fldSimple w:instr=" TITLE  \* MERGEFORMAT ">
                      <w:r w:rsidR="003E1451">
                        <w:t>ECE/TRANS/WP.15/AC.2/78</w:t>
                      </w:r>
                    </w:fldSimple>
                  </w:p>
                  <w:p w14:paraId="12FDB869" w14:textId="77777777" w:rsidR="00AC122D" w:rsidRDefault="00AC122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BB"/>
    <w:rsid w:val="000176B0"/>
    <w:rsid w:val="00033EE1"/>
    <w:rsid w:val="00042B72"/>
    <w:rsid w:val="000558BD"/>
    <w:rsid w:val="000B57E7"/>
    <w:rsid w:val="000B6373"/>
    <w:rsid w:val="000E4E5B"/>
    <w:rsid w:val="000F09DF"/>
    <w:rsid w:val="000F61B2"/>
    <w:rsid w:val="001075E9"/>
    <w:rsid w:val="001348AD"/>
    <w:rsid w:val="0014152F"/>
    <w:rsid w:val="00180183"/>
    <w:rsid w:val="0018024D"/>
    <w:rsid w:val="0018649F"/>
    <w:rsid w:val="00196389"/>
    <w:rsid w:val="001B3EF6"/>
    <w:rsid w:val="001C7A89"/>
    <w:rsid w:val="001E1631"/>
    <w:rsid w:val="00220F25"/>
    <w:rsid w:val="00255343"/>
    <w:rsid w:val="0027151D"/>
    <w:rsid w:val="00272E55"/>
    <w:rsid w:val="00274368"/>
    <w:rsid w:val="0027496A"/>
    <w:rsid w:val="00284CB8"/>
    <w:rsid w:val="002A2EFC"/>
    <w:rsid w:val="002B0106"/>
    <w:rsid w:val="002B74B1"/>
    <w:rsid w:val="002C0E18"/>
    <w:rsid w:val="002C3E62"/>
    <w:rsid w:val="002D5AAC"/>
    <w:rsid w:val="002E5067"/>
    <w:rsid w:val="002F405F"/>
    <w:rsid w:val="002F69D8"/>
    <w:rsid w:val="002F7EEC"/>
    <w:rsid w:val="00301299"/>
    <w:rsid w:val="00305C08"/>
    <w:rsid w:val="00307FB6"/>
    <w:rsid w:val="00317339"/>
    <w:rsid w:val="00322004"/>
    <w:rsid w:val="003330D0"/>
    <w:rsid w:val="003402C2"/>
    <w:rsid w:val="00381C24"/>
    <w:rsid w:val="00383B1C"/>
    <w:rsid w:val="00387CD4"/>
    <w:rsid w:val="003958D0"/>
    <w:rsid w:val="003A0D43"/>
    <w:rsid w:val="003A48CE"/>
    <w:rsid w:val="003B00E5"/>
    <w:rsid w:val="003E0B46"/>
    <w:rsid w:val="003E1451"/>
    <w:rsid w:val="00407B78"/>
    <w:rsid w:val="00424203"/>
    <w:rsid w:val="00435416"/>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A4B54"/>
    <w:rsid w:val="005D7914"/>
    <w:rsid w:val="005E2B41"/>
    <w:rsid w:val="005F0B42"/>
    <w:rsid w:val="005F6D7B"/>
    <w:rsid w:val="006002F6"/>
    <w:rsid w:val="00617A43"/>
    <w:rsid w:val="006345DB"/>
    <w:rsid w:val="00640F49"/>
    <w:rsid w:val="00680D03"/>
    <w:rsid w:val="00681A10"/>
    <w:rsid w:val="006A1ED8"/>
    <w:rsid w:val="006B720D"/>
    <w:rsid w:val="006C2031"/>
    <w:rsid w:val="006D461A"/>
    <w:rsid w:val="006F35EE"/>
    <w:rsid w:val="007021FF"/>
    <w:rsid w:val="0070756D"/>
    <w:rsid w:val="00712895"/>
    <w:rsid w:val="00734ACB"/>
    <w:rsid w:val="00757357"/>
    <w:rsid w:val="00766D30"/>
    <w:rsid w:val="00792497"/>
    <w:rsid w:val="00806737"/>
    <w:rsid w:val="00825F8D"/>
    <w:rsid w:val="00834B71"/>
    <w:rsid w:val="0086445C"/>
    <w:rsid w:val="00894693"/>
    <w:rsid w:val="008A08D7"/>
    <w:rsid w:val="008A2479"/>
    <w:rsid w:val="008A37C8"/>
    <w:rsid w:val="008B2440"/>
    <w:rsid w:val="008B6909"/>
    <w:rsid w:val="008D53B6"/>
    <w:rsid w:val="008F5EA8"/>
    <w:rsid w:val="008F7609"/>
    <w:rsid w:val="00906890"/>
    <w:rsid w:val="00911BE4"/>
    <w:rsid w:val="00951972"/>
    <w:rsid w:val="009608F3"/>
    <w:rsid w:val="009A24AC"/>
    <w:rsid w:val="009C59D7"/>
    <w:rsid w:val="009C6FE6"/>
    <w:rsid w:val="009D7E7D"/>
    <w:rsid w:val="00A06B63"/>
    <w:rsid w:val="00A14DA8"/>
    <w:rsid w:val="00A20E79"/>
    <w:rsid w:val="00A312BC"/>
    <w:rsid w:val="00A376D5"/>
    <w:rsid w:val="00A84021"/>
    <w:rsid w:val="00A84D35"/>
    <w:rsid w:val="00A917B3"/>
    <w:rsid w:val="00AB4B51"/>
    <w:rsid w:val="00AB7AD0"/>
    <w:rsid w:val="00AC122D"/>
    <w:rsid w:val="00B0401D"/>
    <w:rsid w:val="00B10CC7"/>
    <w:rsid w:val="00B24754"/>
    <w:rsid w:val="00B36DF7"/>
    <w:rsid w:val="00B539E7"/>
    <w:rsid w:val="00B62458"/>
    <w:rsid w:val="00B656EB"/>
    <w:rsid w:val="00BC18B2"/>
    <w:rsid w:val="00BD33EE"/>
    <w:rsid w:val="00BE1CC7"/>
    <w:rsid w:val="00BF5BC6"/>
    <w:rsid w:val="00C02F57"/>
    <w:rsid w:val="00C106D6"/>
    <w:rsid w:val="00C119AE"/>
    <w:rsid w:val="00C307C2"/>
    <w:rsid w:val="00C60F0C"/>
    <w:rsid w:val="00C67CFF"/>
    <w:rsid w:val="00C71E84"/>
    <w:rsid w:val="00C805C9"/>
    <w:rsid w:val="00C87A57"/>
    <w:rsid w:val="00C92939"/>
    <w:rsid w:val="00CA1679"/>
    <w:rsid w:val="00CB151C"/>
    <w:rsid w:val="00CE4070"/>
    <w:rsid w:val="00CE5A1A"/>
    <w:rsid w:val="00CF55F6"/>
    <w:rsid w:val="00D057C3"/>
    <w:rsid w:val="00D33D63"/>
    <w:rsid w:val="00D5253A"/>
    <w:rsid w:val="00D873A8"/>
    <w:rsid w:val="00D90028"/>
    <w:rsid w:val="00D90138"/>
    <w:rsid w:val="00D9145B"/>
    <w:rsid w:val="00DD78D1"/>
    <w:rsid w:val="00DE32CD"/>
    <w:rsid w:val="00DF5767"/>
    <w:rsid w:val="00DF71B9"/>
    <w:rsid w:val="00E12C5F"/>
    <w:rsid w:val="00E4094E"/>
    <w:rsid w:val="00E5319F"/>
    <w:rsid w:val="00E562BB"/>
    <w:rsid w:val="00E73F76"/>
    <w:rsid w:val="00EA2C9F"/>
    <w:rsid w:val="00EA420E"/>
    <w:rsid w:val="00ED0BDA"/>
    <w:rsid w:val="00EE142A"/>
    <w:rsid w:val="00EF1360"/>
    <w:rsid w:val="00EF3220"/>
    <w:rsid w:val="00F2523A"/>
    <w:rsid w:val="00F3595D"/>
    <w:rsid w:val="00F43903"/>
    <w:rsid w:val="00F94155"/>
    <w:rsid w:val="00F9783F"/>
    <w:rsid w:val="00FB799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DBBCF"/>
  <w15:docId w15:val="{BC3BDBCD-2A0A-4157-929A-FD02C98C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B0401D"/>
    <w:rPr>
      <w:b/>
      <w:sz w:val="28"/>
      <w:lang w:val="ru-RU" w:eastAsia="ru-RU"/>
    </w:rPr>
  </w:style>
  <w:style w:type="character" w:customStyle="1" w:styleId="SingleTxtGChar">
    <w:name w:val="_ Single Txt_G Char"/>
    <w:link w:val="SingleTxtG"/>
    <w:qFormat/>
    <w:locked/>
    <w:rsid w:val="00B0401D"/>
    <w:rPr>
      <w:lang w:val="ru-RU" w:eastAsia="en-US"/>
    </w:rPr>
  </w:style>
  <w:style w:type="paragraph" w:customStyle="1" w:styleId="ParNoG">
    <w:name w:val="_ParNo_G"/>
    <w:basedOn w:val="SingleTxtG"/>
    <w:qFormat/>
    <w:rsid w:val="00B0401D"/>
    <w:pPr>
      <w:numPr>
        <w:numId w:val="22"/>
      </w:numPr>
      <w:tabs>
        <w:tab w:val="clear" w:pos="2268"/>
        <w:tab w:val="clear" w:pos="2835"/>
      </w:tabs>
      <w:suppressAutoHyphens w:val="0"/>
    </w:pPr>
    <w:rPr>
      <w:lang w:val="en-GB" w:eastAsia="fr-FR"/>
    </w:rPr>
  </w:style>
  <w:style w:type="character" w:customStyle="1" w:styleId="H1GChar">
    <w:name w:val="_ H_1_G Char"/>
    <w:link w:val="H1G"/>
    <w:rsid w:val="00B0401D"/>
    <w:rPr>
      <w:b/>
      <w:sz w:val="24"/>
      <w:lang w:val="ru-RU" w:eastAsia="ru-RU"/>
    </w:rPr>
  </w:style>
  <w:style w:type="character" w:customStyle="1" w:styleId="H23GChar">
    <w:name w:val="_ H_2/3_G Char"/>
    <w:link w:val="H23G"/>
    <w:rsid w:val="00B0401D"/>
    <w:rPr>
      <w:b/>
      <w:lang w:val="ru-RU" w:eastAsia="ru-RU"/>
    </w:rPr>
  </w:style>
  <w:style w:type="character" w:styleId="af3">
    <w:name w:val="Emphasis"/>
    <w:qFormat/>
    <w:rsid w:val="00B0401D"/>
    <w:rPr>
      <w:i/>
      <w:iCs/>
    </w:rPr>
  </w:style>
  <w:style w:type="character" w:styleId="af4">
    <w:name w:val="Unresolved Mention"/>
    <w:basedOn w:val="a0"/>
    <w:uiPriority w:val="99"/>
    <w:semiHidden/>
    <w:unhideWhenUsed/>
    <w:rsid w:val="00284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transport-community.org/"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ustomXml" Target="../customXml/item3.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20/dgadn/ECE-ADN-53r.pdf" TargetMode="External"/><Relationship Id="rId1" Type="http://schemas.openxmlformats.org/officeDocument/2006/relationships/hyperlink" Target="https://unece.org/DAM/trans/doc/2019/dgadn/ECE-ADN-51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0CCF1-D258-4FE3-8EF1-84FE7FEE2F83}">
  <ds:schemaRefs>
    <ds:schemaRef ds:uri="http://schemas.openxmlformats.org/officeDocument/2006/bibliography"/>
  </ds:schemaRefs>
</ds:datastoreItem>
</file>

<file path=customXml/itemProps2.xml><?xml version="1.0" encoding="utf-8"?>
<ds:datastoreItem xmlns:ds="http://schemas.openxmlformats.org/officeDocument/2006/customXml" ds:itemID="{0BFD409D-80A0-41CB-AC9C-DE8A51B4ED78}"/>
</file>

<file path=customXml/itemProps3.xml><?xml version="1.0" encoding="utf-8"?>
<ds:datastoreItem xmlns:ds="http://schemas.openxmlformats.org/officeDocument/2006/customXml" ds:itemID="{61C1FD4C-DD1B-46AF-B7E8-E5158D6368AF}"/>
</file>

<file path=customXml/itemProps4.xml><?xml version="1.0" encoding="utf-8"?>
<ds:datastoreItem xmlns:ds="http://schemas.openxmlformats.org/officeDocument/2006/customXml" ds:itemID="{95656AE4-881E-4ED5-91E5-3C8C2327A4C0}"/>
</file>

<file path=docProps/app.xml><?xml version="1.0" encoding="utf-8"?>
<Properties xmlns="http://schemas.openxmlformats.org/officeDocument/2006/extended-properties" xmlns:vt="http://schemas.openxmlformats.org/officeDocument/2006/docPropsVTypes">
  <Template>ECE.dotm</Template>
  <TotalTime>1</TotalTime>
  <Pages>24</Pages>
  <Words>7747</Words>
  <Characters>44163</Characters>
  <Application>Microsoft Office Word</Application>
  <DocSecurity>0</DocSecurity>
  <Lines>368</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ECE/TRANS/WP.15/AC.2/78</vt:lpstr>
      <vt:lpstr>A/</vt:lpstr>
      <vt:lpstr>A/</vt:lpstr>
    </vt:vector>
  </TitlesOfParts>
  <Company>DCM</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ECE/TRANS/WP.15/AC.2/78</dc:title>
  <dc:subject/>
  <dc:creator>Shuvalova NATALIA</dc:creator>
  <cp:keywords/>
  <cp:lastModifiedBy>Tatiana Chvets</cp:lastModifiedBy>
  <cp:revision>3</cp:revision>
  <cp:lastPrinted>2021-10-25T06:34:00Z</cp:lastPrinted>
  <dcterms:created xsi:type="dcterms:W3CDTF">2021-10-25T06:34:00Z</dcterms:created>
  <dcterms:modified xsi:type="dcterms:W3CDTF">2021-10-25T06:34:00Z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