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er7.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DD9DE56" w14:textId="77777777" w:rsidTr="00C97039">
        <w:trPr>
          <w:trHeight w:hRule="exact" w:val="851"/>
        </w:trPr>
        <w:tc>
          <w:tcPr>
            <w:tcW w:w="1276" w:type="dxa"/>
            <w:tcBorders>
              <w:bottom w:val="single" w:sz="4" w:space="0" w:color="auto"/>
            </w:tcBorders>
          </w:tcPr>
          <w:p w14:paraId="31A1A916" w14:textId="77777777" w:rsidR="00F35BAF" w:rsidRPr="00DB58B5" w:rsidRDefault="00F35BAF" w:rsidP="006408A6"/>
        </w:tc>
        <w:tc>
          <w:tcPr>
            <w:tcW w:w="2268" w:type="dxa"/>
            <w:tcBorders>
              <w:bottom w:val="single" w:sz="4" w:space="0" w:color="auto"/>
            </w:tcBorders>
            <w:vAlign w:val="bottom"/>
          </w:tcPr>
          <w:p w14:paraId="21E06E96"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9FF2FCF" w14:textId="1947A2C1" w:rsidR="00F35BAF" w:rsidRPr="00DB58B5" w:rsidRDefault="006408A6" w:rsidP="006408A6">
            <w:pPr>
              <w:jc w:val="right"/>
            </w:pPr>
            <w:r w:rsidRPr="006408A6">
              <w:rPr>
                <w:sz w:val="40"/>
              </w:rPr>
              <w:t>ECE</w:t>
            </w:r>
            <w:r>
              <w:t>/TRANS/WP.15/AC.2/78</w:t>
            </w:r>
          </w:p>
        </w:tc>
      </w:tr>
      <w:tr w:rsidR="00F35BAF" w:rsidRPr="00DB58B5" w14:paraId="06AD6C90" w14:textId="77777777" w:rsidTr="00C97039">
        <w:trPr>
          <w:trHeight w:hRule="exact" w:val="2835"/>
        </w:trPr>
        <w:tc>
          <w:tcPr>
            <w:tcW w:w="1276" w:type="dxa"/>
            <w:tcBorders>
              <w:top w:val="single" w:sz="4" w:space="0" w:color="auto"/>
              <w:bottom w:val="single" w:sz="12" w:space="0" w:color="auto"/>
            </w:tcBorders>
          </w:tcPr>
          <w:p w14:paraId="7A333D50" w14:textId="77777777" w:rsidR="00F35BAF" w:rsidRPr="00DB58B5" w:rsidRDefault="00F35BAF" w:rsidP="00C97039">
            <w:pPr>
              <w:spacing w:before="120"/>
              <w:jc w:val="center"/>
            </w:pPr>
            <w:r>
              <w:rPr>
                <w:noProof/>
                <w:lang w:eastAsia="fr-CH"/>
              </w:rPr>
              <w:drawing>
                <wp:inline distT="0" distB="0" distL="0" distR="0" wp14:anchorId="73C37E1A" wp14:editId="2DC9919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AC42F7C"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5507B54" w14:textId="77777777" w:rsidR="00F35BAF" w:rsidRDefault="006408A6" w:rsidP="00C97039">
            <w:pPr>
              <w:spacing w:before="240"/>
            </w:pPr>
            <w:r>
              <w:t>Distr. générale</w:t>
            </w:r>
          </w:p>
          <w:p w14:paraId="42914EAB" w14:textId="65912E0C" w:rsidR="006408A6" w:rsidRDefault="006408A6" w:rsidP="006408A6">
            <w:pPr>
              <w:spacing w:line="240" w:lineRule="exact"/>
            </w:pPr>
            <w:r>
              <w:t>28 s</w:t>
            </w:r>
            <w:r w:rsidR="00C93CE5">
              <w:t>e</w:t>
            </w:r>
            <w:r>
              <w:t>ptembre 2021</w:t>
            </w:r>
          </w:p>
          <w:p w14:paraId="77081BB3" w14:textId="77777777" w:rsidR="006408A6" w:rsidRDefault="006408A6" w:rsidP="006408A6">
            <w:pPr>
              <w:spacing w:line="240" w:lineRule="exact"/>
            </w:pPr>
            <w:r>
              <w:t>Français</w:t>
            </w:r>
          </w:p>
          <w:p w14:paraId="735E609D" w14:textId="75E11D8F" w:rsidR="006408A6" w:rsidRPr="00DB58B5" w:rsidRDefault="006408A6" w:rsidP="006408A6">
            <w:pPr>
              <w:spacing w:line="240" w:lineRule="exact"/>
            </w:pPr>
            <w:r>
              <w:t>Original : anglais</w:t>
            </w:r>
          </w:p>
        </w:tc>
      </w:tr>
    </w:tbl>
    <w:p w14:paraId="462A77CD" w14:textId="77777777" w:rsidR="007F20FA" w:rsidRPr="000312C0" w:rsidRDefault="007F20FA" w:rsidP="007F20FA">
      <w:pPr>
        <w:spacing w:before="120"/>
        <w:rPr>
          <w:b/>
          <w:sz w:val="28"/>
          <w:szCs w:val="28"/>
        </w:rPr>
      </w:pPr>
      <w:r w:rsidRPr="000312C0">
        <w:rPr>
          <w:b/>
          <w:sz w:val="28"/>
          <w:szCs w:val="28"/>
        </w:rPr>
        <w:t>Commission économique pour l’Europe</w:t>
      </w:r>
    </w:p>
    <w:p w14:paraId="6642C2BF" w14:textId="77777777" w:rsidR="007F20FA" w:rsidRDefault="007F20FA" w:rsidP="007F20FA">
      <w:pPr>
        <w:spacing w:before="120"/>
        <w:rPr>
          <w:sz w:val="28"/>
          <w:szCs w:val="28"/>
        </w:rPr>
      </w:pPr>
      <w:r w:rsidRPr="00685843">
        <w:rPr>
          <w:sz w:val="28"/>
          <w:szCs w:val="28"/>
        </w:rPr>
        <w:t>Comité des transports intérieurs</w:t>
      </w:r>
    </w:p>
    <w:p w14:paraId="78D1F6B2" w14:textId="77777777" w:rsidR="006408A6" w:rsidRPr="009E01B8" w:rsidRDefault="006408A6" w:rsidP="00E85C74">
      <w:pPr>
        <w:spacing w:before="120"/>
        <w:rPr>
          <w:b/>
          <w:sz w:val="24"/>
          <w:szCs w:val="24"/>
        </w:rPr>
      </w:pPr>
      <w:r w:rsidRPr="009E01B8">
        <w:rPr>
          <w:b/>
          <w:sz w:val="24"/>
          <w:szCs w:val="24"/>
        </w:rPr>
        <w:t>Groupe de travail des transports de marchandises dangereuses</w:t>
      </w:r>
    </w:p>
    <w:p w14:paraId="15AA2965" w14:textId="40CA2476" w:rsidR="006408A6" w:rsidRPr="009F551D" w:rsidRDefault="006408A6" w:rsidP="00C93CE5">
      <w:pPr>
        <w:spacing w:before="120" w:after="120"/>
        <w:rPr>
          <w:b/>
          <w:bCs/>
          <w:lang w:val="fr-FR"/>
        </w:rPr>
      </w:pPr>
      <w:r w:rsidRPr="009F551D">
        <w:rPr>
          <w:b/>
          <w:bCs/>
          <w:lang w:val="fr-FR"/>
        </w:rPr>
        <w:t>Réunion commune d</w:t>
      </w:r>
      <w:r>
        <w:rPr>
          <w:b/>
          <w:bCs/>
          <w:lang w:val="fr-FR"/>
        </w:rPr>
        <w:t>’</w:t>
      </w:r>
      <w:r w:rsidRPr="009F551D">
        <w:rPr>
          <w:b/>
          <w:bCs/>
          <w:lang w:val="fr-FR"/>
        </w:rPr>
        <w:t>experts du Règlement annexé à l</w:t>
      </w:r>
      <w:r>
        <w:rPr>
          <w:b/>
          <w:bCs/>
          <w:lang w:val="fr-FR"/>
        </w:rPr>
        <w:t>’</w:t>
      </w:r>
      <w:r w:rsidRPr="009F551D">
        <w:rPr>
          <w:b/>
          <w:bCs/>
          <w:lang w:val="fr-FR"/>
        </w:rPr>
        <w:t xml:space="preserve">Accord européen </w:t>
      </w:r>
      <w:r w:rsidR="00C93CE5">
        <w:rPr>
          <w:b/>
          <w:bCs/>
          <w:lang w:val="fr-FR"/>
        </w:rPr>
        <w:br/>
      </w:r>
      <w:r w:rsidRPr="009F551D">
        <w:rPr>
          <w:b/>
          <w:bCs/>
          <w:lang w:val="fr-FR"/>
        </w:rPr>
        <w:t xml:space="preserve">relatif au transport international des marchandises dangereuses </w:t>
      </w:r>
      <w:r w:rsidR="00506B22">
        <w:rPr>
          <w:b/>
          <w:bCs/>
          <w:lang w:val="fr-FR"/>
        </w:rPr>
        <w:br/>
      </w:r>
      <w:r w:rsidRPr="009F551D">
        <w:rPr>
          <w:b/>
          <w:bCs/>
          <w:lang w:val="fr-FR"/>
        </w:rPr>
        <w:t xml:space="preserve">par voies de navigation intérieures (ADN) </w:t>
      </w:r>
      <w:r w:rsidR="00506B22">
        <w:rPr>
          <w:b/>
          <w:bCs/>
          <w:lang w:val="fr-FR"/>
        </w:rPr>
        <w:br/>
      </w:r>
      <w:r w:rsidRPr="009F551D">
        <w:rPr>
          <w:b/>
          <w:bCs/>
          <w:lang w:val="fr-FR"/>
        </w:rPr>
        <w:t>(Comité de sécurité de l</w:t>
      </w:r>
      <w:r>
        <w:rPr>
          <w:b/>
          <w:bCs/>
          <w:lang w:val="fr-FR"/>
        </w:rPr>
        <w:t>’</w:t>
      </w:r>
      <w:r w:rsidRPr="009F551D">
        <w:rPr>
          <w:b/>
          <w:bCs/>
          <w:lang w:val="fr-FR"/>
        </w:rPr>
        <w:t>ADN)</w:t>
      </w:r>
    </w:p>
    <w:p w14:paraId="3C02C4AF" w14:textId="77777777" w:rsidR="006408A6" w:rsidRPr="009F551D" w:rsidRDefault="006408A6" w:rsidP="006408A6">
      <w:pPr>
        <w:rPr>
          <w:b/>
          <w:bCs/>
          <w:lang w:val="fr-FR"/>
        </w:rPr>
      </w:pPr>
      <w:r w:rsidRPr="009F551D">
        <w:rPr>
          <w:b/>
          <w:bCs/>
          <w:lang w:val="fr-FR"/>
        </w:rPr>
        <w:t>Trente-huitième session</w:t>
      </w:r>
    </w:p>
    <w:p w14:paraId="514041DE" w14:textId="77777777" w:rsidR="006408A6" w:rsidRPr="009F551D" w:rsidRDefault="006408A6" w:rsidP="006408A6">
      <w:pPr>
        <w:rPr>
          <w:lang w:val="fr-FR"/>
        </w:rPr>
      </w:pPr>
      <w:r w:rsidRPr="009F551D">
        <w:rPr>
          <w:lang w:val="fr-FR"/>
        </w:rPr>
        <w:t>Genève, 23-27 août 2021</w:t>
      </w:r>
    </w:p>
    <w:p w14:paraId="292BC8C0" w14:textId="56D14ADE" w:rsidR="006408A6" w:rsidRPr="009F551D" w:rsidRDefault="006408A6" w:rsidP="00506B22">
      <w:pPr>
        <w:pStyle w:val="HChG"/>
        <w:rPr>
          <w:lang w:val="fr-FR"/>
        </w:rPr>
      </w:pPr>
      <w:r w:rsidRPr="009F551D">
        <w:rPr>
          <w:lang w:val="fr-FR"/>
        </w:rPr>
        <w:tab/>
      </w:r>
      <w:r w:rsidRPr="009F551D">
        <w:rPr>
          <w:lang w:val="fr-FR"/>
        </w:rPr>
        <w:tab/>
        <w:t>Rapport de la Réunion commune d</w:t>
      </w:r>
      <w:r>
        <w:rPr>
          <w:lang w:val="fr-FR"/>
        </w:rPr>
        <w:t>’</w:t>
      </w:r>
      <w:r w:rsidRPr="009F551D">
        <w:rPr>
          <w:lang w:val="fr-FR"/>
        </w:rPr>
        <w:t>experts du Règlement annexé à l</w:t>
      </w:r>
      <w:r>
        <w:rPr>
          <w:lang w:val="fr-FR"/>
        </w:rPr>
        <w:t>’</w:t>
      </w:r>
      <w:r w:rsidRPr="009F551D">
        <w:rPr>
          <w:lang w:val="fr-FR"/>
        </w:rPr>
        <w:t>Accord européen relatif au transport international des marchandises dangereuses par voies de navigation intérieures (Comité de sécurité de l</w:t>
      </w:r>
      <w:r>
        <w:rPr>
          <w:lang w:val="fr-FR"/>
        </w:rPr>
        <w:t>’</w:t>
      </w:r>
      <w:r w:rsidRPr="009F551D">
        <w:rPr>
          <w:lang w:val="fr-FR"/>
        </w:rPr>
        <w:t xml:space="preserve">ADN) </w:t>
      </w:r>
      <w:r w:rsidR="00506B22">
        <w:rPr>
          <w:lang w:val="fr-FR"/>
        </w:rPr>
        <w:br/>
      </w:r>
      <w:r w:rsidRPr="009F551D">
        <w:rPr>
          <w:lang w:val="fr-FR"/>
        </w:rPr>
        <w:t>sur sa trente-huitième session</w:t>
      </w:r>
      <w:r w:rsidRPr="00506B22">
        <w:rPr>
          <w:rStyle w:val="Appelnotedebasdep"/>
          <w:b w:val="0"/>
          <w:bCs/>
          <w:sz w:val="20"/>
          <w:vertAlign w:val="baseline"/>
          <w:lang w:val="fr-FR"/>
        </w:rPr>
        <w:footnoteReference w:customMarkFollows="1" w:id="2"/>
        <w:sym w:font="Symbol" w:char="F02A"/>
      </w:r>
      <w:bookmarkStart w:id="0" w:name="_Toc410743246"/>
      <w:bookmarkStart w:id="1" w:name="_Toc428948781"/>
      <w:bookmarkStart w:id="2" w:name="_Toc442372095"/>
      <w:bookmarkStart w:id="3" w:name="_Toc505688398"/>
      <w:bookmarkStart w:id="4" w:name="_Toc32481629"/>
      <w:bookmarkStart w:id="5" w:name="_Toc63762780"/>
      <w:bookmarkStart w:id="6" w:name="_Toc64472430"/>
      <w:bookmarkStart w:id="7" w:name="_Toc81410354"/>
      <w:bookmarkEnd w:id="0"/>
      <w:bookmarkEnd w:id="1"/>
      <w:bookmarkEnd w:id="2"/>
      <w:bookmarkEnd w:id="3"/>
      <w:bookmarkEnd w:id="4"/>
      <w:bookmarkEnd w:id="5"/>
      <w:bookmarkEnd w:id="6"/>
      <w:bookmarkEnd w:id="7"/>
    </w:p>
    <w:p w14:paraId="0FC14532" w14:textId="77777777" w:rsidR="006408A6" w:rsidRPr="009F551D" w:rsidRDefault="006408A6" w:rsidP="006408A6">
      <w:pPr>
        <w:spacing w:before="120"/>
        <w:rPr>
          <w:lang w:val="fr-FR"/>
        </w:rPr>
      </w:pPr>
      <w:r w:rsidRPr="009F551D">
        <w:rPr>
          <w:lang w:val="fr-FR"/>
        </w:rPr>
        <w:br w:type="page"/>
      </w:r>
    </w:p>
    <w:p w14:paraId="4F4969D7" w14:textId="1F650CA8" w:rsidR="00506B22" w:rsidRPr="00506B22" w:rsidRDefault="00506B22" w:rsidP="00506B22">
      <w:pPr>
        <w:spacing w:after="120"/>
        <w:rPr>
          <w:sz w:val="28"/>
        </w:rPr>
      </w:pPr>
      <w:r w:rsidRPr="00506B22">
        <w:rPr>
          <w:sz w:val="28"/>
        </w:rPr>
        <w:lastRenderedPageBreak/>
        <w:t>Table des matières</w:t>
      </w:r>
    </w:p>
    <w:p w14:paraId="7A4C00EE" w14:textId="77777777" w:rsidR="006408A6" w:rsidRPr="009F551D" w:rsidRDefault="006408A6" w:rsidP="006408A6">
      <w:pPr>
        <w:tabs>
          <w:tab w:val="right" w:pos="9638"/>
        </w:tabs>
        <w:spacing w:after="120"/>
        <w:ind w:left="283"/>
        <w:rPr>
          <w:lang w:val="fr-FR"/>
        </w:rPr>
      </w:pPr>
      <w:r w:rsidRPr="009F551D">
        <w:rPr>
          <w:lang w:val="fr-FR"/>
        </w:rPr>
        <w:tab/>
      </w:r>
      <w:r w:rsidRPr="009F551D">
        <w:rPr>
          <w:i/>
          <w:iCs/>
          <w:lang w:val="fr-FR"/>
        </w:rPr>
        <w:t>Page</w:t>
      </w:r>
    </w:p>
    <w:p w14:paraId="79441E7E" w14:textId="77777777" w:rsidR="004D735E" w:rsidRPr="009F551D" w:rsidRDefault="004D735E" w:rsidP="004D735E">
      <w:pPr>
        <w:tabs>
          <w:tab w:val="right" w:pos="850"/>
          <w:tab w:val="right" w:leader="dot" w:pos="8787"/>
          <w:tab w:val="right" w:pos="9638"/>
        </w:tabs>
        <w:spacing w:after="120"/>
        <w:ind w:left="1134" w:hanging="1134"/>
        <w:rPr>
          <w:noProof/>
          <w:lang w:val="fr-FR"/>
        </w:rPr>
      </w:pPr>
      <w:bookmarkStart w:id="8" w:name="_GoBack"/>
      <w:bookmarkEnd w:id="8"/>
      <w:r w:rsidRPr="009F551D">
        <w:rPr>
          <w:lang w:val="fr-FR"/>
        </w:rPr>
        <w:tab/>
        <w:t>I.</w:t>
      </w:r>
      <w:r w:rsidRPr="009F551D">
        <w:rPr>
          <w:lang w:val="fr-FR"/>
        </w:rPr>
        <w:tab/>
        <w:t>Participation</w:t>
      </w:r>
      <w:r w:rsidRPr="009F551D">
        <w:rPr>
          <w:noProof/>
          <w:webHidden/>
          <w:lang w:val="fr-FR"/>
        </w:rPr>
        <w:tab/>
      </w:r>
      <w:r w:rsidRPr="009F551D">
        <w:rPr>
          <w:noProof/>
          <w:webHidden/>
          <w:lang w:val="fr-FR"/>
        </w:rPr>
        <w:tab/>
        <w:t>4</w:t>
      </w:r>
    </w:p>
    <w:p w14:paraId="4552B684" w14:textId="77777777" w:rsidR="004D735E" w:rsidRPr="009F551D" w:rsidRDefault="004D735E" w:rsidP="004D735E">
      <w:pPr>
        <w:tabs>
          <w:tab w:val="right" w:pos="850"/>
          <w:tab w:val="right" w:leader="dot" w:pos="8787"/>
          <w:tab w:val="right" w:pos="9638"/>
        </w:tabs>
        <w:spacing w:after="120"/>
        <w:ind w:left="1134" w:hanging="1134"/>
        <w:rPr>
          <w:noProof/>
          <w:lang w:val="fr-FR"/>
        </w:rPr>
      </w:pPr>
      <w:r w:rsidRPr="009F551D">
        <w:rPr>
          <w:lang w:val="fr-FR"/>
        </w:rPr>
        <w:tab/>
        <w:t>II.</w:t>
      </w:r>
      <w:r w:rsidRPr="009F551D">
        <w:rPr>
          <w:lang w:val="fr-FR"/>
        </w:rPr>
        <w:tab/>
        <w:t>Questions d</w:t>
      </w:r>
      <w:r>
        <w:rPr>
          <w:lang w:val="fr-FR"/>
        </w:rPr>
        <w:t>’</w:t>
      </w:r>
      <w:r w:rsidRPr="009F551D">
        <w:rPr>
          <w:lang w:val="fr-FR"/>
        </w:rPr>
        <w:t>organisation</w:t>
      </w:r>
      <w:r w:rsidRPr="009F551D">
        <w:rPr>
          <w:noProof/>
          <w:webHidden/>
          <w:lang w:val="fr-FR"/>
        </w:rPr>
        <w:tab/>
      </w:r>
      <w:r w:rsidRPr="009F551D">
        <w:rPr>
          <w:noProof/>
          <w:webHidden/>
          <w:lang w:val="fr-FR"/>
        </w:rPr>
        <w:tab/>
        <w:t>4</w:t>
      </w:r>
    </w:p>
    <w:p w14:paraId="1130D1C7" w14:textId="77777777" w:rsidR="004D735E" w:rsidRPr="009F551D" w:rsidRDefault="004D735E" w:rsidP="004D735E">
      <w:pPr>
        <w:tabs>
          <w:tab w:val="right" w:pos="850"/>
          <w:tab w:val="right" w:leader="dot" w:pos="8787"/>
          <w:tab w:val="right" w:pos="9638"/>
        </w:tabs>
        <w:spacing w:after="120"/>
        <w:ind w:left="1134" w:hanging="1134"/>
        <w:rPr>
          <w:noProof/>
          <w:lang w:val="fr-FR"/>
        </w:rPr>
      </w:pPr>
      <w:r w:rsidRPr="009F551D">
        <w:rPr>
          <w:lang w:val="fr-FR"/>
        </w:rPr>
        <w:tab/>
        <w:t>III.</w:t>
      </w:r>
      <w:r w:rsidRPr="009F551D">
        <w:rPr>
          <w:lang w:val="fr-FR"/>
        </w:rPr>
        <w:tab/>
        <w:t>Adoption de l</w:t>
      </w:r>
      <w:r>
        <w:rPr>
          <w:lang w:val="fr-FR"/>
        </w:rPr>
        <w:t>’</w:t>
      </w:r>
      <w:r w:rsidRPr="009F551D">
        <w:rPr>
          <w:lang w:val="fr-FR"/>
        </w:rPr>
        <w:t>ordre du jour (point 1 de l</w:t>
      </w:r>
      <w:r>
        <w:rPr>
          <w:lang w:val="fr-FR"/>
        </w:rPr>
        <w:t>’</w:t>
      </w:r>
      <w:r w:rsidRPr="009F551D">
        <w:rPr>
          <w:lang w:val="fr-FR"/>
        </w:rPr>
        <w:t>ordre du jour)</w:t>
      </w:r>
      <w:r w:rsidRPr="009F551D">
        <w:rPr>
          <w:noProof/>
          <w:webHidden/>
          <w:lang w:val="fr-FR"/>
        </w:rPr>
        <w:tab/>
      </w:r>
      <w:r w:rsidRPr="009F551D">
        <w:rPr>
          <w:noProof/>
          <w:webHidden/>
          <w:lang w:val="fr-FR"/>
        </w:rPr>
        <w:tab/>
        <w:t>4</w:t>
      </w:r>
    </w:p>
    <w:p w14:paraId="18EC8162" w14:textId="77777777" w:rsidR="004D735E" w:rsidRPr="009F551D" w:rsidRDefault="004D735E" w:rsidP="004D735E">
      <w:pPr>
        <w:tabs>
          <w:tab w:val="right" w:pos="850"/>
          <w:tab w:val="right" w:leader="dot" w:pos="8787"/>
          <w:tab w:val="right" w:pos="9638"/>
        </w:tabs>
        <w:spacing w:after="120"/>
        <w:ind w:left="1134" w:hanging="1134"/>
        <w:rPr>
          <w:noProof/>
          <w:lang w:val="fr-FR"/>
        </w:rPr>
      </w:pPr>
      <w:r w:rsidRPr="009F551D">
        <w:rPr>
          <w:lang w:val="fr-FR"/>
        </w:rPr>
        <w:tab/>
        <w:t>IV.</w:t>
      </w:r>
      <w:r w:rsidRPr="009F551D">
        <w:rPr>
          <w:lang w:val="fr-FR"/>
        </w:rPr>
        <w:tab/>
        <w:t>Questions découlant des travaux d</w:t>
      </w:r>
      <w:r>
        <w:rPr>
          <w:lang w:val="fr-FR"/>
        </w:rPr>
        <w:t>’</w:t>
      </w:r>
      <w:r w:rsidRPr="009F551D">
        <w:rPr>
          <w:lang w:val="fr-FR"/>
        </w:rPr>
        <w:t>organes des Nations Unies ou d</w:t>
      </w:r>
      <w:r>
        <w:rPr>
          <w:lang w:val="fr-FR"/>
        </w:rPr>
        <w:t>’</w:t>
      </w:r>
      <w:r w:rsidRPr="009F551D">
        <w:rPr>
          <w:lang w:val="fr-FR"/>
        </w:rPr>
        <w:t xml:space="preserve">autres organisations </w:t>
      </w:r>
      <w:r>
        <w:rPr>
          <w:lang w:val="fr-FR"/>
        </w:rPr>
        <w:br/>
      </w:r>
      <w:r w:rsidRPr="009F551D">
        <w:rPr>
          <w:lang w:val="fr-FR"/>
        </w:rPr>
        <w:t>(point 2 de l</w:t>
      </w:r>
      <w:r>
        <w:rPr>
          <w:lang w:val="fr-FR"/>
        </w:rPr>
        <w:t>’</w:t>
      </w:r>
      <w:r w:rsidRPr="009F551D">
        <w:rPr>
          <w:lang w:val="fr-FR"/>
        </w:rPr>
        <w:t>ordre du jour)</w:t>
      </w:r>
      <w:r w:rsidRPr="009F551D">
        <w:rPr>
          <w:noProof/>
          <w:webHidden/>
          <w:lang w:val="fr-FR"/>
        </w:rPr>
        <w:tab/>
      </w:r>
      <w:r w:rsidRPr="009F551D">
        <w:rPr>
          <w:noProof/>
          <w:webHidden/>
          <w:lang w:val="fr-FR"/>
        </w:rPr>
        <w:tab/>
        <w:t>4</w:t>
      </w:r>
    </w:p>
    <w:p w14:paraId="442C4805"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A.</w:t>
      </w:r>
      <w:r w:rsidRPr="009F551D">
        <w:rPr>
          <w:lang w:val="fr-FR"/>
        </w:rPr>
        <w:tab/>
        <w:t>Travaux du Comité des transports intérieurs</w:t>
      </w:r>
      <w:r w:rsidRPr="009F551D">
        <w:rPr>
          <w:noProof/>
          <w:webHidden/>
          <w:lang w:val="fr-FR"/>
        </w:rPr>
        <w:tab/>
      </w:r>
      <w:r w:rsidRPr="009F551D">
        <w:rPr>
          <w:noProof/>
          <w:webHidden/>
          <w:lang w:val="fr-FR"/>
        </w:rPr>
        <w:tab/>
        <w:t>4</w:t>
      </w:r>
    </w:p>
    <w:p w14:paraId="71D3C33A"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B.</w:t>
      </w:r>
      <w:r w:rsidRPr="009F551D">
        <w:rPr>
          <w:lang w:val="fr-FR"/>
        </w:rPr>
        <w:tab/>
        <w:t xml:space="preserve">État des </w:t>
      </w:r>
      <w:r w:rsidRPr="00506B22">
        <w:t>prescriptions</w:t>
      </w:r>
      <w:r w:rsidRPr="009F551D">
        <w:rPr>
          <w:lang w:val="fr-FR"/>
        </w:rPr>
        <w:t xml:space="preserve"> relatives au manuel de stabilité</w:t>
      </w:r>
      <w:r w:rsidRPr="009F551D">
        <w:rPr>
          <w:noProof/>
          <w:webHidden/>
          <w:lang w:val="fr-FR"/>
        </w:rPr>
        <w:tab/>
      </w:r>
      <w:r w:rsidRPr="009F551D">
        <w:rPr>
          <w:noProof/>
          <w:webHidden/>
          <w:lang w:val="fr-FR"/>
        </w:rPr>
        <w:tab/>
        <w:t>5</w:t>
      </w:r>
    </w:p>
    <w:p w14:paraId="63F578FC"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C.</w:t>
      </w:r>
      <w:r w:rsidRPr="009F551D">
        <w:rPr>
          <w:lang w:val="fr-FR"/>
        </w:rPr>
        <w:tab/>
        <w:t xml:space="preserve">Version </w:t>
      </w:r>
      <w:r w:rsidRPr="00506B22">
        <w:t>électronique</w:t>
      </w:r>
      <w:r w:rsidRPr="009F551D">
        <w:rPr>
          <w:lang w:val="fr-FR"/>
        </w:rPr>
        <w:t xml:space="preserve"> des divers documents devant se trouver à bord</w:t>
      </w:r>
      <w:r w:rsidRPr="009F551D">
        <w:rPr>
          <w:noProof/>
          <w:webHidden/>
          <w:lang w:val="fr-FR"/>
        </w:rPr>
        <w:tab/>
      </w:r>
      <w:r w:rsidRPr="009F551D">
        <w:rPr>
          <w:noProof/>
          <w:webHidden/>
          <w:lang w:val="fr-FR"/>
        </w:rPr>
        <w:tab/>
        <w:t>5</w:t>
      </w:r>
    </w:p>
    <w:p w14:paraId="5B2F518F"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D.</w:t>
      </w:r>
      <w:r w:rsidRPr="009F551D">
        <w:rPr>
          <w:lang w:val="fr-FR"/>
        </w:rPr>
        <w:tab/>
        <w:t>Rapport de la Commission du Danube</w:t>
      </w:r>
      <w:r w:rsidRPr="009F551D">
        <w:rPr>
          <w:noProof/>
          <w:webHidden/>
          <w:lang w:val="fr-FR"/>
        </w:rPr>
        <w:tab/>
      </w:r>
      <w:r w:rsidRPr="009F551D">
        <w:rPr>
          <w:noProof/>
          <w:webHidden/>
          <w:lang w:val="fr-FR"/>
        </w:rPr>
        <w:tab/>
        <w:t>5</w:t>
      </w:r>
    </w:p>
    <w:p w14:paraId="4158B803" w14:textId="77777777" w:rsidR="004D735E" w:rsidRPr="009F551D" w:rsidRDefault="004D735E" w:rsidP="004D735E">
      <w:pPr>
        <w:tabs>
          <w:tab w:val="right" w:pos="850"/>
          <w:tab w:val="right" w:leader="dot" w:pos="8787"/>
          <w:tab w:val="right" w:pos="9638"/>
        </w:tabs>
        <w:spacing w:after="120"/>
        <w:ind w:left="1134" w:hanging="1134"/>
        <w:rPr>
          <w:noProof/>
          <w:lang w:val="fr-FR"/>
        </w:rPr>
      </w:pPr>
      <w:r w:rsidRPr="009F551D">
        <w:rPr>
          <w:lang w:val="fr-FR"/>
        </w:rPr>
        <w:tab/>
        <w:t>V.</w:t>
      </w:r>
      <w:r w:rsidRPr="009F551D">
        <w:rPr>
          <w:lang w:val="fr-FR"/>
        </w:rPr>
        <w:tab/>
        <w:t>Mise en œuvre de l</w:t>
      </w:r>
      <w:r>
        <w:rPr>
          <w:lang w:val="fr-FR"/>
        </w:rPr>
        <w:t>’</w:t>
      </w:r>
      <w:r w:rsidRPr="009F551D">
        <w:rPr>
          <w:lang w:val="fr-FR"/>
        </w:rPr>
        <w:t xml:space="preserve">Accord européen relatif au transport international des marchandises </w:t>
      </w:r>
      <w:r>
        <w:rPr>
          <w:lang w:val="fr-FR"/>
        </w:rPr>
        <w:br/>
      </w:r>
      <w:r w:rsidRPr="009F551D">
        <w:rPr>
          <w:lang w:val="fr-FR"/>
        </w:rPr>
        <w:t>dangereuses par voies de navigation intérieures (ADN) (point 3 de l</w:t>
      </w:r>
      <w:r>
        <w:rPr>
          <w:lang w:val="fr-FR"/>
        </w:rPr>
        <w:t>’</w:t>
      </w:r>
      <w:r w:rsidRPr="009F551D">
        <w:rPr>
          <w:lang w:val="fr-FR"/>
        </w:rPr>
        <w:t>ordre du jour)</w:t>
      </w:r>
      <w:r w:rsidRPr="009F551D">
        <w:rPr>
          <w:noProof/>
          <w:webHidden/>
          <w:lang w:val="fr-FR"/>
        </w:rPr>
        <w:tab/>
      </w:r>
      <w:r w:rsidRPr="009F551D">
        <w:rPr>
          <w:noProof/>
          <w:webHidden/>
          <w:lang w:val="fr-FR"/>
        </w:rPr>
        <w:tab/>
        <w:t>6</w:t>
      </w:r>
    </w:p>
    <w:p w14:paraId="0398157F"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A.</w:t>
      </w:r>
      <w:r w:rsidRPr="009F551D">
        <w:rPr>
          <w:lang w:val="fr-FR"/>
        </w:rPr>
        <w:tab/>
        <w:t>État de l</w:t>
      </w:r>
      <w:r>
        <w:rPr>
          <w:lang w:val="fr-FR"/>
        </w:rPr>
        <w:t>’</w:t>
      </w:r>
      <w:r w:rsidRPr="009F551D">
        <w:rPr>
          <w:lang w:val="fr-FR"/>
        </w:rPr>
        <w:t>ADN</w:t>
      </w:r>
      <w:r w:rsidRPr="009F551D">
        <w:rPr>
          <w:noProof/>
          <w:webHidden/>
          <w:lang w:val="fr-FR"/>
        </w:rPr>
        <w:tab/>
      </w:r>
      <w:r w:rsidRPr="009F551D">
        <w:rPr>
          <w:noProof/>
          <w:webHidden/>
          <w:lang w:val="fr-FR"/>
        </w:rPr>
        <w:tab/>
        <w:t>6</w:t>
      </w:r>
    </w:p>
    <w:p w14:paraId="7C7D6AC5"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B.</w:t>
      </w:r>
      <w:r w:rsidRPr="009F551D">
        <w:rPr>
          <w:lang w:val="fr-FR"/>
        </w:rPr>
        <w:tab/>
        <w:t>Autorisations spéciales, dérogations et équivalences</w:t>
      </w:r>
      <w:r w:rsidRPr="009F551D">
        <w:rPr>
          <w:noProof/>
          <w:webHidden/>
          <w:lang w:val="fr-FR"/>
        </w:rPr>
        <w:tab/>
      </w:r>
      <w:r w:rsidRPr="009F551D">
        <w:rPr>
          <w:noProof/>
          <w:webHidden/>
          <w:lang w:val="fr-FR"/>
        </w:rPr>
        <w:tab/>
        <w:t>6</w:t>
      </w:r>
    </w:p>
    <w:p w14:paraId="72760C43"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1.</w:t>
      </w:r>
      <w:r w:rsidRPr="009F551D">
        <w:rPr>
          <w:lang w:val="fr-FR"/>
        </w:rPr>
        <w:tab/>
        <w:t>Autorisation spéciale</w:t>
      </w:r>
      <w:r w:rsidRPr="009F551D">
        <w:rPr>
          <w:noProof/>
          <w:webHidden/>
          <w:lang w:val="fr-FR"/>
        </w:rPr>
        <w:tab/>
      </w:r>
      <w:r w:rsidRPr="009F551D">
        <w:rPr>
          <w:noProof/>
          <w:webHidden/>
          <w:lang w:val="fr-FR"/>
        </w:rPr>
        <w:tab/>
        <w:t>6</w:t>
      </w:r>
    </w:p>
    <w:p w14:paraId="35C15A8E"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2.</w:t>
      </w:r>
      <w:r w:rsidRPr="009F551D">
        <w:rPr>
          <w:lang w:val="fr-FR"/>
        </w:rPr>
        <w:tab/>
        <w:t xml:space="preserve">Demande de </w:t>
      </w:r>
      <w:r w:rsidRPr="00506B22">
        <w:t>recommandation</w:t>
      </w:r>
      <w:r w:rsidRPr="009F551D">
        <w:rPr>
          <w:noProof/>
          <w:webHidden/>
          <w:lang w:val="fr-FR"/>
        </w:rPr>
        <w:tab/>
      </w:r>
      <w:r w:rsidRPr="009F551D">
        <w:rPr>
          <w:noProof/>
          <w:webHidden/>
          <w:lang w:val="fr-FR"/>
        </w:rPr>
        <w:tab/>
        <w:t>6</w:t>
      </w:r>
    </w:p>
    <w:p w14:paraId="55BBC8EF"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C.</w:t>
      </w:r>
      <w:r w:rsidRPr="009F551D">
        <w:rPr>
          <w:lang w:val="fr-FR"/>
        </w:rPr>
        <w:tab/>
      </w:r>
      <w:r w:rsidRPr="00506B22">
        <w:t>Interprétation</w:t>
      </w:r>
      <w:r w:rsidRPr="009F551D">
        <w:rPr>
          <w:lang w:val="fr-FR"/>
        </w:rPr>
        <w:t xml:space="preserve"> du Règlement annexé à l</w:t>
      </w:r>
      <w:r>
        <w:rPr>
          <w:lang w:val="fr-FR"/>
        </w:rPr>
        <w:t>’</w:t>
      </w:r>
      <w:r w:rsidRPr="009F551D">
        <w:rPr>
          <w:lang w:val="fr-FR"/>
        </w:rPr>
        <w:t>ADN</w:t>
      </w:r>
      <w:r w:rsidRPr="009F551D">
        <w:rPr>
          <w:noProof/>
          <w:webHidden/>
          <w:lang w:val="fr-FR"/>
        </w:rPr>
        <w:tab/>
      </w:r>
      <w:r w:rsidRPr="009F551D">
        <w:rPr>
          <w:noProof/>
          <w:webHidden/>
          <w:lang w:val="fr-FR"/>
        </w:rPr>
        <w:tab/>
        <w:t>6</w:t>
      </w:r>
    </w:p>
    <w:p w14:paraId="20186061"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D.</w:t>
      </w:r>
      <w:r w:rsidRPr="009F551D">
        <w:rPr>
          <w:lang w:val="fr-FR"/>
        </w:rPr>
        <w:tab/>
        <w:t>Formation des experts</w:t>
      </w:r>
      <w:r w:rsidRPr="009F551D">
        <w:rPr>
          <w:noProof/>
          <w:webHidden/>
          <w:lang w:val="fr-FR"/>
        </w:rPr>
        <w:tab/>
      </w:r>
      <w:r w:rsidRPr="009F551D">
        <w:rPr>
          <w:noProof/>
          <w:webHidden/>
          <w:lang w:val="fr-FR"/>
        </w:rPr>
        <w:tab/>
        <w:t>6</w:t>
      </w:r>
    </w:p>
    <w:p w14:paraId="62361DC3"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1.</w:t>
      </w:r>
      <w:r w:rsidRPr="009F551D">
        <w:rPr>
          <w:lang w:val="fr-FR"/>
        </w:rPr>
        <w:tab/>
        <w:t xml:space="preserve">Catalogue </w:t>
      </w:r>
      <w:r w:rsidRPr="00506B22">
        <w:t>de</w:t>
      </w:r>
      <w:r w:rsidRPr="009F551D">
        <w:rPr>
          <w:lang w:val="fr-FR"/>
        </w:rPr>
        <w:t xml:space="preserve"> questions ADN 2021</w:t>
      </w:r>
      <w:r w:rsidRPr="009F551D">
        <w:rPr>
          <w:noProof/>
          <w:webHidden/>
          <w:lang w:val="fr-FR"/>
        </w:rPr>
        <w:tab/>
      </w:r>
      <w:r w:rsidRPr="009F551D">
        <w:rPr>
          <w:noProof/>
          <w:webHidden/>
          <w:lang w:val="fr-FR"/>
        </w:rPr>
        <w:tab/>
        <w:t>6</w:t>
      </w:r>
    </w:p>
    <w:p w14:paraId="5120A857"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2.</w:t>
      </w:r>
      <w:r w:rsidRPr="009F551D">
        <w:rPr>
          <w:lang w:val="fr-FR"/>
        </w:rPr>
        <w:tab/>
      </w:r>
      <w:r w:rsidRPr="00C50E87">
        <w:rPr>
          <w:spacing w:val="-2"/>
          <w:lang w:val="fr-FR"/>
        </w:rPr>
        <w:t>Directive pour l’utilisation du catalogue de questions pour l’examen d’expert ADN</w:t>
      </w:r>
      <w:r w:rsidRPr="009F551D">
        <w:rPr>
          <w:noProof/>
          <w:webHidden/>
          <w:lang w:val="fr-FR"/>
        </w:rPr>
        <w:tab/>
      </w:r>
      <w:r w:rsidRPr="009F551D">
        <w:rPr>
          <w:noProof/>
          <w:webHidden/>
          <w:lang w:val="fr-FR"/>
        </w:rPr>
        <w:tab/>
        <w:t>7</w:t>
      </w:r>
    </w:p>
    <w:p w14:paraId="6CE6FE06"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E.</w:t>
      </w:r>
      <w:r w:rsidRPr="009F551D">
        <w:rPr>
          <w:lang w:val="fr-FR"/>
        </w:rPr>
        <w:tab/>
      </w:r>
      <w:r w:rsidRPr="00506B22">
        <w:t>Questions</w:t>
      </w:r>
      <w:r w:rsidRPr="009F551D">
        <w:rPr>
          <w:lang w:val="fr-FR"/>
        </w:rPr>
        <w:t xml:space="preserve"> relatives aux sociétés de classification</w:t>
      </w:r>
      <w:r w:rsidRPr="009F551D">
        <w:rPr>
          <w:noProof/>
          <w:webHidden/>
          <w:lang w:val="fr-FR"/>
        </w:rPr>
        <w:tab/>
      </w:r>
      <w:r w:rsidRPr="009F551D">
        <w:rPr>
          <w:noProof/>
          <w:webHidden/>
          <w:lang w:val="fr-FR"/>
        </w:rPr>
        <w:tab/>
        <w:t>7</w:t>
      </w:r>
    </w:p>
    <w:p w14:paraId="74AC2603" w14:textId="77777777" w:rsidR="004D735E" w:rsidRPr="009F551D" w:rsidRDefault="004D735E" w:rsidP="004D735E">
      <w:pPr>
        <w:tabs>
          <w:tab w:val="right" w:pos="850"/>
          <w:tab w:val="right" w:leader="dot" w:pos="8787"/>
          <w:tab w:val="right" w:pos="9638"/>
        </w:tabs>
        <w:spacing w:after="120"/>
        <w:ind w:left="1134" w:hanging="1134"/>
        <w:rPr>
          <w:noProof/>
          <w:lang w:val="fr-FR"/>
        </w:rPr>
      </w:pPr>
      <w:r w:rsidRPr="009F551D">
        <w:rPr>
          <w:lang w:val="fr-FR"/>
        </w:rPr>
        <w:tab/>
        <w:t>VI.</w:t>
      </w:r>
      <w:r w:rsidRPr="009F551D">
        <w:rPr>
          <w:lang w:val="fr-FR"/>
        </w:rPr>
        <w:tab/>
        <w:t>Propositions d</w:t>
      </w:r>
      <w:r>
        <w:rPr>
          <w:lang w:val="fr-FR"/>
        </w:rPr>
        <w:t>’</w:t>
      </w:r>
      <w:r w:rsidRPr="009F551D">
        <w:rPr>
          <w:lang w:val="fr-FR"/>
        </w:rPr>
        <w:t xml:space="preserve">amendements au Règlement </w:t>
      </w:r>
      <w:r w:rsidRPr="00506B22">
        <w:t>annexé</w:t>
      </w:r>
      <w:r w:rsidRPr="009F551D">
        <w:rPr>
          <w:lang w:val="fr-FR"/>
        </w:rPr>
        <w:t xml:space="preserve"> à l</w:t>
      </w:r>
      <w:r>
        <w:rPr>
          <w:lang w:val="fr-FR"/>
        </w:rPr>
        <w:t>’</w:t>
      </w:r>
      <w:r w:rsidRPr="009F551D">
        <w:rPr>
          <w:lang w:val="fr-FR"/>
        </w:rPr>
        <w:t>ADN (point 4 de l</w:t>
      </w:r>
      <w:r>
        <w:rPr>
          <w:lang w:val="fr-FR"/>
        </w:rPr>
        <w:t>’</w:t>
      </w:r>
      <w:r w:rsidRPr="009F551D">
        <w:rPr>
          <w:lang w:val="fr-FR"/>
        </w:rPr>
        <w:t>ordre du jour)</w:t>
      </w:r>
      <w:r w:rsidRPr="009F551D">
        <w:rPr>
          <w:noProof/>
          <w:webHidden/>
          <w:lang w:val="fr-FR"/>
        </w:rPr>
        <w:tab/>
      </w:r>
      <w:r w:rsidRPr="009F551D">
        <w:rPr>
          <w:noProof/>
          <w:webHidden/>
          <w:lang w:val="fr-FR"/>
        </w:rPr>
        <w:tab/>
        <w:t>7</w:t>
      </w:r>
    </w:p>
    <w:p w14:paraId="0B3B286B"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A.</w:t>
      </w:r>
      <w:r w:rsidRPr="009F551D">
        <w:rPr>
          <w:lang w:val="fr-FR"/>
        </w:rPr>
        <w:tab/>
        <w:t>Travaux de la Réunion commune RID/ADR/ADN</w:t>
      </w:r>
      <w:r w:rsidRPr="009F551D">
        <w:rPr>
          <w:noProof/>
          <w:webHidden/>
          <w:lang w:val="fr-FR"/>
        </w:rPr>
        <w:tab/>
      </w:r>
      <w:r w:rsidRPr="009F551D">
        <w:rPr>
          <w:noProof/>
          <w:webHidden/>
          <w:lang w:val="fr-FR"/>
        </w:rPr>
        <w:tab/>
        <w:t>7</w:t>
      </w:r>
    </w:p>
    <w:p w14:paraId="778A56ED"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B.</w:t>
      </w:r>
      <w:r w:rsidRPr="009F551D">
        <w:rPr>
          <w:lang w:val="fr-FR"/>
        </w:rPr>
        <w:tab/>
        <w:t>Autres propositions</w:t>
      </w:r>
      <w:r w:rsidRPr="009F551D">
        <w:rPr>
          <w:noProof/>
          <w:webHidden/>
          <w:lang w:val="fr-FR"/>
        </w:rPr>
        <w:tab/>
      </w:r>
      <w:r w:rsidRPr="009F551D">
        <w:rPr>
          <w:noProof/>
          <w:webHidden/>
          <w:lang w:val="fr-FR"/>
        </w:rPr>
        <w:tab/>
      </w:r>
      <w:r>
        <w:rPr>
          <w:noProof/>
          <w:webHidden/>
          <w:lang w:val="fr-FR"/>
        </w:rPr>
        <w:t>8</w:t>
      </w:r>
    </w:p>
    <w:p w14:paraId="1135BBEF"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1.</w:t>
      </w:r>
      <w:r w:rsidRPr="009F551D">
        <w:rPr>
          <w:lang w:val="fr-FR"/>
        </w:rPr>
        <w:tab/>
      </w:r>
      <w:r w:rsidRPr="00506B22">
        <w:t>Proposition</w:t>
      </w:r>
      <w:r w:rsidRPr="009F551D">
        <w:rPr>
          <w:lang w:val="fr-FR"/>
        </w:rPr>
        <w:t xml:space="preserve"> d</w:t>
      </w:r>
      <w:r>
        <w:rPr>
          <w:lang w:val="fr-FR"/>
        </w:rPr>
        <w:t>’</w:t>
      </w:r>
      <w:r w:rsidRPr="009F551D">
        <w:rPr>
          <w:lang w:val="fr-FR"/>
        </w:rPr>
        <w:t>amendements</w:t>
      </w:r>
      <w:r w:rsidRPr="009F551D">
        <w:rPr>
          <w:noProof/>
          <w:webHidden/>
          <w:lang w:val="fr-FR"/>
        </w:rPr>
        <w:tab/>
      </w:r>
      <w:r w:rsidRPr="009F551D">
        <w:rPr>
          <w:noProof/>
          <w:webHidden/>
          <w:lang w:val="fr-FR"/>
        </w:rPr>
        <w:tab/>
      </w:r>
      <w:r>
        <w:rPr>
          <w:noProof/>
          <w:webHidden/>
          <w:lang w:val="fr-FR"/>
        </w:rPr>
        <w:t>8</w:t>
      </w:r>
    </w:p>
    <w:p w14:paraId="557780C9"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2.</w:t>
      </w:r>
      <w:r w:rsidRPr="009F551D">
        <w:rPr>
          <w:lang w:val="fr-FR"/>
        </w:rPr>
        <w:tab/>
      </w:r>
      <w:r w:rsidRPr="00506B22">
        <w:t>Proposition</w:t>
      </w:r>
      <w:r w:rsidRPr="009F551D">
        <w:rPr>
          <w:lang w:val="fr-FR"/>
        </w:rPr>
        <w:t xml:space="preserve"> d</w:t>
      </w:r>
      <w:r>
        <w:rPr>
          <w:lang w:val="fr-FR"/>
        </w:rPr>
        <w:t>’</w:t>
      </w:r>
      <w:r w:rsidRPr="009F551D">
        <w:rPr>
          <w:lang w:val="fr-FR"/>
        </w:rPr>
        <w:t>amendement à l</w:t>
      </w:r>
      <w:r>
        <w:rPr>
          <w:lang w:val="fr-FR"/>
        </w:rPr>
        <w:t>’</w:t>
      </w:r>
      <w:r w:rsidRPr="009F551D">
        <w:rPr>
          <w:lang w:val="fr-FR"/>
        </w:rPr>
        <w:t>article 7.2.4.41 relatif à l</w:t>
      </w:r>
      <w:r>
        <w:rPr>
          <w:lang w:val="fr-FR"/>
        </w:rPr>
        <w:t>’</w:t>
      </w:r>
      <w:r w:rsidRPr="009F551D">
        <w:rPr>
          <w:lang w:val="fr-FR"/>
        </w:rPr>
        <w:t>interdiction d</w:t>
      </w:r>
      <w:r>
        <w:rPr>
          <w:lang w:val="fr-FR"/>
        </w:rPr>
        <w:t>’</w:t>
      </w:r>
      <w:r w:rsidRPr="009F551D">
        <w:rPr>
          <w:lang w:val="fr-FR"/>
        </w:rPr>
        <w:t xml:space="preserve">utiliser </w:t>
      </w:r>
      <w:r>
        <w:rPr>
          <w:lang w:val="fr-FR"/>
        </w:rPr>
        <w:br/>
      </w:r>
      <w:r w:rsidRPr="009F551D">
        <w:rPr>
          <w:lang w:val="fr-FR"/>
        </w:rPr>
        <w:t>des cigarettes électroniques</w:t>
      </w:r>
      <w:r w:rsidRPr="009F551D">
        <w:rPr>
          <w:lang w:val="fr-FR"/>
        </w:rPr>
        <w:tab/>
      </w:r>
      <w:r w:rsidRPr="009F551D">
        <w:rPr>
          <w:noProof/>
          <w:webHidden/>
          <w:lang w:val="fr-FR"/>
        </w:rPr>
        <w:tab/>
        <w:t>8</w:t>
      </w:r>
    </w:p>
    <w:p w14:paraId="64948B5D"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3.</w:t>
      </w:r>
      <w:r w:rsidRPr="009F551D">
        <w:rPr>
          <w:lang w:val="fr-FR"/>
        </w:rPr>
        <w:tab/>
      </w:r>
      <w:r w:rsidRPr="00506B22">
        <w:t>Diverses</w:t>
      </w:r>
      <w:r w:rsidRPr="009F551D">
        <w:rPr>
          <w:lang w:val="fr-FR"/>
        </w:rPr>
        <w:t xml:space="preserve"> modifications et corrections de l</w:t>
      </w:r>
      <w:r>
        <w:rPr>
          <w:lang w:val="fr-FR"/>
        </w:rPr>
        <w:t>’</w:t>
      </w:r>
      <w:r w:rsidRPr="009F551D">
        <w:rPr>
          <w:lang w:val="fr-FR"/>
        </w:rPr>
        <w:t>ADN 2021 devant faire l</w:t>
      </w:r>
      <w:r>
        <w:rPr>
          <w:lang w:val="fr-FR"/>
        </w:rPr>
        <w:t>’</w:t>
      </w:r>
      <w:r w:rsidRPr="009F551D">
        <w:rPr>
          <w:lang w:val="fr-FR"/>
        </w:rPr>
        <w:t xml:space="preserve">objet </w:t>
      </w:r>
      <w:r>
        <w:rPr>
          <w:lang w:val="fr-FR"/>
        </w:rPr>
        <w:br/>
      </w:r>
      <w:r w:rsidRPr="009F551D">
        <w:rPr>
          <w:lang w:val="fr-FR"/>
        </w:rPr>
        <w:t>d</w:t>
      </w:r>
      <w:r>
        <w:rPr>
          <w:lang w:val="fr-FR"/>
        </w:rPr>
        <w:t>’</w:t>
      </w:r>
      <w:r w:rsidRPr="009F551D">
        <w:rPr>
          <w:lang w:val="fr-FR"/>
        </w:rPr>
        <w:t>une notification</w:t>
      </w:r>
      <w:r w:rsidRPr="009F551D">
        <w:rPr>
          <w:noProof/>
          <w:webHidden/>
          <w:lang w:val="fr-FR"/>
        </w:rPr>
        <w:tab/>
      </w:r>
      <w:r>
        <w:rPr>
          <w:noProof/>
          <w:webHidden/>
          <w:lang w:val="fr-FR"/>
        </w:rPr>
        <w:tab/>
      </w:r>
      <w:r w:rsidRPr="009F551D">
        <w:rPr>
          <w:noProof/>
          <w:webHidden/>
          <w:lang w:val="fr-FR"/>
        </w:rPr>
        <w:t>8</w:t>
      </w:r>
    </w:p>
    <w:p w14:paraId="31B361A7"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4.</w:t>
      </w:r>
      <w:r w:rsidRPr="009F551D">
        <w:rPr>
          <w:lang w:val="fr-FR"/>
        </w:rPr>
        <w:tab/>
      </w:r>
      <w:r w:rsidRPr="00506B22">
        <w:t>Chapitre</w:t>
      </w:r>
      <w:r w:rsidRPr="009F551D">
        <w:rPr>
          <w:lang w:val="fr-FR"/>
        </w:rPr>
        <w:t xml:space="preserve"> 8.2 de l</w:t>
      </w:r>
      <w:r>
        <w:rPr>
          <w:lang w:val="fr-FR"/>
        </w:rPr>
        <w:t>’</w:t>
      </w:r>
      <w:r w:rsidRPr="009F551D">
        <w:rPr>
          <w:lang w:val="fr-FR"/>
        </w:rPr>
        <w:t>ADN − Prescriptions relatives à la formation des experts</w:t>
      </w:r>
      <w:r w:rsidRPr="009F551D">
        <w:rPr>
          <w:noProof/>
          <w:webHidden/>
          <w:lang w:val="fr-FR"/>
        </w:rPr>
        <w:tab/>
      </w:r>
      <w:r w:rsidRPr="009F551D">
        <w:rPr>
          <w:noProof/>
          <w:webHidden/>
          <w:lang w:val="fr-FR"/>
        </w:rPr>
        <w:tab/>
        <w:t>8</w:t>
      </w:r>
    </w:p>
    <w:p w14:paraId="49B6089A"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5.</w:t>
      </w:r>
      <w:r w:rsidRPr="009F551D">
        <w:rPr>
          <w:lang w:val="fr-FR"/>
        </w:rPr>
        <w:tab/>
        <w:t xml:space="preserve">Transport de cargaisons en vrac fumigées dans des cales et cales fumigées </w:t>
      </w:r>
      <w:r>
        <w:rPr>
          <w:lang w:val="fr-FR"/>
        </w:rPr>
        <w:br/>
      </w:r>
      <w:r w:rsidRPr="009F551D">
        <w:rPr>
          <w:lang w:val="fr-FR"/>
        </w:rPr>
        <w:t>de bateaux à marchandises sèches</w:t>
      </w:r>
      <w:r w:rsidRPr="009F551D">
        <w:rPr>
          <w:noProof/>
          <w:webHidden/>
          <w:lang w:val="fr-FR"/>
        </w:rPr>
        <w:tab/>
      </w:r>
      <w:r w:rsidRPr="009F551D">
        <w:rPr>
          <w:noProof/>
          <w:webHidden/>
          <w:lang w:val="fr-FR"/>
        </w:rPr>
        <w:tab/>
        <w:t>8</w:t>
      </w:r>
    </w:p>
    <w:p w14:paraId="6774D9FA"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6.</w:t>
      </w:r>
      <w:r w:rsidRPr="009F551D">
        <w:rPr>
          <w:lang w:val="fr-FR"/>
        </w:rPr>
        <w:tab/>
        <w:t>Parties 4 et 6 de l</w:t>
      </w:r>
      <w:r>
        <w:rPr>
          <w:lang w:val="fr-FR"/>
        </w:rPr>
        <w:t>’</w:t>
      </w:r>
      <w:r w:rsidRPr="009F551D">
        <w:rPr>
          <w:lang w:val="fr-FR"/>
        </w:rPr>
        <w:t>ADN − Dérogations résultant d</w:t>
      </w:r>
      <w:r>
        <w:rPr>
          <w:lang w:val="fr-FR"/>
        </w:rPr>
        <w:t>’</w:t>
      </w:r>
      <w:r w:rsidRPr="009F551D">
        <w:rPr>
          <w:lang w:val="fr-FR"/>
        </w:rPr>
        <w:t>accords multilatéraux selon l</w:t>
      </w:r>
      <w:r>
        <w:rPr>
          <w:lang w:val="fr-FR"/>
        </w:rPr>
        <w:t>’</w:t>
      </w:r>
      <w:r w:rsidRPr="009F551D">
        <w:rPr>
          <w:lang w:val="fr-FR"/>
        </w:rPr>
        <w:t xml:space="preserve">ADR </w:t>
      </w:r>
      <w:r w:rsidRPr="009F551D">
        <w:rPr>
          <w:lang w:val="fr-FR"/>
        </w:rPr>
        <w:br/>
        <w:t>et le RID</w:t>
      </w:r>
      <w:r w:rsidRPr="009F551D">
        <w:rPr>
          <w:lang w:val="fr-FR"/>
        </w:rPr>
        <w:tab/>
      </w:r>
      <w:r w:rsidRPr="009F551D">
        <w:rPr>
          <w:lang w:val="fr-FR"/>
        </w:rPr>
        <w:tab/>
      </w:r>
      <w:r>
        <w:rPr>
          <w:lang w:val="fr-FR"/>
        </w:rPr>
        <w:t>9</w:t>
      </w:r>
    </w:p>
    <w:p w14:paraId="08DB4A74"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7.</w:t>
      </w:r>
      <w:r w:rsidRPr="009F551D">
        <w:rPr>
          <w:lang w:val="fr-FR"/>
        </w:rPr>
        <w:tab/>
      </w:r>
      <w:r w:rsidRPr="00506B22">
        <w:t>Proposition</w:t>
      </w:r>
      <w:r w:rsidRPr="009F551D">
        <w:rPr>
          <w:lang w:val="fr-FR"/>
        </w:rPr>
        <w:t xml:space="preserve"> de correction du paragraphe 9.3.3.60</w:t>
      </w:r>
      <w:r w:rsidRPr="009F551D">
        <w:rPr>
          <w:noProof/>
          <w:webHidden/>
          <w:lang w:val="fr-FR"/>
        </w:rPr>
        <w:tab/>
      </w:r>
      <w:r w:rsidRPr="009F551D">
        <w:rPr>
          <w:noProof/>
          <w:webHidden/>
          <w:lang w:val="fr-FR"/>
        </w:rPr>
        <w:tab/>
        <w:t>9</w:t>
      </w:r>
    </w:p>
    <w:p w14:paraId="5FC3F691"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8.</w:t>
      </w:r>
      <w:r w:rsidRPr="009F551D">
        <w:rPr>
          <w:lang w:val="fr-FR"/>
        </w:rPr>
        <w:tab/>
      </w:r>
      <w:r w:rsidRPr="00506B22">
        <w:t>Dispositions</w:t>
      </w:r>
      <w:r w:rsidRPr="009F551D">
        <w:rPr>
          <w:lang w:val="fr-FR"/>
        </w:rPr>
        <w:t xml:space="preserve"> relatives aux </w:t>
      </w:r>
      <w:proofErr w:type="spellStart"/>
      <w:r w:rsidRPr="009F551D">
        <w:rPr>
          <w:lang w:val="fr-FR"/>
        </w:rPr>
        <w:t>cofferdams</w:t>
      </w:r>
      <w:proofErr w:type="spellEnd"/>
      <w:r w:rsidRPr="009F551D">
        <w:rPr>
          <w:noProof/>
          <w:webHidden/>
          <w:lang w:val="fr-FR"/>
        </w:rPr>
        <w:tab/>
      </w:r>
      <w:r w:rsidRPr="009F551D">
        <w:rPr>
          <w:noProof/>
          <w:webHidden/>
          <w:lang w:val="fr-FR"/>
        </w:rPr>
        <w:tab/>
        <w:t>9</w:t>
      </w:r>
    </w:p>
    <w:p w14:paraId="7BD6FBE1"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9.</w:t>
      </w:r>
      <w:r w:rsidRPr="009F551D">
        <w:rPr>
          <w:lang w:val="fr-FR"/>
        </w:rPr>
        <w:tab/>
        <w:t xml:space="preserve">Instructions </w:t>
      </w:r>
      <w:r w:rsidRPr="00506B22">
        <w:t>de</w:t>
      </w:r>
      <w:r w:rsidRPr="009F551D">
        <w:rPr>
          <w:lang w:val="fr-FR"/>
        </w:rPr>
        <w:t xml:space="preserve"> chargement et de déchargement</w:t>
      </w:r>
      <w:r w:rsidRPr="009F551D">
        <w:rPr>
          <w:noProof/>
          <w:webHidden/>
          <w:lang w:val="fr-FR"/>
        </w:rPr>
        <w:tab/>
      </w:r>
      <w:r w:rsidRPr="009F551D">
        <w:rPr>
          <w:noProof/>
          <w:webHidden/>
          <w:lang w:val="fr-FR"/>
        </w:rPr>
        <w:tab/>
      </w:r>
      <w:r>
        <w:rPr>
          <w:noProof/>
          <w:webHidden/>
          <w:lang w:val="fr-FR"/>
        </w:rPr>
        <w:t>10</w:t>
      </w:r>
    </w:p>
    <w:p w14:paraId="0189D377"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10.</w:t>
      </w:r>
      <w:r w:rsidRPr="009F551D">
        <w:rPr>
          <w:lang w:val="fr-FR"/>
        </w:rPr>
        <w:tab/>
        <w:t xml:space="preserve">3.2.3.3 </w:t>
      </w:r>
      <w:r w:rsidRPr="00506B22">
        <w:t>Schéma</w:t>
      </w:r>
      <w:r w:rsidRPr="009F551D">
        <w:rPr>
          <w:lang w:val="fr-FR"/>
        </w:rPr>
        <w:t xml:space="preserve"> B</w:t>
      </w:r>
      <w:r w:rsidRPr="009F551D">
        <w:rPr>
          <w:noProof/>
          <w:webHidden/>
          <w:lang w:val="fr-FR"/>
        </w:rPr>
        <w:tab/>
      </w:r>
      <w:r w:rsidRPr="009F551D">
        <w:rPr>
          <w:noProof/>
          <w:webHidden/>
          <w:lang w:val="fr-FR"/>
        </w:rPr>
        <w:tab/>
        <w:t>10</w:t>
      </w:r>
    </w:p>
    <w:p w14:paraId="1F821EED"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11.</w:t>
      </w:r>
      <w:r w:rsidRPr="009F551D">
        <w:rPr>
          <w:lang w:val="fr-FR"/>
        </w:rPr>
        <w:tab/>
      </w:r>
      <w:r w:rsidRPr="00506B22">
        <w:t>Matériaux</w:t>
      </w:r>
      <w:r w:rsidRPr="009F551D">
        <w:rPr>
          <w:lang w:val="fr-FR"/>
        </w:rPr>
        <w:t xml:space="preserve"> de construction</w:t>
      </w:r>
      <w:r w:rsidRPr="009F551D">
        <w:rPr>
          <w:noProof/>
          <w:webHidden/>
          <w:lang w:val="fr-FR"/>
        </w:rPr>
        <w:tab/>
      </w:r>
      <w:r w:rsidRPr="009F551D">
        <w:rPr>
          <w:noProof/>
          <w:webHidden/>
          <w:lang w:val="fr-FR"/>
        </w:rPr>
        <w:tab/>
        <w:t>10</w:t>
      </w:r>
    </w:p>
    <w:p w14:paraId="5DE92165"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12.</w:t>
      </w:r>
      <w:r w:rsidRPr="009F551D">
        <w:rPr>
          <w:lang w:val="fr-FR"/>
        </w:rPr>
        <w:tab/>
      </w:r>
      <w:r w:rsidRPr="00C50E87">
        <w:rPr>
          <w:spacing w:val="-4"/>
        </w:rPr>
        <w:t>Harmonisation</w:t>
      </w:r>
      <w:r w:rsidRPr="00C50E87">
        <w:rPr>
          <w:spacing w:val="-4"/>
          <w:lang w:val="fr-FR"/>
        </w:rPr>
        <w:t xml:space="preserve"> de la terminologie utilisée au 8.1.2.2 f) et au 8.1.2.3 s) de l’ADN 2021</w:t>
      </w:r>
      <w:r w:rsidRPr="009F551D">
        <w:rPr>
          <w:noProof/>
          <w:webHidden/>
          <w:lang w:val="fr-FR"/>
        </w:rPr>
        <w:tab/>
      </w:r>
      <w:r w:rsidRPr="009F551D">
        <w:rPr>
          <w:noProof/>
          <w:webHidden/>
          <w:lang w:val="fr-FR"/>
        </w:rPr>
        <w:tab/>
        <w:t>10</w:t>
      </w:r>
    </w:p>
    <w:p w14:paraId="53B306FB"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lastRenderedPageBreak/>
        <w:t>13.</w:t>
      </w:r>
      <w:r w:rsidRPr="009F551D">
        <w:rPr>
          <w:lang w:val="fr-FR"/>
        </w:rPr>
        <w:tab/>
        <w:t>Harmonisation de la terminologie utilisée au 1.9.3 c) de l</w:t>
      </w:r>
      <w:r>
        <w:rPr>
          <w:lang w:val="fr-FR"/>
        </w:rPr>
        <w:t>’</w:t>
      </w:r>
      <w:r w:rsidRPr="009F551D">
        <w:rPr>
          <w:lang w:val="fr-FR"/>
        </w:rPr>
        <w:t>ADN 2021</w:t>
      </w:r>
      <w:r w:rsidRPr="009F551D">
        <w:rPr>
          <w:noProof/>
          <w:webHidden/>
          <w:lang w:val="fr-FR"/>
        </w:rPr>
        <w:tab/>
      </w:r>
      <w:r w:rsidRPr="009F551D">
        <w:rPr>
          <w:noProof/>
          <w:webHidden/>
          <w:lang w:val="fr-FR"/>
        </w:rPr>
        <w:tab/>
        <w:t>10</w:t>
      </w:r>
    </w:p>
    <w:p w14:paraId="161FA0E8" w14:textId="77777777" w:rsidR="004D735E" w:rsidRPr="009F551D" w:rsidRDefault="004D735E" w:rsidP="004D735E">
      <w:pPr>
        <w:tabs>
          <w:tab w:val="right" w:leader="dot" w:pos="8787"/>
          <w:tab w:val="right" w:pos="9638"/>
        </w:tabs>
        <w:spacing w:after="120"/>
        <w:ind w:left="1984" w:hanging="425"/>
        <w:rPr>
          <w:lang w:val="fr-FR"/>
        </w:rPr>
      </w:pPr>
      <w:r w:rsidRPr="009F551D">
        <w:rPr>
          <w:lang w:val="fr-FR"/>
        </w:rPr>
        <w:t>14.</w:t>
      </w:r>
      <w:r w:rsidRPr="009F551D">
        <w:rPr>
          <w:lang w:val="fr-FR"/>
        </w:rPr>
        <w:tab/>
      </w:r>
      <w:r w:rsidRPr="00506B22">
        <w:t>Utilisation</w:t>
      </w:r>
      <w:r w:rsidRPr="009F551D">
        <w:rPr>
          <w:lang w:val="fr-FR"/>
        </w:rPr>
        <w:t xml:space="preserve"> d</w:t>
      </w:r>
      <w:r>
        <w:rPr>
          <w:lang w:val="fr-FR"/>
        </w:rPr>
        <w:t>’</w:t>
      </w:r>
      <w:r w:rsidRPr="009F551D">
        <w:rPr>
          <w:lang w:val="fr-FR"/>
        </w:rPr>
        <w:t xml:space="preserve">une terminologie cohérente pour les calculs de stabilité après avarie </w:t>
      </w:r>
      <w:r w:rsidRPr="009F551D">
        <w:rPr>
          <w:lang w:val="fr-FR"/>
        </w:rPr>
        <w:br/>
        <w:t>au 9.3.x.15.2</w:t>
      </w:r>
      <w:r w:rsidRPr="009F551D">
        <w:rPr>
          <w:webHidden/>
          <w:lang w:val="fr-FR"/>
        </w:rPr>
        <w:tab/>
      </w:r>
      <w:r w:rsidRPr="009F551D">
        <w:rPr>
          <w:webHidden/>
          <w:lang w:val="fr-FR"/>
        </w:rPr>
        <w:tab/>
        <w:t>1</w:t>
      </w:r>
      <w:r>
        <w:rPr>
          <w:webHidden/>
          <w:lang w:val="fr-FR"/>
        </w:rPr>
        <w:t>1</w:t>
      </w:r>
    </w:p>
    <w:p w14:paraId="566C8FF7" w14:textId="77777777" w:rsidR="004D735E" w:rsidRPr="009F551D" w:rsidRDefault="004D735E" w:rsidP="004D735E">
      <w:pPr>
        <w:tabs>
          <w:tab w:val="right" w:leader="dot" w:pos="8787"/>
          <w:tab w:val="right" w:pos="9638"/>
        </w:tabs>
        <w:spacing w:after="120"/>
        <w:ind w:left="1984" w:hanging="425"/>
        <w:rPr>
          <w:lang w:val="fr-FR"/>
        </w:rPr>
      </w:pPr>
      <w:r w:rsidRPr="009F551D">
        <w:rPr>
          <w:lang w:val="fr-FR"/>
        </w:rPr>
        <w:t>15.</w:t>
      </w:r>
      <w:r w:rsidRPr="009F551D">
        <w:rPr>
          <w:lang w:val="fr-FR"/>
        </w:rPr>
        <w:tab/>
        <w:t>Utilisation d</w:t>
      </w:r>
      <w:r>
        <w:rPr>
          <w:lang w:val="fr-FR"/>
        </w:rPr>
        <w:t>’</w:t>
      </w:r>
      <w:r w:rsidRPr="009F551D">
        <w:rPr>
          <w:lang w:val="fr-FR"/>
        </w:rPr>
        <w:t>une terminologie cohérente pour les calculs de stabilité à l</w:t>
      </w:r>
      <w:r>
        <w:rPr>
          <w:lang w:val="fr-FR"/>
        </w:rPr>
        <w:t>’</w:t>
      </w:r>
      <w:r w:rsidRPr="009F551D">
        <w:rPr>
          <w:lang w:val="fr-FR"/>
        </w:rPr>
        <w:t xml:space="preserve">état intact </w:t>
      </w:r>
      <w:r w:rsidRPr="009F551D">
        <w:rPr>
          <w:lang w:val="fr-FR"/>
        </w:rPr>
        <w:br/>
        <w:t>au 9.3.x.14.2 a) et b)</w:t>
      </w:r>
      <w:r w:rsidRPr="009F551D">
        <w:rPr>
          <w:webHidden/>
          <w:lang w:val="fr-FR"/>
        </w:rPr>
        <w:tab/>
      </w:r>
      <w:r w:rsidRPr="009F551D">
        <w:rPr>
          <w:webHidden/>
          <w:lang w:val="fr-FR"/>
        </w:rPr>
        <w:tab/>
        <w:t>1</w:t>
      </w:r>
      <w:r>
        <w:rPr>
          <w:webHidden/>
          <w:lang w:val="fr-FR"/>
        </w:rPr>
        <w:t>1</w:t>
      </w:r>
    </w:p>
    <w:p w14:paraId="1DDBCC9A" w14:textId="77777777" w:rsidR="004D735E" w:rsidRPr="009F551D" w:rsidRDefault="004D735E" w:rsidP="004D735E">
      <w:pPr>
        <w:tabs>
          <w:tab w:val="right" w:leader="dot" w:pos="8787"/>
          <w:tab w:val="right" w:pos="9638"/>
        </w:tabs>
        <w:spacing w:after="120"/>
        <w:ind w:left="1984" w:hanging="425"/>
        <w:rPr>
          <w:lang w:val="fr-FR"/>
        </w:rPr>
      </w:pPr>
      <w:r w:rsidRPr="009F551D">
        <w:rPr>
          <w:lang w:val="fr-FR"/>
        </w:rPr>
        <w:t>16.</w:t>
      </w:r>
      <w:r w:rsidRPr="009F551D">
        <w:rPr>
          <w:lang w:val="fr-FR"/>
        </w:rPr>
        <w:tab/>
      </w:r>
      <w:r w:rsidRPr="00506B22">
        <w:t>Tableau</w:t>
      </w:r>
      <w:r w:rsidRPr="009F551D">
        <w:rPr>
          <w:lang w:val="fr-FR"/>
        </w:rPr>
        <w:t xml:space="preserve"> C − No ONU 1202, deuxième rubrique pour le CARBURANT DIESEL</w:t>
      </w:r>
      <w:r w:rsidRPr="009F551D">
        <w:rPr>
          <w:webHidden/>
          <w:lang w:val="fr-FR"/>
        </w:rPr>
        <w:tab/>
      </w:r>
      <w:r w:rsidRPr="009F551D">
        <w:rPr>
          <w:webHidden/>
          <w:lang w:val="fr-FR"/>
        </w:rPr>
        <w:tab/>
        <w:t>1</w:t>
      </w:r>
      <w:r>
        <w:rPr>
          <w:webHidden/>
          <w:lang w:val="fr-FR"/>
        </w:rPr>
        <w:t>1</w:t>
      </w:r>
    </w:p>
    <w:p w14:paraId="1444E991" w14:textId="77777777" w:rsidR="004D735E" w:rsidRPr="009F551D" w:rsidRDefault="004D735E" w:rsidP="004D735E">
      <w:pPr>
        <w:tabs>
          <w:tab w:val="right" w:leader="dot" w:pos="8787"/>
          <w:tab w:val="right" w:pos="9638"/>
        </w:tabs>
        <w:spacing w:after="120"/>
        <w:ind w:left="1984" w:hanging="425"/>
        <w:rPr>
          <w:lang w:val="fr-FR"/>
        </w:rPr>
      </w:pPr>
      <w:r w:rsidRPr="009F551D">
        <w:rPr>
          <w:lang w:val="fr-FR"/>
        </w:rPr>
        <w:t>17.</w:t>
      </w:r>
      <w:r w:rsidRPr="009F551D">
        <w:rPr>
          <w:lang w:val="fr-FR"/>
        </w:rPr>
        <w:tab/>
        <w:t>Proposition de correction de deux rubriques du No ONU 3295 dans le tableau C</w:t>
      </w:r>
      <w:r w:rsidRPr="009F551D">
        <w:rPr>
          <w:webHidden/>
          <w:lang w:val="fr-FR"/>
        </w:rPr>
        <w:tab/>
      </w:r>
      <w:r w:rsidRPr="009F551D">
        <w:rPr>
          <w:webHidden/>
          <w:lang w:val="fr-FR"/>
        </w:rPr>
        <w:tab/>
        <w:t>1</w:t>
      </w:r>
      <w:r>
        <w:rPr>
          <w:webHidden/>
          <w:lang w:val="fr-FR"/>
        </w:rPr>
        <w:t>1</w:t>
      </w:r>
    </w:p>
    <w:p w14:paraId="32C12D4D" w14:textId="77777777" w:rsidR="004D735E" w:rsidRPr="009F551D" w:rsidRDefault="004D735E" w:rsidP="004D735E">
      <w:pPr>
        <w:tabs>
          <w:tab w:val="right" w:leader="dot" w:pos="8787"/>
          <w:tab w:val="right" w:pos="9638"/>
        </w:tabs>
        <w:spacing w:after="120"/>
        <w:ind w:left="1984" w:hanging="425"/>
        <w:rPr>
          <w:lang w:val="fr-FR"/>
        </w:rPr>
      </w:pPr>
      <w:r w:rsidRPr="009F551D">
        <w:rPr>
          <w:lang w:val="fr-FR"/>
        </w:rPr>
        <w:t>18.</w:t>
      </w:r>
      <w:r w:rsidRPr="009F551D">
        <w:rPr>
          <w:lang w:val="fr-FR"/>
        </w:rPr>
        <w:tab/>
      </w:r>
      <w:r w:rsidRPr="00506B22">
        <w:t>Demande</w:t>
      </w:r>
      <w:r w:rsidRPr="009F551D">
        <w:rPr>
          <w:lang w:val="fr-FR"/>
        </w:rPr>
        <w:t xml:space="preserve"> de regroupement de deux rubriques pour le No ONU 1202</w:t>
      </w:r>
      <w:r w:rsidRPr="009F551D">
        <w:rPr>
          <w:webHidden/>
          <w:lang w:val="fr-FR"/>
        </w:rPr>
        <w:tab/>
      </w:r>
      <w:r w:rsidRPr="009F551D">
        <w:rPr>
          <w:webHidden/>
          <w:lang w:val="fr-FR"/>
        </w:rPr>
        <w:tab/>
        <w:t>11</w:t>
      </w:r>
    </w:p>
    <w:p w14:paraId="37F3C3B5" w14:textId="77777777" w:rsidR="004D735E" w:rsidRPr="009F551D" w:rsidRDefault="004D735E" w:rsidP="004D735E">
      <w:pPr>
        <w:tabs>
          <w:tab w:val="right" w:leader="dot" w:pos="8787"/>
          <w:tab w:val="right" w:pos="9638"/>
        </w:tabs>
        <w:spacing w:after="120"/>
        <w:ind w:left="1984" w:hanging="425"/>
        <w:rPr>
          <w:lang w:val="fr-FR"/>
        </w:rPr>
      </w:pPr>
      <w:r w:rsidRPr="009F551D">
        <w:rPr>
          <w:lang w:val="fr-FR"/>
        </w:rPr>
        <w:t>19.</w:t>
      </w:r>
      <w:r w:rsidRPr="009F551D">
        <w:rPr>
          <w:lang w:val="fr-FR"/>
        </w:rPr>
        <w:tab/>
        <w:t xml:space="preserve">No ONU 1972 − </w:t>
      </w:r>
      <w:r w:rsidRPr="00506B22">
        <w:t>Demande</w:t>
      </w:r>
      <w:r w:rsidRPr="009F551D">
        <w:rPr>
          <w:lang w:val="fr-FR"/>
        </w:rPr>
        <w:t xml:space="preserve"> de correction d</w:t>
      </w:r>
      <w:r>
        <w:rPr>
          <w:lang w:val="fr-FR"/>
        </w:rPr>
        <w:t>’</w:t>
      </w:r>
      <w:r w:rsidRPr="009F551D">
        <w:rPr>
          <w:lang w:val="fr-FR"/>
        </w:rPr>
        <w:t xml:space="preserve">une incohérence dans le tableau C, </w:t>
      </w:r>
      <w:r>
        <w:rPr>
          <w:lang w:val="fr-FR"/>
        </w:rPr>
        <w:br/>
      </w:r>
      <w:r w:rsidRPr="009F551D">
        <w:rPr>
          <w:lang w:val="fr-FR"/>
        </w:rPr>
        <w:t>colonne (2)</w:t>
      </w:r>
      <w:r w:rsidRPr="009F551D">
        <w:rPr>
          <w:webHidden/>
          <w:lang w:val="fr-FR"/>
        </w:rPr>
        <w:tab/>
      </w:r>
      <w:r>
        <w:rPr>
          <w:webHidden/>
          <w:lang w:val="fr-FR"/>
        </w:rPr>
        <w:tab/>
      </w:r>
      <w:r w:rsidRPr="009F551D">
        <w:rPr>
          <w:webHidden/>
          <w:lang w:val="fr-FR"/>
        </w:rPr>
        <w:t>11</w:t>
      </w:r>
    </w:p>
    <w:p w14:paraId="1DA7BD57" w14:textId="77777777" w:rsidR="004D735E" w:rsidRPr="009F551D" w:rsidRDefault="004D735E" w:rsidP="004D735E">
      <w:pPr>
        <w:tabs>
          <w:tab w:val="right" w:leader="dot" w:pos="8787"/>
          <w:tab w:val="right" w:pos="9638"/>
        </w:tabs>
        <w:spacing w:after="120"/>
        <w:ind w:left="1984" w:hanging="425"/>
        <w:rPr>
          <w:noProof/>
          <w:lang w:val="fr-FR"/>
        </w:rPr>
      </w:pPr>
      <w:r w:rsidRPr="009F551D">
        <w:rPr>
          <w:lang w:val="fr-FR"/>
        </w:rPr>
        <w:t>20.</w:t>
      </w:r>
      <w:r w:rsidRPr="009F551D">
        <w:rPr>
          <w:lang w:val="fr-FR"/>
        </w:rPr>
        <w:tab/>
        <w:t xml:space="preserve">Incohérence </w:t>
      </w:r>
      <w:r w:rsidRPr="00506B22">
        <w:t>mineure</w:t>
      </w:r>
      <w:r w:rsidRPr="009F551D">
        <w:rPr>
          <w:lang w:val="fr-FR"/>
        </w:rPr>
        <w:t xml:space="preserve"> concernant l</w:t>
      </w:r>
      <w:r>
        <w:rPr>
          <w:lang w:val="fr-FR"/>
        </w:rPr>
        <w:t>’</w:t>
      </w:r>
      <w:r w:rsidRPr="009F551D">
        <w:rPr>
          <w:lang w:val="fr-FR"/>
        </w:rPr>
        <w:t xml:space="preserve">emplacement autorisé des appareils de cuisson </w:t>
      </w:r>
      <w:r>
        <w:rPr>
          <w:lang w:val="fr-FR"/>
        </w:rPr>
        <w:br/>
      </w:r>
      <w:r w:rsidRPr="009F551D">
        <w:rPr>
          <w:lang w:val="fr-FR"/>
        </w:rPr>
        <w:t>et de réfrigération entre le 7.2.3.41.2 et le 9.3.x.41.2 de l</w:t>
      </w:r>
      <w:r>
        <w:rPr>
          <w:lang w:val="fr-FR"/>
        </w:rPr>
        <w:t>’</w:t>
      </w:r>
      <w:r w:rsidRPr="009F551D">
        <w:rPr>
          <w:lang w:val="fr-FR"/>
        </w:rPr>
        <w:t>ADN</w:t>
      </w:r>
      <w:r w:rsidRPr="009F551D">
        <w:rPr>
          <w:noProof/>
          <w:webHidden/>
          <w:lang w:val="fr-FR"/>
        </w:rPr>
        <w:tab/>
      </w:r>
      <w:r w:rsidRPr="009F551D">
        <w:rPr>
          <w:noProof/>
          <w:webHidden/>
          <w:lang w:val="fr-FR"/>
        </w:rPr>
        <w:tab/>
        <w:t>11</w:t>
      </w:r>
    </w:p>
    <w:p w14:paraId="47176A21" w14:textId="77777777" w:rsidR="004D735E" w:rsidRPr="009F551D" w:rsidRDefault="004D735E" w:rsidP="004D735E">
      <w:pPr>
        <w:tabs>
          <w:tab w:val="right" w:leader="dot" w:pos="8787"/>
          <w:tab w:val="right" w:pos="9638"/>
        </w:tabs>
        <w:spacing w:after="120"/>
        <w:ind w:left="1984" w:hanging="425"/>
        <w:rPr>
          <w:lang w:val="fr-FR"/>
        </w:rPr>
      </w:pPr>
      <w:r w:rsidRPr="009F551D">
        <w:rPr>
          <w:lang w:val="fr-FR"/>
        </w:rPr>
        <w:t>21.</w:t>
      </w:r>
      <w:r w:rsidRPr="009F551D">
        <w:rPr>
          <w:lang w:val="fr-FR"/>
        </w:rPr>
        <w:tab/>
        <w:t xml:space="preserve">Certificat </w:t>
      </w:r>
      <w:r w:rsidRPr="00506B22">
        <w:t>d’agrément</w:t>
      </w:r>
      <w:r w:rsidRPr="009F551D">
        <w:rPr>
          <w:lang w:val="fr-FR"/>
        </w:rPr>
        <w:t xml:space="preserve"> de bateaux à marchandises sèches</w:t>
      </w:r>
      <w:r w:rsidRPr="009F551D">
        <w:rPr>
          <w:webHidden/>
          <w:lang w:val="fr-FR"/>
        </w:rPr>
        <w:tab/>
      </w:r>
      <w:r w:rsidRPr="009F551D">
        <w:rPr>
          <w:webHidden/>
          <w:lang w:val="fr-FR"/>
        </w:rPr>
        <w:tab/>
        <w:t>1</w:t>
      </w:r>
      <w:r>
        <w:rPr>
          <w:webHidden/>
          <w:lang w:val="fr-FR"/>
        </w:rPr>
        <w:t>2</w:t>
      </w:r>
    </w:p>
    <w:p w14:paraId="684F3E51" w14:textId="77777777" w:rsidR="004D735E" w:rsidRPr="009F551D" w:rsidRDefault="004D735E" w:rsidP="004D735E">
      <w:pPr>
        <w:tabs>
          <w:tab w:val="right" w:pos="850"/>
          <w:tab w:val="right" w:leader="dot" w:pos="8787"/>
          <w:tab w:val="right" w:pos="9638"/>
        </w:tabs>
        <w:spacing w:after="120"/>
        <w:ind w:left="1134" w:hanging="1134"/>
        <w:rPr>
          <w:noProof/>
          <w:lang w:val="fr-FR"/>
        </w:rPr>
      </w:pPr>
      <w:r w:rsidRPr="009F551D">
        <w:rPr>
          <w:lang w:val="fr-FR"/>
        </w:rPr>
        <w:tab/>
        <w:t>VII.</w:t>
      </w:r>
      <w:r w:rsidRPr="009F551D">
        <w:rPr>
          <w:lang w:val="fr-FR"/>
        </w:rPr>
        <w:tab/>
        <w:t xml:space="preserve">Rapports des </w:t>
      </w:r>
      <w:r w:rsidRPr="00506B22">
        <w:t>groupes</w:t>
      </w:r>
      <w:r w:rsidRPr="009F551D">
        <w:rPr>
          <w:lang w:val="fr-FR"/>
        </w:rPr>
        <w:t xml:space="preserve"> de travail informels (point 5 de l</w:t>
      </w:r>
      <w:r>
        <w:rPr>
          <w:lang w:val="fr-FR"/>
        </w:rPr>
        <w:t>’</w:t>
      </w:r>
      <w:r w:rsidRPr="009F551D">
        <w:rPr>
          <w:lang w:val="fr-FR"/>
        </w:rPr>
        <w:t>ordre du jour)</w:t>
      </w:r>
      <w:r w:rsidRPr="009F551D">
        <w:rPr>
          <w:noProof/>
          <w:webHidden/>
          <w:lang w:val="fr-FR"/>
        </w:rPr>
        <w:tab/>
      </w:r>
      <w:r w:rsidRPr="009F551D">
        <w:rPr>
          <w:noProof/>
          <w:webHidden/>
          <w:lang w:val="fr-FR"/>
        </w:rPr>
        <w:tab/>
        <w:t>1</w:t>
      </w:r>
      <w:r>
        <w:rPr>
          <w:noProof/>
          <w:webHidden/>
          <w:lang w:val="fr-FR"/>
        </w:rPr>
        <w:t>2</w:t>
      </w:r>
    </w:p>
    <w:p w14:paraId="43168A75"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A.</w:t>
      </w:r>
      <w:r w:rsidRPr="009F551D">
        <w:rPr>
          <w:lang w:val="fr-FR"/>
        </w:rPr>
        <w:tab/>
      </w:r>
      <w:r w:rsidRPr="00506B22">
        <w:t>Rapport</w:t>
      </w:r>
      <w:r w:rsidRPr="009F551D">
        <w:rPr>
          <w:lang w:val="fr-FR"/>
        </w:rPr>
        <w:t xml:space="preserve"> de la vingt et unième réunion du groupe de travail informel des sociétés </w:t>
      </w:r>
      <w:r>
        <w:rPr>
          <w:lang w:val="fr-FR"/>
        </w:rPr>
        <w:br/>
      </w:r>
      <w:r w:rsidRPr="009F551D">
        <w:rPr>
          <w:lang w:val="fr-FR"/>
        </w:rPr>
        <w:t>de classification ADN recommandées</w:t>
      </w:r>
      <w:r w:rsidRPr="009F551D">
        <w:rPr>
          <w:noProof/>
          <w:webHidden/>
          <w:lang w:val="fr-FR"/>
        </w:rPr>
        <w:tab/>
      </w:r>
      <w:r w:rsidRPr="009F551D">
        <w:rPr>
          <w:noProof/>
          <w:webHidden/>
          <w:lang w:val="fr-FR"/>
        </w:rPr>
        <w:tab/>
        <w:t>1</w:t>
      </w:r>
      <w:r>
        <w:rPr>
          <w:noProof/>
          <w:webHidden/>
          <w:lang w:val="fr-FR"/>
        </w:rPr>
        <w:t>2</w:t>
      </w:r>
    </w:p>
    <w:p w14:paraId="52CA8CF5"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B.</w:t>
      </w:r>
      <w:r w:rsidRPr="009F551D">
        <w:rPr>
          <w:lang w:val="fr-FR"/>
        </w:rPr>
        <w:tab/>
      </w:r>
      <w:r w:rsidRPr="00506B22">
        <w:t>Rapport</w:t>
      </w:r>
      <w:r w:rsidRPr="009F551D">
        <w:rPr>
          <w:lang w:val="fr-FR"/>
        </w:rPr>
        <w:t xml:space="preserve"> de la cinquième réunion du groupe de travail informel </w:t>
      </w:r>
      <w:r w:rsidRPr="006E6C82">
        <w:t xml:space="preserve">du </w:t>
      </w:r>
      <w:proofErr w:type="spellStart"/>
      <w:r w:rsidRPr="006E6C82">
        <w:t>cochargement</w:t>
      </w:r>
      <w:proofErr w:type="spellEnd"/>
      <w:r w:rsidRPr="009F551D">
        <w:rPr>
          <w:lang w:val="fr-FR"/>
        </w:rPr>
        <w:t xml:space="preserve"> </w:t>
      </w:r>
      <w:r>
        <w:rPr>
          <w:lang w:val="fr-FR"/>
        </w:rPr>
        <w:br/>
      </w:r>
      <w:r w:rsidRPr="009F551D">
        <w:rPr>
          <w:lang w:val="fr-FR"/>
        </w:rPr>
        <w:t>de marchandises à bord des barges</w:t>
      </w:r>
      <w:r w:rsidRPr="009F551D">
        <w:rPr>
          <w:noProof/>
          <w:webHidden/>
          <w:lang w:val="fr-FR"/>
        </w:rPr>
        <w:tab/>
      </w:r>
      <w:r w:rsidRPr="009F551D">
        <w:rPr>
          <w:noProof/>
          <w:webHidden/>
          <w:lang w:val="fr-FR"/>
        </w:rPr>
        <w:tab/>
        <w:t>1</w:t>
      </w:r>
      <w:r>
        <w:rPr>
          <w:noProof/>
          <w:webHidden/>
          <w:lang w:val="fr-FR"/>
        </w:rPr>
        <w:t>3</w:t>
      </w:r>
    </w:p>
    <w:p w14:paraId="3F8E86C5" w14:textId="77777777" w:rsidR="004D735E" w:rsidRPr="009F551D" w:rsidRDefault="004D735E" w:rsidP="004D735E">
      <w:pPr>
        <w:tabs>
          <w:tab w:val="right" w:pos="850"/>
          <w:tab w:val="right" w:leader="dot" w:pos="8787"/>
          <w:tab w:val="right" w:pos="9638"/>
        </w:tabs>
        <w:spacing w:after="120"/>
        <w:ind w:left="1134" w:hanging="1134"/>
        <w:rPr>
          <w:noProof/>
          <w:lang w:val="fr-FR"/>
        </w:rPr>
      </w:pPr>
      <w:r w:rsidRPr="009F551D">
        <w:rPr>
          <w:lang w:val="fr-FR"/>
        </w:rPr>
        <w:tab/>
        <w:t>VIII.</w:t>
      </w:r>
      <w:r w:rsidRPr="009F551D">
        <w:rPr>
          <w:lang w:val="fr-FR"/>
        </w:rPr>
        <w:tab/>
      </w:r>
      <w:r w:rsidRPr="00506B22">
        <w:t>Programme</w:t>
      </w:r>
      <w:r w:rsidRPr="009F551D">
        <w:rPr>
          <w:lang w:val="fr-FR"/>
        </w:rPr>
        <w:t xml:space="preserve"> de travail et calendrier des réunions (point 6 de l</w:t>
      </w:r>
      <w:r>
        <w:rPr>
          <w:lang w:val="fr-FR"/>
        </w:rPr>
        <w:t>’</w:t>
      </w:r>
      <w:r w:rsidRPr="009F551D">
        <w:rPr>
          <w:lang w:val="fr-FR"/>
        </w:rPr>
        <w:t>ordre de jour)</w:t>
      </w:r>
      <w:r w:rsidRPr="009F551D">
        <w:rPr>
          <w:noProof/>
          <w:webHidden/>
          <w:lang w:val="fr-FR"/>
        </w:rPr>
        <w:tab/>
      </w:r>
      <w:r w:rsidRPr="009F551D">
        <w:rPr>
          <w:noProof/>
          <w:webHidden/>
          <w:lang w:val="fr-FR"/>
        </w:rPr>
        <w:tab/>
        <w:t>1</w:t>
      </w:r>
      <w:r>
        <w:rPr>
          <w:noProof/>
          <w:webHidden/>
          <w:lang w:val="fr-FR"/>
        </w:rPr>
        <w:t>4</w:t>
      </w:r>
    </w:p>
    <w:p w14:paraId="59D4FF65" w14:textId="77777777" w:rsidR="004D735E" w:rsidRPr="009F551D" w:rsidRDefault="004D735E" w:rsidP="004D735E">
      <w:pPr>
        <w:tabs>
          <w:tab w:val="right" w:pos="850"/>
          <w:tab w:val="right" w:leader="dot" w:pos="8787"/>
          <w:tab w:val="right" w:pos="9638"/>
        </w:tabs>
        <w:spacing w:after="120"/>
        <w:ind w:left="1134" w:hanging="1134"/>
        <w:rPr>
          <w:noProof/>
          <w:lang w:val="fr-FR"/>
        </w:rPr>
      </w:pPr>
      <w:r w:rsidRPr="009F551D">
        <w:rPr>
          <w:lang w:val="fr-FR"/>
        </w:rPr>
        <w:tab/>
        <w:t>IX.</w:t>
      </w:r>
      <w:r w:rsidRPr="009F551D">
        <w:rPr>
          <w:lang w:val="fr-FR"/>
        </w:rPr>
        <w:tab/>
      </w:r>
      <w:r w:rsidRPr="00506B22">
        <w:t>Questions</w:t>
      </w:r>
      <w:r w:rsidRPr="009F551D">
        <w:rPr>
          <w:lang w:val="fr-FR"/>
        </w:rPr>
        <w:t xml:space="preserve"> diverses (point 7 de l</w:t>
      </w:r>
      <w:r>
        <w:rPr>
          <w:lang w:val="fr-FR"/>
        </w:rPr>
        <w:t>’</w:t>
      </w:r>
      <w:r w:rsidRPr="009F551D">
        <w:rPr>
          <w:lang w:val="fr-FR"/>
        </w:rPr>
        <w:t>ordre du jour)</w:t>
      </w:r>
      <w:r w:rsidRPr="009F551D">
        <w:rPr>
          <w:noProof/>
          <w:webHidden/>
          <w:lang w:val="fr-FR"/>
        </w:rPr>
        <w:tab/>
      </w:r>
      <w:r w:rsidRPr="009F551D">
        <w:rPr>
          <w:noProof/>
          <w:webHidden/>
          <w:lang w:val="fr-FR"/>
        </w:rPr>
        <w:tab/>
        <w:t>1</w:t>
      </w:r>
      <w:r>
        <w:rPr>
          <w:noProof/>
          <w:webHidden/>
          <w:lang w:val="fr-FR"/>
        </w:rPr>
        <w:t>4</w:t>
      </w:r>
    </w:p>
    <w:p w14:paraId="5B5698A3"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A.</w:t>
      </w:r>
      <w:r w:rsidRPr="009F551D">
        <w:rPr>
          <w:lang w:val="fr-FR"/>
        </w:rPr>
        <w:tab/>
      </w:r>
      <w:r w:rsidRPr="00506B22">
        <w:t>Règlement</w:t>
      </w:r>
      <w:r w:rsidRPr="009F551D">
        <w:rPr>
          <w:lang w:val="fr-FR"/>
        </w:rPr>
        <w:t xml:space="preserve"> intérieur du Comité de sécurité de l</w:t>
      </w:r>
      <w:r>
        <w:rPr>
          <w:lang w:val="fr-FR"/>
        </w:rPr>
        <w:t>’</w:t>
      </w:r>
      <w:r w:rsidRPr="009F551D">
        <w:rPr>
          <w:lang w:val="fr-FR"/>
        </w:rPr>
        <w:t>ADN</w:t>
      </w:r>
      <w:r w:rsidRPr="009F551D">
        <w:rPr>
          <w:noProof/>
          <w:webHidden/>
          <w:lang w:val="fr-FR"/>
        </w:rPr>
        <w:tab/>
      </w:r>
      <w:r w:rsidRPr="009F551D">
        <w:rPr>
          <w:noProof/>
          <w:webHidden/>
          <w:lang w:val="fr-FR"/>
        </w:rPr>
        <w:tab/>
        <w:t>1</w:t>
      </w:r>
      <w:r>
        <w:rPr>
          <w:noProof/>
          <w:webHidden/>
          <w:lang w:val="fr-FR"/>
        </w:rPr>
        <w:t>4</w:t>
      </w:r>
    </w:p>
    <w:p w14:paraId="242A81FA"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B.</w:t>
      </w:r>
      <w:r w:rsidRPr="009F551D">
        <w:rPr>
          <w:lang w:val="fr-FR"/>
        </w:rPr>
        <w:tab/>
      </w:r>
      <w:r w:rsidRPr="00506B22">
        <w:t>Informations</w:t>
      </w:r>
      <w:r w:rsidRPr="009F551D">
        <w:rPr>
          <w:lang w:val="fr-FR"/>
        </w:rPr>
        <w:t xml:space="preserve"> sur les possibilités de financement de la préservation de l</w:t>
      </w:r>
      <w:r>
        <w:rPr>
          <w:lang w:val="fr-FR"/>
        </w:rPr>
        <w:t>’</w:t>
      </w:r>
      <w:r w:rsidRPr="009F551D">
        <w:rPr>
          <w:lang w:val="fr-FR"/>
        </w:rPr>
        <w:t xml:space="preserve">environnement </w:t>
      </w:r>
      <w:r>
        <w:rPr>
          <w:lang w:val="fr-FR"/>
        </w:rPr>
        <w:br/>
      </w:r>
      <w:r w:rsidRPr="009F551D">
        <w:rPr>
          <w:lang w:val="fr-FR"/>
        </w:rPr>
        <w:t>dans le cadre du transport de marchandises dangereuses</w:t>
      </w:r>
      <w:r w:rsidRPr="009F551D">
        <w:rPr>
          <w:noProof/>
          <w:webHidden/>
          <w:lang w:val="fr-FR"/>
        </w:rPr>
        <w:tab/>
      </w:r>
      <w:r w:rsidRPr="009F551D">
        <w:rPr>
          <w:noProof/>
          <w:webHidden/>
          <w:lang w:val="fr-FR"/>
        </w:rPr>
        <w:tab/>
        <w:t>1</w:t>
      </w:r>
      <w:r>
        <w:rPr>
          <w:noProof/>
          <w:webHidden/>
          <w:lang w:val="fr-FR"/>
        </w:rPr>
        <w:t>4</w:t>
      </w:r>
    </w:p>
    <w:p w14:paraId="0DC928B8" w14:textId="77777777" w:rsidR="004D735E" w:rsidRPr="009F551D" w:rsidRDefault="004D735E" w:rsidP="004D735E">
      <w:pPr>
        <w:tabs>
          <w:tab w:val="right" w:leader="dot" w:pos="8787"/>
          <w:tab w:val="right" w:pos="9638"/>
        </w:tabs>
        <w:spacing w:after="120"/>
        <w:ind w:left="1559" w:hanging="425"/>
        <w:rPr>
          <w:noProof/>
          <w:lang w:val="fr-FR"/>
        </w:rPr>
      </w:pPr>
      <w:r w:rsidRPr="009F551D">
        <w:rPr>
          <w:lang w:val="fr-FR"/>
        </w:rPr>
        <w:t>C.</w:t>
      </w:r>
      <w:r w:rsidRPr="009F551D">
        <w:rPr>
          <w:lang w:val="fr-FR"/>
        </w:rPr>
        <w:tab/>
      </w:r>
      <w:r w:rsidRPr="00506B22">
        <w:t>Communauté</w:t>
      </w:r>
      <w:r w:rsidRPr="009F551D">
        <w:rPr>
          <w:lang w:val="fr-FR"/>
        </w:rPr>
        <w:t xml:space="preserve"> des transports</w:t>
      </w:r>
      <w:r w:rsidRPr="009F551D">
        <w:rPr>
          <w:noProof/>
          <w:webHidden/>
          <w:lang w:val="fr-FR"/>
        </w:rPr>
        <w:tab/>
      </w:r>
      <w:r w:rsidRPr="009F551D">
        <w:rPr>
          <w:noProof/>
          <w:webHidden/>
          <w:lang w:val="fr-FR"/>
        </w:rPr>
        <w:tab/>
        <w:t>14</w:t>
      </w:r>
    </w:p>
    <w:p w14:paraId="792BC699" w14:textId="77777777" w:rsidR="004D735E" w:rsidRPr="009F551D" w:rsidRDefault="004D735E" w:rsidP="004D735E">
      <w:pPr>
        <w:tabs>
          <w:tab w:val="right" w:pos="850"/>
          <w:tab w:val="right" w:leader="dot" w:pos="8787"/>
          <w:tab w:val="right" w:pos="9638"/>
        </w:tabs>
        <w:spacing w:after="120"/>
        <w:ind w:left="1134" w:hanging="1134"/>
        <w:rPr>
          <w:noProof/>
          <w:lang w:val="fr-FR"/>
        </w:rPr>
      </w:pPr>
      <w:r w:rsidRPr="009F551D">
        <w:rPr>
          <w:lang w:val="fr-FR"/>
        </w:rPr>
        <w:tab/>
        <w:t>X.</w:t>
      </w:r>
      <w:r w:rsidRPr="009F551D">
        <w:rPr>
          <w:lang w:val="fr-FR"/>
        </w:rPr>
        <w:tab/>
      </w:r>
      <w:r w:rsidRPr="00506B22">
        <w:t>Adoption</w:t>
      </w:r>
      <w:r w:rsidRPr="009F551D">
        <w:rPr>
          <w:lang w:val="fr-FR"/>
        </w:rPr>
        <w:t xml:space="preserve"> du rapport (point 8 de l</w:t>
      </w:r>
      <w:r>
        <w:rPr>
          <w:lang w:val="fr-FR"/>
        </w:rPr>
        <w:t>’</w:t>
      </w:r>
      <w:r w:rsidRPr="009F551D">
        <w:rPr>
          <w:lang w:val="fr-FR"/>
        </w:rPr>
        <w:t>ordre du jour)</w:t>
      </w:r>
      <w:r w:rsidRPr="009F551D">
        <w:rPr>
          <w:noProof/>
          <w:webHidden/>
          <w:lang w:val="fr-FR"/>
        </w:rPr>
        <w:tab/>
      </w:r>
      <w:r w:rsidRPr="009F551D">
        <w:rPr>
          <w:noProof/>
          <w:webHidden/>
          <w:lang w:val="fr-FR"/>
        </w:rPr>
        <w:tab/>
        <w:t>14</w:t>
      </w:r>
    </w:p>
    <w:p w14:paraId="1F6EDEC9" w14:textId="77777777" w:rsidR="004D735E" w:rsidRPr="009F551D" w:rsidRDefault="004D735E" w:rsidP="004D735E">
      <w:pPr>
        <w:tabs>
          <w:tab w:val="right" w:pos="850"/>
        </w:tabs>
        <w:spacing w:after="120"/>
        <w:rPr>
          <w:lang w:val="fr-FR"/>
        </w:rPr>
      </w:pPr>
      <w:r>
        <w:rPr>
          <w:lang w:val="fr-FR"/>
        </w:rPr>
        <w:tab/>
      </w:r>
      <w:r w:rsidRPr="009F551D">
        <w:rPr>
          <w:lang w:val="fr-FR"/>
        </w:rPr>
        <w:t>Annexes</w:t>
      </w:r>
    </w:p>
    <w:p w14:paraId="7B657A97" w14:textId="77777777" w:rsidR="004D735E" w:rsidRPr="009F551D" w:rsidRDefault="004D735E" w:rsidP="004D735E">
      <w:pPr>
        <w:tabs>
          <w:tab w:val="right" w:pos="850"/>
          <w:tab w:val="right" w:leader="dot" w:pos="8787"/>
          <w:tab w:val="right" w:pos="9638"/>
        </w:tabs>
        <w:spacing w:after="120"/>
        <w:ind w:left="1134" w:hanging="1134"/>
        <w:rPr>
          <w:lang w:val="fr-FR"/>
        </w:rPr>
      </w:pPr>
      <w:r w:rsidRPr="009F551D">
        <w:rPr>
          <w:lang w:val="fr-FR"/>
        </w:rPr>
        <w:tab/>
        <w:t>I.</w:t>
      </w:r>
      <w:r w:rsidRPr="009F551D">
        <w:rPr>
          <w:lang w:val="fr-FR"/>
        </w:rPr>
        <w:tab/>
        <w:t>Propositions d</w:t>
      </w:r>
      <w:r>
        <w:rPr>
          <w:lang w:val="fr-FR"/>
        </w:rPr>
        <w:t>’</w:t>
      </w:r>
      <w:r w:rsidRPr="009F551D">
        <w:rPr>
          <w:lang w:val="fr-FR"/>
        </w:rPr>
        <w:t>amendements au Règlement annexé à l</w:t>
      </w:r>
      <w:r>
        <w:rPr>
          <w:lang w:val="fr-FR"/>
        </w:rPr>
        <w:t>’</w:t>
      </w:r>
      <w:r w:rsidRPr="009F551D">
        <w:rPr>
          <w:lang w:val="fr-FR"/>
        </w:rPr>
        <w:t xml:space="preserve">ADN pour </w:t>
      </w:r>
      <w:proofErr w:type="spellStart"/>
      <w:r w:rsidRPr="009F551D">
        <w:rPr>
          <w:lang w:val="fr-FR"/>
        </w:rPr>
        <w:t>entrée</w:t>
      </w:r>
      <w:proofErr w:type="spellEnd"/>
      <w:r w:rsidRPr="009F551D">
        <w:rPr>
          <w:lang w:val="fr-FR"/>
        </w:rPr>
        <w:t xml:space="preserve"> en vigueur </w:t>
      </w:r>
      <w:r>
        <w:rPr>
          <w:lang w:val="fr-FR"/>
        </w:rPr>
        <w:br/>
      </w:r>
      <w:r w:rsidRPr="009F551D">
        <w:rPr>
          <w:lang w:val="fr-FR"/>
        </w:rPr>
        <w:t>le 1</w:t>
      </w:r>
      <w:r w:rsidRPr="009F551D">
        <w:rPr>
          <w:vertAlign w:val="superscript"/>
          <w:lang w:val="fr-FR"/>
        </w:rPr>
        <w:t>er</w:t>
      </w:r>
      <w:r w:rsidRPr="009F551D">
        <w:rPr>
          <w:lang w:val="fr-FR"/>
        </w:rPr>
        <w:t xml:space="preserve"> janvier 2023</w:t>
      </w:r>
      <w:r w:rsidRPr="009F551D">
        <w:rPr>
          <w:lang w:val="fr-FR"/>
        </w:rPr>
        <w:tab/>
      </w:r>
      <w:r>
        <w:rPr>
          <w:lang w:val="fr-FR"/>
        </w:rPr>
        <w:tab/>
      </w:r>
      <w:r w:rsidRPr="009F551D">
        <w:rPr>
          <w:lang w:val="fr-FR"/>
        </w:rPr>
        <w:t>15</w:t>
      </w:r>
    </w:p>
    <w:p w14:paraId="7F1CEE2F" w14:textId="77777777" w:rsidR="004D735E" w:rsidRPr="009F551D" w:rsidRDefault="004D735E" w:rsidP="004D735E">
      <w:pPr>
        <w:tabs>
          <w:tab w:val="right" w:pos="850"/>
          <w:tab w:val="right" w:leader="dot" w:pos="8787"/>
          <w:tab w:val="right" w:pos="9638"/>
        </w:tabs>
        <w:spacing w:after="120"/>
        <w:ind w:left="1134" w:hanging="1134"/>
        <w:rPr>
          <w:lang w:val="fr-FR"/>
        </w:rPr>
      </w:pPr>
      <w:r w:rsidRPr="009F551D">
        <w:rPr>
          <w:lang w:val="fr-FR"/>
        </w:rPr>
        <w:tab/>
        <w:t>II.</w:t>
      </w:r>
      <w:r w:rsidRPr="009F551D">
        <w:rPr>
          <w:lang w:val="fr-FR"/>
        </w:rPr>
        <w:tab/>
      </w:r>
      <w:r w:rsidRPr="00506B22">
        <w:t>Corrections</w:t>
      </w:r>
      <w:r w:rsidRPr="009F551D">
        <w:rPr>
          <w:lang w:val="fr-FR"/>
        </w:rPr>
        <w:t xml:space="preserve"> à apporter au document ECE/TRANS/301 (publication de l</w:t>
      </w:r>
      <w:r>
        <w:rPr>
          <w:lang w:val="fr-FR"/>
        </w:rPr>
        <w:t>’</w:t>
      </w:r>
      <w:r w:rsidRPr="009F551D">
        <w:rPr>
          <w:lang w:val="fr-FR"/>
        </w:rPr>
        <w:t>ADN 2021)</w:t>
      </w:r>
      <w:r w:rsidRPr="009F551D">
        <w:rPr>
          <w:lang w:val="fr-FR"/>
        </w:rPr>
        <w:tab/>
      </w:r>
      <w:r w:rsidRPr="009F551D">
        <w:rPr>
          <w:lang w:val="fr-FR"/>
        </w:rPr>
        <w:tab/>
        <w:t>2</w:t>
      </w:r>
      <w:r>
        <w:rPr>
          <w:lang w:val="fr-FR"/>
        </w:rPr>
        <w:t>4</w:t>
      </w:r>
    </w:p>
    <w:p w14:paraId="53D9A2D3" w14:textId="4AE91272" w:rsidR="006408A6" w:rsidRPr="009F551D" w:rsidRDefault="006408A6" w:rsidP="006408A6">
      <w:pPr>
        <w:spacing w:before="120"/>
        <w:rPr>
          <w:lang w:val="fr-FR"/>
        </w:rPr>
      </w:pPr>
      <w:r w:rsidRPr="009F551D">
        <w:rPr>
          <w:lang w:val="fr-FR"/>
        </w:rPr>
        <w:br w:type="page"/>
      </w:r>
    </w:p>
    <w:p w14:paraId="5F486885" w14:textId="77777777" w:rsidR="006408A6" w:rsidRPr="009F551D" w:rsidRDefault="006408A6" w:rsidP="00506B22">
      <w:pPr>
        <w:pStyle w:val="HChG"/>
        <w:rPr>
          <w:lang w:val="fr-FR"/>
        </w:rPr>
      </w:pPr>
      <w:r w:rsidRPr="009F551D">
        <w:rPr>
          <w:lang w:val="fr-FR"/>
        </w:rPr>
        <w:lastRenderedPageBreak/>
        <w:tab/>
        <w:t>I.</w:t>
      </w:r>
      <w:r w:rsidRPr="009F551D">
        <w:rPr>
          <w:lang w:val="fr-FR"/>
        </w:rPr>
        <w:tab/>
        <w:t>Participation</w:t>
      </w:r>
      <w:bookmarkStart w:id="9" w:name="_Toc81410355"/>
      <w:bookmarkEnd w:id="9"/>
    </w:p>
    <w:p w14:paraId="77DE976C" w14:textId="215D62BC" w:rsidR="006408A6" w:rsidRPr="009F551D" w:rsidRDefault="006408A6" w:rsidP="00506B22">
      <w:pPr>
        <w:pStyle w:val="SingleTxtG"/>
        <w:rPr>
          <w:lang w:val="fr-FR"/>
        </w:rPr>
      </w:pPr>
      <w:bookmarkStart w:id="10" w:name="_Hlk18340908"/>
      <w:r w:rsidRPr="009F551D">
        <w:rPr>
          <w:lang w:val="fr-FR"/>
        </w:rPr>
        <w:t>1.</w:t>
      </w:r>
      <w:r w:rsidRPr="009F551D">
        <w:rPr>
          <w:lang w:val="fr-FR"/>
        </w:rPr>
        <w:tab/>
        <w:t>La Réunion commune d</w:t>
      </w:r>
      <w:r>
        <w:rPr>
          <w:lang w:val="fr-FR"/>
        </w:rPr>
        <w:t>’</w:t>
      </w:r>
      <w:r w:rsidRPr="009F551D">
        <w:rPr>
          <w:lang w:val="fr-FR"/>
        </w:rPr>
        <w:t>experts du Règlement annexé à l</w:t>
      </w:r>
      <w:r>
        <w:rPr>
          <w:lang w:val="fr-FR"/>
        </w:rPr>
        <w:t>’</w:t>
      </w:r>
      <w:r w:rsidRPr="009F551D">
        <w:rPr>
          <w:lang w:val="fr-FR"/>
        </w:rPr>
        <w:t>Accord européen relatif au transport international des marchandises dangereuses par voies de navigation intérieures (ADN) (Comité de sécurité de l</w:t>
      </w:r>
      <w:r>
        <w:rPr>
          <w:lang w:val="fr-FR"/>
        </w:rPr>
        <w:t>’</w:t>
      </w:r>
      <w:r w:rsidRPr="009F551D">
        <w:rPr>
          <w:lang w:val="fr-FR"/>
        </w:rPr>
        <w:t xml:space="preserve">ADN) a tenu sa trente-huitième session à Genève du 23 au 27 août 2021, sous la présidence de M. H. </w:t>
      </w:r>
      <w:proofErr w:type="spellStart"/>
      <w:r w:rsidRPr="009F551D">
        <w:rPr>
          <w:lang w:val="fr-FR"/>
        </w:rPr>
        <w:t>Langenberg</w:t>
      </w:r>
      <w:proofErr w:type="spellEnd"/>
      <w:r w:rsidRPr="009F551D">
        <w:rPr>
          <w:lang w:val="fr-FR"/>
        </w:rPr>
        <w:t xml:space="preserve"> (Pays-Bas) et la vice-présidence de M.</w:t>
      </w:r>
      <w:r w:rsidR="00506B22">
        <w:rPr>
          <w:lang w:val="fr-FR"/>
        </w:rPr>
        <w:t> </w:t>
      </w:r>
      <w:r w:rsidRPr="009F551D">
        <w:rPr>
          <w:lang w:val="fr-FR"/>
        </w:rPr>
        <w:t>B.</w:t>
      </w:r>
      <w:r w:rsidR="00506B22">
        <w:rPr>
          <w:lang w:val="fr-FR"/>
        </w:rPr>
        <w:t> </w:t>
      </w:r>
      <w:proofErr w:type="spellStart"/>
      <w:r w:rsidRPr="009F551D">
        <w:rPr>
          <w:lang w:val="fr-FR"/>
        </w:rPr>
        <w:t>Birklhuber</w:t>
      </w:r>
      <w:proofErr w:type="spellEnd"/>
      <w:r w:rsidRPr="009F551D">
        <w:rPr>
          <w:lang w:val="fr-FR"/>
        </w:rPr>
        <w:t xml:space="preserve"> (Autriche). </w:t>
      </w:r>
      <w:bookmarkStart w:id="11" w:name="_Hlk18487351"/>
      <w:bookmarkEnd w:id="11"/>
    </w:p>
    <w:p w14:paraId="3163F3A9" w14:textId="4FF102C0" w:rsidR="006408A6" w:rsidRPr="009F551D" w:rsidRDefault="006408A6" w:rsidP="006408A6">
      <w:pPr>
        <w:pStyle w:val="SingleTxtG"/>
        <w:rPr>
          <w:lang w:val="fr-FR"/>
        </w:rPr>
      </w:pPr>
      <w:r w:rsidRPr="009F551D">
        <w:rPr>
          <w:lang w:val="fr-FR"/>
        </w:rPr>
        <w:t>2.</w:t>
      </w:r>
      <w:r w:rsidRPr="009F551D">
        <w:rPr>
          <w:lang w:val="fr-FR"/>
        </w:rPr>
        <w:tab/>
        <w:t>Des représentants des pays suivants ont pris part aux travaux de la session : Allemagne, Autriche, Belgique, Bulgarie, Fédération de Russie, France, Luxembourg, Pays</w:t>
      </w:r>
      <w:r w:rsidR="00506B22">
        <w:rPr>
          <w:lang w:val="fr-FR"/>
        </w:rPr>
        <w:noBreakHyphen/>
      </w:r>
      <w:r w:rsidRPr="009F551D">
        <w:rPr>
          <w:lang w:val="fr-FR"/>
        </w:rPr>
        <w:t xml:space="preserve">Bas, Pologne, Roumanie, Slovaquie, Suisse et Tchéquie. </w:t>
      </w:r>
    </w:p>
    <w:p w14:paraId="628763BF" w14:textId="77777777" w:rsidR="006408A6" w:rsidRPr="009F551D" w:rsidRDefault="006408A6" w:rsidP="006408A6">
      <w:pPr>
        <w:pStyle w:val="SingleTxtG"/>
        <w:rPr>
          <w:lang w:val="fr-FR"/>
        </w:rPr>
      </w:pPr>
      <w:r w:rsidRPr="009F551D">
        <w:rPr>
          <w:lang w:val="fr-FR"/>
        </w:rPr>
        <w:t>3.</w:t>
      </w:r>
      <w:r w:rsidRPr="009F551D">
        <w:rPr>
          <w:lang w:val="fr-FR"/>
        </w:rPr>
        <w:tab/>
        <w:t>Les organisations intergouvernementales suivantes étaient représentées : la Commission centrale pour la navigation du Rhin (CCNR), la Commission du Danube, l</w:t>
      </w:r>
      <w:r>
        <w:rPr>
          <w:lang w:val="fr-FR"/>
        </w:rPr>
        <w:t>’</w:t>
      </w:r>
      <w:r w:rsidRPr="009F551D">
        <w:rPr>
          <w:lang w:val="fr-FR"/>
        </w:rPr>
        <w:t>Union européenne (UE) et la Communauté des transports.</w:t>
      </w:r>
    </w:p>
    <w:p w14:paraId="7F0A8FEB" w14:textId="77777777" w:rsidR="006408A6" w:rsidRPr="009F551D" w:rsidRDefault="006408A6" w:rsidP="006408A6">
      <w:pPr>
        <w:pStyle w:val="SingleTxtG"/>
        <w:rPr>
          <w:lang w:val="fr-FR"/>
        </w:rPr>
      </w:pPr>
      <w:r w:rsidRPr="009F551D">
        <w:rPr>
          <w:lang w:val="fr-FR"/>
        </w:rPr>
        <w:t>4.</w:t>
      </w:r>
      <w:r w:rsidRPr="009F551D">
        <w:rPr>
          <w:lang w:val="fr-FR"/>
        </w:rPr>
        <w:tab/>
        <w:t>Les organisations non gouvernementales ci-après étaient aussi représentées : Comité international de prévention des accidents du travail de la navigation intérieure (CIPA), Conseil européen de l</w:t>
      </w:r>
      <w:r>
        <w:rPr>
          <w:lang w:val="fr-FR"/>
        </w:rPr>
        <w:t>’</w:t>
      </w:r>
      <w:r w:rsidRPr="009F551D">
        <w:rPr>
          <w:lang w:val="fr-FR"/>
        </w:rPr>
        <w:t xml:space="preserve">industrie chimique (CEFIC), </w:t>
      </w:r>
      <w:proofErr w:type="spellStart"/>
      <w:r w:rsidRPr="009F551D">
        <w:rPr>
          <w:lang w:val="fr-FR"/>
        </w:rPr>
        <w:t>Federation</w:t>
      </w:r>
      <w:proofErr w:type="spellEnd"/>
      <w:r w:rsidRPr="009F551D">
        <w:rPr>
          <w:lang w:val="fr-FR"/>
        </w:rPr>
        <w:t xml:space="preserve"> of </w:t>
      </w:r>
      <w:proofErr w:type="spellStart"/>
      <w:r w:rsidRPr="009F551D">
        <w:rPr>
          <w:lang w:val="fr-FR"/>
        </w:rPr>
        <w:t>European</w:t>
      </w:r>
      <w:proofErr w:type="spellEnd"/>
      <w:r w:rsidRPr="009F551D">
        <w:rPr>
          <w:lang w:val="fr-FR"/>
        </w:rPr>
        <w:t xml:space="preserve"> Tank Storage Associations (FETSA), </w:t>
      </w:r>
      <w:proofErr w:type="spellStart"/>
      <w:r w:rsidRPr="009F551D">
        <w:rPr>
          <w:lang w:val="fr-FR"/>
        </w:rPr>
        <w:t>FuelsEurope</w:t>
      </w:r>
      <w:proofErr w:type="spellEnd"/>
      <w:r w:rsidRPr="009F551D">
        <w:rPr>
          <w:lang w:val="fr-FR"/>
        </w:rPr>
        <w:t xml:space="preserve">, Grain and </w:t>
      </w:r>
      <w:proofErr w:type="spellStart"/>
      <w:r w:rsidRPr="009F551D">
        <w:rPr>
          <w:lang w:val="fr-FR"/>
        </w:rPr>
        <w:t>Feed</w:t>
      </w:r>
      <w:proofErr w:type="spellEnd"/>
      <w:r w:rsidRPr="009F551D">
        <w:rPr>
          <w:lang w:val="fr-FR"/>
        </w:rPr>
        <w:t xml:space="preserve"> Trade Association (GAFTA), groupe de travail informel des sociétés de classification ADN recommandées, Organisation européenne des bateliers (OEB) et Union européenne de la navigation fluviale (UENF).</w:t>
      </w:r>
    </w:p>
    <w:p w14:paraId="53401C09" w14:textId="77777777" w:rsidR="006408A6" w:rsidRPr="009F551D" w:rsidRDefault="006408A6" w:rsidP="00506B22">
      <w:pPr>
        <w:pStyle w:val="HChG"/>
        <w:rPr>
          <w:lang w:val="fr-FR"/>
        </w:rPr>
      </w:pPr>
      <w:r w:rsidRPr="009F551D">
        <w:rPr>
          <w:lang w:val="fr-FR"/>
        </w:rPr>
        <w:tab/>
        <w:t>II.</w:t>
      </w:r>
      <w:r w:rsidRPr="009F551D">
        <w:rPr>
          <w:lang w:val="fr-FR"/>
        </w:rPr>
        <w:tab/>
        <w:t>Questions d</w:t>
      </w:r>
      <w:r>
        <w:rPr>
          <w:lang w:val="fr-FR"/>
        </w:rPr>
        <w:t>’</w:t>
      </w:r>
      <w:r w:rsidRPr="009F551D">
        <w:rPr>
          <w:lang w:val="fr-FR"/>
        </w:rPr>
        <w:t>organisation</w:t>
      </w:r>
      <w:bookmarkStart w:id="12" w:name="_Toc81410356"/>
      <w:bookmarkEnd w:id="12"/>
    </w:p>
    <w:p w14:paraId="5D80743D" w14:textId="472D15ED" w:rsidR="006408A6" w:rsidRPr="009F551D" w:rsidRDefault="006408A6" w:rsidP="006408A6">
      <w:pPr>
        <w:pStyle w:val="SingleTxtG"/>
        <w:rPr>
          <w:lang w:val="fr-FR"/>
        </w:rPr>
      </w:pPr>
      <w:r w:rsidRPr="009F551D">
        <w:rPr>
          <w:lang w:val="fr-FR"/>
        </w:rPr>
        <w:t>5.</w:t>
      </w:r>
      <w:r w:rsidRPr="009F551D">
        <w:rPr>
          <w:lang w:val="fr-FR"/>
        </w:rPr>
        <w:tab/>
        <w:t>Le Comité de sécurité a été informé qu</w:t>
      </w:r>
      <w:r>
        <w:rPr>
          <w:lang w:val="fr-FR"/>
        </w:rPr>
        <w:t>’</w:t>
      </w:r>
      <w:r w:rsidRPr="009F551D">
        <w:rPr>
          <w:lang w:val="fr-FR"/>
        </w:rPr>
        <w:t>en raison des mesures de lutte contre la COVID-19, des contraintes financières découlant de la crise de liquidités à laquelle l</w:t>
      </w:r>
      <w:r>
        <w:rPr>
          <w:lang w:val="fr-FR"/>
        </w:rPr>
        <w:t>’</w:t>
      </w:r>
      <w:r w:rsidRPr="009F551D">
        <w:rPr>
          <w:lang w:val="fr-FR"/>
        </w:rPr>
        <w:t>Organisation des Nations Unies est confrontée, des travaux de rénovation en cours au Palais des Nations dans le cadre du Plan stratégique patrimonial et des contraintes techniques liées au nombre de salles de réunion disponibles pour les réunions hybrides, la part des services de réunion avec interprétation allouée à la Commission économique pour l</w:t>
      </w:r>
      <w:r>
        <w:rPr>
          <w:lang w:val="fr-FR"/>
        </w:rPr>
        <w:t>’</w:t>
      </w:r>
      <w:r w:rsidRPr="009F551D">
        <w:rPr>
          <w:lang w:val="fr-FR"/>
        </w:rPr>
        <w:t xml:space="preserve">Europe (CEE) avait été réduite de trois séances par jour à une seule par jour pour le premier semestre </w:t>
      </w:r>
      <w:r w:rsidR="00815815">
        <w:rPr>
          <w:lang w:val="fr-FR"/>
        </w:rPr>
        <w:t xml:space="preserve">de </w:t>
      </w:r>
      <w:r w:rsidRPr="009F551D">
        <w:rPr>
          <w:lang w:val="fr-FR"/>
        </w:rPr>
        <w:t>2021. Pour le second semestre, la CEE s</w:t>
      </w:r>
      <w:r>
        <w:rPr>
          <w:lang w:val="fr-FR"/>
        </w:rPr>
        <w:t>’</w:t>
      </w:r>
      <w:r w:rsidRPr="009F551D">
        <w:rPr>
          <w:lang w:val="fr-FR"/>
        </w:rPr>
        <w:t>efforçait de reprendre une activité normale et avait décidé que, dans certaines circonstances, la durée des réunions hybrides du matin ou de l</w:t>
      </w:r>
      <w:r>
        <w:rPr>
          <w:lang w:val="fr-FR"/>
        </w:rPr>
        <w:t>’</w:t>
      </w:r>
      <w:r w:rsidRPr="009F551D">
        <w:rPr>
          <w:lang w:val="fr-FR"/>
        </w:rPr>
        <w:t>après-midi (actuellement limitée à deux heures) serait de nouveau portée à trois heures. Compte tenu de ces facteurs ainsi que des mesures de quarantaine et de restriction des déplacements toujours en vigueur, et après consultation du secrétariat et des services de conférence de l</w:t>
      </w:r>
      <w:r>
        <w:rPr>
          <w:lang w:val="fr-FR"/>
        </w:rPr>
        <w:t>’</w:t>
      </w:r>
      <w:r w:rsidRPr="009F551D">
        <w:rPr>
          <w:lang w:val="fr-FR"/>
        </w:rPr>
        <w:t>Office des Nations Unies à Genève, le Bureau du Comité de sécurité avait accepté une fois encore d</w:t>
      </w:r>
      <w:r>
        <w:rPr>
          <w:lang w:val="fr-FR"/>
        </w:rPr>
        <w:t>’</w:t>
      </w:r>
      <w:r w:rsidRPr="009F551D">
        <w:rPr>
          <w:lang w:val="fr-FR"/>
        </w:rPr>
        <w:t>adapter le déroulement de sa session.</w:t>
      </w:r>
    </w:p>
    <w:bookmarkEnd w:id="10"/>
    <w:p w14:paraId="23F82260" w14:textId="77777777" w:rsidR="006408A6" w:rsidRPr="009F551D" w:rsidRDefault="006408A6" w:rsidP="00815815">
      <w:pPr>
        <w:pStyle w:val="HChG"/>
        <w:rPr>
          <w:lang w:val="fr-FR"/>
        </w:rPr>
      </w:pPr>
      <w:r w:rsidRPr="009F551D">
        <w:rPr>
          <w:lang w:val="fr-FR"/>
        </w:rPr>
        <w:tab/>
        <w:t>III.</w:t>
      </w:r>
      <w:r w:rsidRPr="009F551D">
        <w:rPr>
          <w:lang w:val="fr-FR"/>
        </w:rPr>
        <w:tab/>
        <w:t>Adoption de l</w:t>
      </w:r>
      <w:r>
        <w:rPr>
          <w:lang w:val="fr-FR"/>
        </w:rPr>
        <w:t>’</w:t>
      </w:r>
      <w:r w:rsidRPr="009F551D">
        <w:rPr>
          <w:lang w:val="fr-FR"/>
        </w:rPr>
        <w:t>ordre du jour (point 1 de l</w:t>
      </w:r>
      <w:r>
        <w:rPr>
          <w:lang w:val="fr-FR"/>
        </w:rPr>
        <w:t>’</w:t>
      </w:r>
      <w:r w:rsidRPr="009F551D">
        <w:rPr>
          <w:lang w:val="fr-FR"/>
        </w:rPr>
        <w:t>ordre du jour)</w:t>
      </w:r>
      <w:bookmarkStart w:id="13" w:name="_Toc81410357"/>
      <w:bookmarkEnd w:id="13"/>
    </w:p>
    <w:p w14:paraId="014B8B08" w14:textId="7002517C" w:rsidR="006408A6" w:rsidRPr="009F551D" w:rsidRDefault="006408A6" w:rsidP="00C93CE5">
      <w:pPr>
        <w:pStyle w:val="SingleTxtG"/>
        <w:ind w:left="3402" w:hanging="2268"/>
        <w:rPr>
          <w:lang w:val="fr-FR"/>
        </w:rPr>
      </w:pPr>
      <w:r w:rsidRPr="009F551D">
        <w:rPr>
          <w:i/>
          <w:iCs/>
          <w:lang w:val="fr-FR"/>
        </w:rPr>
        <w:t>Documents :</w:t>
      </w:r>
      <w:r w:rsidRPr="009F551D">
        <w:rPr>
          <w:lang w:val="fr-FR"/>
        </w:rPr>
        <w:tab/>
        <w:t>ECE/TRANS/WP.15/AC.2/77 et Add.1</w:t>
      </w:r>
      <w:r w:rsidR="00C93CE5">
        <w:rPr>
          <w:lang w:val="fr-FR"/>
        </w:rPr>
        <w:t>.</w:t>
      </w:r>
    </w:p>
    <w:p w14:paraId="4A215054" w14:textId="23FCF67D" w:rsidR="006408A6" w:rsidRPr="009F551D" w:rsidRDefault="006408A6" w:rsidP="00C93CE5">
      <w:pPr>
        <w:pStyle w:val="SingleTxtG"/>
        <w:ind w:left="3402" w:hanging="2268"/>
        <w:rPr>
          <w:lang w:val="fr-FR"/>
        </w:rPr>
      </w:pPr>
      <w:r w:rsidRPr="009F551D">
        <w:rPr>
          <w:i/>
          <w:iCs/>
          <w:lang w:val="fr-FR"/>
        </w:rPr>
        <w:t>Document informel :</w:t>
      </w:r>
      <w:r w:rsidRPr="009F551D">
        <w:rPr>
          <w:lang w:val="fr-FR"/>
        </w:rPr>
        <w:tab/>
        <w:t>INF.1 (secrétariat)</w:t>
      </w:r>
      <w:r w:rsidR="00C93CE5">
        <w:rPr>
          <w:lang w:val="fr-FR"/>
        </w:rPr>
        <w:t>.</w:t>
      </w:r>
    </w:p>
    <w:p w14:paraId="7B13769D" w14:textId="77777777" w:rsidR="006408A6" w:rsidRPr="009F551D" w:rsidRDefault="006408A6" w:rsidP="006408A6">
      <w:pPr>
        <w:pStyle w:val="SingleTxtG"/>
        <w:rPr>
          <w:lang w:val="fr-FR"/>
        </w:rPr>
      </w:pPr>
      <w:r w:rsidRPr="009F551D">
        <w:rPr>
          <w:lang w:val="fr-FR"/>
        </w:rPr>
        <w:t>6.</w:t>
      </w:r>
      <w:r w:rsidRPr="009F551D">
        <w:rPr>
          <w:lang w:val="fr-FR"/>
        </w:rPr>
        <w:tab/>
        <w:t>Le Comité de sécurité a adopté l</w:t>
      </w:r>
      <w:r>
        <w:rPr>
          <w:lang w:val="fr-FR"/>
        </w:rPr>
        <w:t>’</w:t>
      </w:r>
      <w:r w:rsidRPr="009F551D">
        <w:rPr>
          <w:lang w:val="fr-FR"/>
        </w:rPr>
        <w:t>ordre du jour établi par le secrétariat, tel que modifié par le document informel INF.1 pour tenir compte des documents informels INF.2 à INF.20.</w:t>
      </w:r>
    </w:p>
    <w:p w14:paraId="34BA5102" w14:textId="77777777" w:rsidR="006408A6" w:rsidRPr="009F551D" w:rsidRDefault="006408A6" w:rsidP="00815815">
      <w:pPr>
        <w:pStyle w:val="HChG"/>
        <w:rPr>
          <w:lang w:val="fr-FR"/>
        </w:rPr>
      </w:pPr>
      <w:r w:rsidRPr="009F551D">
        <w:rPr>
          <w:lang w:val="fr-FR"/>
        </w:rPr>
        <w:tab/>
        <w:t>IV.</w:t>
      </w:r>
      <w:r w:rsidRPr="009F551D">
        <w:rPr>
          <w:lang w:val="fr-FR"/>
        </w:rPr>
        <w:tab/>
        <w:t>Questions découlant des travaux d</w:t>
      </w:r>
      <w:r>
        <w:rPr>
          <w:lang w:val="fr-FR"/>
        </w:rPr>
        <w:t>’</w:t>
      </w:r>
      <w:r w:rsidRPr="009F551D">
        <w:rPr>
          <w:lang w:val="fr-FR"/>
        </w:rPr>
        <w:t>organes des Nations Unies ou d</w:t>
      </w:r>
      <w:r>
        <w:rPr>
          <w:lang w:val="fr-FR"/>
        </w:rPr>
        <w:t>’</w:t>
      </w:r>
      <w:r w:rsidRPr="009F551D">
        <w:rPr>
          <w:lang w:val="fr-FR"/>
        </w:rPr>
        <w:t>autres organisations (point 2 de l</w:t>
      </w:r>
      <w:r>
        <w:rPr>
          <w:lang w:val="fr-FR"/>
        </w:rPr>
        <w:t>’</w:t>
      </w:r>
      <w:r w:rsidRPr="009F551D">
        <w:rPr>
          <w:lang w:val="fr-FR"/>
        </w:rPr>
        <w:t>ordre du jour)</w:t>
      </w:r>
      <w:bookmarkStart w:id="14" w:name="_Toc81410358"/>
      <w:bookmarkEnd w:id="14"/>
    </w:p>
    <w:p w14:paraId="6AC289D3" w14:textId="77777777" w:rsidR="006408A6" w:rsidRPr="009F551D" w:rsidRDefault="006408A6" w:rsidP="00815815">
      <w:pPr>
        <w:pStyle w:val="H1G"/>
        <w:rPr>
          <w:lang w:val="fr-FR"/>
        </w:rPr>
      </w:pPr>
      <w:r w:rsidRPr="009F551D">
        <w:rPr>
          <w:lang w:val="fr-FR"/>
        </w:rPr>
        <w:tab/>
        <w:t>A.</w:t>
      </w:r>
      <w:r w:rsidRPr="009F551D">
        <w:rPr>
          <w:lang w:val="fr-FR"/>
        </w:rPr>
        <w:tab/>
        <w:t>Travaux du Comité des transports intérieurs</w:t>
      </w:r>
      <w:bookmarkStart w:id="15" w:name="_Toc81410359"/>
      <w:bookmarkEnd w:id="15"/>
    </w:p>
    <w:p w14:paraId="442E4429" w14:textId="77777777" w:rsidR="006408A6" w:rsidRPr="009F551D" w:rsidRDefault="006408A6" w:rsidP="006408A6">
      <w:pPr>
        <w:pStyle w:val="SingleTxtG"/>
        <w:rPr>
          <w:bCs/>
          <w:i/>
          <w:iCs/>
          <w:lang w:val="fr-FR"/>
        </w:rPr>
      </w:pPr>
      <w:r w:rsidRPr="009F551D">
        <w:rPr>
          <w:lang w:val="fr-FR"/>
        </w:rPr>
        <w:t>7.</w:t>
      </w:r>
      <w:r w:rsidRPr="009F551D">
        <w:rPr>
          <w:lang w:val="fr-FR"/>
        </w:rPr>
        <w:tab/>
        <w:t>Le Comité de sécurité a été informé que la quatre-vingt-troisième session du Comité des transports intérieurs (CTI) s</w:t>
      </w:r>
      <w:r>
        <w:rPr>
          <w:lang w:val="fr-FR"/>
        </w:rPr>
        <w:t>’</w:t>
      </w:r>
      <w:r w:rsidRPr="009F551D">
        <w:rPr>
          <w:lang w:val="fr-FR"/>
        </w:rPr>
        <w:t>était tenue à Genève du 23 au 26 février 2021. La session du CTI avait porté sur des domaines d</w:t>
      </w:r>
      <w:r>
        <w:rPr>
          <w:lang w:val="fr-FR"/>
        </w:rPr>
        <w:t>’</w:t>
      </w:r>
      <w:r w:rsidRPr="009F551D">
        <w:rPr>
          <w:lang w:val="fr-FR"/>
        </w:rPr>
        <w:t xml:space="preserve">importance mondiale tels que la sécurité routière, les véhicules autonomes et la transformation numérique des transports, ainsi que sur la mise en </w:t>
      </w:r>
      <w:r w:rsidRPr="009F551D">
        <w:rPr>
          <w:lang w:val="fr-FR"/>
        </w:rPr>
        <w:lastRenderedPageBreak/>
        <w:t>œuvre de la Stratégie du CTI à l</w:t>
      </w:r>
      <w:r>
        <w:rPr>
          <w:lang w:val="fr-FR"/>
        </w:rPr>
        <w:t>’</w:t>
      </w:r>
      <w:r w:rsidRPr="009F551D">
        <w:rPr>
          <w:lang w:val="fr-FR"/>
        </w:rPr>
        <w:t>horizon 2030. La liste des décisions figurait dans le document informel INF.8 du CTI et des informations plus détaillées étaient disponibles dans le rapport de la session (ECE/TRANS/304), sur le site Web de la CEE. La prochaine session du CTI devrait se tenir du 22 au 25 février 2022 et le Comité célébrerait à cette occasion son soixante-quinzième anniversaire.</w:t>
      </w:r>
    </w:p>
    <w:p w14:paraId="3DF9B0F0" w14:textId="77777777" w:rsidR="006408A6" w:rsidRPr="009F551D" w:rsidRDefault="006408A6" w:rsidP="00815815">
      <w:pPr>
        <w:pStyle w:val="H1G"/>
        <w:rPr>
          <w:lang w:val="fr-FR"/>
        </w:rPr>
      </w:pPr>
      <w:r w:rsidRPr="009F551D">
        <w:rPr>
          <w:lang w:val="fr-FR"/>
        </w:rPr>
        <w:tab/>
        <w:t>B.</w:t>
      </w:r>
      <w:r w:rsidRPr="009F551D">
        <w:rPr>
          <w:lang w:val="fr-FR"/>
        </w:rPr>
        <w:tab/>
        <w:t>État des prescriptions relatives au manuel de stabilité</w:t>
      </w:r>
      <w:bookmarkStart w:id="16" w:name="_Toc81410360"/>
      <w:bookmarkEnd w:id="16"/>
    </w:p>
    <w:p w14:paraId="2F05AB13" w14:textId="1A3EA310" w:rsidR="006408A6" w:rsidRPr="009F551D" w:rsidRDefault="006408A6" w:rsidP="00C93CE5">
      <w:pPr>
        <w:pStyle w:val="SingleTxtG"/>
        <w:ind w:left="3402" w:hanging="2268"/>
        <w:rPr>
          <w:b/>
          <w:lang w:val="fr-FR"/>
        </w:rPr>
      </w:pPr>
      <w:r w:rsidRPr="009F551D">
        <w:rPr>
          <w:i/>
          <w:iCs/>
          <w:lang w:val="fr-FR"/>
        </w:rPr>
        <w:t>Document informel :</w:t>
      </w:r>
      <w:r w:rsidRPr="009F551D">
        <w:rPr>
          <w:lang w:val="fr-FR"/>
        </w:rPr>
        <w:tab/>
      </w:r>
      <w:r w:rsidRPr="009F551D">
        <w:rPr>
          <w:lang w:val="fr-FR"/>
        </w:rPr>
        <w:tab/>
        <w:t>INF.6 (CCNR)</w:t>
      </w:r>
      <w:bookmarkStart w:id="17" w:name="_Toc81410361"/>
      <w:bookmarkEnd w:id="17"/>
      <w:r w:rsidR="00C93CE5">
        <w:rPr>
          <w:lang w:val="fr-FR"/>
        </w:rPr>
        <w:t>.</w:t>
      </w:r>
    </w:p>
    <w:p w14:paraId="0780C11C" w14:textId="77777777" w:rsidR="006408A6" w:rsidRPr="009F551D" w:rsidRDefault="006408A6" w:rsidP="006408A6">
      <w:pPr>
        <w:pStyle w:val="SingleTxtG"/>
        <w:rPr>
          <w:lang w:val="fr-FR"/>
        </w:rPr>
      </w:pPr>
      <w:r w:rsidRPr="009F551D">
        <w:rPr>
          <w:lang w:val="fr-FR"/>
        </w:rPr>
        <w:t>8.</w:t>
      </w:r>
      <w:r w:rsidRPr="009F551D">
        <w:rPr>
          <w:lang w:val="fr-FR"/>
        </w:rPr>
        <w:tab/>
        <w:t>Le représentant de la CCNR a fait le point sur les dispositions du 9.3.x.13 relatives à la stabilité qui avaient été introduites à titre transitoire dans l</w:t>
      </w:r>
      <w:r>
        <w:rPr>
          <w:lang w:val="fr-FR"/>
        </w:rPr>
        <w:t>’</w:t>
      </w:r>
      <w:r w:rsidRPr="009F551D">
        <w:rPr>
          <w:lang w:val="fr-FR"/>
        </w:rPr>
        <w:t>ADN en attendant que des dispositions générales relatives à la stabilité soient incluses dans l</w:t>
      </w:r>
      <w:r>
        <w:rPr>
          <w:lang w:val="fr-FR"/>
        </w:rPr>
        <w:t>’</w:t>
      </w:r>
      <w:r w:rsidRPr="009F551D">
        <w:rPr>
          <w:lang w:val="fr-FR"/>
        </w:rPr>
        <w:t>ES-TRIN pour tous les bateaux de navigation intérieure. L</w:t>
      </w:r>
      <w:r>
        <w:rPr>
          <w:lang w:val="fr-FR"/>
        </w:rPr>
        <w:t>’</w:t>
      </w:r>
      <w:r w:rsidRPr="009F551D">
        <w:rPr>
          <w:lang w:val="fr-FR"/>
        </w:rPr>
        <w:t>édition 2021 de l</w:t>
      </w:r>
      <w:r>
        <w:rPr>
          <w:lang w:val="fr-FR"/>
        </w:rPr>
        <w:t>’</w:t>
      </w:r>
      <w:r w:rsidRPr="009F551D">
        <w:rPr>
          <w:lang w:val="fr-FR"/>
        </w:rPr>
        <w:t>ES-TRIN entrerait en vigueur le 1</w:t>
      </w:r>
      <w:r w:rsidRPr="009F551D">
        <w:rPr>
          <w:vertAlign w:val="superscript"/>
          <w:lang w:val="fr-FR"/>
        </w:rPr>
        <w:t>er</w:t>
      </w:r>
      <w:r w:rsidRPr="009F551D">
        <w:rPr>
          <w:lang w:val="fr-FR"/>
        </w:rPr>
        <w:t> janvier 2022, mais les dispositions relatives à la stabilité n</w:t>
      </w:r>
      <w:r>
        <w:rPr>
          <w:lang w:val="fr-FR"/>
        </w:rPr>
        <w:t>’</w:t>
      </w:r>
      <w:r w:rsidRPr="009F551D">
        <w:rPr>
          <w:lang w:val="fr-FR"/>
        </w:rPr>
        <w:t>avaient pas encore été mises à jour. Le Comité de sécurité a décidé que ces dispositions devaient être conservées dans les futures versions de l</w:t>
      </w:r>
      <w:r>
        <w:rPr>
          <w:lang w:val="fr-FR"/>
        </w:rPr>
        <w:t>’</w:t>
      </w:r>
      <w:r w:rsidRPr="009F551D">
        <w:rPr>
          <w:lang w:val="fr-FR"/>
        </w:rPr>
        <w:t>ADN jusqu</w:t>
      </w:r>
      <w:r>
        <w:rPr>
          <w:lang w:val="fr-FR"/>
        </w:rPr>
        <w:t>’</w:t>
      </w:r>
      <w:r w:rsidRPr="009F551D">
        <w:rPr>
          <w:lang w:val="fr-FR"/>
        </w:rPr>
        <w:t xml:space="preserve">à ce que les dispositions </w:t>
      </w:r>
      <w:r>
        <w:rPr>
          <w:lang w:val="fr-FR"/>
        </w:rPr>
        <w:t xml:space="preserve">de </w:t>
      </w:r>
      <w:r w:rsidRPr="009F551D">
        <w:rPr>
          <w:lang w:val="fr-FR"/>
        </w:rPr>
        <w:t>l</w:t>
      </w:r>
      <w:r>
        <w:rPr>
          <w:lang w:val="fr-FR"/>
        </w:rPr>
        <w:t>’</w:t>
      </w:r>
      <w:r w:rsidRPr="009F551D">
        <w:rPr>
          <w:lang w:val="fr-FR"/>
        </w:rPr>
        <w:t>ES-TRIN relatives à la stabilité aient été mises à jour. Le représentant de l</w:t>
      </w:r>
      <w:r>
        <w:rPr>
          <w:lang w:val="fr-FR"/>
        </w:rPr>
        <w:t>’</w:t>
      </w:r>
      <w:r w:rsidRPr="009F551D">
        <w:rPr>
          <w:lang w:val="fr-FR"/>
        </w:rPr>
        <w:t xml:space="preserve">Allemagne a </w:t>
      </w:r>
      <w:r>
        <w:rPr>
          <w:lang w:val="fr-FR"/>
        </w:rPr>
        <w:t>fait part de</w:t>
      </w:r>
      <w:r w:rsidRPr="009F551D">
        <w:rPr>
          <w:lang w:val="fr-FR"/>
        </w:rPr>
        <w:t xml:space="preserve"> son intention de soumettre une proposition officielle visant à harmoniser les dispositions d</w:t>
      </w:r>
      <w:r>
        <w:rPr>
          <w:lang w:val="fr-FR"/>
        </w:rPr>
        <w:t>es</w:t>
      </w:r>
      <w:r w:rsidRPr="009F551D">
        <w:rPr>
          <w:lang w:val="fr-FR"/>
        </w:rPr>
        <w:t xml:space="preserve"> 9.3.x.13.3 dans toutes les versions linguistiques.</w:t>
      </w:r>
    </w:p>
    <w:p w14:paraId="717D1467" w14:textId="77777777" w:rsidR="006408A6" w:rsidRPr="009F551D" w:rsidRDefault="006408A6" w:rsidP="006408A6">
      <w:pPr>
        <w:pStyle w:val="H1G"/>
        <w:rPr>
          <w:lang w:val="fr-FR"/>
        </w:rPr>
      </w:pPr>
      <w:r w:rsidRPr="009F551D">
        <w:rPr>
          <w:lang w:val="fr-FR"/>
        </w:rPr>
        <w:tab/>
        <w:t>C.</w:t>
      </w:r>
      <w:r w:rsidRPr="009F551D">
        <w:rPr>
          <w:lang w:val="fr-FR"/>
        </w:rPr>
        <w:tab/>
      </w:r>
      <w:r w:rsidRPr="009F551D">
        <w:rPr>
          <w:bCs/>
          <w:lang w:val="fr-FR"/>
        </w:rPr>
        <w:t>Version électronique des divers documents devant se trouver à bord</w:t>
      </w:r>
      <w:bookmarkStart w:id="18" w:name="_Toc81410362"/>
      <w:bookmarkEnd w:id="18"/>
    </w:p>
    <w:p w14:paraId="6684AD53" w14:textId="655FEACC" w:rsidR="006408A6" w:rsidRPr="009F551D" w:rsidRDefault="006408A6" w:rsidP="00C93CE5">
      <w:pPr>
        <w:pStyle w:val="SingleTxtG"/>
        <w:ind w:left="3402" w:hanging="2268"/>
        <w:rPr>
          <w:b/>
          <w:bCs/>
          <w:lang w:val="fr-FR"/>
        </w:rPr>
      </w:pPr>
      <w:r w:rsidRPr="009F551D">
        <w:rPr>
          <w:bCs/>
          <w:i/>
          <w:iCs/>
          <w:lang w:val="fr-FR"/>
        </w:rPr>
        <w:t>Document informel :</w:t>
      </w:r>
      <w:r w:rsidRPr="009F551D">
        <w:rPr>
          <w:bCs/>
          <w:lang w:val="fr-FR"/>
        </w:rPr>
        <w:tab/>
      </w:r>
      <w:r w:rsidRPr="009F551D">
        <w:rPr>
          <w:bCs/>
          <w:lang w:val="fr-FR"/>
        </w:rPr>
        <w:tab/>
        <w:t>INF.9 (CCNR)</w:t>
      </w:r>
      <w:bookmarkStart w:id="19" w:name="_Toc81410363"/>
      <w:bookmarkEnd w:id="19"/>
      <w:r w:rsidR="00C93CE5">
        <w:rPr>
          <w:bCs/>
          <w:lang w:val="fr-FR"/>
        </w:rPr>
        <w:t>.</w:t>
      </w:r>
    </w:p>
    <w:p w14:paraId="0AFA3760" w14:textId="77777777" w:rsidR="006408A6" w:rsidRPr="009F551D" w:rsidRDefault="006408A6" w:rsidP="006408A6">
      <w:pPr>
        <w:pStyle w:val="SingleTxtG"/>
        <w:rPr>
          <w:lang w:val="fr-FR"/>
        </w:rPr>
      </w:pPr>
      <w:r w:rsidRPr="009F551D">
        <w:rPr>
          <w:lang w:val="fr-FR"/>
        </w:rPr>
        <w:t>9.</w:t>
      </w:r>
      <w:r w:rsidRPr="009F551D">
        <w:rPr>
          <w:lang w:val="fr-FR"/>
        </w:rPr>
        <w:tab/>
        <w:t>Le Comité de sécurité a examiné la question de savoir si l</w:t>
      </w:r>
      <w:r>
        <w:rPr>
          <w:lang w:val="fr-FR"/>
        </w:rPr>
        <w:t>’</w:t>
      </w:r>
      <w:r w:rsidRPr="009F551D">
        <w:rPr>
          <w:lang w:val="fr-FR"/>
        </w:rPr>
        <w:t>utilisation de documents électroniques à bord devrait être autorisée à l</w:t>
      </w:r>
      <w:r>
        <w:rPr>
          <w:lang w:val="fr-FR"/>
        </w:rPr>
        <w:t>’</w:t>
      </w:r>
      <w:r w:rsidRPr="009F551D">
        <w:rPr>
          <w:lang w:val="fr-FR"/>
        </w:rPr>
        <w:t>avenir dans le cadre de l</w:t>
      </w:r>
      <w:r>
        <w:rPr>
          <w:lang w:val="fr-FR"/>
        </w:rPr>
        <w:t>’</w:t>
      </w:r>
      <w:r w:rsidRPr="009F551D">
        <w:rPr>
          <w:lang w:val="fr-FR"/>
        </w:rPr>
        <w:t>ADN, à titre facultatif (document informel INF.9). Il est convenu d</w:t>
      </w:r>
      <w:r>
        <w:rPr>
          <w:lang w:val="fr-FR"/>
        </w:rPr>
        <w:t>’</w:t>
      </w:r>
      <w:r w:rsidRPr="009F551D">
        <w:rPr>
          <w:lang w:val="fr-FR"/>
        </w:rPr>
        <w:t>élaborer des dispositions détaillées sur l</w:t>
      </w:r>
      <w:r>
        <w:rPr>
          <w:lang w:val="fr-FR"/>
        </w:rPr>
        <w:t>’</w:t>
      </w:r>
      <w:r w:rsidRPr="009F551D">
        <w:rPr>
          <w:lang w:val="fr-FR"/>
        </w:rPr>
        <w:t>utilisation de documents électroniques en général et pas seulement dans le cas du document de transport. Il a été rappelé que la Réunion commune de la Commission d</w:t>
      </w:r>
      <w:r>
        <w:rPr>
          <w:lang w:val="fr-FR"/>
        </w:rPr>
        <w:t>’</w:t>
      </w:r>
      <w:r w:rsidRPr="009F551D">
        <w:rPr>
          <w:lang w:val="fr-FR"/>
        </w:rPr>
        <w:t>experts du RID et du Groupe de travail des transports de marchandises dangereuses avait déjà pris une initiative similaire et créé un groupe de travail de la télématique dans le cadre du transport des marchandises dangereuses, en tenant compte des activités en cours au sein de l</w:t>
      </w:r>
      <w:r>
        <w:rPr>
          <w:lang w:val="fr-FR"/>
        </w:rPr>
        <w:t>’</w:t>
      </w:r>
      <w:r w:rsidRPr="009F551D">
        <w:rPr>
          <w:lang w:val="fr-FR"/>
        </w:rPr>
        <w:t>Union européenne s</w:t>
      </w:r>
      <w:r>
        <w:rPr>
          <w:lang w:val="fr-FR"/>
        </w:rPr>
        <w:t>’</w:t>
      </w:r>
      <w:r w:rsidRPr="009F551D">
        <w:rPr>
          <w:lang w:val="fr-FR"/>
        </w:rPr>
        <w:t>agissant de l</w:t>
      </w:r>
      <w:r>
        <w:rPr>
          <w:lang w:val="fr-FR"/>
        </w:rPr>
        <w:t>’</w:t>
      </w:r>
      <w:r w:rsidRPr="009F551D">
        <w:rPr>
          <w:lang w:val="fr-FR"/>
        </w:rPr>
        <w:t>application du règlement de l</w:t>
      </w:r>
      <w:r>
        <w:rPr>
          <w:lang w:val="fr-FR"/>
        </w:rPr>
        <w:t>’</w:t>
      </w:r>
      <w:r w:rsidRPr="009F551D">
        <w:rPr>
          <w:lang w:val="fr-FR"/>
        </w:rPr>
        <w:t>UE sur les informations électroniques relatives au transport de marchandises (</w:t>
      </w:r>
      <w:proofErr w:type="spellStart"/>
      <w:r w:rsidRPr="009F551D">
        <w:rPr>
          <w:lang w:val="fr-FR"/>
        </w:rPr>
        <w:t>eFTI</w:t>
      </w:r>
      <w:proofErr w:type="spellEnd"/>
      <w:r w:rsidRPr="009F551D">
        <w:rPr>
          <w:lang w:val="fr-FR"/>
        </w:rPr>
        <w:t>).</w:t>
      </w:r>
    </w:p>
    <w:p w14:paraId="3C2B18C5" w14:textId="77777777" w:rsidR="006408A6" w:rsidRPr="009F551D" w:rsidRDefault="006408A6" w:rsidP="006408A6">
      <w:pPr>
        <w:pStyle w:val="SingleTxtG"/>
        <w:rPr>
          <w:lang w:val="fr-FR"/>
        </w:rPr>
      </w:pPr>
      <w:r w:rsidRPr="009F551D">
        <w:rPr>
          <w:lang w:val="fr-FR"/>
        </w:rPr>
        <w:t>10.</w:t>
      </w:r>
      <w:r w:rsidRPr="009F551D">
        <w:rPr>
          <w:lang w:val="fr-FR"/>
        </w:rPr>
        <w:tab/>
        <w:t>À l</w:t>
      </w:r>
      <w:r>
        <w:rPr>
          <w:lang w:val="fr-FR"/>
        </w:rPr>
        <w:t>’</w:t>
      </w:r>
      <w:r w:rsidRPr="009F551D">
        <w:rPr>
          <w:lang w:val="fr-FR"/>
        </w:rPr>
        <w:t>issue de la discussion, le Comité de sécurité a décidé de créer un groupe de travail informel chargé de poursuivre l</w:t>
      </w:r>
      <w:r>
        <w:rPr>
          <w:lang w:val="fr-FR"/>
        </w:rPr>
        <w:t>’</w:t>
      </w:r>
      <w:r w:rsidRPr="009F551D">
        <w:rPr>
          <w:lang w:val="fr-FR"/>
        </w:rPr>
        <w:t>examen de l</w:t>
      </w:r>
      <w:r>
        <w:rPr>
          <w:lang w:val="fr-FR"/>
        </w:rPr>
        <w:t>’</w:t>
      </w:r>
      <w:r w:rsidRPr="009F551D">
        <w:rPr>
          <w:lang w:val="fr-FR"/>
        </w:rPr>
        <w:t>aspect juridique de la question en tenant compte des travaux existants et de déterminer les documents susceptibles d</w:t>
      </w:r>
      <w:r>
        <w:rPr>
          <w:lang w:val="fr-FR"/>
        </w:rPr>
        <w:t>’</w:t>
      </w:r>
      <w:r w:rsidRPr="009F551D">
        <w:rPr>
          <w:lang w:val="fr-FR"/>
        </w:rPr>
        <w:t>être dématérialisés et utilisés sous forme électronique et les conditions dans lesquelles ces documents pourraient être utilisés (en ce qui concerne le format, la cybersécurité, la protection des bases de données et des données, etc.). Le secrétariat de la CCNR s</w:t>
      </w:r>
      <w:r>
        <w:rPr>
          <w:lang w:val="fr-FR"/>
        </w:rPr>
        <w:t>’</w:t>
      </w:r>
      <w:r w:rsidRPr="009F551D">
        <w:rPr>
          <w:lang w:val="fr-FR"/>
        </w:rPr>
        <w:t>est porté volontaire pour élaborer en vue de la prochaine session un projet de mandat et de plan d</w:t>
      </w:r>
      <w:r>
        <w:rPr>
          <w:lang w:val="fr-FR"/>
        </w:rPr>
        <w:t>’</w:t>
      </w:r>
      <w:r w:rsidRPr="009F551D">
        <w:rPr>
          <w:lang w:val="fr-FR"/>
        </w:rPr>
        <w:t>action pour le groupe de travail informel.</w:t>
      </w:r>
    </w:p>
    <w:p w14:paraId="5C620E90" w14:textId="77777777" w:rsidR="006408A6" w:rsidRPr="009F551D" w:rsidRDefault="006408A6" w:rsidP="006408A6">
      <w:pPr>
        <w:pStyle w:val="H1G"/>
        <w:rPr>
          <w:lang w:val="fr-FR"/>
        </w:rPr>
      </w:pPr>
      <w:r w:rsidRPr="009F551D">
        <w:rPr>
          <w:lang w:val="fr-FR"/>
        </w:rPr>
        <w:tab/>
        <w:t>D.</w:t>
      </w:r>
      <w:r w:rsidRPr="009F551D">
        <w:rPr>
          <w:lang w:val="fr-FR"/>
        </w:rPr>
        <w:tab/>
      </w:r>
      <w:r w:rsidRPr="009F551D">
        <w:rPr>
          <w:bCs/>
          <w:lang w:val="fr-FR"/>
        </w:rPr>
        <w:t>Rapport de la Commission du Danube</w:t>
      </w:r>
      <w:bookmarkStart w:id="20" w:name="_Toc81410364"/>
      <w:bookmarkEnd w:id="20"/>
    </w:p>
    <w:p w14:paraId="38D591B7" w14:textId="01AEEE10" w:rsidR="006408A6" w:rsidRPr="009F551D" w:rsidRDefault="006408A6" w:rsidP="00C93CE5">
      <w:pPr>
        <w:pStyle w:val="SingleTxtG"/>
        <w:ind w:left="3402" w:hanging="2268"/>
        <w:rPr>
          <w:b/>
          <w:bCs/>
          <w:lang w:val="fr-FR"/>
        </w:rPr>
      </w:pPr>
      <w:r w:rsidRPr="009F551D">
        <w:rPr>
          <w:bCs/>
          <w:i/>
          <w:iCs/>
          <w:lang w:val="fr-FR"/>
        </w:rPr>
        <w:t>Document informel :</w:t>
      </w:r>
      <w:r w:rsidRPr="009F551D">
        <w:rPr>
          <w:bCs/>
          <w:lang w:val="fr-FR"/>
        </w:rPr>
        <w:tab/>
      </w:r>
      <w:r w:rsidRPr="009F551D">
        <w:rPr>
          <w:bCs/>
          <w:lang w:val="fr-FR"/>
        </w:rPr>
        <w:tab/>
        <w:t>INF.14 (Commission du Danube)</w:t>
      </w:r>
      <w:bookmarkStart w:id="21" w:name="_Toc81410365"/>
      <w:bookmarkEnd w:id="21"/>
      <w:r w:rsidR="00C93CE5">
        <w:rPr>
          <w:bCs/>
          <w:lang w:val="fr-FR"/>
        </w:rPr>
        <w:t>.</w:t>
      </w:r>
    </w:p>
    <w:p w14:paraId="7443E66E" w14:textId="77777777" w:rsidR="006408A6" w:rsidRPr="009F551D" w:rsidRDefault="006408A6" w:rsidP="006408A6">
      <w:pPr>
        <w:pStyle w:val="SingleTxtG"/>
        <w:rPr>
          <w:lang w:val="fr-FR"/>
        </w:rPr>
      </w:pPr>
      <w:r w:rsidRPr="009F551D">
        <w:rPr>
          <w:lang w:val="fr-FR"/>
        </w:rPr>
        <w:t>11.</w:t>
      </w:r>
      <w:r w:rsidRPr="009F551D">
        <w:rPr>
          <w:lang w:val="fr-FR"/>
        </w:rPr>
        <w:tab/>
        <w:t>Le représentant de la Commission du Danube a informé le Comité de sécurité des activités que la Commission comptait mener pour moderniser les bateaux de navigation intérieure afin de réduire les émissions nocives des moteurs diesel marins et de favoriser l</w:t>
      </w:r>
      <w:r>
        <w:rPr>
          <w:lang w:val="fr-FR"/>
        </w:rPr>
        <w:t>’</w:t>
      </w:r>
      <w:r w:rsidRPr="009F551D">
        <w:rPr>
          <w:lang w:val="fr-FR"/>
        </w:rPr>
        <w:t xml:space="preserve">utilisation de carburants de substitution (hydrogène, GNL, </w:t>
      </w:r>
      <w:proofErr w:type="spellStart"/>
      <w:r w:rsidRPr="009F551D">
        <w:rPr>
          <w:lang w:val="fr-FR"/>
        </w:rPr>
        <w:t>biocarburants</w:t>
      </w:r>
      <w:proofErr w:type="spellEnd"/>
      <w:r w:rsidRPr="009F551D">
        <w:rPr>
          <w:lang w:val="fr-FR"/>
        </w:rPr>
        <w:t xml:space="preserve"> et autres) dans les systèmes de propulsion. Il a ajouté que la Commission du Danube était en train de mettre au point une plateforme spécifique sur la modernisation de la flotte à l</w:t>
      </w:r>
      <w:r>
        <w:rPr>
          <w:lang w:val="fr-FR"/>
        </w:rPr>
        <w:t>’</w:t>
      </w:r>
      <w:r w:rsidRPr="009F551D">
        <w:rPr>
          <w:lang w:val="fr-FR"/>
        </w:rPr>
        <w:t xml:space="preserve">horizon 2022 et au-delà. </w:t>
      </w:r>
    </w:p>
    <w:p w14:paraId="6BEBF8B4" w14:textId="77777777" w:rsidR="006408A6" w:rsidRPr="009F551D" w:rsidRDefault="006408A6" w:rsidP="006408A6">
      <w:pPr>
        <w:pStyle w:val="SingleTxtG"/>
        <w:rPr>
          <w:lang w:val="fr-FR"/>
        </w:rPr>
      </w:pPr>
      <w:r w:rsidRPr="009F551D">
        <w:rPr>
          <w:lang w:val="fr-FR"/>
        </w:rPr>
        <w:t>12.</w:t>
      </w:r>
      <w:r w:rsidRPr="009F551D">
        <w:rPr>
          <w:lang w:val="fr-FR"/>
        </w:rPr>
        <w:tab/>
        <w:t>Le Comité de sécurité a accueilli favorablement ces informations et est convenu qu</w:t>
      </w:r>
      <w:r>
        <w:rPr>
          <w:lang w:val="fr-FR"/>
        </w:rPr>
        <w:t>’</w:t>
      </w:r>
      <w:r w:rsidRPr="009F551D">
        <w:rPr>
          <w:lang w:val="fr-FR"/>
        </w:rPr>
        <w:t>il était prématuré d</w:t>
      </w:r>
      <w:r>
        <w:rPr>
          <w:lang w:val="fr-FR"/>
        </w:rPr>
        <w:t>’</w:t>
      </w:r>
      <w:r w:rsidRPr="009F551D">
        <w:rPr>
          <w:lang w:val="fr-FR"/>
        </w:rPr>
        <w:t>examiner la question en détail au niveau de l</w:t>
      </w:r>
      <w:r>
        <w:rPr>
          <w:lang w:val="fr-FR"/>
        </w:rPr>
        <w:t>’</w:t>
      </w:r>
      <w:r w:rsidRPr="009F551D">
        <w:rPr>
          <w:lang w:val="fr-FR"/>
        </w:rPr>
        <w:t>ADN. On a relevé que s</w:t>
      </w:r>
      <w:r>
        <w:rPr>
          <w:lang w:val="fr-FR"/>
        </w:rPr>
        <w:t>’</w:t>
      </w:r>
      <w:r w:rsidRPr="009F551D">
        <w:rPr>
          <w:lang w:val="fr-FR"/>
        </w:rPr>
        <w:t>agissant des dispositions de l</w:t>
      </w:r>
      <w:r>
        <w:rPr>
          <w:lang w:val="fr-FR"/>
        </w:rPr>
        <w:t>’</w:t>
      </w:r>
      <w:r w:rsidRPr="009F551D">
        <w:rPr>
          <w:lang w:val="fr-FR"/>
        </w:rPr>
        <w:t>ADN, il fallait faire clairement la distinction entre le transport de l</w:t>
      </w:r>
      <w:r>
        <w:rPr>
          <w:lang w:val="fr-FR"/>
        </w:rPr>
        <w:t>’</w:t>
      </w:r>
      <w:r w:rsidRPr="009F551D">
        <w:rPr>
          <w:lang w:val="fr-FR"/>
        </w:rPr>
        <w:t xml:space="preserve">hydrogène sur les bateaux en tant que cargaison et son transport en tant que carburant </w:t>
      </w:r>
      <w:r w:rsidRPr="009F551D">
        <w:rPr>
          <w:lang w:val="fr-FR"/>
        </w:rPr>
        <w:lastRenderedPageBreak/>
        <w:t>pour la propulsion. Le Comité de sécurité a décidé de reprendre la discussion sur le transport de l</w:t>
      </w:r>
      <w:r>
        <w:rPr>
          <w:lang w:val="fr-FR"/>
        </w:rPr>
        <w:t>’</w:t>
      </w:r>
      <w:r w:rsidRPr="009F551D">
        <w:rPr>
          <w:lang w:val="fr-FR"/>
        </w:rPr>
        <w:t>hydrogène en tant que cargaison</w:t>
      </w:r>
      <w:r w:rsidRPr="006345B0">
        <w:rPr>
          <w:lang w:val="fr-FR"/>
        </w:rPr>
        <w:t xml:space="preserve"> </w:t>
      </w:r>
      <w:r w:rsidRPr="009F551D">
        <w:rPr>
          <w:lang w:val="fr-FR"/>
        </w:rPr>
        <w:t>ultérieurement, lorsque des demandes de transport d</w:t>
      </w:r>
      <w:r>
        <w:rPr>
          <w:lang w:val="fr-FR"/>
        </w:rPr>
        <w:t>’</w:t>
      </w:r>
      <w:r w:rsidRPr="009F551D">
        <w:rPr>
          <w:lang w:val="fr-FR"/>
        </w:rPr>
        <w:t>hydrogène auraient été reçues, et a estimé que le groupe de travail informel des matières serait le mieux placé pour entamer des discussions plus approfondies sur les conditions de transport.</w:t>
      </w:r>
    </w:p>
    <w:p w14:paraId="56B0FD36" w14:textId="77777777" w:rsidR="006408A6" w:rsidRPr="009F551D" w:rsidRDefault="006408A6" w:rsidP="006408A6">
      <w:pPr>
        <w:pStyle w:val="HChG"/>
        <w:rPr>
          <w:lang w:val="fr-FR"/>
        </w:rPr>
      </w:pPr>
      <w:r w:rsidRPr="009F551D">
        <w:rPr>
          <w:lang w:val="fr-FR"/>
        </w:rPr>
        <w:tab/>
        <w:t>V.</w:t>
      </w:r>
      <w:r w:rsidRPr="009F551D">
        <w:rPr>
          <w:lang w:val="fr-FR"/>
        </w:rPr>
        <w:tab/>
      </w:r>
      <w:r w:rsidRPr="009F551D">
        <w:rPr>
          <w:bCs/>
          <w:lang w:val="fr-FR"/>
        </w:rPr>
        <w:t>Mise en œuvre de l</w:t>
      </w:r>
      <w:r>
        <w:rPr>
          <w:bCs/>
          <w:lang w:val="fr-FR"/>
        </w:rPr>
        <w:t>’</w:t>
      </w:r>
      <w:r w:rsidRPr="009F551D">
        <w:rPr>
          <w:bCs/>
          <w:lang w:val="fr-FR"/>
        </w:rPr>
        <w:t>Accord européen relatif au transport international des marchandises dangereuses par voies de navigation intérieures (ADN) (point 3 de l</w:t>
      </w:r>
      <w:r>
        <w:rPr>
          <w:bCs/>
          <w:lang w:val="fr-FR"/>
        </w:rPr>
        <w:t>’</w:t>
      </w:r>
      <w:r w:rsidRPr="009F551D">
        <w:rPr>
          <w:bCs/>
          <w:lang w:val="fr-FR"/>
        </w:rPr>
        <w:t>ordre du jour)</w:t>
      </w:r>
      <w:bookmarkStart w:id="22" w:name="_Toc81410366"/>
      <w:bookmarkEnd w:id="22"/>
    </w:p>
    <w:p w14:paraId="5EEEE924" w14:textId="77777777" w:rsidR="006408A6" w:rsidRPr="009F551D" w:rsidRDefault="006408A6" w:rsidP="00815815">
      <w:pPr>
        <w:pStyle w:val="H1G"/>
        <w:rPr>
          <w:lang w:val="fr-FR"/>
        </w:rPr>
      </w:pPr>
      <w:r w:rsidRPr="009F551D">
        <w:rPr>
          <w:lang w:val="fr-FR"/>
        </w:rPr>
        <w:tab/>
        <w:t>A.</w:t>
      </w:r>
      <w:r w:rsidRPr="009F551D">
        <w:rPr>
          <w:lang w:val="fr-FR"/>
        </w:rPr>
        <w:tab/>
        <w:t>État de l</w:t>
      </w:r>
      <w:r>
        <w:rPr>
          <w:lang w:val="fr-FR"/>
        </w:rPr>
        <w:t>’</w:t>
      </w:r>
      <w:r w:rsidRPr="009F551D">
        <w:rPr>
          <w:lang w:val="fr-FR"/>
        </w:rPr>
        <w:t>ADN</w:t>
      </w:r>
      <w:bookmarkStart w:id="23" w:name="_Toc81410367"/>
      <w:bookmarkEnd w:id="23"/>
    </w:p>
    <w:p w14:paraId="0E72F2D5" w14:textId="77777777" w:rsidR="006408A6" w:rsidRPr="009F551D" w:rsidRDefault="006408A6" w:rsidP="006408A6">
      <w:pPr>
        <w:pStyle w:val="SingleTxtG"/>
        <w:rPr>
          <w:lang w:val="fr-FR"/>
        </w:rPr>
      </w:pPr>
      <w:r w:rsidRPr="009F551D">
        <w:rPr>
          <w:lang w:val="fr-FR"/>
        </w:rPr>
        <w:t>13.</w:t>
      </w:r>
      <w:r w:rsidRPr="009F551D">
        <w:rPr>
          <w:lang w:val="fr-FR"/>
        </w:rPr>
        <w:tab/>
        <w:t>Le Comité de sécurité n</w:t>
      </w:r>
      <w:r>
        <w:rPr>
          <w:lang w:val="fr-FR"/>
        </w:rPr>
        <w:t>’</w:t>
      </w:r>
      <w:r w:rsidRPr="009F551D">
        <w:rPr>
          <w:lang w:val="fr-FR"/>
        </w:rPr>
        <w:t>a reçu aucune information nouvelle concernant l</w:t>
      </w:r>
      <w:r>
        <w:rPr>
          <w:lang w:val="fr-FR"/>
        </w:rPr>
        <w:t>’</w:t>
      </w:r>
      <w:r w:rsidRPr="009F551D">
        <w:rPr>
          <w:lang w:val="fr-FR"/>
        </w:rPr>
        <w:t>état de l</w:t>
      </w:r>
      <w:r>
        <w:rPr>
          <w:lang w:val="fr-FR"/>
        </w:rPr>
        <w:t>’</w:t>
      </w:r>
      <w:r w:rsidRPr="009F551D">
        <w:rPr>
          <w:lang w:val="fr-FR"/>
        </w:rPr>
        <w:t>ADN.</w:t>
      </w:r>
    </w:p>
    <w:p w14:paraId="6ADA864E" w14:textId="77777777" w:rsidR="006408A6" w:rsidRPr="009F551D" w:rsidRDefault="006408A6" w:rsidP="006408A6">
      <w:pPr>
        <w:pStyle w:val="H1G"/>
        <w:rPr>
          <w:lang w:val="fr-FR"/>
        </w:rPr>
      </w:pPr>
      <w:r w:rsidRPr="009F551D">
        <w:rPr>
          <w:lang w:val="fr-FR"/>
        </w:rPr>
        <w:tab/>
        <w:t>B.</w:t>
      </w:r>
      <w:r w:rsidRPr="009F551D">
        <w:rPr>
          <w:lang w:val="fr-FR"/>
        </w:rPr>
        <w:tab/>
      </w:r>
      <w:r w:rsidRPr="009F551D">
        <w:rPr>
          <w:bCs/>
          <w:lang w:val="fr-FR"/>
        </w:rPr>
        <w:t>Autorisations spéciales, dérogations et équivalences</w:t>
      </w:r>
      <w:bookmarkStart w:id="24" w:name="_Toc81410368"/>
      <w:bookmarkEnd w:id="24"/>
    </w:p>
    <w:p w14:paraId="5C5F4FA0" w14:textId="77777777" w:rsidR="006408A6" w:rsidRPr="009F551D" w:rsidRDefault="006408A6" w:rsidP="006408A6">
      <w:pPr>
        <w:pStyle w:val="H23G"/>
        <w:rPr>
          <w:lang w:val="fr-FR"/>
        </w:rPr>
      </w:pPr>
      <w:r w:rsidRPr="009F551D">
        <w:rPr>
          <w:lang w:val="fr-FR"/>
        </w:rPr>
        <w:tab/>
        <w:t>1.</w:t>
      </w:r>
      <w:r w:rsidRPr="009F551D">
        <w:rPr>
          <w:lang w:val="fr-FR"/>
        </w:rPr>
        <w:tab/>
      </w:r>
      <w:r w:rsidRPr="009F551D">
        <w:rPr>
          <w:bCs/>
          <w:lang w:val="fr-FR"/>
        </w:rPr>
        <w:t>Autorisation spéciale</w:t>
      </w:r>
      <w:bookmarkStart w:id="25" w:name="_Toc81410369"/>
      <w:bookmarkEnd w:id="25"/>
    </w:p>
    <w:p w14:paraId="4F7E9F8A" w14:textId="09C55AC0" w:rsidR="006408A6" w:rsidRPr="009F551D" w:rsidRDefault="006408A6" w:rsidP="00C93CE5">
      <w:pPr>
        <w:pStyle w:val="SingleTxtG"/>
        <w:ind w:left="3402" w:hanging="2268"/>
        <w:rPr>
          <w:lang w:val="fr-FR"/>
        </w:rPr>
      </w:pPr>
      <w:r w:rsidRPr="009F551D">
        <w:rPr>
          <w:i/>
          <w:iCs/>
          <w:lang w:val="fr-FR"/>
        </w:rPr>
        <w:t>Document :</w:t>
      </w:r>
      <w:r w:rsidRPr="009F551D">
        <w:rPr>
          <w:i/>
          <w:iCs/>
          <w:lang w:val="fr-FR"/>
        </w:rPr>
        <w:tab/>
      </w:r>
      <w:r w:rsidRPr="009F551D">
        <w:rPr>
          <w:i/>
          <w:iCs/>
          <w:lang w:val="fr-FR"/>
        </w:rPr>
        <w:tab/>
      </w:r>
      <w:r w:rsidRPr="009F551D">
        <w:rPr>
          <w:lang w:val="fr-FR"/>
        </w:rPr>
        <w:t>ECE/TRANS/WP.15/AC.2/2021/20 (Pays-Bas)</w:t>
      </w:r>
      <w:bookmarkStart w:id="26" w:name="_Toc81410370"/>
      <w:bookmarkEnd w:id="26"/>
      <w:r w:rsidR="00C93CE5">
        <w:rPr>
          <w:lang w:val="fr-FR"/>
        </w:rPr>
        <w:t>.</w:t>
      </w:r>
    </w:p>
    <w:p w14:paraId="47BB58FC" w14:textId="1F38725F" w:rsidR="006408A6" w:rsidRPr="009F551D" w:rsidRDefault="006408A6" w:rsidP="00C93CE5">
      <w:pPr>
        <w:pStyle w:val="SingleTxtG"/>
        <w:ind w:left="3402" w:hanging="2268"/>
        <w:rPr>
          <w:b/>
          <w:bCs/>
          <w:lang w:val="fr-FR"/>
        </w:rPr>
      </w:pPr>
      <w:r w:rsidRPr="009F551D">
        <w:rPr>
          <w:bCs/>
          <w:i/>
          <w:iCs/>
          <w:lang w:val="fr-FR"/>
        </w:rPr>
        <w:t>Document informel :</w:t>
      </w:r>
      <w:r w:rsidRPr="009F551D">
        <w:rPr>
          <w:bCs/>
          <w:lang w:val="fr-FR"/>
        </w:rPr>
        <w:tab/>
        <w:t>INF.3 (Pays-Bas)</w:t>
      </w:r>
      <w:bookmarkStart w:id="27" w:name="_Toc81410371"/>
      <w:bookmarkEnd w:id="27"/>
      <w:r w:rsidR="00C93CE5">
        <w:rPr>
          <w:bCs/>
          <w:lang w:val="fr-FR"/>
        </w:rPr>
        <w:t>.</w:t>
      </w:r>
    </w:p>
    <w:p w14:paraId="79518BF1" w14:textId="77777777" w:rsidR="006408A6" w:rsidRPr="009F551D" w:rsidRDefault="006408A6" w:rsidP="006408A6">
      <w:pPr>
        <w:pStyle w:val="SingleTxtG"/>
        <w:rPr>
          <w:snapToGrid w:val="0"/>
          <w:lang w:val="fr-FR"/>
        </w:rPr>
      </w:pPr>
      <w:r w:rsidRPr="009F551D">
        <w:rPr>
          <w:lang w:val="fr-FR"/>
        </w:rPr>
        <w:t>14.</w:t>
      </w:r>
      <w:r w:rsidRPr="009F551D">
        <w:rPr>
          <w:lang w:val="fr-FR"/>
        </w:rPr>
        <w:tab/>
        <w:t>Le Comité de sécurité a examiné le document ECE/TRANS/WP.15/AC.2/2021/20 et le document informel INF.3 concernant une demande d</w:t>
      </w:r>
      <w:r>
        <w:rPr>
          <w:lang w:val="fr-FR"/>
        </w:rPr>
        <w:t>’</w:t>
      </w:r>
      <w:r w:rsidRPr="009F551D">
        <w:rPr>
          <w:lang w:val="fr-FR"/>
        </w:rPr>
        <w:t>autorisation spéciale présentée conformément au 1.5.2 de l</w:t>
      </w:r>
      <w:r>
        <w:rPr>
          <w:lang w:val="fr-FR"/>
        </w:rPr>
        <w:t>’</w:t>
      </w:r>
      <w:r w:rsidRPr="009F551D">
        <w:rPr>
          <w:lang w:val="fr-FR"/>
        </w:rPr>
        <w:t>ADN, pour le transport du No ONU 1288, HUILE DE SCHISTE, par bateau-citerne. Certains représentants, bien qu</w:t>
      </w:r>
      <w:r>
        <w:rPr>
          <w:lang w:val="fr-FR"/>
        </w:rPr>
        <w:t>’</w:t>
      </w:r>
      <w:r w:rsidRPr="009F551D">
        <w:rPr>
          <w:lang w:val="fr-FR"/>
        </w:rPr>
        <w:t>ils aient donné leur accord de principe à cette demande, ont jugé préférable d</w:t>
      </w:r>
      <w:r>
        <w:rPr>
          <w:lang w:val="fr-FR"/>
        </w:rPr>
        <w:t>’</w:t>
      </w:r>
      <w:r w:rsidRPr="009F551D">
        <w:rPr>
          <w:lang w:val="fr-FR"/>
        </w:rPr>
        <w:t>ajouter dans le tableau C de l</w:t>
      </w:r>
      <w:r>
        <w:rPr>
          <w:lang w:val="fr-FR"/>
        </w:rPr>
        <w:t>’</w:t>
      </w:r>
      <w:r w:rsidRPr="009F551D">
        <w:rPr>
          <w:lang w:val="fr-FR"/>
        </w:rPr>
        <w:t>ADN une nouvelle rubrique pour le No ONU 1288. Le Comité de sécurité a décidé de reprendre l</w:t>
      </w:r>
      <w:r>
        <w:rPr>
          <w:lang w:val="fr-FR"/>
        </w:rPr>
        <w:t>’</w:t>
      </w:r>
      <w:r w:rsidRPr="009F551D">
        <w:rPr>
          <w:lang w:val="fr-FR"/>
        </w:rPr>
        <w:t>examen de ce point à sa session suivante, sur la base d</w:t>
      </w:r>
      <w:r>
        <w:rPr>
          <w:lang w:val="fr-FR"/>
        </w:rPr>
        <w:t>’</w:t>
      </w:r>
      <w:r w:rsidRPr="009F551D">
        <w:rPr>
          <w:lang w:val="fr-FR"/>
        </w:rPr>
        <w:t>une proposition officielle des Pays-Bas tenant compte du 3.2.4.2 de l</w:t>
      </w:r>
      <w:r>
        <w:rPr>
          <w:lang w:val="fr-FR"/>
        </w:rPr>
        <w:t>’</w:t>
      </w:r>
      <w:r w:rsidRPr="009F551D">
        <w:rPr>
          <w:lang w:val="fr-FR"/>
        </w:rPr>
        <w:t>ADN.</w:t>
      </w:r>
    </w:p>
    <w:p w14:paraId="487298EE" w14:textId="77777777" w:rsidR="006408A6" w:rsidRPr="009F551D" w:rsidRDefault="006408A6" w:rsidP="006408A6">
      <w:pPr>
        <w:pStyle w:val="H23G"/>
        <w:rPr>
          <w:lang w:val="fr-FR"/>
        </w:rPr>
      </w:pPr>
      <w:r w:rsidRPr="009F551D">
        <w:rPr>
          <w:lang w:val="fr-FR"/>
        </w:rPr>
        <w:tab/>
        <w:t>2.</w:t>
      </w:r>
      <w:r w:rsidRPr="009F551D">
        <w:rPr>
          <w:lang w:val="fr-FR"/>
        </w:rPr>
        <w:tab/>
      </w:r>
      <w:r w:rsidRPr="009F551D">
        <w:rPr>
          <w:bCs/>
          <w:lang w:val="fr-FR"/>
        </w:rPr>
        <w:t>Demande de recommandation</w:t>
      </w:r>
      <w:bookmarkStart w:id="28" w:name="_Toc81410372"/>
      <w:bookmarkEnd w:id="28"/>
    </w:p>
    <w:p w14:paraId="6F61D061" w14:textId="610DC1FC" w:rsidR="006408A6" w:rsidRPr="009F551D" w:rsidRDefault="006408A6" w:rsidP="00C93CE5">
      <w:pPr>
        <w:pStyle w:val="SingleTxtG"/>
        <w:ind w:left="3402" w:hanging="2268"/>
        <w:rPr>
          <w:b/>
          <w:bCs/>
          <w:lang w:val="fr-FR"/>
        </w:rPr>
      </w:pPr>
      <w:r w:rsidRPr="009F551D">
        <w:rPr>
          <w:bCs/>
          <w:i/>
          <w:iCs/>
          <w:lang w:val="fr-FR"/>
        </w:rPr>
        <w:t>Document informel :</w:t>
      </w:r>
      <w:r w:rsidRPr="009F551D">
        <w:rPr>
          <w:bCs/>
          <w:lang w:val="fr-FR"/>
        </w:rPr>
        <w:t xml:space="preserve"> </w:t>
      </w:r>
      <w:r w:rsidRPr="009F551D">
        <w:rPr>
          <w:bCs/>
          <w:lang w:val="fr-FR"/>
        </w:rPr>
        <w:tab/>
        <w:t>INF.17 (Pays-Bas)</w:t>
      </w:r>
      <w:bookmarkStart w:id="29" w:name="_Toc81410373"/>
      <w:bookmarkEnd w:id="29"/>
      <w:r w:rsidR="00C93CE5">
        <w:rPr>
          <w:bCs/>
          <w:lang w:val="fr-FR"/>
        </w:rPr>
        <w:t>.</w:t>
      </w:r>
    </w:p>
    <w:p w14:paraId="168404FD" w14:textId="77777777" w:rsidR="006408A6" w:rsidRPr="009F551D" w:rsidRDefault="006408A6" w:rsidP="006408A6">
      <w:pPr>
        <w:pStyle w:val="SingleTxtG"/>
        <w:rPr>
          <w:lang w:val="fr-FR"/>
        </w:rPr>
      </w:pPr>
      <w:r w:rsidRPr="009F551D">
        <w:rPr>
          <w:lang w:val="fr-FR"/>
        </w:rPr>
        <w:t>15.</w:t>
      </w:r>
      <w:r w:rsidRPr="009F551D">
        <w:rPr>
          <w:lang w:val="fr-FR"/>
        </w:rPr>
        <w:tab/>
        <w:t>La délégation néerlandaise a reçu une demande de recommandation en vue de l</w:t>
      </w:r>
      <w:r>
        <w:rPr>
          <w:lang w:val="fr-FR"/>
        </w:rPr>
        <w:t>’</w:t>
      </w:r>
      <w:r w:rsidRPr="009F551D">
        <w:rPr>
          <w:lang w:val="fr-FR"/>
        </w:rPr>
        <w:t>octroi d</w:t>
      </w:r>
      <w:r>
        <w:rPr>
          <w:lang w:val="fr-FR"/>
        </w:rPr>
        <w:t>’</w:t>
      </w:r>
      <w:r w:rsidRPr="009F551D">
        <w:rPr>
          <w:lang w:val="fr-FR"/>
        </w:rPr>
        <w:t>une dérogation concernant une installation d</w:t>
      </w:r>
      <w:r>
        <w:rPr>
          <w:lang w:val="fr-FR"/>
        </w:rPr>
        <w:t>’</w:t>
      </w:r>
      <w:r w:rsidRPr="009F551D">
        <w:rPr>
          <w:lang w:val="fr-FR"/>
        </w:rPr>
        <w:t>extinction d</w:t>
      </w:r>
      <w:r>
        <w:rPr>
          <w:lang w:val="fr-FR"/>
        </w:rPr>
        <w:t>’</w:t>
      </w:r>
      <w:r w:rsidRPr="009F551D">
        <w:rPr>
          <w:lang w:val="fr-FR"/>
        </w:rPr>
        <w:t>incendie pour la protection des objets, fixée à demeure, qu</w:t>
      </w:r>
      <w:r>
        <w:rPr>
          <w:lang w:val="fr-FR"/>
        </w:rPr>
        <w:t>’</w:t>
      </w:r>
      <w:r w:rsidRPr="009F551D">
        <w:rPr>
          <w:lang w:val="fr-FR"/>
        </w:rPr>
        <w:t>elle a proposé de présenter à la session de janvier 2022. Le Comité de sécurité a aussi indiqué qu</w:t>
      </w:r>
      <w:r>
        <w:rPr>
          <w:lang w:val="fr-FR"/>
        </w:rPr>
        <w:t>’</w:t>
      </w:r>
      <w:r w:rsidRPr="009F551D">
        <w:rPr>
          <w:lang w:val="fr-FR"/>
        </w:rPr>
        <w:t>il trouvait préférable, dans un souci de clarté pour toutes les parties, de conserver dans l</w:t>
      </w:r>
      <w:r>
        <w:rPr>
          <w:lang w:val="fr-FR"/>
        </w:rPr>
        <w:t>’</w:t>
      </w:r>
      <w:r w:rsidRPr="009F551D">
        <w:rPr>
          <w:lang w:val="fr-FR"/>
        </w:rPr>
        <w:t>ADN les dispositions pertinentes et de les harmoniser avec celles de l</w:t>
      </w:r>
      <w:r>
        <w:rPr>
          <w:lang w:val="fr-FR"/>
        </w:rPr>
        <w:t>’</w:t>
      </w:r>
      <w:r w:rsidRPr="009F551D">
        <w:rPr>
          <w:lang w:val="fr-FR"/>
        </w:rPr>
        <w:t>ES-TRIN. Il a été décidé d</w:t>
      </w:r>
      <w:r>
        <w:rPr>
          <w:lang w:val="fr-FR"/>
        </w:rPr>
        <w:t>’</w:t>
      </w:r>
      <w:r w:rsidRPr="009F551D">
        <w:rPr>
          <w:lang w:val="fr-FR"/>
        </w:rPr>
        <w:t>examiner, à la session suivante, une proposition d</w:t>
      </w:r>
      <w:r>
        <w:rPr>
          <w:lang w:val="fr-FR"/>
        </w:rPr>
        <w:t>’</w:t>
      </w:r>
      <w:r w:rsidRPr="009F551D">
        <w:rPr>
          <w:lang w:val="fr-FR"/>
        </w:rPr>
        <w:t>amendement à l</w:t>
      </w:r>
      <w:r>
        <w:rPr>
          <w:lang w:val="fr-FR"/>
        </w:rPr>
        <w:t>’</w:t>
      </w:r>
      <w:r w:rsidRPr="009F551D">
        <w:rPr>
          <w:lang w:val="fr-FR"/>
        </w:rPr>
        <w:t>ADN, élaborée par les Pays-Bas.</w:t>
      </w:r>
    </w:p>
    <w:p w14:paraId="61C0192D" w14:textId="77777777" w:rsidR="006408A6" w:rsidRPr="009F551D" w:rsidRDefault="006408A6" w:rsidP="006408A6">
      <w:pPr>
        <w:pStyle w:val="H1G"/>
        <w:rPr>
          <w:lang w:val="fr-FR"/>
        </w:rPr>
      </w:pPr>
      <w:r w:rsidRPr="009F551D">
        <w:rPr>
          <w:lang w:val="fr-FR"/>
        </w:rPr>
        <w:tab/>
        <w:t>C.</w:t>
      </w:r>
      <w:r w:rsidRPr="009F551D">
        <w:rPr>
          <w:lang w:val="fr-FR"/>
        </w:rPr>
        <w:tab/>
      </w:r>
      <w:r w:rsidRPr="009F551D">
        <w:rPr>
          <w:bCs/>
          <w:lang w:val="fr-FR"/>
        </w:rPr>
        <w:t>Interprétation du Règlement annexé à l</w:t>
      </w:r>
      <w:r>
        <w:rPr>
          <w:bCs/>
          <w:lang w:val="fr-FR"/>
        </w:rPr>
        <w:t>’</w:t>
      </w:r>
      <w:r w:rsidRPr="009F551D">
        <w:rPr>
          <w:bCs/>
          <w:lang w:val="fr-FR"/>
        </w:rPr>
        <w:t>ADN</w:t>
      </w:r>
      <w:bookmarkStart w:id="30" w:name="_Toc81410374"/>
      <w:bookmarkEnd w:id="30"/>
    </w:p>
    <w:p w14:paraId="2192C730" w14:textId="77777777" w:rsidR="006408A6" w:rsidRPr="009F551D" w:rsidRDefault="006408A6" w:rsidP="006408A6">
      <w:pPr>
        <w:pStyle w:val="SingleTxtG"/>
        <w:rPr>
          <w:lang w:val="fr-FR"/>
        </w:rPr>
      </w:pPr>
      <w:r w:rsidRPr="009F551D">
        <w:rPr>
          <w:lang w:val="fr-FR"/>
        </w:rPr>
        <w:t>16.</w:t>
      </w:r>
      <w:r w:rsidRPr="009F551D">
        <w:rPr>
          <w:lang w:val="fr-FR"/>
        </w:rPr>
        <w:tab/>
        <w:t>Aucun document n</w:t>
      </w:r>
      <w:r>
        <w:rPr>
          <w:lang w:val="fr-FR"/>
        </w:rPr>
        <w:t>’</w:t>
      </w:r>
      <w:r w:rsidRPr="009F551D">
        <w:rPr>
          <w:lang w:val="fr-FR"/>
        </w:rPr>
        <w:t>ayant été soumis au titre de ce point de l</w:t>
      </w:r>
      <w:r>
        <w:rPr>
          <w:lang w:val="fr-FR"/>
        </w:rPr>
        <w:t>’</w:t>
      </w:r>
      <w:r w:rsidRPr="009F551D">
        <w:rPr>
          <w:lang w:val="fr-FR"/>
        </w:rPr>
        <w:t>ordre du jour, cette question n</w:t>
      </w:r>
      <w:r>
        <w:rPr>
          <w:lang w:val="fr-FR"/>
        </w:rPr>
        <w:t>’</w:t>
      </w:r>
      <w:r w:rsidRPr="009F551D">
        <w:rPr>
          <w:lang w:val="fr-FR"/>
        </w:rPr>
        <w:t>a pas été traitée.</w:t>
      </w:r>
    </w:p>
    <w:p w14:paraId="16F04F3C" w14:textId="77777777" w:rsidR="006408A6" w:rsidRPr="009F551D" w:rsidRDefault="006408A6" w:rsidP="006408A6">
      <w:pPr>
        <w:pStyle w:val="H1G"/>
        <w:rPr>
          <w:lang w:val="fr-FR"/>
        </w:rPr>
      </w:pPr>
      <w:r w:rsidRPr="009F551D">
        <w:rPr>
          <w:lang w:val="fr-FR"/>
        </w:rPr>
        <w:tab/>
        <w:t>D.</w:t>
      </w:r>
      <w:r w:rsidRPr="009F551D">
        <w:rPr>
          <w:lang w:val="fr-FR"/>
        </w:rPr>
        <w:tab/>
      </w:r>
      <w:r w:rsidRPr="009F551D">
        <w:rPr>
          <w:bCs/>
          <w:lang w:val="fr-FR"/>
        </w:rPr>
        <w:t>Formation des experts</w:t>
      </w:r>
      <w:bookmarkStart w:id="31" w:name="_Toc81410375"/>
      <w:bookmarkEnd w:id="31"/>
    </w:p>
    <w:p w14:paraId="1C1C7FA0" w14:textId="77777777" w:rsidR="006408A6" w:rsidRPr="009F551D" w:rsidRDefault="006408A6" w:rsidP="006408A6">
      <w:pPr>
        <w:pStyle w:val="H23G"/>
        <w:rPr>
          <w:lang w:val="fr-FR"/>
        </w:rPr>
      </w:pPr>
      <w:r w:rsidRPr="009F551D">
        <w:rPr>
          <w:lang w:val="fr-FR"/>
        </w:rPr>
        <w:tab/>
        <w:t>1.</w:t>
      </w:r>
      <w:r w:rsidRPr="009F551D">
        <w:rPr>
          <w:lang w:val="fr-FR"/>
        </w:rPr>
        <w:tab/>
      </w:r>
      <w:r w:rsidRPr="009F551D">
        <w:rPr>
          <w:bCs/>
          <w:lang w:val="fr-FR"/>
        </w:rPr>
        <w:t>Catalogue de questions ADN 2021</w:t>
      </w:r>
      <w:bookmarkStart w:id="32" w:name="_Toc81410376"/>
      <w:bookmarkEnd w:id="32"/>
    </w:p>
    <w:p w14:paraId="0C58D3E7" w14:textId="2405E579" w:rsidR="006408A6" w:rsidRPr="009F551D" w:rsidRDefault="006408A6" w:rsidP="00C93CE5">
      <w:pPr>
        <w:pStyle w:val="SingleTxtG"/>
        <w:ind w:left="3402" w:hanging="2268"/>
        <w:jc w:val="left"/>
        <w:rPr>
          <w:b/>
          <w:bCs/>
          <w:lang w:val="fr-FR"/>
        </w:rPr>
      </w:pPr>
      <w:r w:rsidRPr="009F551D">
        <w:rPr>
          <w:bCs/>
          <w:i/>
          <w:iCs/>
          <w:lang w:val="fr-FR"/>
        </w:rPr>
        <w:t>Documents :</w:t>
      </w:r>
      <w:r w:rsidRPr="009F551D">
        <w:rPr>
          <w:bCs/>
          <w:lang w:val="fr-FR"/>
        </w:rPr>
        <w:tab/>
        <w:t>ECE/TRANS/WP.15/AC.2/2021/11, ECE/TRANS/WP.15/AC.2/2021/12, ECE/TRANS/WP.15/AC.2/2021/13 (CCNR) et ECE/TRANS/WP.15/AC.2/2021/15 (Autriche)</w:t>
      </w:r>
      <w:bookmarkStart w:id="33" w:name="_Toc81410377"/>
      <w:bookmarkEnd w:id="33"/>
      <w:r w:rsidR="00C93CE5">
        <w:rPr>
          <w:bCs/>
          <w:lang w:val="fr-FR"/>
        </w:rPr>
        <w:t>.</w:t>
      </w:r>
    </w:p>
    <w:p w14:paraId="46C5EFED" w14:textId="713495F2" w:rsidR="006408A6" w:rsidRPr="009F551D" w:rsidRDefault="006408A6" w:rsidP="006408A6">
      <w:pPr>
        <w:pStyle w:val="SingleTxtG"/>
        <w:rPr>
          <w:bCs/>
          <w:lang w:val="fr-FR"/>
        </w:rPr>
      </w:pPr>
      <w:r w:rsidRPr="009F551D">
        <w:rPr>
          <w:lang w:val="fr-FR"/>
        </w:rPr>
        <w:lastRenderedPageBreak/>
        <w:t>17.</w:t>
      </w:r>
      <w:r w:rsidRPr="009F551D">
        <w:rPr>
          <w:lang w:val="fr-FR"/>
        </w:rPr>
        <w:tab/>
        <w:t>Le Comité de sécurité a rappelé les conclusions issues des débats tenus à sa session précédente et confirmé à nouveau l</w:t>
      </w:r>
      <w:r>
        <w:rPr>
          <w:lang w:val="fr-FR"/>
        </w:rPr>
        <w:t>’</w:t>
      </w:r>
      <w:r w:rsidRPr="009F551D">
        <w:rPr>
          <w:lang w:val="fr-FR"/>
        </w:rPr>
        <w:t>adoption des propositions formulées dans les documents ECE/TRANS/WP.15/AC.2/2021/11, ECE/TRANS/WP.15/AC.2/2021/12 et ECE/TRANS/</w:t>
      </w:r>
      <w:r w:rsidR="0023020D">
        <w:rPr>
          <w:lang w:val="fr-FR"/>
        </w:rPr>
        <w:br/>
      </w:r>
      <w:r w:rsidRPr="009F551D">
        <w:rPr>
          <w:lang w:val="fr-FR"/>
        </w:rPr>
        <w:t>WP.15/AC.2/2021/13 qui visent à actualiser le catalogue de questions à la lumière de l</w:t>
      </w:r>
      <w:r>
        <w:rPr>
          <w:lang w:val="fr-FR"/>
        </w:rPr>
        <w:t>’</w:t>
      </w:r>
      <w:r w:rsidRPr="009F551D">
        <w:rPr>
          <w:lang w:val="fr-FR"/>
        </w:rPr>
        <w:t>édition 2021 de l</w:t>
      </w:r>
      <w:r>
        <w:rPr>
          <w:lang w:val="fr-FR"/>
        </w:rPr>
        <w:t>’</w:t>
      </w:r>
      <w:r w:rsidRPr="009F551D">
        <w:rPr>
          <w:lang w:val="fr-FR"/>
        </w:rPr>
        <w:t>ADN</w:t>
      </w:r>
      <w:r>
        <w:rPr>
          <w:lang w:val="fr-FR"/>
        </w:rPr>
        <w:t xml:space="preserve"> et des</w:t>
      </w:r>
      <w:r w:rsidRPr="009F551D">
        <w:rPr>
          <w:lang w:val="fr-FR"/>
        </w:rPr>
        <w:t xml:space="preserve"> corrections et modifications à apporter au document ECE/TRANS/WP.15/AC.2/2021/13 énumérées dans le document ECE/TRANS/</w:t>
      </w:r>
      <w:r w:rsidR="0023020D">
        <w:rPr>
          <w:lang w:val="fr-FR"/>
        </w:rPr>
        <w:br/>
      </w:r>
      <w:r w:rsidRPr="009F551D">
        <w:rPr>
          <w:lang w:val="fr-FR"/>
        </w:rPr>
        <w:t>WP.15/AC.2/2021/15.</w:t>
      </w:r>
    </w:p>
    <w:p w14:paraId="32923AFA" w14:textId="77777777" w:rsidR="006408A6" w:rsidRPr="009F551D" w:rsidRDefault="006408A6" w:rsidP="006408A6">
      <w:pPr>
        <w:pStyle w:val="H23G"/>
        <w:rPr>
          <w:lang w:val="fr-FR"/>
        </w:rPr>
      </w:pPr>
      <w:r w:rsidRPr="009F551D">
        <w:rPr>
          <w:lang w:val="fr-FR"/>
        </w:rPr>
        <w:tab/>
        <w:t>2.</w:t>
      </w:r>
      <w:r w:rsidRPr="009F551D">
        <w:rPr>
          <w:lang w:val="fr-FR"/>
        </w:rPr>
        <w:tab/>
      </w:r>
      <w:r w:rsidRPr="009F551D">
        <w:rPr>
          <w:bCs/>
          <w:lang w:val="fr-FR"/>
        </w:rPr>
        <w:t>Directive pour l</w:t>
      </w:r>
      <w:r>
        <w:rPr>
          <w:bCs/>
          <w:lang w:val="fr-FR"/>
        </w:rPr>
        <w:t>’</w:t>
      </w:r>
      <w:r w:rsidRPr="009F551D">
        <w:rPr>
          <w:bCs/>
          <w:lang w:val="fr-FR"/>
        </w:rPr>
        <w:t>utilisation du catalogue de questions pour l</w:t>
      </w:r>
      <w:r>
        <w:rPr>
          <w:bCs/>
          <w:lang w:val="fr-FR"/>
        </w:rPr>
        <w:t>’</w:t>
      </w:r>
      <w:r w:rsidRPr="009F551D">
        <w:rPr>
          <w:bCs/>
          <w:lang w:val="fr-FR"/>
        </w:rPr>
        <w:t>examen d</w:t>
      </w:r>
      <w:r>
        <w:rPr>
          <w:bCs/>
          <w:lang w:val="fr-FR"/>
        </w:rPr>
        <w:t>’</w:t>
      </w:r>
      <w:r w:rsidRPr="009F551D">
        <w:rPr>
          <w:bCs/>
          <w:lang w:val="fr-FR"/>
        </w:rPr>
        <w:t>expert ADN</w:t>
      </w:r>
      <w:bookmarkStart w:id="34" w:name="_Toc81410378"/>
      <w:bookmarkEnd w:id="34"/>
    </w:p>
    <w:p w14:paraId="2EED6788" w14:textId="65151E73" w:rsidR="006408A6" w:rsidRPr="009F551D" w:rsidRDefault="006408A6" w:rsidP="00C93CE5">
      <w:pPr>
        <w:pStyle w:val="SingleTxtG"/>
        <w:ind w:left="3402" w:hanging="2268"/>
        <w:rPr>
          <w:b/>
          <w:bCs/>
          <w:lang w:val="fr-FR"/>
        </w:rPr>
      </w:pPr>
      <w:r w:rsidRPr="009F551D">
        <w:rPr>
          <w:bCs/>
          <w:i/>
          <w:iCs/>
          <w:lang w:val="fr-FR"/>
        </w:rPr>
        <w:t>Documents :</w:t>
      </w:r>
      <w:r w:rsidRPr="009F551D">
        <w:rPr>
          <w:bCs/>
          <w:lang w:val="fr-FR"/>
        </w:rPr>
        <w:tab/>
        <w:t>ECE/TRANS/WP.15/AC.2/2021/14 et Corr.1 (CCNR)</w:t>
      </w:r>
      <w:bookmarkStart w:id="35" w:name="_Toc81410379"/>
      <w:bookmarkEnd w:id="35"/>
      <w:r w:rsidR="00C93CE5">
        <w:rPr>
          <w:bCs/>
          <w:lang w:val="fr-FR"/>
        </w:rPr>
        <w:t>.</w:t>
      </w:r>
    </w:p>
    <w:p w14:paraId="64A996A9" w14:textId="77777777" w:rsidR="006408A6" w:rsidRPr="009F551D" w:rsidRDefault="006408A6" w:rsidP="006408A6">
      <w:pPr>
        <w:pStyle w:val="SingleTxtG"/>
        <w:rPr>
          <w:lang w:val="fr-FR"/>
        </w:rPr>
      </w:pPr>
      <w:r w:rsidRPr="009F551D">
        <w:rPr>
          <w:lang w:val="fr-FR"/>
        </w:rPr>
        <w:t>18.</w:t>
      </w:r>
      <w:r w:rsidRPr="009F551D">
        <w:rPr>
          <w:lang w:val="fr-FR"/>
        </w:rPr>
        <w:tab/>
        <w:t>Le Comité de sécurité a pris note des modifications qu</w:t>
      </w:r>
      <w:r>
        <w:rPr>
          <w:lang w:val="fr-FR"/>
        </w:rPr>
        <w:t>’</w:t>
      </w:r>
      <w:r w:rsidRPr="009F551D">
        <w:rPr>
          <w:lang w:val="fr-FR"/>
        </w:rPr>
        <w:t>il est proposé d</w:t>
      </w:r>
      <w:r>
        <w:rPr>
          <w:lang w:val="fr-FR"/>
        </w:rPr>
        <w:t>’</w:t>
      </w:r>
      <w:r w:rsidRPr="009F551D">
        <w:rPr>
          <w:lang w:val="fr-FR"/>
        </w:rPr>
        <w:t>apporter à la Directive du comité d</w:t>
      </w:r>
      <w:r>
        <w:rPr>
          <w:lang w:val="fr-FR"/>
        </w:rPr>
        <w:t>’</w:t>
      </w:r>
      <w:r w:rsidRPr="009F551D">
        <w:rPr>
          <w:lang w:val="fr-FR"/>
        </w:rPr>
        <w:t>administration pour l</w:t>
      </w:r>
      <w:r>
        <w:rPr>
          <w:lang w:val="fr-FR"/>
        </w:rPr>
        <w:t>’</w:t>
      </w:r>
      <w:r w:rsidRPr="009F551D">
        <w:rPr>
          <w:lang w:val="fr-FR"/>
        </w:rPr>
        <w:t>utilisation du catalogue de questions pour l</w:t>
      </w:r>
      <w:r>
        <w:rPr>
          <w:lang w:val="fr-FR"/>
        </w:rPr>
        <w:t>’</w:t>
      </w:r>
      <w:r w:rsidRPr="009F551D">
        <w:rPr>
          <w:lang w:val="fr-FR"/>
        </w:rPr>
        <w:t>examen d</w:t>
      </w:r>
      <w:r>
        <w:rPr>
          <w:lang w:val="fr-FR"/>
        </w:rPr>
        <w:t>’</w:t>
      </w:r>
      <w:r w:rsidRPr="009F551D">
        <w:rPr>
          <w:lang w:val="fr-FR"/>
        </w:rPr>
        <w:t>expert ADN conformément au chapitre 8.2 de l</w:t>
      </w:r>
      <w:r>
        <w:rPr>
          <w:lang w:val="fr-FR"/>
        </w:rPr>
        <w:t>’</w:t>
      </w:r>
      <w:r w:rsidRPr="009F551D">
        <w:rPr>
          <w:lang w:val="fr-FR"/>
        </w:rPr>
        <w:t>ADN, notamment la suppression des crochets au paragraphe 51 du document et quelques corrections dans la version allemande.</w:t>
      </w:r>
    </w:p>
    <w:p w14:paraId="5905AB75" w14:textId="77777777" w:rsidR="006408A6" w:rsidRPr="009F551D" w:rsidRDefault="006408A6" w:rsidP="006408A6">
      <w:pPr>
        <w:pStyle w:val="SingleTxtG"/>
        <w:rPr>
          <w:lang w:val="fr-FR"/>
        </w:rPr>
      </w:pPr>
      <w:r w:rsidRPr="009F551D">
        <w:rPr>
          <w:lang w:val="fr-FR"/>
        </w:rPr>
        <w:t>19.</w:t>
      </w:r>
      <w:r w:rsidRPr="009F551D">
        <w:rPr>
          <w:lang w:val="fr-FR"/>
        </w:rPr>
        <w:tab/>
        <w:t>Comme suite à l</w:t>
      </w:r>
      <w:r>
        <w:rPr>
          <w:lang w:val="fr-FR"/>
        </w:rPr>
        <w:t>’</w:t>
      </w:r>
      <w:r w:rsidRPr="009F551D">
        <w:rPr>
          <w:lang w:val="fr-FR"/>
        </w:rPr>
        <w:t>observation de l</w:t>
      </w:r>
      <w:r>
        <w:rPr>
          <w:lang w:val="fr-FR"/>
        </w:rPr>
        <w:t>’</w:t>
      </w:r>
      <w:r w:rsidRPr="009F551D">
        <w:rPr>
          <w:lang w:val="fr-FR"/>
        </w:rPr>
        <w:t>Allemagne relative à l</w:t>
      </w:r>
      <w:r>
        <w:rPr>
          <w:lang w:val="fr-FR"/>
        </w:rPr>
        <w:t>’</w:t>
      </w:r>
      <w:r w:rsidRPr="009F551D">
        <w:rPr>
          <w:lang w:val="fr-FR"/>
        </w:rPr>
        <w:t>équité de l</w:t>
      </w:r>
      <w:r>
        <w:rPr>
          <w:lang w:val="fr-FR"/>
        </w:rPr>
        <w:t>’</w:t>
      </w:r>
      <w:r w:rsidRPr="009F551D">
        <w:rPr>
          <w:lang w:val="fr-FR"/>
        </w:rPr>
        <w:t>examen en ce qui concerne le niveau de difficulté des questions et l</w:t>
      </w:r>
      <w:r>
        <w:rPr>
          <w:lang w:val="fr-FR"/>
        </w:rPr>
        <w:t>’</w:t>
      </w:r>
      <w:r w:rsidRPr="009F551D">
        <w:rPr>
          <w:lang w:val="fr-FR"/>
        </w:rPr>
        <w:t xml:space="preserve">évaluation des réponses, le Comité de sécurité a invité le groupe de travail informel de la formation des experts à réexaminer, à la lumière du document ECE/TRANS/WP.15/AC.2/2021/19, les amendements </w:t>
      </w:r>
      <w:r>
        <w:rPr>
          <w:lang w:val="fr-FR"/>
        </w:rPr>
        <w:t>proposé</w:t>
      </w:r>
      <w:r w:rsidRPr="009F551D">
        <w:rPr>
          <w:lang w:val="fr-FR"/>
        </w:rPr>
        <w:t>s, puis à soumettre une nouvelle proposition actualisée pour examen à sa session suivante, en janvier 2022.</w:t>
      </w:r>
    </w:p>
    <w:p w14:paraId="498F8E15" w14:textId="77777777" w:rsidR="006408A6" w:rsidRPr="009F551D" w:rsidRDefault="006408A6" w:rsidP="006408A6">
      <w:pPr>
        <w:pStyle w:val="H1G"/>
        <w:rPr>
          <w:lang w:val="fr-FR"/>
        </w:rPr>
      </w:pPr>
      <w:r w:rsidRPr="009F551D">
        <w:rPr>
          <w:lang w:val="fr-FR"/>
        </w:rPr>
        <w:tab/>
        <w:t>E.</w:t>
      </w:r>
      <w:r w:rsidRPr="009F551D">
        <w:rPr>
          <w:lang w:val="fr-FR"/>
        </w:rPr>
        <w:tab/>
      </w:r>
      <w:r w:rsidRPr="009F551D">
        <w:rPr>
          <w:bCs/>
          <w:lang w:val="fr-FR"/>
        </w:rPr>
        <w:t>Questions relatives aux sociétés de classification</w:t>
      </w:r>
      <w:bookmarkStart w:id="36" w:name="_Toc81410380"/>
      <w:bookmarkEnd w:id="36"/>
    </w:p>
    <w:p w14:paraId="234A88A8" w14:textId="77777777" w:rsidR="006408A6" w:rsidRPr="009F551D" w:rsidRDefault="006408A6" w:rsidP="006408A6">
      <w:pPr>
        <w:pStyle w:val="SingleTxtG"/>
        <w:rPr>
          <w:lang w:val="fr-FR"/>
        </w:rPr>
      </w:pPr>
      <w:r w:rsidRPr="009F551D">
        <w:rPr>
          <w:lang w:val="fr-FR"/>
        </w:rPr>
        <w:t>20.</w:t>
      </w:r>
      <w:r w:rsidRPr="009F551D">
        <w:rPr>
          <w:lang w:val="fr-FR"/>
        </w:rPr>
        <w:tab/>
        <w:t>Aucun document n</w:t>
      </w:r>
      <w:r>
        <w:rPr>
          <w:lang w:val="fr-FR"/>
        </w:rPr>
        <w:t>’</w:t>
      </w:r>
      <w:r w:rsidRPr="009F551D">
        <w:rPr>
          <w:lang w:val="fr-FR"/>
        </w:rPr>
        <w:t>ayant été soumis au titre de ce point de l</w:t>
      </w:r>
      <w:r>
        <w:rPr>
          <w:lang w:val="fr-FR"/>
        </w:rPr>
        <w:t>’</w:t>
      </w:r>
      <w:r w:rsidRPr="009F551D">
        <w:rPr>
          <w:lang w:val="fr-FR"/>
        </w:rPr>
        <w:t>ordre du jour, cette question n</w:t>
      </w:r>
      <w:r>
        <w:rPr>
          <w:lang w:val="fr-FR"/>
        </w:rPr>
        <w:t>’</w:t>
      </w:r>
      <w:r w:rsidRPr="009F551D">
        <w:rPr>
          <w:lang w:val="fr-FR"/>
        </w:rPr>
        <w:t>a pas été traitée.</w:t>
      </w:r>
    </w:p>
    <w:p w14:paraId="7D696460" w14:textId="77777777" w:rsidR="006408A6" w:rsidRPr="009F551D" w:rsidRDefault="006408A6" w:rsidP="006408A6">
      <w:pPr>
        <w:pStyle w:val="HChG"/>
        <w:rPr>
          <w:lang w:val="fr-FR"/>
        </w:rPr>
      </w:pPr>
      <w:r w:rsidRPr="009F551D">
        <w:rPr>
          <w:lang w:val="fr-FR"/>
        </w:rPr>
        <w:tab/>
        <w:t>VI.</w:t>
      </w:r>
      <w:r w:rsidRPr="009F551D">
        <w:rPr>
          <w:lang w:val="fr-FR"/>
        </w:rPr>
        <w:tab/>
      </w:r>
      <w:r w:rsidRPr="009F551D">
        <w:rPr>
          <w:bCs/>
          <w:lang w:val="fr-FR"/>
        </w:rPr>
        <w:t>Propositions d</w:t>
      </w:r>
      <w:r>
        <w:rPr>
          <w:bCs/>
          <w:lang w:val="fr-FR"/>
        </w:rPr>
        <w:t>’</w:t>
      </w:r>
      <w:r w:rsidRPr="009F551D">
        <w:rPr>
          <w:bCs/>
          <w:lang w:val="fr-FR"/>
        </w:rPr>
        <w:t>amendements au Règlement annexé à l</w:t>
      </w:r>
      <w:r>
        <w:rPr>
          <w:bCs/>
          <w:lang w:val="fr-FR"/>
        </w:rPr>
        <w:t>’</w:t>
      </w:r>
      <w:r w:rsidRPr="009F551D">
        <w:rPr>
          <w:bCs/>
          <w:lang w:val="fr-FR"/>
        </w:rPr>
        <w:t>ADN (point 4 de l</w:t>
      </w:r>
      <w:r>
        <w:rPr>
          <w:bCs/>
          <w:lang w:val="fr-FR"/>
        </w:rPr>
        <w:t>’</w:t>
      </w:r>
      <w:r w:rsidRPr="009F551D">
        <w:rPr>
          <w:bCs/>
          <w:lang w:val="fr-FR"/>
        </w:rPr>
        <w:t>ordre du jour)</w:t>
      </w:r>
      <w:bookmarkStart w:id="37" w:name="_Toc81410381"/>
      <w:bookmarkEnd w:id="37"/>
    </w:p>
    <w:p w14:paraId="4F3CC4CA" w14:textId="77777777" w:rsidR="006408A6" w:rsidRPr="009F551D" w:rsidRDefault="006408A6" w:rsidP="0023020D">
      <w:pPr>
        <w:pStyle w:val="H1G"/>
        <w:rPr>
          <w:lang w:val="fr-FR"/>
        </w:rPr>
      </w:pPr>
      <w:r w:rsidRPr="009F551D">
        <w:rPr>
          <w:lang w:val="fr-FR"/>
        </w:rPr>
        <w:tab/>
        <w:t>A.</w:t>
      </w:r>
      <w:r w:rsidRPr="009F551D">
        <w:rPr>
          <w:lang w:val="fr-FR"/>
        </w:rPr>
        <w:tab/>
        <w:t>Travaux de la Réunion commune RID/ADR/ADN</w:t>
      </w:r>
      <w:bookmarkStart w:id="38" w:name="_Toc81410382"/>
      <w:bookmarkEnd w:id="38"/>
    </w:p>
    <w:p w14:paraId="6956546B" w14:textId="763E1B15" w:rsidR="006408A6" w:rsidRPr="009F551D" w:rsidRDefault="006408A6" w:rsidP="00C93CE5">
      <w:pPr>
        <w:pStyle w:val="SingleTxtG"/>
        <w:ind w:left="3402" w:hanging="2268"/>
        <w:jc w:val="left"/>
        <w:rPr>
          <w:lang w:val="fr-FR"/>
        </w:rPr>
      </w:pPr>
      <w:r w:rsidRPr="009F551D">
        <w:rPr>
          <w:i/>
          <w:iCs/>
          <w:lang w:val="fr-FR"/>
        </w:rPr>
        <w:t>Documents :</w:t>
      </w:r>
      <w:r w:rsidRPr="009F551D">
        <w:rPr>
          <w:lang w:val="fr-FR"/>
        </w:rPr>
        <w:tab/>
        <w:t xml:space="preserve">ECE/TRANS/WP.15/AC.1/158, annexe II, </w:t>
      </w:r>
      <w:r w:rsidRPr="009F551D">
        <w:rPr>
          <w:lang w:val="fr-FR"/>
        </w:rPr>
        <w:tab/>
        <w:t xml:space="preserve">ECE/TRANS/WP.15/AC.1/160, annexe II, </w:t>
      </w:r>
      <w:r w:rsidRPr="009F551D">
        <w:rPr>
          <w:lang w:val="fr-FR"/>
        </w:rPr>
        <w:tab/>
        <w:t xml:space="preserve">ECE/TRANS/WP.15/251, annexe I, </w:t>
      </w:r>
      <w:r w:rsidRPr="009F551D">
        <w:rPr>
          <w:lang w:val="fr-FR"/>
        </w:rPr>
        <w:tab/>
        <w:t>ECE/TRANS/WP.15/253, annexe I, ECE/TRANS/WP.15/AC.1/2021/24 et Add.1</w:t>
      </w:r>
      <w:r w:rsidR="00C93CE5">
        <w:rPr>
          <w:lang w:val="fr-FR"/>
        </w:rPr>
        <w:t>.</w:t>
      </w:r>
    </w:p>
    <w:p w14:paraId="2FF18150" w14:textId="77777777" w:rsidR="006408A6" w:rsidRPr="009F551D" w:rsidRDefault="006408A6" w:rsidP="006408A6">
      <w:pPr>
        <w:pStyle w:val="SingleTxtG"/>
        <w:rPr>
          <w:lang w:val="fr-FR"/>
        </w:rPr>
      </w:pPr>
      <w:r w:rsidRPr="009F551D">
        <w:rPr>
          <w:lang w:val="fr-FR"/>
        </w:rPr>
        <w:t>21.</w:t>
      </w:r>
      <w:r w:rsidRPr="009F551D">
        <w:rPr>
          <w:lang w:val="fr-FR"/>
        </w:rPr>
        <w:tab/>
        <w:t>Le Comité de sécurité a pris acte des projets d</w:t>
      </w:r>
      <w:r>
        <w:rPr>
          <w:lang w:val="fr-FR"/>
        </w:rPr>
        <w:t>’</w:t>
      </w:r>
      <w:r w:rsidRPr="009F551D">
        <w:rPr>
          <w:lang w:val="fr-FR"/>
        </w:rPr>
        <w:t>amendements au RID, à l</w:t>
      </w:r>
      <w:r>
        <w:rPr>
          <w:lang w:val="fr-FR"/>
        </w:rPr>
        <w:t>’</w:t>
      </w:r>
      <w:r w:rsidRPr="009F551D">
        <w:rPr>
          <w:lang w:val="fr-FR"/>
        </w:rPr>
        <w:t>ADR et à l</w:t>
      </w:r>
      <w:r>
        <w:rPr>
          <w:lang w:val="fr-FR"/>
        </w:rPr>
        <w:t>’</w:t>
      </w:r>
      <w:r w:rsidRPr="009F551D">
        <w:rPr>
          <w:lang w:val="fr-FR"/>
        </w:rPr>
        <w:t>ADN adoptés par la Réunion commune et par le Groupe de travail des transports de marchandises dangereuses (WP.15) en 2020 et 2021. Il a en outre relevé qu</w:t>
      </w:r>
      <w:r>
        <w:rPr>
          <w:lang w:val="fr-FR"/>
        </w:rPr>
        <w:t>’</w:t>
      </w:r>
      <w:r w:rsidRPr="009F551D">
        <w:rPr>
          <w:lang w:val="fr-FR"/>
        </w:rPr>
        <w:t>à la session suivante devant se tenir à l</w:t>
      </w:r>
      <w:r>
        <w:rPr>
          <w:lang w:val="fr-FR"/>
        </w:rPr>
        <w:t>’</w:t>
      </w:r>
      <w:r w:rsidRPr="009F551D">
        <w:rPr>
          <w:lang w:val="fr-FR"/>
        </w:rPr>
        <w:t>automne 2021, la Réunion commune RID/ADR/ADN examinerait également les documents ECE/TRANS/WP.15/AC.1/2021/24 et Add.1, lesquels contiennent des propositions visant à harmoniser ces instruments avec la vingt-deuxième édition révisée des Recommandations de l</w:t>
      </w:r>
      <w:r>
        <w:rPr>
          <w:lang w:val="fr-FR"/>
        </w:rPr>
        <w:t>’</w:t>
      </w:r>
      <w:r w:rsidRPr="009F551D">
        <w:rPr>
          <w:lang w:val="fr-FR"/>
        </w:rPr>
        <w:t>ONU relatives au transport des marchandises dangereuses.</w:t>
      </w:r>
    </w:p>
    <w:p w14:paraId="5EFA97E0" w14:textId="77777777" w:rsidR="006408A6" w:rsidRPr="009F551D" w:rsidRDefault="006408A6" w:rsidP="006408A6">
      <w:pPr>
        <w:pStyle w:val="SingleTxtG"/>
        <w:rPr>
          <w:lang w:val="fr-FR"/>
        </w:rPr>
      </w:pPr>
      <w:r w:rsidRPr="009F551D">
        <w:rPr>
          <w:lang w:val="fr-FR"/>
        </w:rPr>
        <w:t>22.</w:t>
      </w:r>
      <w:r w:rsidRPr="009F551D">
        <w:rPr>
          <w:lang w:val="fr-FR"/>
        </w:rPr>
        <w:tab/>
        <w:t>Le secrétariat a été prié de regrouper dans un document unique tous les amendements relatifs à l</w:t>
      </w:r>
      <w:r>
        <w:rPr>
          <w:lang w:val="fr-FR"/>
        </w:rPr>
        <w:t>’</w:t>
      </w:r>
      <w:r w:rsidRPr="009F551D">
        <w:rPr>
          <w:lang w:val="fr-FR"/>
        </w:rPr>
        <w:t>harmonisation qu</w:t>
      </w:r>
      <w:r>
        <w:rPr>
          <w:lang w:val="fr-FR"/>
        </w:rPr>
        <w:t>’</w:t>
      </w:r>
      <w:r w:rsidRPr="009F551D">
        <w:rPr>
          <w:lang w:val="fr-FR"/>
        </w:rPr>
        <w:t>il conviendrait d</w:t>
      </w:r>
      <w:r>
        <w:rPr>
          <w:lang w:val="fr-FR"/>
        </w:rPr>
        <w:t>’</w:t>
      </w:r>
      <w:r w:rsidRPr="009F551D">
        <w:rPr>
          <w:lang w:val="fr-FR"/>
        </w:rPr>
        <w:t>intégrer dans le Règlement annexé à l</w:t>
      </w:r>
      <w:r>
        <w:rPr>
          <w:lang w:val="fr-FR"/>
        </w:rPr>
        <w:t>’</w:t>
      </w:r>
      <w:r w:rsidRPr="009F551D">
        <w:rPr>
          <w:lang w:val="fr-FR"/>
        </w:rPr>
        <w:t>ADN, afin d</w:t>
      </w:r>
      <w:r>
        <w:rPr>
          <w:lang w:val="fr-FR"/>
        </w:rPr>
        <w:t>’</w:t>
      </w:r>
      <w:r w:rsidRPr="009F551D">
        <w:rPr>
          <w:lang w:val="fr-FR"/>
        </w:rPr>
        <w:t>examiner cette question dans le détail à la session suivante prévue en janvier 2022.</w:t>
      </w:r>
    </w:p>
    <w:p w14:paraId="4EA166F5" w14:textId="77777777" w:rsidR="006408A6" w:rsidRPr="009F551D" w:rsidRDefault="006408A6" w:rsidP="0023020D">
      <w:pPr>
        <w:pStyle w:val="H1G"/>
        <w:rPr>
          <w:lang w:val="fr-FR"/>
        </w:rPr>
      </w:pPr>
      <w:r w:rsidRPr="009F551D">
        <w:rPr>
          <w:lang w:val="fr-FR"/>
        </w:rPr>
        <w:lastRenderedPageBreak/>
        <w:tab/>
        <w:t>B.</w:t>
      </w:r>
      <w:r w:rsidRPr="009F551D">
        <w:rPr>
          <w:lang w:val="fr-FR"/>
        </w:rPr>
        <w:tab/>
        <w:t>Autres propositions</w:t>
      </w:r>
      <w:bookmarkStart w:id="39" w:name="_Toc81410383"/>
      <w:bookmarkEnd w:id="39"/>
    </w:p>
    <w:p w14:paraId="20F7A524" w14:textId="77777777" w:rsidR="006408A6" w:rsidRPr="009F551D" w:rsidRDefault="006408A6" w:rsidP="006408A6">
      <w:pPr>
        <w:pStyle w:val="H23G"/>
        <w:rPr>
          <w:lang w:val="fr-FR"/>
        </w:rPr>
      </w:pPr>
      <w:r w:rsidRPr="009F551D">
        <w:rPr>
          <w:lang w:val="fr-FR"/>
        </w:rPr>
        <w:tab/>
        <w:t>1.</w:t>
      </w:r>
      <w:r w:rsidRPr="009F551D">
        <w:rPr>
          <w:lang w:val="fr-FR"/>
        </w:rPr>
        <w:tab/>
      </w:r>
      <w:r w:rsidRPr="009F551D">
        <w:rPr>
          <w:bCs/>
          <w:lang w:val="fr-FR"/>
        </w:rPr>
        <w:t>Proposition d</w:t>
      </w:r>
      <w:r>
        <w:rPr>
          <w:bCs/>
          <w:lang w:val="fr-FR"/>
        </w:rPr>
        <w:t>’</w:t>
      </w:r>
      <w:r w:rsidRPr="009F551D">
        <w:rPr>
          <w:bCs/>
          <w:lang w:val="fr-FR"/>
        </w:rPr>
        <w:t>amendements</w:t>
      </w:r>
      <w:bookmarkStart w:id="40" w:name="_Toc81410384"/>
      <w:bookmarkEnd w:id="40"/>
    </w:p>
    <w:p w14:paraId="57870B47" w14:textId="47A1F7C1" w:rsidR="006408A6" w:rsidRPr="009F551D" w:rsidRDefault="006408A6" w:rsidP="0023020D">
      <w:pPr>
        <w:pStyle w:val="SingleTxtG"/>
        <w:keepNext/>
        <w:ind w:left="3402" w:hanging="2268"/>
        <w:rPr>
          <w:b/>
          <w:bCs/>
          <w:lang w:val="fr-FR"/>
        </w:rPr>
      </w:pPr>
      <w:r w:rsidRPr="009F551D">
        <w:rPr>
          <w:i/>
          <w:iCs/>
          <w:lang w:val="fr-FR"/>
        </w:rPr>
        <w:t>Document :</w:t>
      </w:r>
      <w:r w:rsidRPr="009F551D">
        <w:rPr>
          <w:lang w:val="fr-FR"/>
        </w:rPr>
        <w:tab/>
        <w:t>ECE/TRANS/WP.15/AC.2/2021/16 (Commission du Danube)</w:t>
      </w:r>
      <w:r w:rsidR="00C93CE5">
        <w:rPr>
          <w:lang w:val="fr-FR"/>
        </w:rPr>
        <w:t>.</w:t>
      </w:r>
    </w:p>
    <w:p w14:paraId="72C87B48" w14:textId="77777777" w:rsidR="006408A6" w:rsidRPr="009F551D" w:rsidRDefault="006408A6" w:rsidP="006408A6">
      <w:pPr>
        <w:pStyle w:val="SingleTxtG"/>
        <w:rPr>
          <w:lang w:val="fr-FR"/>
        </w:rPr>
      </w:pPr>
      <w:r w:rsidRPr="009F551D">
        <w:rPr>
          <w:lang w:val="fr-FR"/>
        </w:rPr>
        <w:t>23.</w:t>
      </w:r>
      <w:r w:rsidRPr="009F551D">
        <w:rPr>
          <w:lang w:val="fr-FR"/>
        </w:rPr>
        <w:tab/>
        <w:t>Le Comité de sécurité a approuvé en principe la proposition visant à préciser la version russe de la définition de « citerne à membrane » au 1.2.1, « Types des citernes à cargaison », alinéa d), mais a souligné qu</w:t>
      </w:r>
      <w:r>
        <w:rPr>
          <w:lang w:val="fr-FR"/>
        </w:rPr>
        <w:t>’</w:t>
      </w:r>
      <w:r w:rsidRPr="009F551D">
        <w:rPr>
          <w:lang w:val="fr-FR"/>
        </w:rPr>
        <w:t>il fallait en faire concorder parfaitement le sens avec les autres versions linguistiques de l</w:t>
      </w:r>
      <w:r>
        <w:rPr>
          <w:lang w:val="fr-FR"/>
        </w:rPr>
        <w:t>’</w:t>
      </w:r>
      <w:r w:rsidRPr="009F551D">
        <w:rPr>
          <w:lang w:val="fr-FR"/>
        </w:rPr>
        <w:t>ADN. En ce qui concerne les propositions d</w:t>
      </w:r>
      <w:r>
        <w:rPr>
          <w:lang w:val="fr-FR"/>
        </w:rPr>
        <w:t>’</w:t>
      </w:r>
      <w:r w:rsidRPr="009F551D">
        <w:rPr>
          <w:lang w:val="fr-FR"/>
        </w:rPr>
        <w:t xml:space="preserve">amendements relatives au 9.3.1.18.1 et </w:t>
      </w:r>
      <w:r>
        <w:rPr>
          <w:lang w:val="fr-FR"/>
        </w:rPr>
        <w:t xml:space="preserve">au </w:t>
      </w:r>
      <w:r w:rsidRPr="009F551D">
        <w:rPr>
          <w:lang w:val="fr-FR"/>
        </w:rPr>
        <w:t>9.3.1.18.2, le Comité de sécurité a préféré ne pas réunir les deux paragraphes concernés, car le 9.3.1.18.1 contient des dispositions conçues pour la détection alors que le 9.3.1.18.2 porte sur l</w:t>
      </w:r>
      <w:r>
        <w:rPr>
          <w:lang w:val="fr-FR"/>
        </w:rPr>
        <w:t>’</w:t>
      </w:r>
      <w:r w:rsidRPr="009F551D">
        <w:rPr>
          <w:lang w:val="fr-FR"/>
        </w:rPr>
        <w:t>utilisation d</w:t>
      </w:r>
      <w:r>
        <w:rPr>
          <w:lang w:val="fr-FR"/>
        </w:rPr>
        <w:t>’</w:t>
      </w:r>
      <w:r w:rsidRPr="009F551D">
        <w:rPr>
          <w:lang w:val="fr-FR"/>
        </w:rPr>
        <w:t>un gaz inerte à des fins de sécurité. Le représentant de la Commission du Danube a offert de soumettre</w:t>
      </w:r>
      <w:r>
        <w:rPr>
          <w:lang w:val="fr-FR"/>
        </w:rPr>
        <w:t xml:space="preserve">, pour </w:t>
      </w:r>
      <w:r w:rsidRPr="009F551D">
        <w:rPr>
          <w:lang w:val="fr-FR"/>
        </w:rPr>
        <w:t>la prochaine session</w:t>
      </w:r>
      <w:r>
        <w:rPr>
          <w:lang w:val="fr-FR"/>
        </w:rPr>
        <w:t>,</w:t>
      </w:r>
      <w:r w:rsidRPr="009F551D">
        <w:rPr>
          <w:lang w:val="fr-FR"/>
        </w:rPr>
        <w:t xml:space="preserve"> une proposition actualisée tenant compte de la conception des bateaux de navigation intérieure. </w:t>
      </w:r>
    </w:p>
    <w:p w14:paraId="102E66DB" w14:textId="57FD8267" w:rsidR="006408A6" w:rsidRPr="009F551D" w:rsidRDefault="006408A6" w:rsidP="006408A6">
      <w:pPr>
        <w:pStyle w:val="H23G"/>
        <w:rPr>
          <w:lang w:val="fr-FR"/>
        </w:rPr>
      </w:pPr>
      <w:r w:rsidRPr="009F551D">
        <w:rPr>
          <w:lang w:val="fr-FR"/>
        </w:rPr>
        <w:tab/>
        <w:t>2.</w:t>
      </w:r>
      <w:r w:rsidRPr="009F551D">
        <w:rPr>
          <w:lang w:val="fr-FR"/>
        </w:rPr>
        <w:tab/>
      </w:r>
      <w:r w:rsidRPr="009F551D">
        <w:rPr>
          <w:bCs/>
          <w:lang w:val="fr-FR"/>
        </w:rPr>
        <w:t>Proposition d</w:t>
      </w:r>
      <w:r>
        <w:rPr>
          <w:bCs/>
          <w:lang w:val="fr-FR"/>
        </w:rPr>
        <w:t>’</w:t>
      </w:r>
      <w:r w:rsidRPr="009F551D">
        <w:rPr>
          <w:bCs/>
          <w:lang w:val="fr-FR"/>
        </w:rPr>
        <w:t>amendement à l</w:t>
      </w:r>
      <w:r>
        <w:rPr>
          <w:bCs/>
          <w:lang w:val="fr-FR"/>
        </w:rPr>
        <w:t>’</w:t>
      </w:r>
      <w:r w:rsidRPr="009F551D">
        <w:rPr>
          <w:bCs/>
          <w:lang w:val="fr-FR"/>
        </w:rPr>
        <w:t>article 7.2.4.41 relatif à l</w:t>
      </w:r>
      <w:r>
        <w:rPr>
          <w:bCs/>
          <w:lang w:val="fr-FR"/>
        </w:rPr>
        <w:t>’</w:t>
      </w:r>
      <w:r w:rsidRPr="009F551D">
        <w:rPr>
          <w:bCs/>
          <w:lang w:val="fr-FR"/>
        </w:rPr>
        <w:t>interdiction d</w:t>
      </w:r>
      <w:r>
        <w:rPr>
          <w:bCs/>
          <w:lang w:val="fr-FR"/>
        </w:rPr>
        <w:t>’</w:t>
      </w:r>
      <w:r w:rsidRPr="009F551D">
        <w:rPr>
          <w:bCs/>
          <w:lang w:val="fr-FR"/>
        </w:rPr>
        <w:t xml:space="preserve">utiliser </w:t>
      </w:r>
      <w:r w:rsidR="005B6BA8">
        <w:rPr>
          <w:bCs/>
          <w:lang w:val="fr-FR"/>
        </w:rPr>
        <w:br/>
      </w:r>
      <w:r w:rsidRPr="009F551D">
        <w:rPr>
          <w:bCs/>
          <w:lang w:val="fr-FR"/>
        </w:rPr>
        <w:t>des cigarettes électroniques</w:t>
      </w:r>
      <w:bookmarkStart w:id="41" w:name="_Toc81410385"/>
      <w:bookmarkEnd w:id="41"/>
    </w:p>
    <w:p w14:paraId="5F2C9009" w14:textId="2BAA7C29" w:rsidR="006408A6" w:rsidRPr="009F551D" w:rsidRDefault="006408A6" w:rsidP="00C93CE5">
      <w:pPr>
        <w:pStyle w:val="SingleTxtG"/>
        <w:ind w:left="3402" w:hanging="2268"/>
        <w:rPr>
          <w:b/>
          <w:bCs/>
          <w:lang w:val="fr-FR"/>
        </w:rPr>
      </w:pPr>
      <w:bookmarkStart w:id="42" w:name="_Toc81410386"/>
      <w:r w:rsidRPr="009F551D">
        <w:rPr>
          <w:bCs/>
          <w:i/>
          <w:iCs/>
          <w:lang w:val="fr-FR"/>
        </w:rPr>
        <w:t>Document :</w:t>
      </w:r>
      <w:r w:rsidRPr="009F551D">
        <w:rPr>
          <w:bCs/>
          <w:lang w:val="fr-FR"/>
        </w:rPr>
        <w:tab/>
        <w:t>ECE/TRANS/WP.15/AC.2/2021/17 (CCNR)</w:t>
      </w:r>
      <w:bookmarkEnd w:id="42"/>
      <w:r w:rsidR="00C93CE5">
        <w:rPr>
          <w:bCs/>
          <w:lang w:val="fr-FR"/>
        </w:rPr>
        <w:t>.</w:t>
      </w:r>
    </w:p>
    <w:p w14:paraId="4B9E971D" w14:textId="77777777" w:rsidR="006408A6" w:rsidRPr="009F551D" w:rsidRDefault="006408A6" w:rsidP="006408A6">
      <w:pPr>
        <w:pStyle w:val="SingleTxtG"/>
        <w:rPr>
          <w:lang w:val="fr-FR"/>
        </w:rPr>
      </w:pPr>
      <w:r w:rsidRPr="009F551D">
        <w:rPr>
          <w:lang w:val="fr-FR"/>
        </w:rPr>
        <w:t>24.</w:t>
      </w:r>
      <w:r w:rsidRPr="009F551D">
        <w:rPr>
          <w:lang w:val="fr-FR"/>
        </w:rPr>
        <w:tab/>
        <w:t>Le Comité de sécurité a adopté la proposition d</w:t>
      </w:r>
      <w:r>
        <w:rPr>
          <w:lang w:val="fr-FR"/>
        </w:rPr>
        <w:t>’</w:t>
      </w:r>
      <w:r w:rsidRPr="009F551D">
        <w:rPr>
          <w:lang w:val="fr-FR"/>
        </w:rPr>
        <w:t>amendement à l</w:t>
      </w:r>
      <w:r>
        <w:rPr>
          <w:lang w:val="fr-FR"/>
        </w:rPr>
        <w:t>’</w:t>
      </w:r>
      <w:r w:rsidRPr="009F551D">
        <w:rPr>
          <w:lang w:val="fr-FR"/>
        </w:rPr>
        <w:t>article 7.2.4.41 relatif à l</w:t>
      </w:r>
      <w:r>
        <w:rPr>
          <w:lang w:val="fr-FR"/>
        </w:rPr>
        <w:t>’</w:t>
      </w:r>
      <w:r w:rsidRPr="009F551D">
        <w:rPr>
          <w:lang w:val="fr-FR"/>
        </w:rPr>
        <w:t>interdiction d</w:t>
      </w:r>
      <w:r>
        <w:rPr>
          <w:lang w:val="fr-FR"/>
        </w:rPr>
        <w:t>’</w:t>
      </w:r>
      <w:r w:rsidRPr="009F551D">
        <w:rPr>
          <w:lang w:val="fr-FR"/>
        </w:rPr>
        <w:t>utiliser des cigarettes électroniques (voir l</w:t>
      </w:r>
      <w:r>
        <w:rPr>
          <w:lang w:val="fr-FR"/>
        </w:rPr>
        <w:t>’</w:t>
      </w:r>
      <w:r w:rsidRPr="009F551D">
        <w:rPr>
          <w:lang w:val="fr-FR"/>
        </w:rPr>
        <w:t>annexe I).</w:t>
      </w:r>
    </w:p>
    <w:p w14:paraId="1E181851" w14:textId="338085CE" w:rsidR="006408A6" w:rsidRPr="009F551D" w:rsidRDefault="006408A6" w:rsidP="006408A6">
      <w:pPr>
        <w:pStyle w:val="H23G"/>
        <w:rPr>
          <w:lang w:val="fr-FR"/>
        </w:rPr>
      </w:pPr>
      <w:r w:rsidRPr="009F551D">
        <w:rPr>
          <w:lang w:val="fr-FR"/>
        </w:rPr>
        <w:tab/>
        <w:t>3.</w:t>
      </w:r>
      <w:r w:rsidRPr="009F551D">
        <w:rPr>
          <w:lang w:val="fr-FR"/>
        </w:rPr>
        <w:tab/>
      </w:r>
      <w:r w:rsidRPr="009F551D">
        <w:rPr>
          <w:bCs/>
          <w:lang w:val="fr-FR"/>
        </w:rPr>
        <w:t>Diverses modifications et corrections de l</w:t>
      </w:r>
      <w:r>
        <w:rPr>
          <w:bCs/>
          <w:lang w:val="fr-FR"/>
        </w:rPr>
        <w:t>’</w:t>
      </w:r>
      <w:r w:rsidRPr="009F551D">
        <w:rPr>
          <w:bCs/>
          <w:lang w:val="fr-FR"/>
        </w:rPr>
        <w:t>ADN 2021 devant faire l</w:t>
      </w:r>
      <w:r>
        <w:rPr>
          <w:bCs/>
          <w:lang w:val="fr-FR"/>
        </w:rPr>
        <w:t>’</w:t>
      </w:r>
      <w:r w:rsidRPr="009F551D">
        <w:rPr>
          <w:bCs/>
          <w:lang w:val="fr-FR"/>
        </w:rPr>
        <w:t xml:space="preserve">objet </w:t>
      </w:r>
      <w:r w:rsidR="005B6BA8">
        <w:rPr>
          <w:bCs/>
          <w:lang w:val="fr-FR"/>
        </w:rPr>
        <w:br/>
      </w:r>
      <w:r w:rsidRPr="009F551D">
        <w:rPr>
          <w:bCs/>
          <w:lang w:val="fr-FR"/>
        </w:rPr>
        <w:t>d</w:t>
      </w:r>
      <w:r>
        <w:rPr>
          <w:bCs/>
          <w:lang w:val="fr-FR"/>
        </w:rPr>
        <w:t>’</w:t>
      </w:r>
      <w:r w:rsidRPr="009F551D">
        <w:rPr>
          <w:bCs/>
          <w:lang w:val="fr-FR"/>
        </w:rPr>
        <w:t>une notification</w:t>
      </w:r>
      <w:bookmarkStart w:id="43" w:name="_Toc81410387"/>
      <w:bookmarkEnd w:id="43"/>
    </w:p>
    <w:p w14:paraId="1D699AAB" w14:textId="4669EA97" w:rsidR="006408A6" w:rsidRPr="009F551D" w:rsidRDefault="006408A6" w:rsidP="00C93CE5">
      <w:pPr>
        <w:pStyle w:val="SingleTxtG"/>
        <w:ind w:left="3402" w:hanging="2268"/>
        <w:rPr>
          <w:b/>
          <w:bCs/>
          <w:lang w:val="fr-FR"/>
        </w:rPr>
      </w:pPr>
      <w:bookmarkStart w:id="44" w:name="_Toc81410388"/>
      <w:r w:rsidRPr="009F551D">
        <w:rPr>
          <w:bCs/>
          <w:i/>
          <w:iCs/>
          <w:lang w:val="fr-FR"/>
        </w:rPr>
        <w:t>Document :</w:t>
      </w:r>
      <w:r w:rsidRPr="009F551D">
        <w:rPr>
          <w:bCs/>
          <w:lang w:val="fr-FR"/>
        </w:rPr>
        <w:tab/>
        <w:t>ECE/TRANS/WP.15/AC.2/2021/19 (Allemagne)</w:t>
      </w:r>
      <w:bookmarkEnd w:id="44"/>
      <w:r w:rsidR="00C93CE5">
        <w:rPr>
          <w:bCs/>
          <w:lang w:val="fr-FR"/>
        </w:rPr>
        <w:t>.</w:t>
      </w:r>
    </w:p>
    <w:p w14:paraId="775F5148" w14:textId="77777777" w:rsidR="006408A6" w:rsidRPr="009F551D" w:rsidRDefault="006408A6" w:rsidP="006408A6">
      <w:pPr>
        <w:pStyle w:val="SingleTxtG"/>
        <w:rPr>
          <w:lang w:val="fr-FR"/>
        </w:rPr>
      </w:pPr>
      <w:r w:rsidRPr="009F551D">
        <w:rPr>
          <w:lang w:val="fr-FR"/>
        </w:rPr>
        <w:t>25.</w:t>
      </w:r>
      <w:r w:rsidRPr="009F551D">
        <w:rPr>
          <w:lang w:val="fr-FR"/>
        </w:rPr>
        <w:tab/>
        <w:t>Le Comité de sécurité a adopté les diverses modifications et corrections concernant les tableaux A et C ainsi que le 7.2.5.4.2 proposées dans le document ECE/TRANS/WP.15/AC.2/2021/19, telles que modifiées (voir l</w:t>
      </w:r>
      <w:r>
        <w:rPr>
          <w:lang w:val="fr-FR"/>
        </w:rPr>
        <w:t>’</w:t>
      </w:r>
      <w:r w:rsidRPr="009F551D">
        <w:rPr>
          <w:lang w:val="fr-FR"/>
        </w:rPr>
        <w:t>annexe I).</w:t>
      </w:r>
    </w:p>
    <w:p w14:paraId="1EBE3C15" w14:textId="649A0840" w:rsidR="006408A6" w:rsidRPr="00E9447F" w:rsidRDefault="006408A6" w:rsidP="006408A6">
      <w:pPr>
        <w:pStyle w:val="H23G"/>
        <w:ind w:right="850"/>
        <w:rPr>
          <w:bCs/>
          <w:lang w:val="fr-FR"/>
        </w:rPr>
      </w:pPr>
      <w:r w:rsidRPr="009F551D">
        <w:rPr>
          <w:lang w:val="fr-FR"/>
        </w:rPr>
        <w:tab/>
        <w:t>4.</w:t>
      </w:r>
      <w:r w:rsidRPr="009F551D">
        <w:rPr>
          <w:lang w:val="fr-FR"/>
        </w:rPr>
        <w:tab/>
      </w:r>
      <w:r w:rsidRPr="009F551D">
        <w:rPr>
          <w:bCs/>
          <w:lang w:val="fr-FR"/>
        </w:rPr>
        <w:t>Chapitre 8.2 de l</w:t>
      </w:r>
      <w:r>
        <w:rPr>
          <w:bCs/>
          <w:lang w:val="fr-FR"/>
        </w:rPr>
        <w:t>’</w:t>
      </w:r>
      <w:r w:rsidRPr="009F551D">
        <w:rPr>
          <w:bCs/>
          <w:lang w:val="fr-FR"/>
        </w:rPr>
        <w:t>ADN − Prescriptions relatives à la formation des experts</w:t>
      </w:r>
      <w:bookmarkStart w:id="45" w:name="_Toc81410389"/>
      <w:bookmarkEnd w:id="45"/>
      <w:r>
        <w:rPr>
          <w:bCs/>
          <w:lang w:val="fr-FR"/>
        </w:rPr>
        <w:t xml:space="preserve"> </w:t>
      </w:r>
    </w:p>
    <w:p w14:paraId="0313AE1A" w14:textId="68597773" w:rsidR="006408A6" w:rsidRPr="009F551D" w:rsidRDefault="006408A6" w:rsidP="00C93CE5">
      <w:pPr>
        <w:pStyle w:val="SingleTxtG"/>
        <w:ind w:left="3402" w:hanging="2268"/>
        <w:rPr>
          <w:b/>
          <w:bCs/>
          <w:lang w:val="fr-FR"/>
        </w:rPr>
      </w:pPr>
      <w:bookmarkStart w:id="46" w:name="_Toc81410390"/>
      <w:r w:rsidRPr="009F551D">
        <w:rPr>
          <w:bCs/>
          <w:i/>
          <w:iCs/>
          <w:lang w:val="fr-FR"/>
        </w:rPr>
        <w:t>Document :</w:t>
      </w:r>
      <w:r w:rsidRPr="009F551D">
        <w:rPr>
          <w:bCs/>
          <w:lang w:val="fr-FR"/>
        </w:rPr>
        <w:tab/>
        <w:t>ECE/TRANS/WP.15/AC.2/2021/21 (Allemagne)</w:t>
      </w:r>
      <w:bookmarkEnd w:id="46"/>
      <w:r w:rsidR="00C93CE5">
        <w:rPr>
          <w:bCs/>
          <w:lang w:val="fr-FR"/>
        </w:rPr>
        <w:t>.</w:t>
      </w:r>
    </w:p>
    <w:p w14:paraId="250ABEF7" w14:textId="5504D95A" w:rsidR="006408A6" w:rsidRPr="009F551D" w:rsidRDefault="006408A6" w:rsidP="006408A6">
      <w:pPr>
        <w:pStyle w:val="SingleTxtG"/>
        <w:rPr>
          <w:lang w:val="fr-FR"/>
        </w:rPr>
      </w:pPr>
      <w:r w:rsidRPr="005B6BA8">
        <w:rPr>
          <w:lang w:val="fr-FR"/>
        </w:rPr>
        <w:t>26.</w:t>
      </w:r>
      <w:r w:rsidRPr="005B6BA8">
        <w:rPr>
          <w:lang w:val="fr-FR"/>
        </w:rPr>
        <w:tab/>
        <w:t>Le Comité de sécurité a examiné en détail et approuvé le principe des modifications proposées aux points 1, 2, 3, 4 et 5, et il a adopté les propositions formulées au titre des points 2 et 5 (voir l’annexe I). Concernant la proposition énoncée au point 3, il a conclu que, si des raisons pédagogiques le justifiaient, il était souhaitable d’autoriser les candidats à repasser deux fois un examen et de procéder à une comparaison avec d’autres modalités d’examen. S’agissant des modifications qu’il est proposé d’apporter au 8.2.2.7.2.1 en ce qui concerne l’admission aux cours de spécialisation « gaz » et « produits chimiques », le Comité de sécurité a fait observer que les candidats ne devaient pas nécessairement être en possession de l’attestation pour s’inscrire à l’examen dans la mesure où cela pouvait les retarder. Il a également été décidé d’autoriser l’aménagement des conditions d’examen pour les personnes handicapées conformément à la réglementation nationale. Le représentant de l’Allemagne a offert d’élaborer une proposition actualisée pour examen final à la prochaine session, en janvier 2022.</w:t>
      </w:r>
    </w:p>
    <w:p w14:paraId="284CC0F5" w14:textId="77777777" w:rsidR="006408A6" w:rsidRPr="009F551D" w:rsidRDefault="006408A6" w:rsidP="006408A6">
      <w:pPr>
        <w:pStyle w:val="H23G"/>
        <w:rPr>
          <w:lang w:val="fr-FR"/>
        </w:rPr>
      </w:pPr>
      <w:r w:rsidRPr="009F551D">
        <w:rPr>
          <w:lang w:val="fr-FR"/>
        </w:rPr>
        <w:tab/>
        <w:t>5.</w:t>
      </w:r>
      <w:r w:rsidRPr="009F551D">
        <w:rPr>
          <w:lang w:val="fr-FR"/>
        </w:rPr>
        <w:tab/>
      </w:r>
      <w:r w:rsidRPr="009F551D">
        <w:rPr>
          <w:bCs/>
          <w:lang w:val="fr-FR"/>
        </w:rPr>
        <w:t>Transport de cargaisons en vrac fumigées dans des cales et cales fumigées de bateaux à marchandises sèches</w:t>
      </w:r>
      <w:bookmarkStart w:id="47" w:name="_Toc81410391"/>
      <w:bookmarkEnd w:id="47"/>
    </w:p>
    <w:p w14:paraId="23933C77" w14:textId="4B485363" w:rsidR="006408A6" w:rsidRPr="009F551D" w:rsidRDefault="006408A6" w:rsidP="00C93CE5">
      <w:pPr>
        <w:pStyle w:val="SingleTxtG"/>
        <w:ind w:left="3402" w:hanging="2268"/>
        <w:rPr>
          <w:b/>
          <w:bCs/>
          <w:lang w:val="fr-FR"/>
        </w:rPr>
      </w:pPr>
      <w:bookmarkStart w:id="48" w:name="_Toc81410392"/>
      <w:r w:rsidRPr="009F551D">
        <w:rPr>
          <w:bCs/>
          <w:i/>
          <w:iCs/>
          <w:lang w:val="fr-FR"/>
        </w:rPr>
        <w:t>Document :</w:t>
      </w:r>
      <w:r w:rsidRPr="009F551D">
        <w:rPr>
          <w:bCs/>
          <w:lang w:val="fr-FR"/>
        </w:rPr>
        <w:tab/>
        <w:t>ECE/TRANS/WP.15/AC.2/2021/22 (Allemagne)</w:t>
      </w:r>
      <w:bookmarkEnd w:id="48"/>
      <w:r w:rsidR="00C93CE5">
        <w:rPr>
          <w:bCs/>
          <w:lang w:val="fr-FR"/>
        </w:rPr>
        <w:t>.</w:t>
      </w:r>
    </w:p>
    <w:p w14:paraId="62836351" w14:textId="30B3EA49" w:rsidR="006408A6" w:rsidRPr="009F551D" w:rsidRDefault="006408A6" w:rsidP="00C93CE5">
      <w:pPr>
        <w:pStyle w:val="SingleTxtG"/>
        <w:ind w:left="3402" w:hanging="2268"/>
        <w:rPr>
          <w:b/>
          <w:bCs/>
          <w:lang w:val="fr-FR"/>
        </w:rPr>
      </w:pPr>
      <w:bookmarkStart w:id="49" w:name="_Toc81410393"/>
      <w:r w:rsidRPr="009F551D">
        <w:rPr>
          <w:bCs/>
          <w:i/>
          <w:iCs/>
          <w:lang w:val="fr-FR"/>
        </w:rPr>
        <w:t>Document informel :</w:t>
      </w:r>
      <w:r w:rsidRPr="009F551D">
        <w:rPr>
          <w:bCs/>
          <w:lang w:val="fr-FR"/>
        </w:rPr>
        <w:tab/>
        <w:t>INF.5 (Autriche)</w:t>
      </w:r>
      <w:bookmarkEnd w:id="49"/>
      <w:r w:rsidR="00C93CE5">
        <w:rPr>
          <w:bCs/>
          <w:lang w:val="fr-FR"/>
        </w:rPr>
        <w:t>.</w:t>
      </w:r>
    </w:p>
    <w:p w14:paraId="6585FC35" w14:textId="2040066D" w:rsidR="006408A6" w:rsidRPr="009F551D" w:rsidRDefault="006408A6" w:rsidP="006408A6">
      <w:pPr>
        <w:pStyle w:val="SingleTxtG"/>
        <w:rPr>
          <w:lang w:val="fr-FR"/>
        </w:rPr>
      </w:pPr>
      <w:r w:rsidRPr="009F551D">
        <w:rPr>
          <w:lang w:val="fr-FR"/>
        </w:rPr>
        <w:t>27.</w:t>
      </w:r>
      <w:r w:rsidRPr="009F551D">
        <w:rPr>
          <w:lang w:val="fr-FR"/>
        </w:rPr>
        <w:tab/>
        <w:t>Le Comité de sécurité a reconnu qu</w:t>
      </w:r>
      <w:r>
        <w:rPr>
          <w:lang w:val="fr-FR"/>
        </w:rPr>
        <w:t>’</w:t>
      </w:r>
      <w:r w:rsidRPr="009F551D">
        <w:rPr>
          <w:lang w:val="fr-FR"/>
        </w:rPr>
        <w:t>il importait de modifier le Règlement annexé à l</w:t>
      </w:r>
      <w:r>
        <w:rPr>
          <w:lang w:val="fr-FR"/>
        </w:rPr>
        <w:t>’</w:t>
      </w:r>
      <w:r w:rsidRPr="009F551D">
        <w:rPr>
          <w:lang w:val="fr-FR"/>
        </w:rPr>
        <w:t>ADN pour y faire figurer des dispositions relatives au transport de cargaisons en vrac fumigées dans des cales et cales fumigées de bateaux à marchandises sèches et assurer ainsi la sécurité de l</w:t>
      </w:r>
      <w:r>
        <w:rPr>
          <w:lang w:val="fr-FR"/>
        </w:rPr>
        <w:t>’</w:t>
      </w:r>
      <w:r w:rsidRPr="009F551D">
        <w:rPr>
          <w:lang w:val="fr-FR"/>
        </w:rPr>
        <w:t xml:space="preserve">équipage et des </w:t>
      </w:r>
      <w:r>
        <w:rPr>
          <w:lang w:val="fr-FR"/>
        </w:rPr>
        <w:t>passagers</w:t>
      </w:r>
      <w:r w:rsidRPr="009F551D">
        <w:rPr>
          <w:lang w:val="fr-FR"/>
        </w:rPr>
        <w:t>. La proposition de l</w:t>
      </w:r>
      <w:r>
        <w:rPr>
          <w:lang w:val="fr-FR"/>
        </w:rPr>
        <w:t>’</w:t>
      </w:r>
      <w:r w:rsidRPr="009F551D">
        <w:rPr>
          <w:lang w:val="fr-FR"/>
        </w:rPr>
        <w:t>Allemagne étant limitée au</w:t>
      </w:r>
      <w:r>
        <w:rPr>
          <w:lang w:val="fr-FR"/>
        </w:rPr>
        <w:t xml:space="preserve"> transport de</w:t>
      </w:r>
      <w:r w:rsidRPr="009F551D">
        <w:rPr>
          <w:lang w:val="fr-FR"/>
        </w:rPr>
        <w:t xml:space="preserve"> cargaisons </w:t>
      </w:r>
      <w:r w:rsidR="00671A89">
        <w:rPr>
          <w:lang w:val="fr-FR"/>
        </w:rPr>
        <w:t>e</w:t>
      </w:r>
      <w:r w:rsidRPr="009F551D">
        <w:rPr>
          <w:lang w:val="fr-FR"/>
        </w:rPr>
        <w:t>n vrac, le représentant de l</w:t>
      </w:r>
      <w:r>
        <w:rPr>
          <w:lang w:val="fr-FR"/>
        </w:rPr>
        <w:t>’</w:t>
      </w:r>
      <w:r w:rsidRPr="009F551D">
        <w:rPr>
          <w:lang w:val="fr-FR"/>
        </w:rPr>
        <w:t xml:space="preserve">Autriche a présenté une </w:t>
      </w:r>
      <w:r w:rsidRPr="009F551D">
        <w:rPr>
          <w:lang w:val="fr-FR"/>
        </w:rPr>
        <w:lastRenderedPageBreak/>
        <w:t>contre</w:t>
      </w:r>
      <w:r w:rsidR="00671A89">
        <w:rPr>
          <w:lang w:val="fr-FR"/>
        </w:rPr>
        <w:noBreakHyphen/>
      </w:r>
      <w:r w:rsidRPr="009F551D">
        <w:rPr>
          <w:lang w:val="fr-FR"/>
        </w:rPr>
        <w:t>proposition visant à intégrer ces dispositions au 5.5.2 au lieu d</w:t>
      </w:r>
      <w:r>
        <w:rPr>
          <w:lang w:val="fr-FR"/>
        </w:rPr>
        <w:t>’</w:t>
      </w:r>
      <w:r w:rsidRPr="009F551D">
        <w:rPr>
          <w:lang w:val="fr-FR"/>
        </w:rPr>
        <w:t>ajouter un nouveau 5.5.5 (document informel INF.5).</w:t>
      </w:r>
    </w:p>
    <w:p w14:paraId="602958AA" w14:textId="18E453A9" w:rsidR="006408A6" w:rsidRPr="009F551D" w:rsidRDefault="006408A6" w:rsidP="006408A6">
      <w:pPr>
        <w:pStyle w:val="SingleTxtG"/>
        <w:rPr>
          <w:lang w:val="fr-FR"/>
        </w:rPr>
      </w:pPr>
      <w:r w:rsidRPr="009F551D">
        <w:rPr>
          <w:lang w:val="fr-FR"/>
        </w:rPr>
        <w:t>28.</w:t>
      </w:r>
      <w:r w:rsidRPr="009F551D">
        <w:rPr>
          <w:lang w:val="fr-FR"/>
        </w:rPr>
        <w:tab/>
        <w:t>À l</w:t>
      </w:r>
      <w:r>
        <w:rPr>
          <w:lang w:val="fr-FR"/>
        </w:rPr>
        <w:t>’</w:t>
      </w:r>
      <w:r w:rsidRPr="009F551D">
        <w:rPr>
          <w:lang w:val="fr-FR"/>
        </w:rPr>
        <w:t>issue d</w:t>
      </w:r>
      <w:r>
        <w:rPr>
          <w:lang w:val="fr-FR"/>
        </w:rPr>
        <w:t>’</w:t>
      </w:r>
      <w:r w:rsidRPr="009F551D">
        <w:rPr>
          <w:lang w:val="fr-FR"/>
        </w:rPr>
        <w:t>un échange de vues sur le sujet, le Comité de sécurité a invité l</w:t>
      </w:r>
      <w:r>
        <w:rPr>
          <w:lang w:val="fr-FR"/>
        </w:rPr>
        <w:t>’</w:t>
      </w:r>
      <w:r w:rsidRPr="009F551D">
        <w:rPr>
          <w:lang w:val="fr-FR"/>
        </w:rPr>
        <w:t xml:space="preserve">Allemagne et les Pays-Bas à animer un groupe par correspondance pour faire avancer la réflexion. Il a été convenu que la proposition devrait se concentrer sur la sécurité </w:t>
      </w:r>
      <w:r>
        <w:rPr>
          <w:lang w:val="fr-FR"/>
        </w:rPr>
        <w:t>de</w:t>
      </w:r>
      <w:r w:rsidRPr="009F551D">
        <w:rPr>
          <w:lang w:val="fr-FR"/>
        </w:rPr>
        <w:t xml:space="preserve"> l</w:t>
      </w:r>
      <w:r>
        <w:rPr>
          <w:lang w:val="fr-FR"/>
        </w:rPr>
        <w:t>’</w:t>
      </w:r>
      <w:r w:rsidRPr="009F551D">
        <w:rPr>
          <w:lang w:val="fr-FR"/>
        </w:rPr>
        <w:t xml:space="preserve">équipage et des </w:t>
      </w:r>
      <w:r>
        <w:rPr>
          <w:lang w:val="fr-FR"/>
        </w:rPr>
        <w:t>passagers</w:t>
      </w:r>
      <w:r w:rsidRPr="009F551D">
        <w:rPr>
          <w:lang w:val="fr-FR"/>
        </w:rPr>
        <w:t xml:space="preserve"> et tenir compte de tous les risques. Il a également été convenu qu</w:t>
      </w:r>
      <w:r>
        <w:rPr>
          <w:lang w:val="fr-FR"/>
        </w:rPr>
        <w:t>’</w:t>
      </w:r>
      <w:r w:rsidRPr="009F551D">
        <w:rPr>
          <w:lang w:val="fr-FR"/>
        </w:rPr>
        <w:t>il faudrait consulter les publications scientifiques et techniques disponibles sur la question ainsi que des experts pour mieux comprendre le comportement des gaz de fumigation utilisés. Le représentant de la GAFTA a proposé</w:t>
      </w:r>
      <w:r>
        <w:rPr>
          <w:lang w:val="fr-FR"/>
        </w:rPr>
        <w:t xml:space="preserve"> </w:t>
      </w:r>
      <w:r w:rsidRPr="009F551D">
        <w:rPr>
          <w:lang w:val="fr-FR"/>
        </w:rPr>
        <w:t>de mettre à disposition</w:t>
      </w:r>
      <w:r>
        <w:rPr>
          <w:lang w:val="fr-FR"/>
        </w:rPr>
        <w:t xml:space="preserve"> l’assistance et les compétences techniques de son association</w:t>
      </w:r>
      <w:r w:rsidRPr="009F551D">
        <w:rPr>
          <w:lang w:val="fr-FR"/>
        </w:rPr>
        <w:t xml:space="preserve"> </w:t>
      </w:r>
      <w:r>
        <w:rPr>
          <w:lang w:val="fr-FR"/>
        </w:rPr>
        <w:t>dans le cadre des</w:t>
      </w:r>
      <w:r w:rsidRPr="009F551D">
        <w:rPr>
          <w:lang w:val="fr-FR"/>
        </w:rPr>
        <w:t xml:space="preserve"> échanges importants</w:t>
      </w:r>
      <w:r>
        <w:rPr>
          <w:lang w:val="fr-FR"/>
        </w:rPr>
        <w:t xml:space="preserve"> qui s’annonçaient</w:t>
      </w:r>
      <w:r w:rsidRPr="009F551D">
        <w:rPr>
          <w:lang w:val="fr-FR"/>
        </w:rPr>
        <w:t>.</w:t>
      </w:r>
    </w:p>
    <w:p w14:paraId="2D3B62AD" w14:textId="77777777" w:rsidR="006408A6" w:rsidRPr="009F551D" w:rsidRDefault="006408A6" w:rsidP="006408A6">
      <w:pPr>
        <w:pStyle w:val="H23G"/>
        <w:rPr>
          <w:lang w:val="fr-FR"/>
        </w:rPr>
      </w:pPr>
      <w:r w:rsidRPr="009F551D">
        <w:rPr>
          <w:lang w:val="fr-FR"/>
        </w:rPr>
        <w:tab/>
        <w:t>6.</w:t>
      </w:r>
      <w:r w:rsidRPr="009F551D">
        <w:rPr>
          <w:lang w:val="fr-FR"/>
        </w:rPr>
        <w:tab/>
      </w:r>
      <w:r w:rsidRPr="009F551D">
        <w:rPr>
          <w:bCs/>
          <w:lang w:val="fr-FR"/>
        </w:rPr>
        <w:t>Parties 4 et 6 de l</w:t>
      </w:r>
      <w:r>
        <w:rPr>
          <w:bCs/>
          <w:lang w:val="fr-FR"/>
        </w:rPr>
        <w:t>’</w:t>
      </w:r>
      <w:r w:rsidRPr="009F551D">
        <w:rPr>
          <w:bCs/>
          <w:lang w:val="fr-FR"/>
        </w:rPr>
        <w:t>ADN − Dérogations résultant d</w:t>
      </w:r>
      <w:r>
        <w:rPr>
          <w:bCs/>
          <w:lang w:val="fr-FR"/>
        </w:rPr>
        <w:t>’</w:t>
      </w:r>
      <w:r w:rsidRPr="009F551D">
        <w:rPr>
          <w:bCs/>
          <w:lang w:val="fr-FR"/>
        </w:rPr>
        <w:t>accords multilatéraux selon l</w:t>
      </w:r>
      <w:r>
        <w:rPr>
          <w:bCs/>
          <w:lang w:val="fr-FR"/>
        </w:rPr>
        <w:t>’</w:t>
      </w:r>
      <w:r w:rsidRPr="009F551D">
        <w:rPr>
          <w:bCs/>
          <w:lang w:val="fr-FR"/>
        </w:rPr>
        <w:t>ADR et le RID</w:t>
      </w:r>
      <w:bookmarkStart w:id="50" w:name="_Toc81410394"/>
      <w:bookmarkEnd w:id="50"/>
    </w:p>
    <w:p w14:paraId="5A45566C" w14:textId="012FCCE3" w:rsidR="006408A6" w:rsidRPr="009F551D" w:rsidRDefault="006408A6" w:rsidP="00C93CE5">
      <w:pPr>
        <w:pStyle w:val="SingleTxtG"/>
        <w:ind w:left="3402" w:hanging="2268"/>
        <w:rPr>
          <w:b/>
          <w:bCs/>
          <w:lang w:val="fr-FR"/>
        </w:rPr>
      </w:pPr>
      <w:bookmarkStart w:id="51" w:name="_Toc81410395"/>
      <w:r w:rsidRPr="009F551D">
        <w:rPr>
          <w:bCs/>
          <w:i/>
          <w:iCs/>
          <w:lang w:val="fr-FR"/>
        </w:rPr>
        <w:t>Document :</w:t>
      </w:r>
      <w:r w:rsidRPr="009F551D">
        <w:rPr>
          <w:bCs/>
          <w:lang w:val="fr-FR"/>
        </w:rPr>
        <w:tab/>
        <w:t>ECE/TRANS/WP.15/AC.2/2021/23 (Allemagne)</w:t>
      </w:r>
      <w:bookmarkEnd w:id="51"/>
      <w:r w:rsidR="00C93CE5">
        <w:rPr>
          <w:bCs/>
          <w:lang w:val="fr-FR"/>
        </w:rPr>
        <w:t>.</w:t>
      </w:r>
    </w:p>
    <w:p w14:paraId="31114354" w14:textId="77777777" w:rsidR="006408A6" w:rsidRPr="009F551D" w:rsidRDefault="006408A6" w:rsidP="006408A6">
      <w:pPr>
        <w:pStyle w:val="SingleTxtG"/>
        <w:rPr>
          <w:lang w:val="fr-FR"/>
        </w:rPr>
      </w:pPr>
      <w:r w:rsidRPr="009F551D">
        <w:rPr>
          <w:lang w:val="fr-FR"/>
        </w:rPr>
        <w:t>29.</w:t>
      </w:r>
      <w:r w:rsidRPr="009F551D">
        <w:rPr>
          <w:lang w:val="fr-FR"/>
        </w:rPr>
        <w:tab/>
        <w:t>Des points de vue divergents ont été formulés au sein du Comité de sécurité concernant la proposition de l</w:t>
      </w:r>
      <w:r>
        <w:rPr>
          <w:lang w:val="fr-FR"/>
        </w:rPr>
        <w:t>’</w:t>
      </w:r>
      <w:r w:rsidRPr="009F551D">
        <w:rPr>
          <w:lang w:val="fr-FR"/>
        </w:rPr>
        <w:t>Allemagne d</w:t>
      </w:r>
      <w:r>
        <w:rPr>
          <w:lang w:val="fr-FR"/>
        </w:rPr>
        <w:t>’</w:t>
      </w:r>
      <w:r w:rsidRPr="009F551D">
        <w:rPr>
          <w:lang w:val="fr-FR"/>
        </w:rPr>
        <w:t>ajouter au 1.5.1 une nouvelle disposition permettant aux Parties contractantes à l</w:t>
      </w:r>
      <w:r>
        <w:rPr>
          <w:lang w:val="fr-FR"/>
        </w:rPr>
        <w:t>’</w:t>
      </w:r>
      <w:r w:rsidRPr="009F551D">
        <w:rPr>
          <w:lang w:val="fr-FR"/>
        </w:rPr>
        <w:t>ADN de considérer « automatiquement » les dérogations temporaires relatives aux parties 4 et 6 du RID et de l</w:t>
      </w:r>
      <w:r>
        <w:rPr>
          <w:lang w:val="fr-FR"/>
        </w:rPr>
        <w:t>’</w:t>
      </w:r>
      <w:r w:rsidRPr="009F551D">
        <w:rPr>
          <w:lang w:val="fr-FR"/>
        </w:rPr>
        <w:t>ADR comme des accords bilatéraux ou multilatéraux entre les Parties contractantes à l</w:t>
      </w:r>
      <w:r>
        <w:rPr>
          <w:lang w:val="fr-FR"/>
        </w:rPr>
        <w:t>’</w:t>
      </w:r>
      <w:r w:rsidRPr="009F551D">
        <w:rPr>
          <w:lang w:val="fr-FR"/>
        </w:rPr>
        <w:t>ADN signataires des accords à l</w:t>
      </w:r>
      <w:r>
        <w:rPr>
          <w:lang w:val="fr-FR"/>
        </w:rPr>
        <w:t>’</w:t>
      </w:r>
      <w:r w:rsidRPr="009F551D">
        <w:rPr>
          <w:lang w:val="fr-FR"/>
        </w:rPr>
        <w:t>origine des dérogations temporaires et les Parties contractantes à l</w:t>
      </w:r>
      <w:r>
        <w:rPr>
          <w:lang w:val="fr-FR"/>
        </w:rPr>
        <w:t>’</w:t>
      </w:r>
      <w:r w:rsidRPr="009F551D">
        <w:rPr>
          <w:lang w:val="fr-FR"/>
        </w:rPr>
        <w:t>ADN en général. Il est ressorti clairement des échanges que l</w:t>
      </w:r>
      <w:r>
        <w:rPr>
          <w:lang w:val="fr-FR"/>
        </w:rPr>
        <w:t>’</w:t>
      </w:r>
      <w:r w:rsidRPr="009F551D">
        <w:rPr>
          <w:lang w:val="fr-FR"/>
        </w:rPr>
        <w:t>interprétation et donc l</w:t>
      </w:r>
      <w:r>
        <w:rPr>
          <w:lang w:val="fr-FR"/>
        </w:rPr>
        <w:t>’</w:t>
      </w:r>
      <w:r w:rsidRPr="009F551D">
        <w:rPr>
          <w:lang w:val="fr-FR"/>
        </w:rPr>
        <w:t>application de ce principe différaient non seulement selon les autorités compétentes, mais aussi entre les différentes autorités compétentes pour les différents modes de transport sur le territoire d</w:t>
      </w:r>
      <w:r>
        <w:rPr>
          <w:lang w:val="fr-FR"/>
        </w:rPr>
        <w:t>’</w:t>
      </w:r>
      <w:r w:rsidRPr="009F551D">
        <w:rPr>
          <w:lang w:val="fr-FR"/>
        </w:rPr>
        <w:t>une Partie contractante, et des inquiétudes ont été exprimées au sujet des interruptions qui pouvaient être occasionnées dans la chaîne de transport multimodal.</w:t>
      </w:r>
    </w:p>
    <w:p w14:paraId="7E50BC09" w14:textId="582E1CD6" w:rsidR="006408A6" w:rsidRPr="009F551D" w:rsidRDefault="006408A6" w:rsidP="006408A6">
      <w:pPr>
        <w:pStyle w:val="SingleTxtG"/>
        <w:rPr>
          <w:lang w:val="fr-FR"/>
        </w:rPr>
      </w:pPr>
      <w:r w:rsidRPr="009F551D">
        <w:rPr>
          <w:lang w:val="fr-FR"/>
        </w:rPr>
        <w:t>30.</w:t>
      </w:r>
      <w:r w:rsidRPr="009F551D">
        <w:rPr>
          <w:lang w:val="fr-FR"/>
        </w:rPr>
        <w:tab/>
        <w:t>Alors que certains représentants souhaitaient conserver une certaine souplesse de façon à pouvoir déterminer au cas par cas si les dérogations temporaires relatives aux parties</w:t>
      </w:r>
      <w:r w:rsidR="00671A89">
        <w:rPr>
          <w:lang w:val="fr-FR"/>
        </w:rPr>
        <w:t> </w:t>
      </w:r>
      <w:r w:rsidRPr="009F551D">
        <w:rPr>
          <w:lang w:val="fr-FR"/>
        </w:rPr>
        <w:t>4 et 6 du RID et de l</w:t>
      </w:r>
      <w:r>
        <w:rPr>
          <w:lang w:val="fr-FR"/>
        </w:rPr>
        <w:t>’</w:t>
      </w:r>
      <w:r w:rsidRPr="009F551D">
        <w:rPr>
          <w:lang w:val="fr-FR"/>
        </w:rPr>
        <w:t>ADR concernaient l</w:t>
      </w:r>
      <w:r>
        <w:rPr>
          <w:lang w:val="fr-FR"/>
        </w:rPr>
        <w:t>’</w:t>
      </w:r>
      <w:r w:rsidRPr="009F551D">
        <w:rPr>
          <w:lang w:val="fr-FR"/>
        </w:rPr>
        <w:t>ADN, d</w:t>
      </w:r>
      <w:r>
        <w:rPr>
          <w:lang w:val="fr-FR"/>
        </w:rPr>
        <w:t>’</w:t>
      </w:r>
      <w:r w:rsidRPr="009F551D">
        <w:rPr>
          <w:lang w:val="fr-FR"/>
        </w:rPr>
        <w:t>autres étaient d</w:t>
      </w:r>
      <w:r>
        <w:rPr>
          <w:lang w:val="fr-FR"/>
        </w:rPr>
        <w:t>’</w:t>
      </w:r>
      <w:r w:rsidRPr="009F551D">
        <w:rPr>
          <w:lang w:val="fr-FR"/>
        </w:rPr>
        <w:t>avis que l</w:t>
      </w:r>
      <w:r>
        <w:rPr>
          <w:lang w:val="fr-FR"/>
        </w:rPr>
        <w:t>’</w:t>
      </w:r>
      <w:r w:rsidRPr="009F551D">
        <w:rPr>
          <w:lang w:val="fr-FR"/>
        </w:rPr>
        <w:t>introduction dans l</w:t>
      </w:r>
      <w:r>
        <w:rPr>
          <w:lang w:val="fr-FR"/>
        </w:rPr>
        <w:t>’</w:t>
      </w:r>
      <w:r w:rsidRPr="009F551D">
        <w:rPr>
          <w:lang w:val="fr-FR"/>
        </w:rPr>
        <w:t>ADN de dispositions sur la manière de traiter ces dérogations temporaires permettrait une application harmonisée et garantirait la sécurité juridique.</w:t>
      </w:r>
    </w:p>
    <w:p w14:paraId="7A4AB341" w14:textId="77777777" w:rsidR="006408A6" w:rsidRPr="009F551D" w:rsidRDefault="006408A6" w:rsidP="006408A6">
      <w:pPr>
        <w:pStyle w:val="SingleTxtG"/>
        <w:rPr>
          <w:lang w:val="fr-FR"/>
        </w:rPr>
      </w:pPr>
      <w:r w:rsidRPr="009F551D">
        <w:rPr>
          <w:lang w:val="fr-FR"/>
        </w:rPr>
        <w:t>31.</w:t>
      </w:r>
      <w:r w:rsidRPr="009F551D">
        <w:rPr>
          <w:lang w:val="fr-FR"/>
        </w:rPr>
        <w:tab/>
        <w:t>À l</w:t>
      </w:r>
      <w:r>
        <w:rPr>
          <w:lang w:val="fr-FR"/>
        </w:rPr>
        <w:t>’</w:t>
      </w:r>
      <w:r w:rsidRPr="009F551D">
        <w:rPr>
          <w:lang w:val="fr-FR"/>
        </w:rPr>
        <w:t>issue du débat, il a été convenu que cette question devrait être examinée par la Réunion commune RID/ADR/ADN à sa prochaine session, sur la base d</w:t>
      </w:r>
      <w:r>
        <w:rPr>
          <w:lang w:val="fr-FR"/>
        </w:rPr>
        <w:t>’</w:t>
      </w:r>
      <w:r w:rsidRPr="009F551D">
        <w:rPr>
          <w:lang w:val="fr-FR"/>
        </w:rPr>
        <w:t>une proposition de l</w:t>
      </w:r>
      <w:r>
        <w:rPr>
          <w:lang w:val="fr-FR"/>
        </w:rPr>
        <w:t>’</w:t>
      </w:r>
      <w:r w:rsidRPr="009F551D">
        <w:rPr>
          <w:lang w:val="fr-FR"/>
        </w:rPr>
        <w:t>Allemagne.</w:t>
      </w:r>
    </w:p>
    <w:p w14:paraId="1ECBCCE9" w14:textId="77777777" w:rsidR="006408A6" w:rsidRPr="009F551D" w:rsidRDefault="006408A6" w:rsidP="006408A6">
      <w:pPr>
        <w:pStyle w:val="H23G"/>
        <w:rPr>
          <w:lang w:val="fr-FR"/>
        </w:rPr>
      </w:pPr>
      <w:r w:rsidRPr="009F551D">
        <w:rPr>
          <w:lang w:val="fr-FR"/>
        </w:rPr>
        <w:tab/>
        <w:t>7.</w:t>
      </w:r>
      <w:r w:rsidRPr="009F551D">
        <w:rPr>
          <w:lang w:val="fr-FR"/>
        </w:rPr>
        <w:tab/>
      </w:r>
      <w:r w:rsidRPr="009F551D">
        <w:rPr>
          <w:bCs/>
          <w:lang w:val="fr-FR"/>
        </w:rPr>
        <w:t>Proposition de correction du paragraphe 9.3.3.60</w:t>
      </w:r>
      <w:bookmarkStart w:id="52" w:name="_Toc81410396"/>
      <w:bookmarkEnd w:id="52"/>
    </w:p>
    <w:p w14:paraId="0B80C9B5" w14:textId="21D3D631" w:rsidR="006408A6" w:rsidRPr="009F551D" w:rsidRDefault="006408A6" w:rsidP="00C93CE5">
      <w:pPr>
        <w:pStyle w:val="SingleTxtG"/>
        <w:ind w:left="3402" w:hanging="2268"/>
        <w:rPr>
          <w:b/>
          <w:bCs/>
          <w:lang w:val="fr-FR"/>
        </w:rPr>
      </w:pPr>
      <w:bookmarkStart w:id="53" w:name="_Toc81410397"/>
      <w:r w:rsidRPr="009F551D">
        <w:rPr>
          <w:bCs/>
          <w:i/>
          <w:iCs/>
          <w:lang w:val="fr-FR"/>
        </w:rPr>
        <w:t>Document :</w:t>
      </w:r>
      <w:r w:rsidRPr="009F551D">
        <w:rPr>
          <w:bCs/>
          <w:lang w:val="fr-FR"/>
        </w:rPr>
        <w:tab/>
        <w:t>ECE/TRANS/WP.15/AC.2/2021/24 (CCNR)</w:t>
      </w:r>
      <w:bookmarkEnd w:id="53"/>
      <w:r w:rsidR="00C93CE5">
        <w:rPr>
          <w:bCs/>
          <w:lang w:val="fr-FR"/>
        </w:rPr>
        <w:t>.</w:t>
      </w:r>
    </w:p>
    <w:p w14:paraId="66C6EE08" w14:textId="77777777" w:rsidR="006408A6" w:rsidRPr="009F551D" w:rsidRDefault="006408A6" w:rsidP="006408A6">
      <w:pPr>
        <w:pStyle w:val="SingleTxtG"/>
        <w:rPr>
          <w:lang w:val="fr-FR"/>
        </w:rPr>
      </w:pPr>
      <w:r w:rsidRPr="009F551D">
        <w:rPr>
          <w:lang w:val="fr-FR"/>
        </w:rPr>
        <w:t>32.</w:t>
      </w:r>
      <w:r w:rsidRPr="009F551D">
        <w:rPr>
          <w:lang w:val="fr-FR"/>
        </w:rPr>
        <w:tab/>
        <w:t>Le Comité de sécurité a adopté les corrections qu</w:t>
      </w:r>
      <w:r>
        <w:rPr>
          <w:lang w:val="fr-FR"/>
        </w:rPr>
        <w:t>’</w:t>
      </w:r>
      <w:r w:rsidRPr="009F551D">
        <w:rPr>
          <w:lang w:val="fr-FR"/>
        </w:rPr>
        <w:t>il était proposé d</w:t>
      </w:r>
      <w:r>
        <w:rPr>
          <w:lang w:val="fr-FR"/>
        </w:rPr>
        <w:t>’</w:t>
      </w:r>
      <w:r w:rsidRPr="009F551D">
        <w:rPr>
          <w:lang w:val="fr-FR"/>
        </w:rPr>
        <w:t>apporter dans les versions française et allemande du paragraphe 9.3.3.60 (voir l</w:t>
      </w:r>
      <w:r>
        <w:rPr>
          <w:lang w:val="fr-FR"/>
        </w:rPr>
        <w:t>’</w:t>
      </w:r>
      <w:r w:rsidRPr="009F551D">
        <w:rPr>
          <w:lang w:val="fr-FR"/>
        </w:rPr>
        <w:t>annexe I).</w:t>
      </w:r>
    </w:p>
    <w:p w14:paraId="78A69B78" w14:textId="77777777" w:rsidR="006408A6" w:rsidRPr="009F551D" w:rsidRDefault="006408A6" w:rsidP="006408A6">
      <w:pPr>
        <w:pStyle w:val="H23G"/>
        <w:rPr>
          <w:lang w:val="fr-FR"/>
        </w:rPr>
      </w:pPr>
      <w:r w:rsidRPr="009F551D">
        <w:rPr>
          <w:lang w:val="fr-FR"/>
        </w:rPr>
        <w:tab/>
        <w:t>8.</w:t>
      </w:r>
      <w:r w:rsidRPr="009F551D">
        <w:rPr>
          <w:lang w:val="fr-FR"/>
        </w:rPr>
        <w:tab/>
      </w:r>
      <w:r w:rsidRPr="009F551D">
        <w:rPr>
          <w:bCs/>
          <w:lang w:val="fr-FR"/>
        </w:rPr>
        <w:t xml:space="preserve">Dispositions relatives aux </w:t>
      </w:r>
      <w:proofErr w:type="spellStart"/>
      <w:r w:rsidRPr="009F551D">
        <w:rPr>
          <w:bCs/>
          <w:lang w:val="fr-FR"/>
        </w:rPr>
        <w:t>cofferdams</w:t>
      </w:r>
      <w:bookmarkStart w:id="54" w:name="_Toc81410398"/>
      <w:bookmarkEnd w:id="54"/>
      <w:proofErr w:type="spellEnd"/>
    </w:p>
    <w:p w14:paraId="2AA74062" w14:textId="56CCD258" w:rsidR="006408A6" w:rsidRPr="009F551D" w:rsidRDefault="006408A6" w:rsidP="00C93CE5">
      <w:pPr>
        <w:pStyle w:val="SingleTxtG"/>
        <w:ind w:left="3402" w:hanging="2268"/>
        <w:rPr>
          <w:b/>
          <w:bCs/>
          <w:lang w:val="fr-FR"/>
        </w:rPr>
      </w:pPr>
      <w:bookmarkStart w:id="55" w:name="_Toc81410399"/>
      <w:r w:rsidRPr="009F551D">
        <w:rPr>
          <w:bCs/>
          <w:i/>
          <w:iCs/>
          <w:lang w:val="fr-FR"/>
        </w:rPr>
        <w:t>Document :</w:t>
      </w:r>
      <w:r w:rsidRPr="009F551D">
        <w:rPr>
          <w:bCs/>
          <w:lang w:val="fr-FR"/>
        </w:rPr>
        <w:tab/>
        <w:t>ECE/TRANS/WP.15/AC.2/2021/25 (UENF et OEB)</w:t>
      </w:r>
      <w:bookmarkEnd w:id="55"/>
      <w:r w:rsidR="00C93CE5">
        <w:rPr>
          <w:bCs/>
          <w:lang w:val="fr-FR"/>
        </w:rPr>
        <w:t>.</w:t>
      </w:r>
    </w:p>
    <w:p w14:paraId="6D5DB7C1" w14:textId="77777777" w:rsidR="006408A6" w:rsidRPr="009F551D" w:rsidRDefault="006408A6" w:rsidP="006408A6">
      <w:pPr>
        <w:pStyle w:val="SingleTxtG"/>
        <w:rPr>
          <w:lang w:val="fr-FR"/>
        </w:rPr>
      </w:pPr>
      <w:r w:rsidRPr="009F551D">
        <w:rPr>
          <w:lang w:val="fr-FR"/>
        </w:rPr>
        <w:t>33.</w:t>
      </w:r>
      <w:r w:rsidRPr="009F551D">
        <w:rPr>
          <w:lang w:val="fr-FR"/>
        </w:rPr>
        <w:tab/>
        <w:t>Ne sachant pas pourquoi il avait été décidé, dans les précédentes éditions de l</w:t>
      </w:r>
      <w:r>
        <w:rPr>
          <w:lang w:val="fr-FR"/>
        </w:rPr>
        <w:t>’</w:t>
      </w:r>
      <w:r w:rsidRPr="009F551D">
        <w:rPr>
          <w:lang w:val="fr-FR"/>
        </w:rPr>
        <w:t>ADN, de ne plus autoriser l</w:t>
      </w:r>
      <w:r>
        <w:rPr>
          <w:lang w:val="fr-FR"/>
        </w:rPr>
        <w:t>’</w:t>
      </w:r>
      <w:r w:rsidRPr="009F551D">
        <w:rPr>
          <w:lang w:val="fr-FR"/>
        </w:rPr>
        <w:t xml:space="preserve">utilisation des </w:t>
      </w:r>
      <w:proofErr w:type="spellStart"/>
      <w:r w:rsidRPr="009F551D">
        <w:rPr>
          <w:lang w:val="fr-FR"/>
        </w:rPr>
        <w:t>cofferdams</w:t>
      </w:r>
      <w:proofErr w:type="spellEnd"/>
      <w:r w:rsidRPr="009F551D">
        <w:rPr>
          <w:lang w:val="fr-FR"/>
        </w:rPr>
        <w:t xml:space="preserve"> comme citernes à ballastage supplémentaires, le Comité de sécurité a préféré</w:t>
      </w:r>
      <w:r>
        <w:rPr>
          <w:lang w:val="fr-FR"/>
        </w:rPr>
        <w:t>, après discussion, de</w:t>
      </w:r>
      <w:r w:rsidRPr="009F551D">
        <w:rPr>
          <w:lang w:val="fr-FR"/>
        </w:rPr>
        <w:t xml:space="preserve"> reporter l</w:t>
      </w:r>
      <w:r>
        <w:rPr>
          <w:lang w:val="fr-FR"/>
        </w:rPr>
        <w:t>’</w:t>
      </w:r>
      <w:r w:rsidRPr="009F551D">
        <w:rPr>
          <w:lang w:val="fr-FR"/>
        </w:rPr>
        <w:t>adoption de la proposition qui visait à réduire le risque d</w:t>
      </w:r>
      <w:r>
        <w:rPr>
          <w:lang w:val="fr-FR"/>
        </w:rPr>
        <w:t>’</w:t>
      </w:r>
      <w:r w:rsidRPr="009F551D">
        <w:rPr>
          <w:lang w:val="fr-FR"/>
        </w:rPr>
        <w:t>accident. Il a été observé que la navigation sous les ponts de faible hauteur pouvait être évitée, dans certains cas, grâce à d</w:t>
      </w:r>
      <w:r>
        <w:rPr>
          <w:lang w:val="fr-FR"/>
        </w:rPr>
        <w:t>’</w:t>
      </w:r>
      <w:r w:rsidRPr="009F551D">
        <w:rPr>
          <w:lang w:val="fr-FR"/>
        </w:rPr>
        <w:t>autres mesures techniques ou administratives, telles que le recours à de nouvelles technologies et à des solutions d</w:t>
      </w:r>
      <w:r>
        <w:rPr>
          <w:lang w:val="fr-FR"/>
        </w:rPr>
        <w:t>’</w:t>
      </w:r>
      <w:r w:rsidRPr="009F551D">
        <w:rPr>
          <w:lang w:val="fr-FR"/>
        </w:rPr>
        <w:t>ingénierie, une meilleure planification des itinéraires des bateaux ou l</w:t>
      </w:r>
      <w:r>
        <w:rPr>
          <w:lang w:val="fr-FR"/>
        </w:rPr>
        <w:t>’</w:t>
      </w:r>
      <w:r w:rsidRPr="009F551D">
        <w:rPr>
          <w:lang w:val="fr-FR"/>
        </w:rPr>
        <w:t xml:space="preserve">adoption de solutions plus judicieuses pour la construction des ponts. En outre, il a été relevé que, grâce aux </w:t>
      </w:r>
      <w:proofErr w:type="spellStart"/>
      <w:r w:rsidRPr="009F551D">
        <w:rPr>
          <w:lang w:val="fr-FR"/>
        </w:rPr>
        <w:t>cofferdams</w:t>
      </w:r>
      <w:proofErr w:type="spellEnd"/>
      <w:r w:rsidRPr="009F551D">
        <w:rPr>
          <w:lang w:val="fr-FR"/>
        </w:rPr>
        <w:t xml:space="preserve"> secs, il était plus facile de vérifier qu</w:t>
      </w:r>
      <w:r>
        <w:rPr>
          <w:lang w:val="fr-FR"/>
        </w:rPr>
        <w:t>’</w:t>
      </w:r>
      <w:r w:rsidRPr="009F551D">
        <w:rPr>
          <w:lang w:val="fr-FR"/>
        </w:rPr>
        <w:t>il n</w:t>
      </w:r>
      <w:r>
        <w:rPr>
          <w:lang w:val="fr-FR"/>
        </w:rPr>
        <w:t>’</w:t>
      </w:r>
      <w:r w:rsidRPr="009F551D">
        <w:rPr>
          <w:lang w:val="fr-FR"/>
        </w:rPr>
        <w:t>y avait pas de fuite sur le bateau, et que l</w:t>
      </w:r>
      <w:r>
        <w:rPr>
          <w:lang w:val="fr-FR"/>
        </w:rPr>
        <w:t>’</w:t>
      </w:r>
      <w:r w:rsidRPr="009F551D">
        <w:rPr>
          <w:lang w:val="fr-FR"/>
        </w:rPr>
        <w:t>interdiction d</w:t>
      </w:r>
      <w:r>
        <w:rPr>
          <w:lang w:val="fr-FR"/>
        </w:rPr>
        <w:t>’</w:t>
      </w:r>
      <w:r w:rsidRPr="009F551D">
        <w:rPr>
          <w:lang w:val="fr-FR"/>
        </w:rPr>
        <w:t xml:space="preserve">utiliser les </w:t>
      </w:r>
      <w:proofErr w:type="spellStart"/>
      <w:r w:rsidRPr="009F551D">
        <w:rPr>
          <w:lang w:val="fr-FR"/>
        </w:rPr>
        <w:t>cofferdams</w:t>
      </w:r>
      <w:proofErr w:type="spellEnd"/>
      <w:r w:rsidRPr="009F551D">
        <w:rPr>
          <w:lang w:val="fr-FR"/>
        </w:rPr>
        <w:t xml:space="preserve"> comme citernes à ballastage s</w:t>
      </w:r>
      <w:r>
        <w:rPr>
          <w:lang w:val="fr-FR"/>
        </w:rPr>
        <w:t>’</w:t>
      </w:r>
      <w:r w:rsidRPr="009F551D">
        <w:rPr>
          <w:lang w:val="fr-FR"/>
        </w:rPr>
        <w:t>appliquait aux bateaux construits après l</w:t>
      </w:r>
      <w:r>
        <w:rPr>
          <w:lang w:val="fr-FR"/>
        </w:rPr>
        <w:t>’</w:t>
      </w:r>
      <w:r w:rsidRPr="009F551D">
        <w:rPr>
          <w:lang w:val="fr-FR"/>
        </w:rPr>
        <w:t>année 2000.</w:t>
      </w:r>
    </w:p>
    <w:p w14:paraId="3F5F643E" w14:textId="77777777" w:rsidR="006408A6" w:rsidRPr="009F551D" w:rsidRDefault="006408A6" w:rsidP="006408A6">
      <w:pPr>
        <w:pStyle w:val="SingleTxtG"/>
        <w:rPr>
          <w:lang w:val="fr-FR"/>
        </w:rPr>
      </w:pPr>
      <w:r w:rsidRPr="009F551D">
        <w:rPr>
          <w:lang w:val="fr-FR"/>
        </w:rPr>
        <w:t>34.</w:t>
      </w:r>
      <w:r w:rsidRPr="009F551D">
        <w:rPr>
          <w:lang w:val="fr-FR"/>
        </w:rPr>
        <w:tab/>
        <w:t>Il a été convenu de reprendre l</w:t>
      </w:r>
      <w:r>
        <w:rPr>
          <w:lang w:val="fr-FR"/>
        </w:rPr>
        <w:t>’</w:t>
      </w:r>
      <w:r w:rsidRPr="009F551D">
        <w:rPr>
          <w:lang w:val="fr-FR"/>
        </w:rPr>
        <w:t>examen de cette question sous la perspective plus générale de l</w:t>
      </w:r>
      <w:r>
        <w:rPr>
          <w:lang w:val="fr-FR"/>
        </w:rPr>
        <w:t>’</w:t>
      </w:r>
      <w:r w:rsidRPr="009F551D">
        <w:rPr>
          <w:lang w:val="fr-FR"/>
        </w:rPr>
        <w:t xml:space="preserve">utilisation des dispositifs de sécurité à des fins opérationnelles. Le représentant </w:t>
      </w:r>
      <w:r w:rsidRPr="009F551D">
        <w:rPr>
          <w:lang w:val="fr-FR"/>
        </w:rPr>
        <w:lastRenderedPageBreak/>
        <w:t>de l</w:t>
      </w:r>
      <w:r>
        <w:rPr>
          <w:lang w:val="fr-FR"/>
        </w:rPr>
        <w:t>’</w:t>
      </w:r>
      <w:r w:rsidRPr="009F551D">
        <w:rPr>
          <w:lang w:val="fr-FR"/>
        </w:rPr>
        <w:t>UENF a offert de faire des recherches sur le sujet et de soumettre une proposition actualisée en vue de la prochaine session.</w:t>
      </w:r>
    </w:p>
    <w:p w14:paraId="4995858D" w14:textId="77777777" w:rsidR="006408A6" w:rsidRPr="009F551D" w:rsidRDefault="006408A6" w:rsidP="006408A6">
      <w:pPr>
        <w:pStyle w:val="H23G"/>
        <w:rPr>
          <w:lang w:val="fr-FR"/>
        </w:rPr>
      </w:pPr>
      <w:r w:rsidRPr="009F551D">
        <w:rPr>
          <w:lang w:val="fr-FR"/>
        </w:rPr>
        <w:tab/>
        <w:t>9.</w:t>
      </w:r>
      <w:r w:rsidRPr="009F551D">
        <w:rPr>
          <w:lang w:val="fr-FR"/>
        </w:rPr>
        <w:tab/>
      </w:r>
      <w:r w:rsidRPr="009F551D">
        <w:rPr>
          <w:bCs/>
          <w:lang w:val="fr-FR"/>
        </w:rPr>
        <w:t>Instructions de chargement et de déchargement</w:t>
      </w:r>
      <w:bookmarkStart w:id="56" w:name="_Toc81410400"/>
      <w:bookmarkEnd w:id="56"/>
    </w:p>
    <w:p w14:paraId="083142B3" w14:textId="0AAE5652" w:rsidR="006408A6" w:rsidRPr="009F551D" w:rsidRDefault="006408A6" w:rsidP="00C93CE5">
      <w:pPr>
        <w:pStyle w:val="SingleTxtG"/>
        <w:ind w:left="3402" w:hanging="2268"/>
        <w:rPr>
          <w:b/>
          <w:bCs/>
          <w:lang w:val="fr-FR"/>
        </w:rPr>
      </w:pPr>
      <w:bookmarkStart w:id="57" w:name="_Toc81410401"/>
      <w:r w:rsidRPr="009F551D">
        <w:rPr>
          <w:bCs/>
          <w:i/>
          <w:iCs/>
          <w:lang w:val="fr-FR"/>
        </w:rPr>
        <w:t>Document :</w:t>
      </w:r>
      <w:r w:rsidRPr="009F551D">
        <w:rPr>
          <w:bCs/>
          <w:lang w:val="fr-FR"/>
        </w:rPr>
        <w:tab/>
        <w:t>ECE/TRANS/WP.15/AC.2/2021/26 (Pays-Bas)</w:t>
      </w:r>
      <w:bookmarkEnd w:id="57"/>
      <w:r w:rsidR="00C93CE5">
        <w:rPr>
          <w:bCs/>
          <w:lang w:val="fr-FR"/>
        </w:rPr>
        <w:t>.</w:t>
      </w:r>
    </w:p>
    <w:p w14:paraId="64D883A6" w14:textId="5D324993" w:rsidR="006408A6" w:rsidRPr="009F551D" w:rsidRDefault="006408A6" w:rsidP="00C93CE5">
      <w:pPr>
        <w:pStyle w:val="SingleTxtG"/>
        <w:ind w:left="3402" w:hanging="2268"/>
        <w:rPr>
          <w:b/>
          <w:bCs/>
          <w:lang w:val="fr-FR"/>
        </w:rPr>
      </w:pPr>
      <w:bookmarkStart w:id="58" w:name="_Toc81410402"/>
      <w:r w:rsidRPr="009F551D">
        <w:rPr>
          <w:bCs/>
          <w:i/>
          <w:iCs/>
          <w:lang w:val="fr-FR"/>
        </w:rPr>
        <w:t>Document informel :</w:t>
      </w:r>
      <w:r w:rsidRPr="009F551D">
        <w:rPr>
          <w:bCs/>
          <w:lang w:val="fr-FR"/>
        </w:rPr>
        <w:tab/>
        <w:t>INF.2 (Pays-Bas)</w:t>
      </w:r>
      <w:bookmarkEnd w:id="58"/>
      <w:r w:rsidR="00C93CE5">
        <w:rPr>
          <w:bCs/>
          <w:lang w:val="fr-FR"/>
        </w:rPr>
        <w:t>.</w:t>
      </w:r>
    </w:p>
    <w:p w14:paraId="613F611A" w14:textId="77777777" w:rsidR="006408A6" w:rsidRPr="009F551D" w:rsidRDefault="006408A6" w:rsidP="006408A6">
      <w:pPr>
        <w:pStyle w:val="SingleTxtG"/>
        <w:rPr>
          <w:lang w:val="fr-FR"/>
        </w:rPr>
      </w:pPr>
      <w:r w:rsidRPr="009F551D">
        <w:rPr>
          <w:lang w:val="fr-FR"/>
        </w:rPr>
        <w:t>35.</w:t>
      </w:r>
      <w:r w:rsidRPr="009F551D">
        <w:rPr>
          <w:lang w:val="fr-FR"/>
        </w:rPr>
        <w:tab/>
        <w:t>Le Comité de sécurité a pris note de certaines préoccupations quant à l</w:t>
      </w:r>
      <w:r>
        <w:rPr>
          <w:lang w:val="fr-FR"/>
        </w:rPr>
        <w:t>’</w:t>
      </w:r>
      <w:r w:rsidRPr="009F551D">
        <w:rPr>
          <w:lang w:val="fr-FR"/>
        </w:rPr>
        <w:t>utilisation de la « densité de vapeur » dans les amendements proposés, la disponibilité des données correspondantes et la nécessité de préciser les responsabilités. Le représentant des Pays-Bas a confirmé que les données étaient disponibles à l</w:t>
      </w:r>
      <w:r>
        <w:rPr>
          <w:lang w:val="fr-FR"/>
        </w:rPr>
        <w:t>’</w:t>
      </w:r>
      <w:r w:rsidRPr="009F551D">
        <w:rPr>
          <w:lang w:val="fr-FR"/>
        </w:rPr>
        <w:t>échelle du secteur et que leur applicabilité avait déjà été démontrée. Cette pratique faisait d</w:t>
      </w:r>
      <w:r>
        <w:rPr>
          <w:lang w:val="fr-FR"/>
        </w:rPr>
        <w:t>’</w:t>
      </w:r>
      <w:r w:rsidRPr="009F551D">
        <w:rPr>
          <w:lang w:val="fr-FR"/>
        </w:rPr>
        <w:t>ailleurs partie des pratiques de référence au plan national. Il a été convenu que le document ECE/TRANS/WP.15/AC.2/2021/26 offrait une bonne base de discussion, mais devait être étoffé afin d</w:t>
      </w:r>
      <w:r>
        <w:rPr>
          <w:lang w:val="fr-FR"/>
        </w:rPr>
        <w:t>’</w:t>
      </w:r>
      <w:r w:rsidRPr="009F551D">
        <w:rPr>
          <w:lang w:val="fr-FR"/>
        </w:rPr>
        <w:t>apporter une réponse aux préoccupations exprimées. Le représentant du CEFIC estimait que les débits de chargement pourraient être calculés en utilisant la pression de vapeur, facilement accessible, plutôt que la densité de vapeur et qu</w:t>
      </w:r>
      <w:r>
        <w:rPr>
          <w:lang w:val="fr-FR"/>
        </w:rPr>
        <w:t>’</w:t>
      </w:r>
      <w:r w:rsidRPr="009F551D">
        <w:rPr>
          <w:lang w:val="fr-FR"/>
        </w:rPr>
        <w:t>il serait donc préférable de réexaminer la méthode de calcul.</w:t>
      </w:r>
    </w:p>
    <w:p w14:paraId="577D0E91" w14:textId="77777777" w:rsidR="006408A6" w:rsidRPr="009F551D" w:rsidRDefault="006408A6" w:rsidP="006408A6">
      <w:pPr>
        <w:pStyle w:val="SingleTxtG"/>
        <w:rPr>
          <w:lang w:val="fr-FR"/>
        </w:rPr>
      </w:pPr>
      <w:r w:rsidRPr="009F551D">
        <w:rPr>
          <w:lang w:val="fr-FR"/>
        </w:rPr>
        <w:t>36.</w:t>
      </w:r>
      <w:r w:rsidRPr="009F551D">
        <w:rPr>
          <w:lang w:val="fr-FR"/>
        </w:rPr>
        <w:tab/>
        <w:t>Le Comité de sécurité a décidé de mettre sur pied un groupe de travail informel pour la question des instructions de chargement et de déchargement. Il a déjà considéré une première série de points pour le projet de mandat. Le représentant des Pays-Bas s</w:t>
      </w:r>
      <w:r>
        <w:rPr>
          <w:lang w:val="fr-FR"/>
        </w:rPr>
        <w:t>’</w:t>
      </w:r>
      <w:r w:rsidRPr="009F551D">
        <w:rPr>
          <w:lang w:val="fr-FR"/>
        </w:rPr>
        <w:t>est porté volontaire pour compléter ce projet et a invité tous les représentants intéressés à lui envoyer un courriel pour lui faire part de leur souhait de participer aux activités du nouveau groupe. Le Comité de sécurité a décidé d</w:t>
      </w:r>
      <w:r>
        <w:rPr>
          <w:lang w:val="fr-FR"/>
        </w:rPr>
        <w:t>’</w:t>
      </w:r>
      <w:r w:rsidRPr="009F551D">
        <w:rPr>
          <w:lang w:val="fr-FR"/>
        </w:rPr>
        <w:t>examiner à sa prochaine session la proposition finale de mandat pour le groupe de travail informel.</w:t>
      </w:r>
    </w:p>
    <w:p w14:paraId="73A4AEA2" w14:textId="77777777" w:rsidR="006408A6" w:rsidRPr="009F551D" w:rsidRDefault="006408A6" w:rsidP="006408A6">
      <w:pPr>
        <w:pStyle w:val="H23G"/>
        <w:rPr>
          <w:lang w:val="fr-FR"/>
        </w:rPr>
      </w:pPr>
      <w:r w:rsidRPr="009F551D">
        <w:rPr>
          <w:lang w:val="fr-FR"/>
        </w:rPr>
        <w:tab/>
        <w:t>10.</w:t>
      </w:r>
      <w:r w:rsidRPr="009F551D">
        <w:rPr>
          <w:lang w:val="fr-FR"/>
        </w:rPr>
        <w:tab/>
      </w:r>
      <w:r w:rsidRPr="009F551D">
        <w:rPr>
          <w:bCs/>
          <w:lang w:val="fr-FR"/>
        </w:rPr>
        <w:t>3.2.3.3 Schéma B</w:t>
      </w:r>
      <w:bookmarkStart w:id="59" w:name="_Toc81410403"/>
      <w:bookmarkEnd w:id="59"/>
    </w:p>
    <w:p w14:paraId="0FCC7484" w14:textId="6D3D78AC" w:rsidR="006408A6" w:rsidRPr="009F551D" w:rsidRDefault="006408A6" w:rsidP="00C93CE5">
      <w:pPr>
        <w:pStyle w:val="SingleTxtG"/>
        <w:ind w:left="3402" w:hanging="2268"/>
        <w:rPr>
          <w:b/>
          <w:bCs/>
          <w:lang w:val="fr-FR"/>
        </w:rPr>
      </w:pPr>
      <w:bookmarkStart w:id="60" w:name="_Toc81410404"/>
      <w:r w:rsidRPr="009F551D">
        <w:rPr>
          <w:bCs/>
          <w:i/>
          <w:iCs/>
          <w:lang w:val="fr-FR"/>
        </w:rPr>
        <w:t>Document :</w:t>
      </w:r>
      <w:r w:rsidRPr="009F551D">
        <w:rPr>
          <w:bCs/>
          <w:lang w:val="fr-FR"/>
        </w:rPr>
        <w:tab/>
        <w:t>ECE/TRANS/WP.15/AC.2/2021/28 (Pays-Bas)</w:t>
      </w:r>
      <w:bookmarkEnd w:id="60"/>
      <w:r w:rsidR="00C93CE5">
        <w:rPr>
          <w:bCs/>
          <w:lang w:val="fr-FR"/>
        </w:rPr>
        <w:t>.</w:t>
      </w:r>
    </w:p>
    <w:p w14:paraId="319EA294" w14:textId="77777777" w:rsidR="006408A6" w:rsidRPr="009F551D" w:rsidRDefault="006408A6" w:rsidP="006408A6">
      <w:pPr>
        <w:pStyle w:val="SingleTxtG"/>
        <w:rPr>
          <w:lang w:val="fr-FR"/>
        </w:rPr>
      </w:pPr>
      <w:r w:rsidRPr="009F551D">
        <w:rPr>
          <w:lang w:val="fr-FR"/>
        </w:rPr>
        <w:t>37.</w:t>
      </w:r>
      <w:r w:rsidRPr="009F551D">
        <w:rPr>
          <w:lang w:val="fr-FR"/>
        </w:rPr>
        <w:tab/>
        <w:t>Le Comité de sécurité a accueilli favorablement et adopté la proposition visant à améliorer la lisibilité du schéma B au 3.2.3.3 de l</w:t>
      </w:r>
      <w:r>
        <w:rPr>
          <w:lang w:val="fr-FR"/>
        </w:rPr>
        <w:t>’</w:t>
      </w:r>
      <w:r w:rsidRPr="009F551D">
        <w:rPr>
          <w:lang w:val="fr-FR"/>
        </w:rPr>
        <w:t>ADN (voir l</w:t>
      </w:r>
      <w:r>
        <w:rPr>
          <w:lang w:val="fr-FR"/>
        </w:rPr>
        <w:t>’</w:t>
      </w:r>
      <w:r w:rsidRPr="009F551D">
        <w:rPr>
          <w:lang w:val="fr-FR"/>
        </w:rPr>
        <w:t>annexe I).</w:t>
      </w:r>
    </w:p>
    <w:p w14:paraId="2DCFCB34" w14:textId="77777777" w:rsidR="006408A6" w:rsidRPr="009F551D" w:rsidRDefault="006408A6" w:rsidP="006408A6">
      <w:pPr>
        <w:pStyle w:val="H23G"/>
        <w:rPr>
          <w:lang w:val="fr-FR"/>
        </w:rPr>
      </w:pPr>
      <w:r w:rsidRPr="009F551D">
        <w:rPr>
          <w:lang w:val="fr-FR"/>
        </w:rPr>
        <w:tab/>
        <w:t>11.</w:t>
      </w:r>
      <w:r w:rsidRPr="009F551D">
        <w:rPr>
          <w:lang w:val="fr-FR"/>
        </w:rPr>
        <w:tab/>
      </w:r>
      <w:r w:rsidRPr="009F551D">
        <w:rPr>
          <w:bCs/>
          <w:lang w:val="fr-FR"/>
        </w:rPr>
        <w:t>Matériaux de construction</w:t>
      </w:r>
      <w:bookmarkStart w:id="61" w:name="_Toc81410405"/>
      <w:bookmarkEnd w:id="61"/>
    </w:p>
    <w:p w14:paraId="17B34FA7" w14:textId="6A4B4A61" w:rsidR="006408A6" w:rsidRPr="009F551D" w:rsidRDefault="006408A6" w:rsidP="00C93CE5">
      <w:pPr>
        <w:pStyle w:val="SingleTxtG"/>
        <w:ind w:left="3402" w:hanging="2268"/>
        <w:rPr>
          <w:b/>
          <w:bCs/>
          <w:lang w:val="fr-FR"/>
        </w:rPr>
      </w:pPr>
      <w:bookmarkStart w:id="62" w:name="_Toc81410406"/>
      <w:r w:rsidRPr="009F551D">
        <w:rPr>
          <w:bCs/>
          <w:i/>
          <w:iCs/>
          <w:lang w:val="fr-FR"/>
        </w:rPr>
        <w:t>Document :</w:t>
      </w:r>
      <w:r w:rsidRPr="009F551D">
        <w:rPr>
          <w:bCs/>
          <w:lang w:val="fr-FR"/>
        </w:rPr>
        <w:tab/>
        <w:t>ECE/TRANS/WP.15/AC.2/2021/30 (UENF et OEB)</w:t>
      </w:r>
      <w:bookmarkEnd w:id="62"/>
      <w:r w:rsidR="00C93CE5">
        <w:rPr>
          <w:bCs/>
          <w:lang w:val="fr-FR"/>
        </w:rPr>
        <w:t>.</w:t>
      </w:r>
    </w:p>
    <w:p w14:paraId="55037144" w14:textId="77777777" w:rsidR="006408A6" w:rsidRPr="009F551D" w:rsidRDefault="006408A6" w:rsidP="006408A6">
      <w:pPr>
        <w:pStyle w:val="SingleTxtG"/>
        <w:rPr>
          <w:lang w:val="fr-FR"/>
        </w:rPr>
      </w:pPr>
      <w:r w:rsidRPr="009F551D">
        <w:rPr>
          <w:lang w:val="fr-FR"/>
        </w:rPr>
        <w:t>38.</w:t>
      </w:r>
      <w:r w:rsidRPr="009F551D">
        <w:rPr>
          <w:lang w:val="fr-FR"/>
        </w:rPr>
        <w:tab/>
        <w:t>Le document a reçu un certain appui dans son ensemble, mais des précisions se sont révélées nécessaires s</w:t>
      </w:r>
      <w:r>
        <w:rPr>
          <w:lang w:val="fr-FR"/>
        </w:rPr>
        <w:t>’</w:t>
      </w:r>
      <w:r w:rsidRPr="009F551D">
        <w:rPr>
          <w:lang w:val="fr-FR"/>
        </w:rPr>
        <w:t>agissant du tableau proposé pour la liste des matériaux, de la numérotation des paragraphes et d</w:t>
      </w:r>
      <w:r>
        <w:rPr>
          <w:lang w:val="fr-FR"/>
        </w:rPr>
        <w:t>’</w:t>
      </w:r>
      <w:r w:rsidRPr="009F551D">
        <w:rPr>
          <w:lang w:val="fr-FR"/>
        </w:rPr>
        <w:t>une référence pour les copies photo-optiques. À l</w:t>
      </w:r>
      <w:r>
        <w:rPr>
          <w:lang w:val="fr-FR"/>
        </w:rPr>
        <w:t>’</w:t>
      </w:r>
      <w:r w:rsidRPr="009F551D">
        <w:rPr>
          <w:lang w:val="fr-FR"/>
        </w:rPr>
        <w:t>issue de l</w:t>
      </w:r>
      <w:r>
        <w:rPr>
          <w:lang w:val="fr-FR"/>
        </w:rPr>
        <w:t>’</w:t>
      </w:r>
      <w:r w:rsidRPr="009F551D">
        <w:rPr>
          <w:lang w:val="fr-FR"/>
        </w:rPr>
        <w:t>échange de vues, le Comité de sécurité a adopté la proposition telle que modifiée (voir l</w:t>
      </w:r>
      <w:r>
        <w:rPr>
          <w:lang w:val="fr-FR"/>
        </w:rPr>
        <w:t>’</w:t>
      </w:r>
      <w:r w:rsidRPr="009F551D">
        <w:rPr>
          <w:lang w:val="fr-FR"/>
        </w:rPr>
        <w:t xml:space="preserve">annexe I). </w:t>
      </w:r>
    </w:p>
    <w:p w14:paraId="001D0F01" w14:textId="77777777" w:rsidR="006408A6" w:rsidRPr="009F551D" w:rsidRDefault="006408A6" w:rsidP="006408A6">
      <w:pPr>
        <w:pStyle w:val="H23G"/>
        <w:rPr>
          <w:lang w:val="fr-FR"/>
        </w:rPr>
      </w:pPr>
      <w:r w:rsidRPr="009F551D">
        <w:rPr>
          <w:lang w:val="fr-FR"/>
        </w:rPr>
        <w:tab/>
        <w:t>12.</w:t>
      </w:r>
      <w:r w:rsidRPr="009F551D">
        <w:rPr>
          <w:lang w:val="fr-FR"/>
        </w:rPr>
        <w:tab/>
      </w:r>
      <w:r w:rsidRPr="009F551D">
        <w:rPr>
          <w:bCs/>
          <w:lang w:val="fr-FR"/>
        </w:rPr>
        <w:t>Harmonisation de la terminologie utilisée au 8.1.2.2 f) et au 8.1.2.3 s) de l</w:t>
      </w:r>
      <w:r>
        <w:rPr>
          <w:bCs/>
          <w:lang w:val="fr-FR"/>
        </w:rPr>
        <w:t>’</w:t>
      </w:r>
      <w:r w:rsidRPr="009F551D">
        <w:rPr>
          <w:bCs/>
          <w:lang w:val="fr-FR"/>
        </w:rPr>
        <w:t>ADN 2021</w:t>
      </w:r>
      <w:bookmarkStart w:id="63" w:name="_Toc81410407"/>
      <w:bookmarkEnd w:id="63"/>
    </w:p>
    <w:p w14:paraId="75D54FE8" w14:textId="65715AA8" w:rsidR="006408A6" w:rsidRPr="009F551D" w:rsidRDefault="006408A6" w:rsidP="00C93CE5">
      <w:pPr>
        <w:pStyle w:val="SingleTxtG"/>
        <w:ind w:left="3402" w:hanging="2268"/>
        <w:rPr>
          <w:b/>
          <w:bCs/>
          <w:lang w:val="fr-FR"/>
        </w:rPr>
      </w:pPr>
      <w:bookmarkStart w:id="64" w:name="_Toc81410408"/>
      <w:r w:rsidRPr="009F551D">
        <w:rPr>
          <w:bCs/>
          <w:i/>
          <w:iCs/>
          <w:lang w:val="fr-FR"/>
        </w:rPr>
        <w:t>Document :</w:t>
      </w:r>
      <w:r w:rsidRPr="009F551D">
        <w:rPr>
          <w:bCs/>
          <w:lang w:val="fr-FR"/>
        </w:rPr>
        <w:tab/>
        <w:t>ECE/TRANS/WP.15/AC.2/2021/31 (CCNR)</w:t>
      </w:r>
      <w:bookmarkEnd w:id="64"/>
      <w:r w:rsidR="00C93CE5">
        <w:rPr>
          <w:bCs/>
          <w:lang w:val="fr-FR"/>
        </w:rPr>
        <w:t>.</w:t>
      </w:r>
    </w:p>
    <w:p w14:paraId="1367807B" w14:textId="77777777" w:rsidR="006408A6" w:rsidRPr="009F551D" w:rsidRDefault="006408A6" w:rsidP="006408A6">
      <w:pPr>
        <w:pStyle w:val="SingleTxtG"/>
        <w:rPr>
          <w:lang w:val="fr-FR"/>
        </w:rPr>
      </w:pPr>
      <w:r w:rsidRPr="009F551D">
        <w:rPr>
          <w:lang w:val="fr-FR"/>
        </w:rPr>
        <w:t>39.</w:t>
      </w:r>
      <w:r w:rsidRPr="009F551D">
        <w:rPr>
          <w:lang w:val="fr-FR"/>
        </w:rPr>
        <w:tab/>
        <w:t>S</w:t>
      </w:r>
      <w:r>
        <w:rPr>
          <w:lang w:val="fr-FR"/>
        </w:rPr>
        <w:t>’</w:t>
      </w:r>
      <w:r w:rsidRPr="009F551D">
        <w:rPr>
          <w:lang w:val="fr-FR"/>
        </w:rPr>
        <w:t>agissant de la proposition de la CCNR visant à harmoniser le texte des 8.1.2.2 et 8.1.2.3 dans les différentes langues, le représentant de l</w:t>
      </w:r>
      <w:r>
        <w:rPr>
          <w:lang w:val="fr-FR"/>
        </w:rPr>
        <w:t>’</w:t>
      </w:r>
      <w:r w:rsidRPr="009F551D">
        <w:rPr>
          <w:lang w:val="fr-FR"/>
        </w:rPr>
        <w:t>Allemagne a jugé préférable de vérifier, dans un premier temps, si la formulation de la version allemande du 8.1.2.3 s) était exacte. Le Comité de sécurité a donc reporté à sa prochaine session le débat sur la proposition, qui se tiendra sur la base d</w:t>
      </w:r>
      <w:r>
        <w:rPr>
          <w:lang w:val="fr-FR"/>
        </w:rPr>
        <w:t>’</w:t>
      </w:r>
      <w:r w:rsidRPr="009F551D">
        <w:rPr>
          <w:lang w:val="fr-FR"/>
        </w:rPr>
        <w:t>un document mis à jour.</w:t>
      </w:r>
    </w:p>
    <w:p w14:paraId="04B8A0AA" w14:textId="77777777" w:rsidR="006408A6" w:rsidRPr="009F551D" w:rsidRDefault="006408A6" w:rsidP="006408A6">
      <w:pPr>
        <w:pStyle w:val="H23G"/>
        <w:rPr>
          <w:lang w:val="fr-FR"/>
        </w:rPr>
      </w:pPr>
      <w:r w:rsidRPr="009F551D">
        <w:rPr>
          <w:lang w:val="fr-FR"/>
        </w:rPr>
        <w:tab/>
        <w:t>13.</w:t>
      </w:r>
      <w:r w:rsidRPr="009F551D">
        <w:rPr>
          <w:lang w:val="fr-FR"/>
        </w:rPr>
        <w:tab/>
      </w:r>
      <w:r w:rsidRPr="009F551D">
        <w:rPr>
          <w:bCs/>
          <w:lang w:val="fr-FR"/>
        </w:rPr>
        <w:t>Harmonisation de la terminologie utilisée au 1.9.3 c) de l</w:t>
      </w:r>
      <w:r>
        <w:rPr>
          <w:bCs/>
          <w:lang w:val="fr-FR"/>
        </w:rPr>
        <w:t>’</w:t>
      </w:r>
      <w:r w:rsidRPr="009F551D">
        <w:rPr>
          <w:bCs/>
          <w:lang w:val="fr-FR"/>
        </w:rPr>
        <w:t>ADN 2021</w:t>
      </w:r>
      <w:bookmarkStart w:id="65" w:name="_Toc81410409"/>
      <w:bookmarkEnd w:id="65"/>
    </w:p>
    <w:p w14:paraId="39F85327" w14:textId="48AFBCB1" w:rsidR="006408A6" w:rsidRPr="009F551D" w:rsidRDefault="006408A6" w:rsidP="00C93CE5">
      <w:pPr>
        <w:pStyle w:val="SingleTxtG"/>
        <w:ind w:left="3402" w:hanging="2268"/>
        <w:rPr>
          <w:b/>
          <w:bCs/>
          <w:i/>
          <w:iCs/>
          <w:lang w:val="fr-FR"/>
        </w:rPr>
      </w:pPr>
      <w:bookmarkStart w:id="66" w:name="_Toc81410410"/>
      <w:r w:rsidRPr="009F551D">
        <w:rPr>
          <w:bCs/>
          <w:i/>
          <w:iCs/>
          <w:lang w:val="fr-FR"/>
        </w:rPr>
        <w:t>Document informel :</w:t>
      </w:r>
      <w:r w:rsidRPr="009F551D">
        <w:rPr>
          <w:bCs/>
          <w:lang w:val="fr-FR"/>
        </w:rPr>
        <w:tab/>
        <w:t>INF.4 (CCNR)</w:t>
      </w:r>
      <w:bookmarkEnd w:id="66"/>
      <w:r w:rsidR="00C93CE5">
        <w:rPr>
          <w:bCs/>
          <w:lang w:val="fr-FR"/>
        </w:rPr>
        <w:t>.</w:t>
      </w:r>
    </w:p>
    <w:p w14:paraId="069ADE41" w14:textId="77777777" w:rsidR="006408A6" w:rsidRPr="009F551D" w:rsidRDefault="006408A6" w:rsidP="006408A6">
      <w:pPr>
        <w:pStyle w:val="SingleTxtG"/>
        <w:rPr>
          <w:lang w:val="fr-FR"/>
        </w:rPr>
      </w:pPr>
      <w:r w:rsidRPr="009F551D">
        <w:rPr>
          <w:lang w:val="fr-FR"/>
        </w:rPr>
        <w:t>40.</w:t>
      </w:r>
      <w:r w:rsidRPr="009F551D">
        <w:rPr>
          <w:lang w:val="fr-FR"/>
        </w:rPr>
        <w:tab/>
        <w:t>Compte tenu de la décision qu</w:t>
      </w:r>
      <w:r>
        <w:rPr>
          <w:lang w:val="fr-FR"/>
        </w:rPr>
        <w:t>’</w:t>
      </w:r>
      <w:r w:rsidRPr="009F551D">
        <w:rPr>
          <w:lang w:val="fr-FR"/>
        </w:rPr>
        <w:t>il avait prise pour le document ECE/TRANS/WP.15/AC.2/2021/31, le Comité de sécurité a également reporté le débat sur le document informel INF.4 à sa prochaine session.</w:t>
      </w:r>
    </w:p>
    <w:p w14:paraId="7E4D2A58" w14:textId="7C151D59" w:rsidR="006408A6" w:rsidRPr="009F551D" w:rsidRDefault="006408A6" w:rsidP="006408A6">
      <w:pPr>
        <w:pStyle w:val="H23G"/>
        <w:rPr>
          <w:lang w:val="fr-FR"/>
        </w:rPr>
      </w:pPr>
      <w:r w:rsidRPr="009F551D">
        <w:rPr>
          <w:lang w:val="fr-FR"/>
        </w:rPr>
        <w:lastRenderedPageBreak/>
        <w:tab/>
        <w:t>14.</w:t>
      </w:r>
      <w:r w:rsidRPr="009F551D">
        <w:rPr>
          <w:lang w:val="fr-FR"/>
        </w:rPr>
        <w:tab/>
      </w:r>
      <w:r w:rsidRPr="009F551D">
        <w:rPr>
          <w:bCs/>
          <w:lang w:val="fr-FR"/>
        </w:rPr>
        <w:t>Utilisation d</w:t>
      </w:r>
      <w:r>
        <w:rPr>
          <w:bCs/>
          <w:lang w:val="fr-FR"/>
        </w:rPr>
        <w:t>’</w:t>
      </w:r>
      <w:r w:rsidRPr="009F551D">
        <w:rPr>
          <w:bCs/>
          <w:lang w:val="fr-FR"/>
        </w:rPr>
        <w:t xml:space="preserve">une terminologie cohérente pour les calculs de stabilité après avarie </w:t>
      </w:r>
      <w:r w:rsidR="00671A89">
        <w:rPr>
          <w:bCs/>
          <w:lang w:val="fr-FR"/>
        </w:rPr>
        <w:br/>
      </w:r>
      <w:r w:rsidRPr="009F551D">
        <w:rPr>
          <w:bCs/>
          <w:lang w:val="fr-FR"/>
        </w:rPr>
        <w:t>au 9.3.x.15.2</w:t>
      </w:r>
      <w:bookmarkStart w:id="67" w:name="_Toc81410411"/>
      <w:bookmarkEnd w:id="67"/>
    </w:p>
    <w:p w14:paraId="715E5DCA" w14:textId="18E6AE17" w:rsidR="006408A6" w:rsidRPr="009F551D" w:rsidRDefault="006408A6" w:rsidP="00C93CE5">
      <w:pPr>
        <w:pStyle w:val="SingleTxtG"/>
        <w:ind w:left="3402" w:hanging="2268"/>
        <w:rPr>
          <w:b/>
          <w:bCs/>
          <w:lang w:val="fr-FR"/>
        </w:rPr>
      </w:pPr>
      <w:bookmarkStart w:id="68" w:name="_Toc81410412"/>
      <w:r w:rsidRPr="009F551D">
        <w:rPr>
          <w:bCs/>
          <w:i/>
          <w:iCs/>
          <w:lang w:val="fr-FR"/>
        </w:rPr>
        <w:t>Document informel :</w:t>
      </w:r>
      <w:r w:rsidRPr="009F551D">
        <w:rPr>
          <w:bCs/>
          <w:lang w:val="fr-FR"/>
        </w:rPr>
        <w:tab/>
        <w:t>INF.8 (CCNR)</w:t>
      </w:r>
      <w:bookmarkEnd w:id="68"/>
      <w:r w:rsidR="00C93CE5">
        <w:rPr>
          <w:bCs/>
          <w:lang w:val="fr-FR"/>
        </w:rPr>
        <w:t>.</w:t>
      </w:r>
    </w:p>
    <w:p w14:paraId="4C40F6E8" w14:textId="77777777" w:rsidR="006408A6" w:rsidRPr="009F551D" w:rsidRDefault="006408A6" w:rsidP="006408A6">
      <w:pPr>
        <w:pStyle w:val="SingleTxtG"/>
        <w:rPr>
          <w:lang w:val="fr-FR"/>
        </w:rPr>
      </w:pPr>
      <w:r w:rsidRPr="009F551D">
        <w:rPr>
          <w:lang w:val="fr-FR"/>
        </w:rPr>
        <w:t>41.</w:t>
      </w:r>
      <w:r w:rsidRPr="009F551D">
        <w:rPr>
          <w:lang w:val="fr-FR"/>
        </w:rPr>
        <w:tab/>
        <w:t>Le Comité de sécurité a adopté la correction proposée aux 9.3.1.15.2, 9.3.2.15.2 et 9.3.3.15.2 (voir l</w:t>
      </w:r>
      <w:r>
        <w:rPr>
          <w:lang w:val="fr-FR"/>
        </w:rPr>
        <w:t>’</w:t>
      </w:r>
      <w:r w:rsidRPr="009F551D">
        <w:rPr>
          <w:lang w:val="fr-FR"/>
        </w:rPr>
        <w:t>annexe II).</w:t>
      </w:r>
    </w:p>
    <w:p w14:paraId="734D0B1A" w14:textId="0263E4B8" w:rsidR="006408A6" w:rsidRPr="009F551D" w:rsidRDefault="006408A6" w:rsidP="006408A6">
      <w:pPr>
        <w:pStyle w:val="H23G"/>
        <w:rPr>
          <w:lang w:val="fr-FR"/>
        </w:rPr>
      </w:pPr>
      <w:r w:rsidRPr="009F551D">
        <w:rPr>
          <w:lang w:val="fr-FR"/>
        </w:rPr>
        <w:tab/>
        <w:t>15.</w:t>
      </w:r>
      <w:r w:rsidRPr="009F551D">
        <w:rPr>
          <w:lang w:val="fr-FR"/>
        </w:rPr>
        <w:tab/>
      </w:r>
      <w:r w:rsidRPr="009F551D">
        <w:rPr>
          <w:bCs/>
          <w:lang w:val="fr-FR"/>
        </w:rPr>
        <w:t>Utilisation d</w:t>
      </w:r>
      <w:r>
        <w:rPr>
          <w:bCs/>
          <w:lang w:val="fr-FR"/>
        </w:rPr>
        <w:t>’</w:t>
      </w:r>
      <w:r w:rsidRPr="009F551D">
        <w:rPr>
          <w:bCs/>
          <w:lang w:val="fr-FR"/>
        </w:rPr>
        <w:t>une terminologie cohérente pour les calculs de stabilité à l</w:t>
      </w:r>
      <w:r>
        <w:rPr>
          <w:bCs/>
          <w:lang w:val="fr-FR"/>
        </w:rPr>
        <w:t>’</w:t>
      </w:r>
      <w:r w:rsidRPr="009F551D">
        <w:rPr>
          <w:bCs/>
          <w:lang w:val="fr-FR"/>
        </w:rPr>
        <w:t xml:space="preserve">état intact </w:t>
      </w:r>
      <w:r w:rsidR="0001381D">
        <w:rPr>
          <w:bCs/>
          <w:lang w:val="fr-FR"/>
        </w:rPr>
        <w:br/>
      </w:r>
      <w:r w:rsidRPr="009F551D">
        <w:rPr>
          <w:bCs/>
          <w:lang w:val="fr-FR"/>
        </w:rPr>
        <w:t>au 9.3.x.14.2 a) et b)</w:t>
      </w:r>
      <w:bookmarkStart w:id="69" w:name="_Toc81410413"/>
      <w:bookmarkEnd w:id="69"/>
    </w:p>
    <w:p w14:paraId="6DAFE911" w14:textId="64B16F63" w:rsidR="006408A6" w:rsidRPr="009F551D" w:rsidRDefault="006408A6" w:rsidP="00C93CE5">
      <w:pPr>
        <w:pStyle w:val="SingleTxtG"/>
        <w:ind w:left="3402" w:hanging="2268"/>
        <w:rPr>
          <w:b/>
          <w:bCs/>
          <w:lang w:val="fr-FR"/>
        </w:rPr>
      </w:pPr>
      <w:bookmarkStart w:id="70" w:name="_Toc81410414"/>
      <w:r w:rsidRPr="009F551D">
        <w:rPr>
          <w:bCs/>
          <w:i/>
          <w:iCs/>
          <w:lang w:val="fr-FR"/>
        </w:rPr>
        <w:t>Document informel :</w:t>
      </w:r>
      <w:r w:rsidRPr="009F551D">
        <w:rPr>
          <w:bCs/>
          <w:lang w:val="fr-FR"/>
        </w:rPr>
        <w:tab/>
        <w:t>INF.18 (sociétés de classification ADN recommandées)</w:t>
      </w:r>
      <w:bookmarkEnd w:id="70"/>
      <w:r w:rsidR="00C93CE5">
        <w:rPr>
          <w:bCs/>
          <w:lang w:val="fr-FR"/>
        </w:rPr>
        <w:t>.</w:t>
      </w:r>
    </w:p>
    <w:p w14:paraId="108D1E80" w14:textId="77777777" w:rsidR="006408A6" w:rsidRPr="009F551D" w:rsidRDefault="006408A6" w:rsidP="006408A6">
      <w:pPr>
        <w:pStyle w:val="SingleTxtG"/>
        <w:rPr>
          <w:lang w:val="fr-FR"/>
        </w:rPr>
      </w:pPr>
      <w:r w:rsidRPr="009F551D">
        <w:rPr>
          <w:lang w:val="fr-FR"/>
        </w:rPr>
        <w:t>42.</w:t>
      </w:r>
      <w:r w:rsidRPr="009F551D">
        <w:rPr>
          <w:lang w:val="fr-FR"/>
        </w:rPr>
        <w:tab/>
        <w:t>Le Comité de sécurité a adopté la correction proposée aux 9.3.1.14.2, 9.3.2.14.2 et 9.3.3.14.2, points a) et b) (voir l</w:t>
      </w:r>
      <w:r>
        <w:rPr>
          <w:lang w:val="fr-FR"/>
        </w:rPr>
        <w:t>’</w:t>
      </w:r>
      <w:r w:rsidRPr="009F551D">
        <w:rPr>
          <w:lang w:val="fr-FR"/>
        </w:rPr>
        <w:t>annexe II).</w:t>
      </w:r>
    </w:p>
    <w:p w14:paraId="10D7C894" w14:textId="77777777" w:rsidR="006408A6" w:rsidRPr="009F551D" w:rsidRDefault="006408A6" w:rsidP="006408A6">
      <w:pPr>
        <w:pStyle w:val="H23G"/>
        <w:rPr>
          <w:lang w:val="fr-FR"/>
        </w:rPr>
      </w:pPr>
      <w:r w:rsidRPr="009F551D">
        <w:rPr>
          <w:lang w:val="fr-FR"/>
        </w:rPr>
        <w:tab/>
        <w:t>16.</w:t>
      </w:r>
      <w:r w:rsidRPr="009F551D">
        <w:rPr>
          <w:lang w:val="fr-FR"/>
        </w:rPr>
        <w:tab/>
      </w:r>
      <w:r w:rsidRPr="009F551D">
        <w:rPr>
          <w:bCs/>
          <w:lang w:val="fr-FR"/>
        </w:rPr>
        <w:t>Tableau C − No ONU 1202, deuxième rubrique pour le CARBURANT DIESEL</w:t>
      </w:r>
      <w:bookmarkStart w:id="71" w:name="_Toc81410415"/>
      <w:bookmarkEnd w:id="71"/>
    </w:p>
    <w:p w14:paraId="41369275" w14:textId="060B0A4D" w:rsidR="006408A6" w:rsidRPr="009F551D" w:rsidRDefault="006408A6" w:rsidP="00C93CE5">
      <w:pPr>
        <w:pStyle w:val="SingleTxtG"/>
        <w:ind w:left="3402" w:hanging="2268"/>
        <w:rPr>
          <w:b/>
          <w:bCs/>
          <w:lang w:val="fr-FR"/>
        </w:rPr>
      </w:pPr>
      <w:bookmarkStart w:id="72" w:name="_Toc81410416"/>
      <w:r w:rsidRPr="009F551D">
        <w:rPr>
          <w:bCs/>
          <w:i/>
          <w:iCs/>
          <w:lang w:val="fr-FR"/>
        </w:rPr>
        <w:t>Document informel :</w:t>
      </w:r>
      <w:r w:rsidRPr="009F551D">
        <w:rPr>
          <w:bCs/>
          <w:lang w:val="fr-FR"/>
        </w:rPr>
        <w:tab/>
        <w:t>INF.10 (</w:t>
      </w:r>
      <w:proofErr w:type="spellStart"/>
      <w:r w:rsidRPr="009F551D">
        <w:rPr>
          <w:bCs/>
          <w:lang w:val="fr-FR"/>
        </w:rPr>
        <w:t>FuelsEurope</w:t>
      </w:r>
      <w:proofErr w:type="spellEnd"/>
      <w:r w:rsidRPr="009F551D">
        <w:rPr>
          <w:bCs/>
          <w:lang w:val="fr-FR"/>
        </w:rPr>
        <w:t>)</w:t>
      </w:r>
      <w:bookmarkEnd w:id="72"/>
      <w:r w:rsidR="00C93CE5">
        <w:rPr>
          <w:bCs/>
          <w:lang w:val="fr-FR"/>
        </w:rPr>
        <w:t>.</w:t>
      </w:r>
    </w:p>
    <w:p w14:paraId="659D7149" w14:textId="77777777" w:rsidR="006408A6" w:rsidRPr="009F551D" w:rsidRDefault="006408A6" w:rsidP="006408A6">
      <w:pPr>
        <w:pStyle w:val="SingleTxtG"/>
        <w:rPr>
          <w:lang w:val="fr-FR"/>
        </w:rPr>
      </w:pPr>
      <w:r w:rsidRPr="009F551D">
        <w:rPr>
          <w:lang w:val="fr-FR"/>
        </w:rPr>
        <w:t>43.</w:t>
      </w:r>
      <w:r w:rsidRPr="009F551D">
        <w:rPr>
          <w:lang w:val="fr-FR"/>
        </w:rPr>
        <w:tab/>
        <w:t>Le Comité de sécurité a adopté les corrections proposées pour la désignation officielle de transport dans la deuxième rubrique du No ONU 1202, à la colonne (2) du tableau C (voir l</w:t>
      </w:r>
      <w:r>
        <w:rPr>
          <w:lang w:val="fr-FR"/>
        </w:rPr>
        <w:t>’</w:t>
      </w:r>
      <w:r w:rsidRPr="009F551D">
        <w:rPr>
          <w:lang w:val="fr-FR"/>
        </w:rPr>
        <w:t>annexe II).</w:t>
      </w:r>
    </w:p>
    <w:p w14:paraId="640FF51A" w14:textId="77777777" w:rsidR="006408A6" w:rsidRPr="009F551D" w:rsidRDefault="006408A6" w:rsidP="006408A6">
      <w:pPr>
        <w:pStyle w:val="H23G"/>
        <w:rPr>
          <w:lang w:val="fr-FR"/>
        </w:rPr>
      </w:pPr>
      <w:r w:rsidRPr="009F551D">
        <w:rPr>
          <w:lang w:val="fr-FR"/>
        </w:rPr>
        <w:tab/>
        <w:t>17.</w:t>
      </w:r>
      <w:r w:rsidRPr="009F551D">
        <w:rPr>
          <w:lang w:val="fr-FR"/>
        </w:rPr>
        <w:tab/>
      </w:r>
      <w:r w:rsidRPr="009F551D">
        <w:rPr>
          <w:bCs/>
          <w:lang w:val="fr-FR"/>
        </w:rPr>
        <w:t>Proposition de correction de deux rubriques du No ONU 3295 dans le tableau C</w:t>
      </w:r>
      <w:bookmarkStart w:id="73" w:name="_Toc81410417"/>
      <w:bookmarkEnd w:id="73"/>
    </w:p>
    <w:p w14:paraId="533AE2C0" w14:textId="7096DD93" w:rsidR="006408A6" w:rsidRPr="009F551D" w:rsidRDefault="006408A6" w:rsidP="00C93CE5">
      <w:pPr>
        <w:pStyle w:val="SingleTxtG"/>
        <w:ind w:left="3402" w:hanging="2268"/>
        <w:rPr>
          <w:b/>
          <w:bCs/>
          <w:lang w:val="fr-FR"/>
        </w:rPr>
      </w:pPr>
      <w:bookmarkStart w:id="74" w:name="_Toc81410418"/>
      <w:r w:rsidRPr="009F551D">
        <w:rPr>
          <w:bCs/>
          <w:i/>
          <w:iCs/>
          <w:lang w:val="fr-FR"/>
        </w:rPr>
        <w:t>Document informel :</w:t>
      </w:r>
      <w:r w:rsidRPr="009F551D">
        <w:rPr>
          <w:bCs/>
          <w:lang w:val="fr-FR"/>
        </w:rPr>
        <w:tab/>
        <w:t>INF.11 (</w:t>
      </w:r>
      <w:proofErr w:type="spellStart"/>
      <w:r w:rsidRPr="009F551D">
        <w:rPr>
          <w:bCs/>
          <w:lang w:val="fr-FR"/>
        </w:rPr>
        <w:t>FuelsEurope</w:t>
      </w:r>
      <w:proofErr w:type="spellEnd"/>
      <w:r w:rsidRPr="009F551D">
        <w:rPr>
          <w:bCs/>
          <w:lang w:val="fr-FR"/>
        </w:rPr>
        <w:t>)</w:t>
      </w:r>
      <w:bookmarkEnd w:id="74"/>
      <w:r w:rsidR="00C93CE5">
        <w:rPr>
          <w:bCs/>
          <w:lang w:val="fr-FR"/>
        </w:rPr>
        <w:t>.</w:t>
      </w:r>
    </w:p>
    <w:p w14:paraId="1519C6B4" w14:textId="77777777" w:rsidR="006408A6" w:rsidRPr="009F551D" w:rsidRDefault="006408A6" w:rsidP="006408A6">
      <w:pPr>
        <w:pStyle w:val="SingleTxtG"/>
        <w:rPr>
          <w:lang w:val="fr-FR"/>
        </w:rPr>
      </w:pPr>
      <w:r w:rsidRPr="009F551D">
        <w:rPr>
          <w:lang w:val="fr-FR"/>
        </w:rPr>
        <w:t>44.</w:t>
      </w:r>
      <w:r w:rsidRPr="009F551D">
        <w:rPr>
          <w:lang w:val="fr-FR"/>
        </w:rPr>
        <w:tab/>
        <w:t>Le Comité de sécurité a adopté la correction proposée au texte de la version anglaise de la colonne (5) pour le No ONU 3295 dans le tableau C (voir l</w:t>
      </w:r>
      <w:r>
        <w:rPr>
          <w:lang w:val="fr-FR"/>
        </w:rPr>
        <w:t>’</w:t>
      </w:r>
      <w:r w:rsidRPr="009F551D">
        <w:rPr>
          <w:lang w:val="fr-FR"/>
        </w:rPr>
        <w:t>annexe II).</w:t>
      </w:r>
    </w:p>
    <w:p w14:paraId="18E8B0E6" w14:textId="77777777" w:rsidR="006408A6" w:rsidRPr="009F551D" w:rsidRDefault="006408A6" w:rsidP="006408A6">
      <w:pPr>
        <w:pStyle w:val="H23G"/>
        <w:rPr>
          <w:lang w:val="fr-FR"/>
        </w:rPr>
      </w:pPr>
      <w:r w:rsidRPr="009F551D">
        <w:rPr>
          <w:lang w:val="fr-FR"/>
        </w:rPr>
        <w:tab/>
        <w:t>18.</w:t>
      </w:r>
      <w:r w:rsidRPr="009F551D">
        <w:rPr>
          <w:lang w:val="fr-FR"/>
        </w:rPr>
        <w:tab/>
      </w:r>
      <w:r w:rsidRPr="009F551D">
        <w:rPr>
          <w:bCs/>
          <w:lang w:val="fr-FR"/>
        </w:rPr>
        <w:t>Demande de regroupement de deux rubriques pour le No ONU 1202</w:t>
      </w:r>
      <w:bookmarkStart w:id="75" w:name="_Toc81410419"/>
      <w:bookmarkEnd w:id="75"/>
    </w:p>
    <w:p w14:paraId="31D7224D" w14:textId="66BF33AE" w:rsidR="006408A6" w:rsidRPr="009F551D" w:rsidRDefault="006408A6" w:rsidP="00C93CE5">
      <w:pPr>
        <w:pStyle w:val="SingleTxtG"/>
        <w:ind w:left="3402" w:hanging="2268"/>
        <w:rPr>
          <w:b/>
          <w:bCs/>
          <w:lang w:val="fr-FR"/>
        </w:rPr>
      </w:pPr>
      <w:bookmarkStart w:id="76" w:name="_Toc81410420"/>
      <w:r w:rsidRPr="009F551D">
        <w:rPr>
          <w:bCs/>
          <w:i/>
          <w:iCs/>
          <w:lang w:val="fr-FR"/>
        </w:rPr>
        <w:t>Document informel :</w:t>
      </w:r>
      <w:r w:rsidRPr="009F551D">
        <w:rPr>
          <w:bCs/>
          <w:lang w:val="fr-FR"/>
        </w:rPr>
        <w:tab/>
        <w:t>INF.12 (</w:t>
      </w:r>
      <w:proofErr w:type="spellStart"/>
      <w:r w:rsidRPr="009F551D">
        <w:rPr>
          <w:bCs/>
          <w:lang w:val="fr-FR"/>
        </w:rPr>
        <w:t>FuelsEurope</w:t>
      </w:r>
      <w:proofErr w:type="spellEnd"/>
      <w:r w:rsidRPr="009F551D">
        <w:rPr>
          <w:bCs/>
          <w:lang w:val="fr-FR"/>
        </w:rPr>
        <w:t>)</w:t>
      </w:r>
      <w:bookmarkEnd w:id="76"/>
      <w:r w:rsidR="00C93CE5">
        <w:rPr>
          <w:bCs/>
          <w:lang w:val="fr-FR"/>
        </w:rPr>
        <w:t>.</w:t>
      </w:r>
    </w:p>
    <w:p w14:paraId="254BA709" w14:textId="3EA54DCE" w:rsidR="006408A6" w:rsidRPr="009F551D" w:rsidRDefault="006408A6" w:rsidP="006408A6">
      <w:pPr>
        <w:pStyle w:val="SingleTxtG"/>
        <w:rPr>
          <w:lang w:val="fr-FR"/>
        </w:rPr>
      </w:pPr>
      <w:r w:rsidRPr="009F551D">
        <w:rPr>
          <w:lang w:val="fr-FR"/>
        </w:rPr>
        <w:t>45.</w:t>
      </w:r>
      <w:r w:rsidRPr="009F551D">
        <w:rPr>
          <w:lang w:val="fr-FR"/>
        </w:rPr>
        <w:tab/>
        <w:t>Certains représentants ont mis en garde contre le regroupement des deux rubriques du No</w:t>
      </w:r>
      <w:r w:rsidR="0001381D">
        <w:rPr>
          <w:lang w:val="fr-FR"/>
        </w:rPr>
        <w:t> </w:t>
      </w:r>
      <w:r w:rsidRPr="009F551D">
        <w:rPr>
          <w:lang w:val="fr-FR"/>
        </w:rPr>
        <w:t>ONU 1202, l</w:t>
      </w:r>
      <w:r>
        <w:rPr>
          <w:lang w:val="fr-FR"/>
        </w:rPr>
        <w:t>’</w:t>
      </w:r>
      <w:r w:rsidRPr="009F551D">
        <w:rPr>
          <w:lang w:val="fr-FR"/>
        </w:rPr>
        <w:t>existence de ces deux rubriques se justifiant par les valeurs différentes de la densité relative. Le regroupement aurait également une incidence sur les rubriques correspondantes dans le tableau A du RID, de l</w:t>
      </w:r>
      <w:r>
        <w:rPr>
          <w:lang w:val="fr-FR"/>
        </w:rPr>
        <w:t>’</w:t>
      </w:r>
      <w:r w:rsidRPr="009F551D">
        <w:rPr>
          <w:lang w:val="fr-FR"/>
        </w:rPr>
        <w:t>ADR et de l</w:t>
      </w:r>
      <w:r>
        <w:rPr>
          <w:lang w:val="fr-FR"/>
        </w:rPr>
        <w:t>’</w:t>
      </w:r>
      <w:r w:rsidRPr="009F551D">
        <w:rPr>
          <w:lang w:val="fr-FR"/>
        </w:rPr>
        <w:t>ADN. Il a donc été recommandé de demander l</w:t>
      </w:r>
      <w:r>
        <w:rPr>
          <w:lang w:val="fr-FR"/>
        </w:rPr>
        <w:t>’</w:t>
      </w:r>
      <w:r w:rsidRPr="009F551D">
        <w:rPr>
          <w:lang w:val="fr-FR"/>
        </w:rPr>
        <w:t xml:space="preserve">avis de la Réunion commune RID/ADR/ADN. Le représentant de </w:t>
      </w:r>
      <w:proofErr w:type="spellStart"/>
      <w:r w:rsidRPr="009F551D">
        <w:rPr>
          <w:lang w:val="fr-FR"/>
        </w:rPr>
        <w:t>FuelsEurope</w:t>
      </w:r>
      <w:proofErr w:type="spellEnd"/>
      <w:r w:rsidRPr="009F551D">
        <w:rPr>
          <w:lang w:val="fr-FR"/>
        </w:rPr>
        <w:t xml:space="preserve"> s</w:t>
      </w:r>
      <w:r>
        <w:rPr>
          <w:lang w:val="fr-FR"/>
        </w:rPr>
        <w:t>’</w:t>
      </w:r>
      <w:r w:rsidRPr="009F551D">
        <w:rPr>
          <w:lang w:val="fr-FR"/>
        </w:rPr>
        <w:t>est porté volontaire pour soumettre à la Réunion commune RID/ADR/ADN un document actualisé en vue de son examen à la prochaine session, en septembre.</w:t>
      </w:r>
    </w:p>
    <w:p w14:paraId="6253CD8C" w14:textId="77777777" w:rsidR="006408A6" w:rsidRPr="009F551D" w:rsidRDefault="006408A6" w:rsidP="006408A6">
      <w:pPr>
        <w:pStyle w:val="H23G"/>
        <w:rPr>
          <w:lang w:val="fr-FR"/>
        </w:rPr>
      </w:pPr>
      <w:r w:rsidRPr="009F551D">
        <w:rPr>
          <w:lang w:val="fr-FR"/>
        </w:rPr>
        <w:tab/>
        <w:t>19.</w:t>
      </w:r>
      <w:r w:rsidRPr="009F551D">
        <w:rPr>
          <w:lang w:val="fr-FR"/>
        </w:rPr>
        <w:tab/>
      </w:r>
      <w:r w:rsidRPr="009F551D">
        <w:rPr>
          <w:bCs/>
          <w:lang w:val="fr-FR"/>
        </w:rPr>
        <w:t>No ONU 1972 − Demande de correction d</w:t>
      </w:r>
      <w:r>
        <w:rPr>
          <w:bCs/>
          <w:lang w:val="fr-FR"/>
        </w:rPr>
        <w:t>’</w:t>
      </w:r>
      <w:r w:rsidRPr="009F551D">
        <w:rPr>
          <w:bCs/>
          <w:lang w:val="fr-FR"/>
        </w:rPr>
        <w:t>une incohérence dans le tableau C, colonne (2)</w:t>
      </w:r>
      <w:bookmarkStart w:id="77" w:name="_Toc81410421"/>
      <w:bookmarkEnd w:id="77"/>
    </w:p>
    <w:p w14:paraId="4401666D" w14:textId="502E8DF9" w:rsidR="006408A6" w:rsidRPr="009F551D" w:rsidRDefault="006408A6" w:rsidP="00C93CE5">
      <w:pPr>
        <w:pStyle w:val="SingleTxtG"/>
        <w:ind w:left="3402" w:hanging="2268"/>
        <w:rPr>
          <w:b/>
          <w:bCs/>
          <w:lang w:val="fr-FR"/>
        </w:rPr>
      </w:pPr>
      <w:bookmarkStart w:id="78" w:name="_Toc81410422"/>
      <w:r w:rsidRPr="009F551D">
        <w:rPr>
          <w:bCs/>
          <w:i/>
          <w:iCs/>
          <w:lang w:val="fr-FR"/>
        </w:rPr>
        <w:t>Document informel :</w:t>
      </w:r>
      <w:r w:rsidRPr="009F551D">
        <w:rPr>
          <w:bCs/>
          <w:lang w:val="fr-FR"/>
        </w:rPr>
        <w:tab/>
        <w:t>INF.13 (</w:t>
      </w:r>
      <w:proofErr w:type="spellStart"/>
      <w:r w:rsidRPr="009F551D">
        <w:rPr>
          <w:bCs/>
          <w:lang w:val="fr-FR"/>
        </w:rPr>
        <w:t>FuelsEurope</w:t>
      </w:r>
      <w:proofErr w:type="spellEnd"/>
      <w:r w:rsidRPr="009F551D">
        <w:rPr>
          <w:bCs/>
          <w:lang w:val="fr-FR"/>
        </w:rPr>
        <w:t>)</w:t>
      </w:r>
      <w:bookmarkEnd w:id="78"/>
      <w:r w:rsidR="00C93CE5">
        <w:rPr>
          <w:bCs/>
          <w:lang w:val="fr-FR"/>
        </w:rPr>
        <w:t>.</w:t>
      </w:r>
    </w:p>
    <w:p w14:paraId="04C33307" w14:textId="77777777" w:rsidR="006408A6" w:rsidRPr="009F551D" w:rsidRDefault="006408A6" w:rsidP="006408A6">
      <w:pPr>
        <w:pStyle w:val="SingleTxtG"/>
        <w:rPr>
          <w:lang w:val="fr-FR"/>
        </w:rPr>
      </w:pPr>
      <w:r w:rsidRPr="009F551D">
        <w:rPr>
          <w:lang w:val="fr-FR"/>
        </w:rPr>
        <w:t>46.</w:t>
      </w:r>
      <w:r w:rsidRPr="009F551D">
        <w:rPr>
          <w:lang w:val="fr-FR"/>
        </w:rPr>
        <w:tab/>
        <w:t>S</w:t>
      </w:r>
      <w:r>
        <w:rPr>
          <w:lang w:val="fr-FR"/>
        </w:rPr>
        <w:t>’</w:t>
      </w:r>
      <w:r w:rsidRPr="009F551D">
        <w:rPr>
          <w:lang w:val="fr-FR"/>
        </w:rPr>
        <w:t>agissant de la correction portant sur l</w:t>
      </w:r>
      <w:r>
        <w:rPr>
          <w:lang w:val="fr-FR"/>
        </w:rPr>
        <w:t>’</w:t>
      </w:r>
      <w:r w:rsidRPr="009F551D">
        <w:rPr>
          <w:lang w:val="fr-FR"/>
        </w:rPr>
        <w:t>omission du mot « LIQUIDE », le Comité de sécurité a estimé qu</w:t>
      </w:r>
      <w:r>
        <w:rPr>
          <w:lang w:val="fr-FR"/>
        </w:rPr>
        <w:t>’</w:t>
      </w:r>
      <w:r w:rsidRPr="009F551D">
        <w:rPr>
          <w:lang w:val="fr-FR"/>
        </w:rPr>
        <w:t>il était prématuré d</w:t>
      </w:r>
      <w:r>
        <w:rPr>
          <w:lang w:val="fr-FR"/>
        </w:rPr>
        <w:t>’</w:t>
      </w:r>
      <w:r w:rsidRPr="009F551D">
        <w:rPr>
          <w:lang w:val="fr-FR"/>
        </w:rPr>
        <w:t>adopter la proposition et a préféré, dans un premier temps, consulter le groupe de travail informel des matières pour vérifier les raisons possibles de cette omission.</w:t>
      </w:r>
    </w:p>
    <w:p w14:paraId="4F893556" w14:textId="77777777" w:rsidR="006408A6" w:rsidRPr="009F551D" w:rsidRDefault="006408A6" w:rsidP="006408A6">
      <w:pPr>
        <w:pStyle w:val="SingleTxtG"/>
        <w:rPr>
          <w:lang w:val="fr-FR"/>
        </w:rPr>
      </w:pPr>
      <w:r w:rsidRPr="009F551D">
        <w:rPr>
          <w:lang w:val="fr-FR"/>
        </w:rPr>
        <w:t>47.</w:t>
      </w:r>
      <w:r w:rsidRPr="009F551D">
        <w:rPr>
          <w:lang w:val="fr-FR"/>
        </w:rPr>
        <w:tab/>
        <w:t>Le Comité de sécurité n</w:t>
      </w:r>
      <w:r>
        <w:rPr>
          <w:lang w:val="fr-FR"/>
        </w:rPr>
        <w:t>’</w:t>
      </w:r>
      <w:r w:rsidRPr="009F551D">
        <w:rPr>
          <w:lang w:val="fr-FR"/>
        </w:rPr>
        <w:t>a adopté que la correction proposée pour la version allemande au paragraphe 9.</w:t>
      </w:r>
    </w:p>
    <w:p w14:paraId="5DCFFB02" w14:textId="66A6A981" w:rsidR="006408A6" w:rsidRPr="009F551D" w:rsidRDefault="006408A6" w:rsidP="006408A6">
      <w:pPr>
        <w:pStyle w:val="H23G"/>
        <w:rPr>
          <w:lang w:val="fr-FR"/>
        </w:rPr>
      </w:pPr>
      <w:r w:rsidRPr="009F551D">
        <w:rPr>
          <w:lang w:val="fr-FR"/>
        </w:rPr>
        <w:tab/>
        <w:t>20.</w:t>
      </w:r>
      <w:r w:rsidRPr="009F551D">
        <w:rPr>
          <w:lang w:val="fr-FR"/>
        </w:rPr>
        <w:tab/>
      </w:r>
      <w:r w:rsidRPr="009F551D">
        <w:rPr>
          <w:bCs/>
          <w:lang w:val="fr-FR"/>
        </w:rPr>
        <w:t>Incohérence mineure concernant l</w:t>
      </w:r>
      <w:r>
        <w:rPr>
          <w:bCs/>
          <w:lang w:val="fr-FR"/>
        </w:rPr>
        <w:t>’</w:t>
      </w:r>
      <w:r w:rsidRPr="009F551D">
        <w:rPr>
          <w:bCs/>
          <w:lang w:val="fr-FR"/>
        </w:rPr>
        <w:t xml:space="preserve">emplacement autorisé des appareils de cuisson </w:t>
      </w:r>
      <w:r w:rsidR="0001381D">
        <w:rPr>
          <w:bCs/>
          <w:lang w:val="fr-FR"/>
        </w:rPr>
        <w:br/>
      </w:r>
      <w:r w:rsidRPr="009F551D">
        <w:rPr>
          <w:bCs/>
          <w:lang w:val="fr-FR"/>
        </w:rPr>
        <w:t>et de réfrigération entre le 7.2.3.41.2 et le 9.3.x.41.2 de l</w:t>
      </w:r>
      <w:r>
        <w:rPr>
          <w:bCs/>
          <w:lang w:val="fr-FR"/>
        </w:rPr>
        <w:t>’</w:t>
      </w:r>
      <w:r w:rsidRPr="009F551D">
        <w:rPr>
          <w:bCs/>
          <w:lang w:val="fr-FR"/>
        </w:rPr>
        <w:t>ADN</w:t>
      </w:r>
      <w:bookmarkStart w:id="79" w:name="_Toc81410423"/>
      <w:bookmarkEnd w:id="79"/>
    </w:p>
    <w:p w14:paraId="0EDD629B" w14:textId="25097BA6" w:rsidR="006408A6" w:rsidRPr="009F551D" w:rsidRDefault="006408A6" w:rsidP="00C93CE5">
      <w:pPr>
        <w:pStyle w:val="SingleTxtG"/>
        <w:ind w:left="3402" w:hanging="2268"/>
        <w:rPr>
          <w:b/>
          <w:bCs/>
          <w:lang w:val="fr-FR"/>
        </w:rPr>
      </w:pPr>
      <w:bookmarkStart w:id="80" w:name="_Toc81410424"/>
      <w:r w:rsidRPr="009F551D">
        <w:rPr>
          <w:bCs/>
          <w:i/>
          <w:iCs/>
          <w:lang w:val="fr-FR"/>
        </w:rPr>
        <w:t>Document informel :</w:t>
      </w:r>
      <w:r w:rsidRPr="009F551D">
        <w:rPr>
          <w:bCs/>
          <w:lang w:val="fr-FR"/>
        </w:rPr>
        <w:tab/>
        <w:t>INF.15 (UENF et OEB)</w:t>
      </w:r>
      <w:bookmarkEnd w:id="80"/>
      <w:r w:rsidR="00C93CE5">
        <w:rPr>
          <w:bCs/>
          <w:lang w:val="fr-FR"/>
        </w:rPr>
        <w:t>.</w:t>
      </w:r>
    </w:p>
    <w:p w14:paraId="5E1C96D8" w14:textId="77777777" w:rsidR="006408A6" w:rsidRPr="009F551D" w:rsidRDefault="006408A6" w:rsidP="006408A6">
      <w:pPr>
        <w:pStyle w:val="SingleTxtG"/>
        <w:rPr>
          <w:lang w:val="fr-FR"/>
        </w:rPr>
      </w:pPr>
      <w:r w:rsidRPr="009F551D">
        <w:rPr>
          <w:lang w:val="fr-FR"/>
        </w:rPr>
        <w:t>48.</w:t>
      </w:r>
      <w:r w:rsidRPr="009F551D">
        <w:rPr>
          <w:lang w:val="fr-FR"/>
        </w:rPr>
        <w:tab/>
        <w:t>Certains représentants étaient d</w:t>
      </w:r>
      <w:r>
        <w:rPr>
          <w:lang w:val="fr-FR"/>
        </w:rPr>
        <w:t>’</w:t>
      </w:r>
      <w:r w:rsidRPr="009F551D">
        <w:rPr>
          <w:lang w:val="fr-FR"/>
        </w:rPr>
        <w:t>avis que la différence entre les dispositions existait déjà dans l</w:t>
      </w:r>
      <w:r>
        <w:rPr>
          <w:lang w:val="fr-FR"/>
        </w:rPr>
        <w:t>’</w:t>
      </w:r>
      <w:r w:rsidRPr="009F551D">
        <w:rPr>
          <w:lang w:val="fr-FR"/>
        </w:rPr>
        <w:t>édition 1995 de l</w:t>
      </w:r>
      <w:r>
        <w:rPr>
          <w:lang w:val="fr-FR"/>
        </w:rPr>
        <w:t>’</w:t>
      </w:r>
      <w:r w:rsidRPr="009F551D">
        <w:rPr>
          <w:lang w:val="fr-FR"/>
        </w:rPr>
        <w:t>ADNR et qu</w:t>
      </w:r>
      <w:r>
        <w:rPr>
          <w:lang w:val="fr-FR"/>
        </w:rPr>
        <w:t>’</w:t>
      </w:r>
      <w:r w:rsidRPr="009F551D">
        <w:rPr>
          <w:lang w:val="fr-FR"/>
        </w:rPr>
        <w:t>elle était bien justifiée. Il a été recommandé de vérifier également le texte correspondant dans les autres langues officielles de l</w:t>
      </w:r>
      <w:r>
        <w:rPr>
          <w:lang w:val="fr-FR"/>
        </w:rPr>
        <w:t>’</w:t>
      </w:r>
      <w:r w:rsidRPr="009F551D">
        <w:rPr>
          <w:lang w:val="fr-FR"/>
        </w:rPr>
        <w:t>ADN. Le représentant de l</w:t>
      </w:r>
      <w:r>
        <w:rPr>
          <w:lang w:val="fr-FR"/>
        </w:rPr>
        <w:t>’</w:t>
      </w:r>
      <w:r w:rsidRPr="009F551D">
        <w:rPr>
          <w:lang w:val="fr-FR"/>
        </w:rPr>
        <w:t>UENF et de l</w:t>
      </w:r>
      <w:r>
        <w:rPr>
          <w:lang w:val="fr-FR"/>
        </w:rPr>
        <w:t>’</w:t>
      </w:r>
      <w:r w:rsidRPr="009F551D">
        <w:rPr>
          <w:lang w:val="fr-FR"/>
        </w:rPr>
        <w:t>OEB s</w:t>
      </w:r>
      <w:r>
        <w:rPr>
          <w:lang w:val="fr-FR"/>
        </w:rPr>
        <w:t>’</w:t>
      </w:r>
      <w:r w:rsidRPr="009F551D">
        <w:rPr>
          <w:lang w:val="fr-FR"/>
        </w:rPr>
        <w:t>est porté volontaire pour faire des recherches et élaborer un document officiel à examiner à la prochaine session, en janvier 2022.</w:t>
      </w:r>
    </w:p>
    <w:p w14:paraId="09D3C1B3" w14:textId="77777777" w:rsidR="006408A6" w:rsidRPr="009F551D" w:rsidRDefault="006408A6" w:rsidP="006408A6">
      <w:pPr>
        <w:pStyle w:val="H23G"/>
        <w:rPr>
          <w:lang w:val="fr-FR"/>
        </w:rPr>
      </w:pPr>
      <w:r w:rsidRPr="009F551D">
        <w:rPr>
          <w:lang w:val="fr-FR"/>
        </w:rPr>
        <w:lastRenderedPageBreak/>
        <w:tab/>
        <w:t>21.</w:t>
      </w:r>
      <w:r w:rsidRPr="009F551D">
        <w:rPr>
          <w:lang w:val="fr-FR"/>
        </w:rPr>
        <w:tab/>
      </w:r>
      <w:r w:rsidRPr="009F551D">
        <w:rPr>
          <w:bCs/>
          <w:lang w:val="fr-FR"/>
        </w:rPr>
        <w:t>Certificat d</w:t>
      </w:r>
      <w:r>
        <w:rPr>
          <w:bCs/>
          <w:lang w:val="fr-FR"/>
        </w:rPr>
        <w:t>’</w:t>
      </w:r>
      <w:r w:rsidRPr="009F551D">
        <w:rPr>
          <w:bCs/>
          <w:lang w:val="fr-FR"/>
        </w:rPr>
        <w:t>agrément de bateaux à marchandises sèches</w:t>
      </w:r>
      <w:bookmarkStart w:id="81" w:name="_Toc81410425"/>
      <w:bookmarkEnd w:id="81"/>
    </w:p>
    <w:p w14:paraId="1BBAB2B7" w14:textId="77D9623F" w:rsidR="006408A6" w:rsidRPr="009F551D" w:rsidRDefault="006408A6" w:rsidP="00C93CE5">
      <w:pPr>
        <w:pStyle w:val="SingleTxtG"/>
        <w:ind w:left="3402" w:hanging="2268"/>
        <w:rPr>
          <w:b/>
          <w:bCs/>
          <w:lang w:val="fr-FR"/>
        </w:rPr>
      </w:pPr>
      <w:bookmarkStart w:id="82" w:name="_Toc81410426"/>
      <w:r w:rsidRPr="009F551D">
        <w:rPr>
          <w:bCs/>
          <w:i/>
          <w:iCs/>
          <w:lang w:val="fr-FR"/>
        </w:rPr>
        <w:t>Document :</w:t>
      </w:r>
      <w:r w:rsidRPr="009F551D">
        <w:rPr>
          <w:bCs/>
          <w:lang w:val="fr-FR"/>
        </w:rPr>
        <w:tab/>
        <w:t>ECE/TRANS/WP.15/AC.2/2021/27 (Belgique et Pays-Bas)</w:t>
      </w:r>
      <w:bookmarkEnd w:id="82"/>
      <w:r w:rsidR="00C93CE5">
        <w:rPr>
          <w:bCs/>
          <w:lang w:val="fr-FR"/>
        </w:rPr>
        <w:t>.</w:t>
      </w:r>
    </w:p>
    <w:p w14:paraId="6466E348" w14:textId="699B0E02" w:rsidR="006408A6" w:rsidRPr="009F551D" w:rsidRDefault="006408A6" w:rsidP="00C93CE5">
      <w:pPr>
        <w:pStyle w:val="SingleTxtG"/>
        <w:ind w:left="3402" w:hanging="2268"/>
        <w:rPr>
          <w:b/>
          <w:bCs/>
          <w:lang w:val="fr-FR"/>
        </w:rPr>
      </w:pPr>
      <w:bookmarkStart w:id="83" w:name="_Toc81410427"/>
      <w:r w:rsidRPr="009F551D">
        <w:rPr>
          <w:bCs/>
          <w:i/>
          <w:iCs/>
          <w:lang w:val="fr-FR"/>
        </w:rPr>
        <w:t>Document informel :</w:t>
      </w:r>
      <w:r w:rsidRPr="009F551D">
        <w:rPr>
          <w:bCs/>
          <w:lang w:val="fr-FR"/>
        </w:rPr>
        <w:tab/>
        <w:t>INF.20 (Pays-Bas)</w:t>
      </w:r>
      <w:bookmarkEnd w:id="83"/>
      <w:r w:rsidR="00C93CE5">
        <w:rPr>
          <w:bCs/>
          <w:lang w:val="fr-FR"/>
        </w:rPr>
        <w:t>.</w:t>
      </w:r>
    </w:p>
    <w:p w14:paraId="5A2A21F6" w14:textId="77777777" w:rsidR="006408A6" w:rsidRPr="009F551D" w:rsidRDefault="006408A6" w:rsidP="006408A6">
      <w:pPr>
        <w:pStyle w:val="SingleTxtG"/>
        <w:rPr>
          <w:lang w:val="fr-FR"/>
        </w:rPr>
      </w:pPr>
      <w:r w:rsidRPr="009F551D">
        <w:rPr>
          <w:lang w:val="fr-FR"/>
        </w:rPr>
        <w:t>49.</w:t>
      </w:r>
      <w:r w:rsidRPr="009F551D">
        <w:rPr>
          <w:lang w:val="fr-FR"/>
        </w:rPr>
        <w:tab/>
        <w:t>Le Comité de sécurité a examiné le document ECE/TRANS/WP.15/AC.2/2021/27, dans lequel il est proposé de préciser le contenu du certificat d</w:t>
      </w:r>
      <w:r>
        <w:rPr>
          <w:lang w:val="fr-FR"/>
        </w:rPr>
        <w:t>’</w:t>
      </w:r>
      <w:r w:rsidRPr="009F551D">
        <w:rPr>
          <w:lang w:val="fr-FR"/>
        </w:rPr>
        <w:t>agrément des bateaux à marchandises sèches, notamment pour les bateaux visés au 7.1.2.19.1. Après un échange de vues, le Comité de sécurité a adopté les amendements proposés dans le document informel INF.20, y compris l</w:t>
      </w:r>
      <w:r>
        <w:rPr>
          <w:lang w:val="fr-FR"/>
        </w:rPr>
        <w:t>’</w:t>
      </w:r>
      <w:r w:rsidRPr="009F551D">
        <w:rPr>
          <w:lang w:val="fr-FR"/>
        </w:rPr>
        <w:t>option 2 pour le point 8 du certificat d</w:t>
      </w:r>
      <w:r>
        <w:rPr>
          <w:lang w:val="fr-FR"/>
        </w:rPr>
        <w:t>’</w:t>
      </w:r>
      <w:r w:rsidRPr="009F551D">
        <w:rPr>
          <w:lang w:val="fr-FR"/>
        </w:rPr>
        <w:t>agrément (voir l</w:t>
      </w:r>
      <w:r>
        <w:rPr>
          <w:lang w:val="fr-FR"/>
        </w:rPr>
        <w:t>’</w:t>
      </w:r>
      <w:r w:rsidRPr="009F551D">
        <w:rPr>
          <w:lang w:val="fr-FR"/>
        </w:rPr>
        <w:t>annexe I).</w:t>
      </w:r>
    </w:p>
    <w:p w14:paraId="1D65CE49" w14:textId="77777777" w:rsidR="006408A6" w:rsidRPr="009F551D" w:rsidRDefault="006408A6" w:rsidP="0001381D">
      <w:pPr>
        <w:pStyle w:val="HChG"/>
        <w:rPr>
          <w:i/>
          <w:lang w:val="fr-FR"/>
        </w:rPr>
      </w:pPr>
      <w:r w:rsidRPr="009F551D">
        <w:rPr>
          <w:lang w:val="fr-FR"/>
        </w:rPr>
        <w:tab/>
        <w:t>VII.</w:t>
      </w:r>
      <w:r w:rsidRPr="009F551D">
        <w:rPr>
          <w:lang w:val="fr-FR"/>
        </w:rPr>
        <w:tab/>
        <w:t>Rapports des groupes de travail informels (point 5 de l</w:t>
      </w:r>
      <w:r>
        <w:rPr>
          <w:lang w:val="fr-FR"/>
        </w:rPr>
        <w:t>’</w:t>
      </w:r>
      <w:r w:rsidRPr="009F551D">
        <w:rPr>
          <w:lang w:val="fr-FR"/>
        </w:rPr>
        <w:t>ordre du jour)</w:t>
      </w:r>
      <w:bookmarkStart w:id="84" w:name="_Toc81410428"/>
      <w:bookmarkEnd w:id="84"/>
    </w:p>
    <w:p w14:paraId="65A779EB" w14:textId="77777777" w:rsidR="006408A6" w:rsidRPr="009F551D" w:rsidRDefault="006408A6" w:rsidP="0001381D">
      <w:pPr>
        <w:pStyle w:val="H1G"/>
        <w:rPr>
          <w:lang w:val="fr-FR"/>
        </w:rPr>
      </w:pPr>
      <w:r w:rsidRPr="009F551D">
        <w:rPr>
          <w:lang w:val="fr-FR"/>
        </w:rPr>
        <w:tab/>
        <w:t>A.</w:t>
      </w:r>
      <w:r w:rsidRPr="009F551D">
        <w:rPr>
          <w:lang w:val="fr-FR"/>
        </w:rPr>
        <w:tab/>
        <w:t>Rapport de la vingt et unième réunion du groupe de travail informel des sociétés de classification ADN recommandées</w:t>
      </w:r>
      <w:bookmarkStart w:id="85" w:name="_Toc81410429"/>
      <w:bookmarkEnd w:id="85"/>
    </w:p>
    <w:p w14:paraId="64FD1D70" w14:textId="7C755E21" w:rsidR="006408A6" w:rsidRPr="009F551D" w:rsidRDefault="006408A6" w:rsidP="00C93CE5">
      <w:pPr>
        <w:pStyle w:val="SingleTxtG"/>
        <w:ind w:left="3402" w:hanging="2268"/>
        <w:rPr>
          <w:b/>
          <w:bCs/>
          <w:lang w:val="fr-FR"/>
        </w:rPr>
      </w:pPr>
      <w:bookmarkStart w:id="86" w:name="_Toc81410430"/>
      <w:r w:rsidRPr="009F551D">
        <w:rPr>
          <w:bCs/>
          <w:i/>
          <w:iCs/>
          <w:lang w:val="fr-FR"/>
        </w:rPr>
        <w:t>Document :</w:t>
      </w:r>
      <w:r w:rsidRPr="009F551D">
        <w:rPr>
          <w:bCs/>
          <w:lang w:val="fr-FR"/>
        </w:rPr>
        <w:tab/>
        <w:t>ECE/TRANS/WP.15/AC.2/2021/18 (sociétés de classification ADN recommandées)</w:t>
      </w:r>
      <w:bookmarkEnd w:id="86"/>
      <w:r w:rsidR="00C93CE5">
        <w:rPr>
          <w:bCs/>
          <w:lang w:val="fr-FR"/>
        </w:rPr>
        <w:t>.</w:t>
      </w:r>
    </w:p>
    <w:p w14:paraId="5D5F2F32" w14:textId="3DA91E69" w:rsidR="006408A6" w:rsidRPr="009F551D" w:rsidRDefault="006408A6" w:rsidP="00C93CE5">
      <w:pPr>
        <w:pStyle w:val="SingleTxtG"/>
        <w:ind w:left="3402" w:hanging="2268"/>
        <w:rPr>
          <w:b/>
          <w:bCs/>
          <w:lang w:val="fr-FR"/>
        </w:rPr>
      </w:pPr>
      <w:bookmarkStart w:id="87" w:name="_Toc81410431"/>
      <w:r w:rsidRPr="009F551D">
        <w:rPr>
          <w:bCs/>
          <w:i/>
          <w:iCs/>
          <w:lang w:val="fr-FR"/>
        </w:rPr>
        <w:t>Document informel :</w:t>
      </w:r>
      <w:r w:rsidRPr="009F551D">
        <w:rPr>
          <w:bCs/>
          <w:lang w:val="fr-FR"/>
        </w:rPr>
        <w:tab/>
        <w:t>INF.16 (Allemagne)</w:t>
      </w:r>
      <w:bookmarkEnd w:id="87"/>
      <w:r w:rsidR="00C93CE5">
        <w:rPr>
          <w:bCs/>
          <w:lang w:val="fr-FR"/>
        </w:rPr>
        <w:t>.</w:t>
      </w:r>
    </w:p>
    <w:p w14:paraId="27A28561" w14:textId="77777777" w:rsidR="006408A6" w:rsidRPr="009F551D" w:rsidRDefault="006408A6" w:rsidP="006408A6">
      <w:pPr>
        <w:pStyle w:val="SingleTxtG"/>
        <w:rPr>
          <w:lang w:val="fr-FR"/>
        </w:rPr>
      </w:pPr>
      <w:r w:rsidRPr="009F551D">
        <w:rPr>
          <w:lang w:val="fr-FR"/>
        </w:rPr>
        <w:t>50.</w:t>
      </w:r>
      <w:r w:rsidRPr="009F551D">
        <w:rPr>
          <w:lang w:val="fr-FR"/>
        </w:rPr>
        <w:tab/>
        <w:t>Le Comité de sécurité a accueilli avec intérêt le rapport de la vingt et unième réunion du groupe de travail informel des sociétés de classification ADN recommandées (ECE/TRANS/WP.15/AC.2/2021/18) et a formulé des observations sur les points suivants du document :</w:t>
      </w:r>
    </w:p>
    <w:p w14:paraId="20E3A984" w14:textId="77777777" w:rsidR="006408A6" w:rsidRPr="009F551D" w:rsidRDefault="006408A6" w:rsidP="006408A6">
      <w:pPr>
        <w:pStyle w:val="SingleTxtG"/>
        <w:tabs>
          <w:tab w:val="left" w:pos="1418"/>
        </w:tabs>
        <w:ind w:left="2268" w:hanging="1134"/>
        <w:rPr>
          <w:lang w:val="fr-FR"/>
        </w:rPr>
      </w:pPr>
      <w:r w:rsidRPr="009F551D">
        <w:rPr>
          <w:lang w:val="fr-FR"/>
        </w:rPr>
        <w:t>II. b)</w:t>
      </w:r>
      <w:r w:rsidRPr="009F551D">
        <w:rPr>
          <w:lang w:val="fr-FR"/>
        </w:rPr>
        <w:tab/>
        <w:t>Le Comité a recommandé instamment aux auteurs du projet de lui soumettre leur proposition dans un document officiel afin que celle-ci puisse être traduite dans toutes les langues officielles et a rappelé que la date limite de soumission des documents officiels en vue de la session de janvier 2022 était le 29 octobre 2021 ;</w:t>
      </w:r>
    </w:p>
    <w:p w14:paraId="58EAE72C" w14:textId="77777777" w:rsidR="006408A6" w:rsidRPr="009F551D" w:rsidRDefault="006408A6" w:rsidP="006408A6">
      <w:pPr>
        <w:pStyle w:val="SingleTxtG"/>
        <w:tabs>
          <w:tab w:val="left" w:pos="1418"/>
        </w:tabs>
        <w:ind w:left="2268" w:hanging="1134"/>
        <w:rPr>
          <w:lang w:val="fr-FR"/>
        </w:rPr>
      </w:pPr>
      <w:r w:rsidRPr="009F551D">
        <w:rPr>
          <w:lang w:val="fr-FR"/>
        </w:rPr>
        <w:t>II. h)</w:t>
      </w:r>
      <w:r w:rsidRPr="009F551D">
        <w:rPr>
          <w:lang w:val="fr-FR"/>
        </w:rPr>
        <w:tab/>
        <w:t>Il a demandé instamment aux sociétés de classification ADN recommandées de lui présenter des réponses aux questions déjà soulevées aux vingt-troisième et vingt-quatrième sessions du Comité d</w:t>
      </w:r>
      <w:r>
        <w:rPr>
          <w:lang w:val="fr-FR"/>
        </w:rPr>
        <w:t>’</w:t>
      </w:r>
      <w:r w:rsidRPr="009F551D">
        <w:rPr>
          <w:lang w:val="fr-FR"/>
        </w:rPr>
        <w:t>administration de l</w:t>
      </w:r>
      <w:r>
        <w:rPr>
          <w:lang w:val="fr-FR"/>
        </w:rPr>
        <w:t>’</w:t>
      </w:r>
      <w:r w:rsidRPr="009F551D">
        <w:rPr>
          <w:lang w:val="fr-FR"/>
        </w:rPr>
        <w:t>ADN</w:t>
      </w:r>
      <w:r w:rsidRPr="009F551D">
        <w:rPr>
          <w:rStyle w:val="Appelnotedebasdep"/>
          <w:lang w:val="fr-FR"/>
        </w:rPr>
        <w:footnoteReference w:id="3"/>
      </w:r>
      <w:r w:rsidRPr="009F551D">
        <w:rPr>
          <w:lang w:val="fr-FR"/>
        </w:rPr>
        <w:t xml:space="preserve"> (notamment en ce qui concerne l</w:t>
      </w:r>
      <w:r>
        <w:rPr>
          <w:lang w:val="fr-FR"/>
        </w:rPr>
        <w:t>’</w:t>
      </w:r>
      <w:r w:rsidRPr="009F551D">
        <w:rPr>
          <w:lang w:val="fr-FR"/>
        </w:rPr>
        <w:t>équivalence des certificats délivrés conformément à la norme ISO 9001 et à la norme ISO/CEI 17020, et la révision du chapitre 1.15 de l</w:t>
      </w:r>
      <w:r>
        <w:rPr>
          <w:lang w:val="fr-FR"/>
        </w:rPr>
        <w:t>’</w:t>
      </w:r>
      <w:r w:rsidRPr="009F551D">
        <w:rPr>
          <w:lang w:val="fr-FR"/>
        </w:rPr>
        <w:t>ADN, visant à préciser la manière de présenter à l</w:t>
      </w:r>
      <w:r>
        <w:rPr>
          <w:lang w:val="fr-FR"/>
        </w:rPr>
        <w:t>’</w:t>
      </w:r>
      <w:r w:rsidRPr="009F551D">
        <w:rPr>
          <w:lang w:val="fr-FR"/>
        </w:rPr>
        <w:t>avenir les informations sur la conformité et à déceler les éventuels problèmes avec les prescriptions, en particulier la disposition 1.15.3.8 de l</w:t>
      </w:r>
      <w:r>
        <w:rPr>
          <w:lang w:val="fr-FR"/>
        </w:rPr>
        <w:t>’</w:t>
      </w:r>
      <w:r w:rsidRPr="009F551D">
        <w:rPr>
          <w:lang w:val="fr-FR"/>
        </w:rPr>
        <w:t>ADN) ;</w:t>
      </w:r>
    </w:p>
    <w:p w14:paraId="46B361FE" w14:textId="77777777" w:rsidR="006408A6" w:rsidRPr="009F551D" w:rsidRDefault="006408A6" w:rsidP="006408A6">
      <w:pPr>
        <w:pStyle w:val="SingleTxtG"/>
        <w:tabs>
          <w:tab w:val="left" w:pos="1418"/>
        </w:tabs>
        <w:ind w:left="2268" w:hanging="1134"/>
        <w:rPr>
          <w:lang w:val="fr-FR"/>
        </w:rPr>
      </w:pPr>
      <w:r w:rsidRPr="009F551D">
        <w:rPr>
          <w:lang w:val="fr-FR"/>
        </w:rPr>
        <w:t>III. a)</w:t>
      </w:r>
      <w:r w:rsidRPr="009F551D">
        <w:rPr>
          <w:lang w:val="fr-FR"/>
        </w:rPr>
        <w:tab/>
        <w:t>Suite à la présentation du document informel INF.16, le Comité a confirmé que la version actuelle du texte de l</w:t>
      </w:r>
      <w:r>
        <w:rPr>
          <w:lang w:val="fr-FR"/>
        </w:rPr>
        <w:t>’</w:t>
      </w:r>
      <w:r w:rsidRPr="009F551D">
        <w:rPr>
          <w:lang w:val="fr-FR"/>
        </w:rPr>
        <w:t>ADN ne prévoyait des dispositions transitoires que pour la classe de température et le groupe d</w:t>
      </w:r>
      <w:r>
        <w:rPr>
          <w:lang w:val="fr-FR"/>
        </w:rPr>
        <w:t>’</w:t>
      </w:r>
      <w:r w:rsidRPr="009F551D">
        <w:rPr>
          <w:lang w:val="fr-FR"/>
        </w:rPr>
        <w:t>explosion des installations et équipements non électriques, mais pas pour l</w:t>
      </w:r>
      <w:r>
        <w:rPr>
          <w:lang w:val="fr-FR"/>
        </w:rPr>
        <w:t>’</w:t>
      </w:r>
      <w:r w:rsidRPr="009F551D">
        <w:rPr>
          <w:lang w:val="fr-FR"/>
        </w:rPr>
        <w:t>emplacement auquel ceux-ci pouvaient être utilisés ;</w:t>
      </w:r>
    </w:p>
    <w:p w14:paraId="6AC33366" w14:textId="77777777" w:rsidR="006408A6" w:rsidRPr="009F551D" w:rsidRDefault="006408A6" w:rsidP="006408A6">
      <w:pPr>
        <w:pStyle w:val="SingleTxtG"/>
        <w:tabs>
          <w:tab w:val="left" w:pos="1418"/>
        </w:tabs>
        <w:ind w:left="2268" w:hanging="1134"/>
        <w:rPr>
          <w:lang w:val="fr-FR"/>
        </w:rPr>
      </w:pPr>
      <w:r w:rsidRPr="009F551D">
        <w:rPr>
          <w:lang w:val="fr-FR"/>
        </w:rPr>
        <w:t>III. b)</w:t>
      </w:r>
      <w:r w:rsidRPr="009F551D">
        <w:rPr>
          <w:lang w:val="fr-FR"/>
        </w:rPr>
        <w:tab/>
        <w:t>Le Comité a demandé que les sociétés de classification ADN recommandées présentent, dans un document officiel établi en vue de la session de janvier 2022, tous les amendements à prévoir pour clarifier le texte de l</w:t>
      </w:r>
      <w:r>
        <w:rPr>
          <w:lang w:val="fr-FR"/>
        </w:rPr>
        <w:t>’</w:t>
      </w:r>
      <w:r w:rsidRPr="009F551D">
        <w:rPr>
          <w:lang w:val="fr-FR"/>
        </w:rPr>
        <w:t>ADN ;</w:t>
      </w:r>
    </w:p>
    <w:p w14:paraId="5D97BFFF" w14:textId="77777777" w:rsidR="006408A6" w:rsidRPr="009F551D" w:rsidRDefault="006408A6" w:rsidP="006408A6">
      <w:pPr>
        <w:pStyle w:val="SingleTxtG"/>
        <w:tabs>
          <w:tab w:val="left" w:pos="1418"/>
        </w:tabs>
        <w:ind w:left="2268" w:hanging="1134"/>
        <w:rPr>
          <w:lang w:val="fr-FR"/>
        </w:rPr>
      </w:pPr>
      <w:r w:rsidRPr="009F551D">
        <w:rPr>
          <w:lang w:val="fr-FR"/>
        </w:rPr>
        <w:t>III. e)</w:t>
      </w:r>
      <w:r w:rsidRPr="009F551D">
        <w:rPr>
          <w:lang w:val="fr-FR"/>
        </w:rPr>
        <w:tab/>
        <w:t>Il a demandé instamment aux membres des sociétés de classification ADN recommandées de déterminer s</w:t>
      </w:r>
      <w:r>
        <w:rPr>
          <w:lang w:val="fr-FR"/>
        </w:rPr>
        <w:t>’</w:t>
      </w:r>
      <w:r w:rsidRPr="009F551D">
        <w:rPr>
          <w:lang w:val="fr-FR"/>
        </w:rPr>
        <w:t>il était nécessaire d</w:t>
      </w:r>
      <w:r>
        <w:rPr>
          <w:lang w:val="fr-FR"/>
        </w:rPr>
        <w:t>’</w:t>
      </w:r>
      <w:r w:rsidRPr="009F551D">
        <w:rPr>
          <w:lang w:val="fr-FR"/>
        </w:rPr>
        <w:t>élaborer, en plus des prescriptions générales ES-TRIN, des règles de sécurité particulières pour les bateaux transportant des marchandises dangereuses et s</w:t>
      </w:r>
      <w:r>
        <w:rPr>
          <w:lang w:val="fr-FR"/>
        </w:rPr>
        <w:t xml:space="preserve">’il pouvait y avoir </w:t>
      </w:r>
      <w:r w:rsidRPr="009F551D">
        <w:rPr>
          <w:lang w:val="fr-FR"/>
        </w:rPr>
        <w:t xml:space="preserve">des interactions dangereuses entre les marchandises dangereuses transportées et les unités de production </w:t>
      </w:r>
      <w:r>
        <w:rPr>
          <w:lang w:val="fr-FR"/>
        </w:rPr>
        <w:t>ou</w:t>
      </w:r>
      <w:r w:rsidRPr="009F551D">
        <w:rPr>
          <w:lang w:val="fr-FR"/>
        </w:rPr>
        <w:t xml:space="preserve"> de stockage d</w:t>
      </w:r>
      <w:r>
        <w:rPr>
          <w:lang w:val="fr-FR"/>
        </w:rPr>
        <w:t>’</w:t>
      </w:r>
      <w:r w:rsidRPr="009F551D">
        <w:rPr>
          <w:lang w:val="fr-FR"/>
        </w:rPr>
        <w:t>énergie utilisées ;</w:t>
      </w:r>
    </w:p>
    <w:p w14:paraId="21AD81B7" w14:textId="47F6F55F" w:rsidR="006408A6" w:rsidRPr="005F58E9" w:rsidRDefault="006408A6" w:rsidP="006408A6">
      <w:pPr>
        <w:pStyle w:val="SingleTxtG"/>
        <w:tabs>
          <w:tab w:val="left" w:pos="1418"/>
        </w:tabs>
        <w:ind w:left="2268" w:hanging="1134"/>
        <w:rPr>
          <w:spacing w:val="-2"/>
          <w:lang w:val="fr-FR"/>
        </w:rPr>
      </w:pPr>
      <w:r w:rsidRPr="005F58E9">
        <w:rPr>
          <w:spacing w:val="-2"/>
          <w:lang w:val="fr-FR"/>
        </w:rPr>
        <w:lastRenderedPageBreak/>
        <w:t>V. a)</w:t>
      </w:r>
      <w:r w:rsidRPr="005F58E9">
        <w:rPr>
          <w:spacing w:val="-2"/>
          <w:lang w:val="fr-FR"/>
        </w:rPr>
        <w:tab/>
        <w:t>Il a confirmé que si tel ou tel bateau était autorisé avant le 31 décembre 2008 à transporter des matières relevant du No ONU 3082 MATIÈRE DANGEREUSE DU POINT DE VUE DE L’ENVIRONNEMENT, LIQUIDE, N.S.A. (EAU DE FOND DE CALE, EXEMPTE DE BOUES D’HYDROCARBURES), du No</w:t>
      </w:r>
      <w:r w:rsidR="005F58E9">
        <w:rPr>
          <w:spacing w:val="-2"/>
          <w:lang w:val="fr-FR"/>
        </w:rPr>
        <w:t> </w:t>
      </w:r>
      <w:r w:rsidRPr="005F58E9">
        <w:rPr>
          <w:spacing w:val="-2"/>
          <w:lang w:val="fr-FR"/>
        </w:rPr>
        <w:t>ONU 3082 MATIÈRE DANGEREUSE DU POINT DE VUE DE L’ENVIRONNEMENT, LIQUIDE, N.S.A. (EAU DE FOND DE CALE, CONTIENT DES BOUES D’HYDROCARBURES) ou du No ONU 3082 MATIÈRE DANGEREUSE DU POINT DE VUE DE L’ENVIRONNEMENT, LIQUIDE, N.S.A. (BOUES D’HYDROCARBURES), alors ces matières, classées dans la rubrique ONU correspondante, pouvaient être ajoutées à la liste des matières transportées par ce bateau.</w:t>
      </w:r>
    </w:p>
    <w:p w14:paraId="1856086C" w14:textId="77777777" w:rsidR="006408A6" w:rsidRPr="009F551D" w:rsidRDefault="006408A6" w:rsidP="006408A6">
      <w:pPr>
        <w:pStyle w:val="SingleTxtG"/>
        <w:rPr>
          <w:b/>
          <w:lang w:val="fr-FR"/>
        </w:rPr>
      </w:pPr>
      <w:r w:rsidRPr="009F551D">
        <w:rPr>
          <w:lang w:val="fr-FR"/>
        </w:rPr>
        <w:t>51.</w:t>
      </w:r>
      <w:r w:rsidRPr="009F551D">
        <w:rPr>
          <w:lang w:val="fr-FR"/>
        </w:rPr>
        <w:tab/>
        <w:t>S</w:t>
      </w:r>
      <w:r>
        <w:rPr>
          <w:lang w:val="fr-FR"/>
        </w:rPr>
        <w:t>’</w:t>
      </w:r>
      <w:r w:rsidRPr="009F551D">
        <w:rPr>
          <w:lang w:val="fr-FR"/>
        </w:rPr>
        <w:t>agissant du document informel INF.16, le Comité a invité le groupe de travail informel des sociétés de classification ADN recommandées à donner plus de détails sur le domaine d</w:t>
      </w:r>
      <w:r>
        <w:rPr>
          <w:lang w:val="fr-FR"/>
        </w:rPr>
        <w:t>’</w:t>
      </w:r>
      <w:r w:rsidRPr="009F551D">
        <w:rPr>
          <w:lang w:val="fr-FR"/>
        </w:rPr>
        <w:t>application de la disposition transitoire actuelle relative aux installations et équipements non électriques et a décidé d</w:t>
      </w:r>
      <w:r>
        <w:rPr>
          <w:lang w:val="fr-FR"/>
        </w:rPr>
        <w:t>’</w:t>
      </w:r>
      <w:r w:rsidRPr="009F551D">
        <w:rPr>
          <w:lang w:val="fr-FR"/>
        </w:rPr>
        <w:t>établir une liste exhaustive des équipements.</w:t>
      </w:r>
    </w:p>
    <w:p w14:paraId="378DE0E4" w14:textId="68301FE5" w:rsidR="006408A6" w:rsidRPr="009F551D" w:rsidRDefault="006408A6" w:rsidP="006408A6">
      <w:pPr>
        <w:pStyle w:val="H1G"/>
        <w:rPr>
          <w:lang w:val="fr-FR"/>
        </w:rPr>
      </w:pPr>
      <w:r w:rsidRPr="009F551D">
        <w:rPr>
          <w:lang w:val="fr-FR"/>
        </w:rPr>
        <w:tab/>
        <w:t>B.</w:t>
      </w:r>
      <w:r w:rsidRPr="009F551D">
        <w:rPr>
          <w:lang w:val="fr-FR"/>
        </w:rPr>
        <w:tab/>
      </w:r>
      <w:r w:rsidRPr="009F551D">
        <w:rPr>
          <w:bCs/>
          <w:lang w:val="fr-FR"/>
        </w:rPr>
        <w:t xml:space="preserve">Rapport de la cinquième réunion du groupe de travail informel </w:t>
      </w:r>
      <w:r w:rsidR="005F58E9">
        <w:rPr>
          <w:bCs/>
          <w:lang w:val="fr-FR"/>
        </w:rPr>
        <w:br/>
      </w:r>
      <w:r w:rsidRPr="002E069D">
        <w:rPr>
          <w:rStyle w:val="normaltextrun"/>
          <w:shd w:val="clear" w:color="auto" w:fill="FFFFFF"/>
          <w:lang w:val="fr-FR"/>
        </w:rPr>
        <w:t xml:space="preserve">du </w:t>
      </w:r>
      <w:proofErr w:type="spellStart"/>
      <w:r w:rsidRPr="002E069D">
        <w:rPr>
          <w:rStyle w:val="normaltextrun"/>
          <w:shd w:val="clear" w:color="auto" w:fill="FFFFFF"/>
          <w:lang w:val="fr-FR"/>
        </w:rPr>
        <w:t>cochargement</w:t>
      </w:r>
      <w:proofErr w:type="spellEnd"/>
      <w:r w:rsidRPr="005F58E9">
        <w:rPr>
          <w:rStyle w:val="normaltextrun"/>
          <w:shd w:val="clear" w:color="auto" w:fill="FFFFFF"/>
          <w:lang w:val="fr-FR"/>
        </w:rPr>
        <w:t xml:space="preserve"> </w:t>
      </w:r>
      <w:r w:rsidRPr="009F551D">
        <w:rPr>
          <w:bCs/>
          <w:lang w:val="fr-FR"/>
        </w:rPr>
        <w:t>de marchandises à bord des barges</w:t>
      </w:r>
      <w:bookmarkStart w:id="88" w:name="_Toc81410432"/>
      <w:bookmarkEnd w:id="88"/>
    </w:p>
    <w:p w14:paraId="58F95382" w14:textId="5073FFE8" w:rsidR="006408A6" w:rsidRPr="009F551D" w:rsidRDefault="006408A6" w:rsidP="00C93CE5">
      <w:pPr>
        <w:pStyle w:val="SingleTxtG"/>
        <w:ind w:left="3402" w:hanging="2268"/>
        <w:rPr>
          <w:b/>
          <w:lang w:val="fr-FR"/>
        </w:rPr>
      </w:pPr>
      <w:bookmarkStart w:id="89" w:name="_Toc81410433"/>
      <w:r w:rsidRPr="009F551D">
        <w:rPr>
          <w:i/>
          <w:iCs/>
          <w:lang w:val="fr-FR"/>
        </w:rPr>
        <w:t>Document :</w:t>
      </w:r>
      <w:r w:rsidRPr="009F551D">
        <w:rPr>
          <w:lang w:val="fr-FR"/>
        </w:rPr>
        <w:tab/>
        <w:t>ECE/TRANS/WP.15/AC.2/2021/29 (Pays-Bas)</w:t>
      </w:r>
      <w:bookmarkEnd w:id="89"/>
      <w:r w:rsidR="00C93CE5">
        <w:rPr>
          <w:lang w:val="fr-FR"/>
        </w:rPr>
        <w:t>.</w:t>
      </w:r>
    </w:p>
    <w:p w14:paraId="70058368" w14:textId="77777777" w:rsidR="006408A6" w:rsidRPr="009F551D" w:rsidRDefault="006408A6" w:rsidP="006408A6">
      <w:pPr>
        <w:pStyle w:val="SingleTxtG"/>
        <w:rPr>
          <w:lang w:val="fr-FR"/>
        </w:rPr>
      </w:pPr>
      <w:r w:rsidRPr="009F551D">
        <w:rPr>
          <w:lang w:val="fr-FR"/>
        </w:rPr>
        <w:t>52.</w:t>
      </w:r>
      <w:r w:rsidRPr="009F551D">
        <w:rPr>
          <w:lang w:val="fr-FR"/>
        </w:rPr>
        <w:tab/>
        <w:t>Le représentant de la délégation néerlandaise a rendu compte des résultats de la réunion du groupe de travail informel tenue à distance les 22 et 23 avril 2021.</w:t>
      </w:r>
    </w:p>
    <w:p w14:paraId="1E8F1D2D" w14:textId="77777777" w:rsidR="006408A6" w:rsidRPr="009F551D" w:rsidRDefault="006408A6" w:rsidP="006408A6">
      <w:pPr>
        <w:pStyle w:val="SingleTxtG"/>
        <w:rPr>
          <w:lang w:val="fr-FR"/>
        </w:rPr>
      </w:pPr>
      <w:r w:rsidRPr="009F551D">
        <w:rPr>
          <w:lang w:val="fr-FR"/>
        </w:rPr>
        <w:t>53.</w:t>
      </w:r>
      <w:r w:rsidRPr="009F551D">
        <w:rPr>
          <w:lang w:val="fr-FR"/>
        </w:rPr>
        <w:tab/>
        <w:t>S</w:t>
      </w:r>
      <w:r>
        <w:rPr>
          <w:lang w:val="fr-FR"/>
        </w:rPr>
        <w:t>’</w:t>
      </w:r>
      <w:r w:rsidRPr="009F551D">
        <w:rPr>
          <w:lang w:val="fr-FR"/>
        </w:rPr>
        <w:t xml:space="preserve">agissant du cas 3 a), le Comité de sécurité a approuvé les principes proposés pour le </w:t>
      </w:r>
      <w:proofErr w:type="spellStart"/>
      <w:r>
        <w:rPr>
          <w:lang w:val="fr-FR"/>
        </w:rPr>
        <w:t>co</w:t>
      </w:r>
      <w:r w:rsidRPr="009F551D">
        <w:rPr>
          <w:lang w:val="fr-FR"/>
        </w:rPr>
        <w:t>chargement</w:t>
      </w:r>
      <w:proofErr w:type="spellEnd"/>
      <w:r w:rsidRPr="009F551D">
        <w:rPr>
          <w:lang w:val="fr-FR"/>
        </w:rPr>
        <w:t xml:space="preserve"> </w:t>
      </w:r>
      <w:r>
        <w:rPr>
          <w:lang w:val="fr-FR"/>
        </w:rPr>
        <w:t>d’une</w:t>
      </w:r>
      <w:r w:rsidRPr="009F551D">
        <w:rPr>
          <w:lang w:val="fr-FR"/>
        </w:rPr>
        <w:t xml:space="preserve"> même marchandise, c</w:t>
      </w:r>
      <w:r>
        <w:rPr>
          <w:lang w:val="fr-FR"/>
        </w:rPr>
        <w:t>’</w:t>
      </w:r>
      <w:r w:rsidRPr="009F551D">
        <w:rPr>
          <w:lang w:val="fr-FR"/>
        </w:rPr>
        <w:t>est-à-dire le chargement d</w:t>
      </w:r>
      <w:r>
        <w:rPr>
          <w:lang w:val="fr-FR"/>
        </w:rPr>
        <w:t>’</w:t>
      </w:r>
      <w:r w:rsidRPr="009F551D">
        <w:rPr>
          <w:lang w:val="fr-FR"/>
        </w:rPr>
        <w:t xml:space="preserve">une marchandise dangereuse </w:t>
      </w:r>
      <w:r>
        <w:rPr>
          <w:lang w:val="fr-FR"/>
        </w:rPr>
        <w:t xml:space="preserve">dans une citerne où a été précédemment chargée </w:t>
      </w:r>
      <w:r w:rsidRPr="009F551D">
        <w:rPr>
          <w:lang w:val="fr-FR"/>
        </w:rPr>
        <w:t xml:space="preserve">une marchandise dangereuse du même numéro ONU et de la même rubrique dans le tableau C. Il a néanmoins été objecté que la prudence était </w:t>
      </w:r>
      <w:r>
        <w:rPr>
          <w:lang w:val="fr-FR"/>
        </w:rPr>
        <w:t>en général de mise</w:t>
      </w:r>
      <w:r w:rsidRPr="009F551D">
        <w:rPr>
          <w:lang w:val="fr-FR"/>
        </w:rPr>
        <w:t xml:space="preserve"> dans </w:t>
      </w:r>
      <w:r>
        <w:rPr>
          <w:lang w:val="fr-FR"/>
        </w:rPr>
        <w:t>un tel cas</w:t>
      </w:r>
      <w:r w:rsidRPr="009F551D">
        <w:rPr>
          <w:lang w:val="fr-FR"/>
        </w:rPr>
        <w:t xml:space="preserve">, puisque des réactions dangereuses pouvaient </w:t>
      </w:r>
      <w:r>
        <w:rPr>
          <w:lang w:val="fr-FR"/>
        </w:rPr>
        <w:t xml:space="preserve">aussi </w:t>
      </w:r>
      <w:r w:rsidRPr="009F551D">
        <w:rPr>
          <w:lang w:val="fr-FR"/>
        </w:rPr>
        <w:t xml:space="preserve">se produire </w:t>
      </w:r>
      <w:r>
        <w:rPr>
          <w:lang w:val="fr-FR"/>
        </w:rPr>
        <w:t>entre</w:t>
      </w:r>
      <w:r w:rsidRPr="009F551D">
        <w:rPr>
          <w:lang w:val="fr-FR"/>
        </w:rPr>
        <w:t xml:space="preserve"> des matières </w:t>
      </w:r>
      <w:r>
        <w:rPr>
          <w:lang w:val="fr-FR"/>
        </w:rPr>
        <w:t>du</w:t>
      </w:r>
      <w:r w:rsidRPr="009F551D">
        <w:rPr>
          <w:lang w:val="fr-FR"/>
        </w:rPr>
        <w:t xml:space="preserve"> même numéro ONU. Il a été </w:t>
      </w:r>
      <w:r>
        <w:rPr>
          <w:lang w:val="fr-FR"/>
        </w:rPr>
        <w:t>proposé</w:t>
      </w:r>
      <w:r w:rsidRPr="009F551D">
        <w:rPr>
          <w:lang w:val="fr-FR"/>
        </w:rPr>
        <w:t xml:space="preserve"> que le groupe de travail informel des matières évalue le tableau C en vue d</w:t>
      </w:r>
      <w:r>
        <w:rPr>
          <w:lang w:val="fr-FR"/>
        </w:rPr>
        <w:t>’</w:t>
      </w:r>
      <w:r w:rsidRPr="009F551D">
        <w:rPr>
          <w:lang w:val="fr-FR"/>
        </w:rPr>
        <w:t xml:space="preserve">établir une « liste positive » de matières dont le </w:t>
      </w:r>
      <w:proofErr w:type="spellStart"/>
      <w:r>
        <w:rPr>
          <w:lang w:val="fr-FR"/>
        </w:rPr>
        <w:t>co</w:t>
      </w:r>
      <w:r w:rsidRPr="009F551D">
        <w:rPr>
          <w:lang w:val="fr-FR"/>
        </w:rPr>
        <w:t>chargement</w:t>
      </w:r>
      <w:proofErr w:type="spellEnd"/>
      <w:r w:rsidRPr="009F551D">
        <w:rPr>
          <w:lang w:val="fr-FR"/>
        </w:rPr>
        <w:t xml:space="preserve"> pourrait être autorisé (à l</w:t>
      </w:r>
      <w:r>
        <w:rPr>
          <w:lang w:val="fr-FR"/>
        </w:rPr>
        <w:t>’</w:t>
      </w:r>
      <w:r w:rsidRPr="009F551D">
        <w:rPr>
          <w:lang w:val="fr-FR"/>
        </w:rPr>
        <w:t>issue d</w:t>
      </w:r>
      <w:r>
        <w:rPr>
          <w:lang w:val="fr-FR"/>
        </w:rPr>
        <w:t>’</w:t>
      </w:r>
      <w:r w:rsidRPr="009F551D">
        <w:rPr>
          <w:lang w:val="fr-FR"/>
        </w:rPr>
        <w:t xml:space="preserve">épreuves appropriées, au besoin), laquelle pourrait être complétée </w:t>
      </w:r>
      <w:r>
        <w:rPr>
          <w:lang w:val="fr-FR"/>
        </w:rPr>
        <w:t>à l’avenir</w:t>
      </w:r>
      <w:r w:rsidRPr="009F551D">
        <w:rPr>
          <w:lang w:val="fr-FR"/>
        </w:rPr>
        <w:t>.</w:t>
      </w:r>
    </w:p>
    <w:p w14:paraId="735F0C81" w14:textId="2682B4C8" w:rsidR="006408A6" w:rsidRPr="009F551D" w:rsidRDefault="006408A6" w:rsidP="005F58E9">
      <w:pPr>
        <w:pStyle w:val="SingleTxtG"/>
        <w:rPr>
          <w:lang w:val="fr-FR"/>
        </w:rPr>
      </w:pPr>
      <w:r w:rsidRPr="009F551D">
        <w:rPr>
          <w:lang w:val="fr-FR"/>
        </w:rPr>
        <w:t>54.</w:t>
      </w:r>
      <w:r w:rsidRPr="009F551D">
        <w:rPr>
          <w:lang w:val="fr-FR"/>
        </w:rPr>
        <w:tab/>
      </w:r>
      <w:r>
        <w:rPr>
          <w:lang w:val="fr-FR"/>
        </w:rPr>
        <w:t>S’agissant du</w:t>
      </w:r>
      <w:r w:rsidRPr="009F551D">
        <w:rPr>
          <w:lang w:val="fr-FR"/>
        </w:rPr>
        <w:t xml:space="preserve"> cas 3 b), il a été </w:t>
      </w:r>
      <w:r>
        <w:rPr>
          <w:lang w:val="fr-FR"/>
        </w:rPr>
        <w:t>proposé</w:t>
      </w:r>
      <w:r w:rsidRPr="009F551D">
        <w:rPr>
          <w:lang w:val="fr-FR"/>
        </w:rPr>
        <w:t xml:space="preserve"> que le groupe de travail informel </w:t>
      </w:r>
      <w:r>
        <w:rPr>
          <w:lang w:val="fr-FR"/>
        </w:rPr>
        <w:t>continue de chercher</w:t>
      </w:r>
      <w:r w:rsidRPr="009F551D">
        <w:rPr>
          <w:lang w:val="fr-FR"/>
        </w:rPr>
        <w:t xml:space="preserve"> </w:t>
      </w:r>
      <w:r>
        <w:rPr>
          <w:lang w:val="fr-FR"/>
        </w:rPr>
        <w:t xml:space="preserve">à quel </w:t>
      </w:r>
      <w:r w:rsidRPr="009F551D">
        <w:rPr>
          <w:lang w:val="fr-FR"/>
        </w:rPr>
        <w:t>instrument juridique</w:t>
      </w:r>
      <w:r>
        <w:rPr>
          <w:lang w:val="fr-FR"/>
        </w:rPr>
        <w:t xml:space="preserve"> </w:t>
      </w:r>
      <w:r w:rsidRPr="009F551D">
        <w:rPr>
          <w:lang w:val="fr-FR"/>
        </w:rPr>
        <w:t>l</w:t>
      </w:r>
      <w:r>
        <w:rPr>
          <w:lang w:val="fr-FR"/>
        </w:rPr>
        <w:t>’</w:t>
      </w:r>
      <w:r w:rsidRPr="009F551D">
        <w:rPr>
          <w:lang w:val="fr-FR"/>
        </w:rPr>
        <w:t>ADN pourrait faire référence afin de faciliter les</w:t>
      </w:r>
      <w:r>
        <w:rPr>
          <w:lang w:val="fr-FR"/>
        </w:rPr>
        <w:t xml:space="preserve"> </w:t>
      </w:r>
      <w:proofErr w:type="spellStart"/>
      <w:r w:rsidRPr="004B46CE">
        <w:rPr>
          <w:rStyle w:val="normaltextrun"/>
          <w:shd w:val="clear" w:color="auto" w:fill="FFFFFF"/>
          <w:lang w:val="fr-FR"/>
        </w:rPr>
        <w:t>cochargements</w:t>
      </w:r>
      <w:proofErr w:type="spellEnd"/>
      <w:r w:rsidRPr="009F551D">
        <w:rPr>
          <w:lang w:val="fr-FR"/>
        </w:rPr>
        <w:t>. Le représentant de la Belgique a demandé au groupe de travail informel d</w:t>
      </w:r>
      <w:r>
        <w:rPr>
          <w:lang w:val="fr-FR"/>
        </w:rPr>
        <w:t>e se pencher</w:t>
      </w:r>
      <w:r w:rsidRPr="009F551D">
        <w:rPr>
          <w:lang w:val="fr-FR"/>
        </w:rPr>
        <w:t xml:space="preserve"> également </w:t>
      </w:r>
      <w:r>
        <w:rPr>
          <w:lang w:val="fr-FR"/>
        </w:rPr>
        <w:t>sur les</w:t>
      </w:r>
      <w:r w:rsidRPr="009F551D">
        <w:rPr>
          <w:lang w:val="fr-FR"/>
        </w:rPr>
        <w:t xml:space="preserve"> cas dans lesquels des inhibiteurs, des adjuvants et des colorants sont ajoutés au chargement pendant le transport. </w:t>
      </w:r>
    </w:p>
    <w:p w14:paraId="206FA3CE" w14:textId="77777777" w:rsidR="006408A6" w:rsidRPr="009F551D" w:rsidRDefault="006408A6" w:rsidP="006408A6">
      <w:pPr>
        <w:pStyle w:val="SingleTxtG"/>
        <w:rPr>
          <w:lang w:val="fr-FR"/>
        </w:rPr>
      </w:pPr>
      <w:r w:rsidRPr="009F551D">
        <w:rPr>
          <w:lang w:val="fr-FR"/>
        </w:rPr>
        <w:t>55.</w:t>
      </w:r>
      <w:r w:rsidRPr="009F551D">
        <w:rPr>
          <w:lang w:val="fr-FR"/>
        </w:rPr>
        <w:tab/>
      </w:r>
      <w:r>
        <w:rPr>
          <w:lang w:val="fr-FR"/>
        </w:rPr>
        <w:t>S’agissant du</w:t>
      </w:r>
      <w:r w:rsidRPr="009F551D">
        <w:rPr>
          <w:lang w:val="fr-FR"/>
        </w:rPr>
        <w:t xml:space="preserve"> 3 c), les avis étaient partagés quant à la nécessité de poursuivre les travaux relatifs </w:t>
      </w:r>
      <w:r>
        <w:rPr>
          <w:lang w:val="fr-FR"/>
        </w:rPr>
        <w:t>au chargement d’une</w:t>
      </w:r>
      <w:r w:rsidRPr="009F551D">
        <w:rPr>
          <w:lang w:val="fr-FR"/>
        </w:rPr>
        <w:t xml:space="preserve"> marchandise dangereuse</w:t>
      </w:r>
      <w:r w:rsidRPr="00BB5F77">
        <w:rPr>
          <w:lang w:val="fr-FR"/>
        </w:rPr>
        <w:t xml:space="preserve"> </w:t>
      </w:r>
      <w:r>
        <w:rPr>
          <w:lang w:val="fr-FR"/>
        </w:rPr>
        <w:t xml:space="preserve">dans une citerne où a été précédemment chargée </w:t>
      </w:r>
      <w:r w:rsidRPr="009F551D">
        <w:rPr>
          <w:lang w:val="fr-FR"/>
        </w:rPr>
        <w:t xml:space="preserve">une </w:t>
      </w:r>
      <w:r>
        <w:rPr>
          <w:lang w:val="fr-FR"/>
        </w:rPr>
        <w:t xml:space="preserve">autre </w:t>
      </w:r>
      <w:r w:rsidRPr="009F551D">
        <w:rPr>
          <w:lang w:val="fr-FR"/>
        </w:rPr>
        <w:t xml:space="preserve">marchandise dangereuse. Le représentant de </w:t>
      </w:r>
      <w:proofErr w:type="spellStart"/>
      <w:r w:rsidRPr="009F551D">
        <w:rPr>
          <w:lang w:val="fr-FR"/>
        </w:rPr>
        <w:t>FuelsEurope</w:t>
      </w:r>
      <w:proofErr w:type="spellEnd"/>
      <w:r w:rsidRPr="009F551D">
        <w:rPr>
          <w:lang w:val="fr-FR"/>
        </w:rPr>
        <w:t xml:space="preserve"> a proposé son aide pour les travaux sur les cas 3 a) et 3 b), mais n</w:t>
      </w:r>
      <w:r>
        <w:rPr>
          <w:lang w:val="fr-FR"/>
        </w:rPr>
        <w:t>’</w:t>
      </w:r>
      <w:r w:rsidRPr="009F551D">
        <w:rPr>
          <w:lang w:val="fr-FR"/>
        </w:rPr>
        <w:t>a pas souhaité s</w:t>
      </w:r>
      <w:r>
        <w:rPr>
          <w:lang w:val="fr-FR"/>
        </w:rPr>
        <w:t>’</w:t>
      </w:r>
      <w:r w:rsidRPr="009F551D">
        <w:rPr>
          <w:lang w:val="fr-FR"/>
        </w:rPr>
        <w:t xml:space="preserve">investir davantage pour le cas 3 c). </w:t>
      </w:r>
    </w:p>
    <w:p w14:paraId="75EBE1E3" w14:textId="77777777" w:rsidR="006408A6" w:rsidRPr="009F551D" w:rsidRDefault="006408A6" w:rsidP="006408A6">
      <w:pPr>
        <w:pStyle w:val="SingleTxtG"/>
        <w:rPr>
          <w:lang w:val="fr-FR"/>
        </w:rPr>
      </w:pPr>
      <w:r w:rsidRPr="009F551D">
        <w:rPr>
          <w:lang w:val="fr-FR"/>
        </w:rPr>
        <w:t>56.</w:t>
      </w:r>
      <w:r w:rsidRPr="009F551D">
        <w:rPr>
          <w:lang w:val="fr-FR"/>
        </w:rPr>
        <w:tab/>
        <w:t xml:space="preserve">Finalement, les avis étaient partagés sur la question de réglementer </w:t>
      </w:r>
      <w:r>
        <w:rPr>
          <w:lang w:val="fr-FR"/>
        </w:rPr>
        <w:t xml:space="preserve">les </w:t>
      </w:r>
      <w:proofErr w:type="spellStart"/>
      <w:r>
        <w:rPr>
          <w:lang w:val="fr-FR"/>
        </w:rPr>
        <w:t>cochargements</w:t>
      </w:r>
      <w:proofErr w:type="spellEnd"/>
      <w:r w:rsidRPr="009F551D">
        <w:rPr>
          <w:lang w:val="fr-FR"/>
        </w:rPr>
        <w:t xml:space="preserve"> dans l</w:t>
      </w:r>
      <w:r>
        <w:rPr>
          <w:lang w:val="fr-FR"/>
        </w:rPr>
        <w:t>’</w:t>
      </w:r>
      <w:r w:rsidRPr="009F551D">
        <w:rPr>
          <w:lang w:val="fr-FR"/>
        </w:rPr>
        <w:t>ADN. Certains représentants ont fait observer que pendant le chargement le bateau était amarré, si bien qu</w:t>
      </w:r>
      <w:r>
        <w:rPr>
          <w:lang w:val="fr-FR"/>
        </w:rPr>
        <w:t>’</w:t>
      </w:r>
      <w:r w:rsidRPr="009F551D">
        <w:rPr>
          <w:lang w:val="fr-FR"/>
        </w:rPr>
        <w:t>on ne savait pas clairement si la procédure pouvait être considérée comme faisant partie de l</w:t>
      </w:r>
      <w:r>
        <w:rPr>
          <w:lang w:val="fr-FR"/>
        </w:rPr>
        <w:t>’</w:t>
      </w:r>
      <w:r w:rsidRPr="009F551D">
        <w:rPr>
          <w:lang w:val="fr-FR"/>
        </w:rPr>
        <w:t xml:space="preserve">opération de transport. </w:t>
      </w:r>
      <w:r>
        <w:rPr>
          <w:lang w:val="fr-FR"/>
        </w:rPr>
        <w:t>Il fallait en outre que</w:t>
      </w:r>
      <w:r w:rsidRPr="009F551D">
        <w:rPr>
          <w:lang w:val="fr-FR"/>
        </w:rPr>
        <w:t xml:space="preserve"> le Comité </w:t>
      </w:r>
      <w:r>
        <w:rPr>
          <w:lang w:val="fr-FR"/>
        </w:rPr>
        <w:t>soit</w:t>
      </w:r>
      <w:r w:rsidRPr="009F551D">
        <w:rPr>
          <w:lang w:val="fr-FR"/>
        </w:rPr>
        <w:t xml:space="preserve"> parfaitement compétent en la matière et </w:t>
      </w:r>
      <w:r>
        <w:rPr>
          <w:lang w:val="fr-FR"/>
        </w:rPr>
        <w:t>l’on devait</w:t>
      </w:r>
      <w:r w:rsidRPr="009F551D">
        <w:rPr>
          <w:lang w:val="fr-FR"/>
        </w:rPr>
        <w:t xml:space="preserve"> tenir compte des autres risques pouvant se présenter à l</w:t>
      </w:r>
      <w:r>
        <w:rPr>
          <w:lang w:val="fr-FR"/>
        </w:rPr>
        <w:t>’</w:t>
      </w:r>
      <w:r w:rsidRPr="009F551D">
        <w:rPr>
          <w:lang w:val="fr-FR"/>
        </w:rPr>
        <w:t>avenir dans le transport de marchandises dangereuses. D</w:t>
      </w:r>
      <w:r>
        <w:rPr>
          <w:lang w:val="fr-FR"/>
        </w:rPr>
        <w:t>’</w:t>
      </w:r>
      <w:r w:rsidRPr="009F551D">
        <w:rPr>
          <w:lang w:val="fr-FR"/>
        </w:rPr>
        <w:t xml:space="preserve">autres représentants ont </w:t>
      </w:r>
      <w:r>
        <w:rPr>
          <w:lang w:val="fr-FR"/>
        </w:rPr>
        <w:t>proposé</w:t>
      </w:r>
      <w:r w:rsidRPr="009F551D">
        <w:rPr>
          <w:lang w:val="fr-FR"/>
        </w:rPr>
        <w:t xml:space="preserve"> de réduire</w:t>
      </w:r>
      <w:r>
        <w:rPr>
          <w:lang w:val="fr-FR"/>
        </w:rPr>
        <w:t xml:space="preserve"> le plus possible </w:t>
      </w:r>
      <w:r w:rsidRPr="009F551D">
        <w:rPr>
          <w:lang w:val="fr-FR"/>
        </w:rPr>
        <w:t>les dispositions en faisant référence aux lignes directrices et normes existantes pour le transport maritime, ainsi qu</w:t>
      </w:r>
      <w:r>
        <w:rPr>
          <w:lang w:val="fr-FR"/>
        </w:rPr>
        <w:t>’</w:t>
      </w:r>
      <w:r w:rsidRPr="009F551D">
        <w:rPr>
          <w:lang w:val="fr-FR"/>
        </w:rPr>
        <w:t>à d</w:t>
      </w:r>
      <w:r>
        <w:rPr>
          <w:lang w:val="fr-FR"/>
        </w:rPr>
        <w:t>’</w:t>
      </w:r>
      <w:r w:rsidRPr="009F551D">
        <w:rPr>
          <w:lang w:val="fr-FR"/>
        </w:rPr>
        <w:t>autres instruments juridiques nationaux ou internationaux sur la question.</w:t>
      </w:r>
    </w:p>
    <w:p w14:paraId="7545A950" w14:textId="77777777" w:rsidR="006408A6" w:rsidRPr="009F551D" w:rsidRDefault="006408A6" w:rsidP="006408A6">
      <w:pPr>
        <w:pStyle w:val="SingleTxtG"/>
        <w:rPr>
          <w:lang w:val="fr-FR"/>
        </w:rPr>
      </w:pPr>
      <w:r w:rsidRPr="009F551D">
        <w:rPr>
          <w:lang w:val="fr-FR"/>
        </w:rPr>
        <w:t>57.</w:t>
      </w:r>
      <w:r w:rsidRPr="009F551D">
        <w:rPr>
          <w:lang w:val="fr-FR"/>
        </w:rPr>
        <w:tab/>
        <w:t xml:space="preserve">En guise de compromis, il a été </w:t>
      </w:r>
      <w:r>
        <w:rPr>
          <w:lang w:val="fr-FR"/>
        </w:rPr>
        <w:t>proposé</w:t>
      </w:r>
      <w:r w:rsidRPr="009F551D">
        <w:rPr>
          <w:lang w:val="fr-FR"/>
        </w:rPr>
        <w:t xml:space="preserve"> </w:t>
      </w:r>
      <w:r>
        <w:rPr>
          <w:lang w:val="fr-FR"/>
        </w:rPr>
        <w:t>d’ajouter</w:t>
      </w:r>
      <w:r w:rsidRPr="009F551D">
        <w:rPr>
          <w:lang w:val="fr-FR"/>
        </w:rPr>
        <w:t xml:space="preserve"> la « liste positive » des matières pouvant être chargées par empilement à la liste des matières du bateau, en </w:t>
      </w:r>
      <w:r>
        <w:rPr>
          <w:lang w:val="fr-FR"/>
        </w:rPr>
        <w:t>précisant</w:t>
      </w:r>
      <w:r w:rsidRPr="009F551D">
        <w:rPr>
          <w:lang w:val="fr-FR"/>
        </w:rPr>
        <w:t xml:space="preserve"> toutes les conditions à respecter pour </w:t>
      </w:r>
      <w:r>
        <w:rPr>
          <w:lang w:val="fr-FR"/>
        </w:rPr>
        <w:t>le</w:t>
      </w:r>
      <w:r w:rsidRPr="009F551D">
        <w:rPr>
          <w:lang w:val="fr-FR"/>
        </w:rPr>
        <w:t xml:space="preserve"> chargement.</w:t>
      </w:r>
    </w:p>
    <w:p w14:paraId="0C7D58FA" w14:textId="77777777" w:rsidR="006408A6" w:rsidRPr="009F551D" w:rsidRDefault="006408A6" w:rsidP="006408A6">
      <w:pPr>
        <w:pStyle w:val="SingleTxtG"/>
        <w:rPr>
          <w:lang w:val="fr-FR"/>
        </w:rPr>
      </w:pPr>
      <w:r w:rsidRPr="009F551D">
        <w:rPr>
          <w:lang w:val="fr-FR"/>
        </w:rPr>
        <w:lastRenderedPageBreak/>
        <w:t>58.</w:t>
      </w:r>
      <w:r w:rsidRPr="009F551D">
        <w:rPr>
          <w:lang w:val="fr-FR"/>
        </w:rPr>
        <w:tab/>
        <w:t>Le représentant des Pays-Bas a fait part de son intention d</w:t>
      </w:r>
      <w:r>
        <w:rPr>
          <w:lang w:val="fr-FR"/>
        </w:rPr>
        <w:t>’</w:t>
      </w:r>
      <w:r w:rsidRPr="009F551D">
        <w:rPr>
          <w:lang w:val="fr-FR"/>
        </w:rPr>
        <w:t>organiser d</w:t>
      </w:r>
      <w:r>
        <w:rPr>
          <w:lang w:val="fr-FR"/>
        </w:rPr>
        <w:t>’</w:t>
      </w:r>
      <w:r w:rsidRPr="009F551D">
        <w:rPr>
          <w:lang w:val="fr-FR"/>
        </w:rPr>
        <w:t>autres réunions et de rendre compte au Comité de sécurité, à sa prochaine session, afin de l</w:t>
      </w:r>
      <w:r>
        <w:rPr>
          <w:lang w:val="fr-FR"/>
        </w:rPr>
        <w:t>’</w:t>
      </w:r>
      <w:r w:rsidRPr="009F551D">
        <w:rPr>
          <w:lang w:val="fr-FR"/>
        </w:rPr>
        <w:t>aider à prendre une décision quant à la poursuite des travaux sur la question.</w:t>
      </w:r>
    </w:p>
    <w:p w14:paraId="3FCB2C7D" w14:textId="1FCE8737" w:rsidR="006408A6" w:rsidRPr="009F551D" w:rsidRDefault="006408A6" w:rsidP="006408A6">
      <w:pPr>
        <w:pStyle w:val="HChG"/>
        <w:rPr>
          <w:lang w:val="fr-FR"/>
        </w:rPr>
      </w:pPr>
      <w:r w:rsidRPr="009F551D">
        <w:rPr>
          <w:lang w:val="fr-FR"/>
        </w:rPr>
        <w:tab/>
        <w:t>VIII.</w:t>
      </w:r>
      <w:r w:rsidRPr="009F551D">
        <w:rPr>
          <w:lang w:val="fr-FR"/>
        </w:rPr>
        <w:tab/>
      </w:r>
      <w:r w:rsidRPr="009F551D">
        <w:rPr>
          <w:bCs/>
          <w:lang w:val="fr-FR"/>
        </w:rPr>
        <w:t xml:space="preserve">Programme de travail et calendrier des réunions </w:t>
      </w:r>
      <w:r w:rsidR="005F58E9">
        <w:rPr>
          <w:bCs/>
          <w:lang w:val="fr-FR"/>
        </w:rPr>
        <w:br/>
      </w:r>
      <w:r w:rsidRPr="009F551D">
        <w:rPr>
          <w:bCs/>
          <w:lang w:val="fr-FR"/>
        </w:rPr>
        <w:t>(point 6 de l</w:t>
      </w:r>
      <w:r>
        <w:rPr>
          <w:bCs/>
          <w:lang w:val="fr-FR"/>
        </w:rPr>
        <w:t>’</w:t>
      </w:r>
      <w:r w:rsidRPr="009F551D">
        <w:rPr>
          <w:bCs/>
          <w:lang w:val="fr-FR"/>
        </w:rPr>
        <w:t>ordre de jour)</w:t>
      </w:r>
      <w:bookmarkStart w:id="90" w:name="_Toc81410434"/>
      <w:bookmarkEnd w:id="90"/>
    </w:p>
    <w:p w14:paraId="70767DB1" w14:textId="77777777" w:rsidR="006408A6" w:rsidRPr="009F551D" w:rsidRDefault="006408A6" w:rsidP="006408A6">
      <w:pPr>
        <w:pStyle w:val="SingleTxtG"/>
        <w:rPr>
          <w:lang w:val="fr-FR"/>
        </w:rPr>
      </w:pPr>
      <w:r w:rsidRPr="009F551D">
        <w:rPr>
          <w:lang w:val="fr-FR"/>
        </w:rPr>
        <w:t>59.</w:t>
      </w:r>
      <w:r w:rsidRPr="009F551D">
        <w:rPr>
          <w:lang w:val="fr-FR"/>
        </w:rPr>
        <w:tab/>
        <w:t>Le Comité de sécurité a noté que sa trente-neuvième session se tiendrait à Genève du 24 au 28 janvier 2022 et que la vingt-septième session du Comité d</w:t>
      </w:r>
      <w:r>
        <w:rPr>
          <w:lang w:val="fr-FR"/>
        </w:rPr>
        <w:t>’</w:t>
      </w:r>
      <w:r w:rsidRPr="009F551D">
        <w:rPr>
          <w:lang w:val="fr-FR"/>
        </w:rPr>
        <w:t>administration de l</w:t>
      </w:r>
      <w:r>
        <w:rPr>
          <w:lang w:val="fr-FR"/>
        </w:rPr>
        <w:t>’</w:t>
      </w:r>
      <w:r w:rsidRPr="009F551D">
        <w:rPr>
          <w:lang w:val="fr-FR"/>
        </w:rPr>
        <w:t>ADN se tiendrait le 28 janvier 2022 (de midi à 13 heures). La date limite de soumission des documents en vue de ces réunions était le 29 octobre 2021.</w:t>
      </w:r>
    </w:p>
    <w:p w14:paraId="0CC0D7AE" w14:textId="77777777" w:rsidR="006408A6" w:rsidRPr="009F551D" w:rsidRDefault="006408A6" w:rsidP="006408A6">
      <w:pPr>
        <w:pStyle w:val="HChG"/>
        <w:rPr>
          <w:i/>
          <w:lang w:val="fr-FR"/>
        </w:rPr>
      </w:pPr>
      <w:r w:rsidRPr="009F551D">
        <w:rPr>
          <w:lang w:val="fr-FR"/>
        </w:rPr>
        <w:tab/>
        <w:t>IX.</w:t>
      </w:r>
      <w:r w:rsidRPr="009F551D">
        <w:rPr>
          <w:lang w:val="fr-FR"/>
        </w:rPr>
        <w:tab/>
      </w:r>
      <w:r w:rsidRPr="009F551D">
        <w:rPr>
          <w:bCs/>
          <w:lang w:val="fr-FR"/>
        </w:rPr>
        <w:t>Questions diverses (point 7 de l</w:t>
      </w:r>
      <w:r>
        <w:rPr>
          <w:bCs/>
          <w:lang w:val="fr-FR"/>
        </w:rPr>
        <w:t>’</w:t>
      </w:r>
      <w:r w:rsidRPr="009F551D">
        <w:rPr>
          <w:bCs/>
          <w:lang w:val="fr-FR"/>
        </w:rPr>
        <w:t>ordre du jour)</w:t>
      </w:r>
      <w:bookmarkStart w:id="91" w:name="_Toc81410435"/>
      <w:bookmarkEnd w:id="91"/>
    </w:p>
    <w:p w14:paraId="5D1EE2BC" w14:textId="77777777" w:rsidR="006408A6" w:rsidRPr="009F551D" w:rsidRDefault="006408A6" w:rsidP="006408A6">
      <w:pPr>
        <w:pStyle w:val="H1G"/>
        <w:rPr>
          <w:lang w:val="fr-FR"/>
        </w:rPr>
      </w:pPr>
      <w:r w:rsidRPr="009F551D">
        <w:rPr>
          <w:lang w:val="fr-FR"/>
        </w:rPr>
        <w:tab/>
        <w:t>A.</w:t>
      </w:r>
      <w:r w:rsidRPr="009F551D">
        <w:rPr>
          <w:lang w:val="fr-FR"/>
        </w:rPr>
        <w:tab/>
      </w:r>
      <w:r w:rsidRPr="009F551D">
        <w:rPr>
          <w:bCs/>
          <w:lang w:val="fr-FR"/>
        </w:rPr>
        <w:t>Règlement intérieur du Comité de sécurité de l</w:t>
      </w:r>
      <w:r>
        <w:rPr>
          <w:bCs/>
          <w:lang w:val="fr-FR"/>
        </w:rPr>
        <w:t>’</w:t>
      </w:r>
      <w:r w:rsidRPr="009F551D">
        <w:rPr>
          <w:bCs/>
          <w:lang w:val="fr-FR"/>
        </w:rPr>
        <w:t>ADN</w:t>
      </w:r>
      <w:bookmarkStart w:id="92" w:name="_Toc81410436"/>
      <w:bookmarkEnd w:id="92"/>
    </w:p>
    <w:p w14:paraId="04ED2CCD" w14:textId="1C0076E4" w:rsidR="006408A6" w:rsidRPr="009F551D" w:rsidRDefault="006408A6" w:rsidP="00C93CE5">
      <w:pPr>
        <w:pStyle w:val="SingleTxtG"/>
        <w:ind w:left="3402" w:hanging="2268"/>
        <w:rPr>
          <w:b/>
          <w:bCs/>
          <w:lang w:val="fr-FR"/>
        </w:rPr>
      </w:pPr>
      <w:bookmarkStart w:id="93" w:name="_Toc81410437"/>
      <w:r w:rsidRPr="009F551D">
        <w:rPr>
          <w:bCs/>
          <w:i/>
          <w:iCs/>
          <w:lang w:val="fr-FR"/>
        </w:rPr>
        <w:t>Document informel :</w:t>
      </w:r>
      <w:r w:rsidRPr="009F551D">
        <w:rPr>
          <w:bCs/>
          <w:lang w:val="fr-FR"/>
        </w:rPr>
        <w:tab/>
        <w:t>INF.7 (Allemagne, Autriche et Pays-Bas)</w:t>
      </w:r>
      <w:bookmarkEnd w:id="93"/>
      <w:r w:rsidR="00C93CE5">
        <w:rPr>
          <w:bCs/>
          <w:lang w:val="fr-FR"/>
        </w:rPr>
        <w:t>.</w:t>
      </w:r>
    </w:p>
    <w:p w14:paraId="19DC7A89" w14:textId="77777777" w:rsidR="006408A6" w:rsidRPr="009F551D" w:rsidRDefault="006408A6" w:rsidP="006408A6">
      <w:pPr>
        <w:pStyle w:val="SingleTxtG"/>
        <w:rPr>
          <w:lang w:val="fr-FR"/>
        </w:rPr>
      </w:pPr>
      <w:r w:rsidRPr="009F551D">
        <w:rPr>
          <w:lang w:val="fr-FR"/>
        </w:rPr>
        <w:t>60.</w:t>
      </w:r>
      <w:r w:rsidRPr="009F551D">
        <w:rPr>
          <w:lang w:val="fr-FR"/>
        </w:rPr>
        <w:tab/>
        <w:t xml:space="preserve">Le Comité de sécurité a examiné le projet </w:t>
      </w:r>
      <w:r>
        <w:rPr>
          <w:lang w:val="fr-FR"/>
        </w:rPr>
        <w:t>de</w:t>
      </w:r>
      <w:r w:rsidRPr="009F551D">
        <w:rPr>
          <w:lang w:val="fr-FR"/>
        </w:rPr>
        <w:t xml:space="preserve"> règlement intérieur</w:t>
      </w:r>
      <w:r>
        <w:rPr>
          <w:lang w:val="fr-FR"/>
        </w:rPr>
        <w:t xml:space="preserve"> le concernant</w:t>
      </w:r>
      <w:r w:rsidRPr="009F551D">
        <w:rPr>
          <w:lang w:val="fr-FR"/>
        </w:rPr>
        <w:t xml:space="preserve">, </w:t>
      </w:r>
      <w:r>
        <w:rPr>
          <w:lang w:val="fr-FR"/>
        </w:rPr>
        <w:t xml:space="preserve">tel que </w:t>
      </w:r>
      <w:r w:rsidRPr="009F551D">
        <w:rPr>
          <w:lang w:val="fr-FR"/>
        </w:rPr>
        <w:t>présenté dans le document informel INF.7. Il a décidé de reprendre l</w:t>
      </w:r>
      <w:r>
        <w:rPr>
          <w:lang w:val="fr-FR"/>
        </w:rPr>
        <w:t>’</w:t>
      </w:r>
      <w:r w:rsidRPr="009F551D">
        <w:rPr>
          <w:lang w:val="fr-FR"/>
        </w:rPr>
        <w:t>examen de cette question à la session suivante, sur la base d</w:t>
      </w:r>
      <w:r>
        <w:rPr>
          <w:lang w:val="fr-FR"/>
        </w:rPr>
        <w:t>’</w:t>
      </w:r>
      <w:r w:rsidRPr="009F551D">
        <w:rPr>
          <w:lang w:val="fr-FR"/>
        </w:rPr>
        <w:t>un document officiel qui serait établi par les auteurs en tenant compte des observations reçues.</w:t>
      </w:r>
    </w:p>
    <w:p w14:paraId="3A5586E1" w14:textId="77777777" w:rsidR="006408A6" w:rsidRPr="009F551D" w:rsidRDefault="006408A6" w:rsidP="006408A6">
      <w:pPr>
        <w:pStyle w:val="SingleTxtG"/>
        <w:rPr>
          <w:lang w:val="fr-FR"/>
        </w:rPr>
      </w:pPr>
      <w:r w:rsidRPr="009F551D">
        <w:rPr>
          <w:lang w:val="fr-FR"/>
        </w:rPr>
        <w:t>61.</w:t>
      </w:r>
      <w:r w:rsidRPr="009F551D">
        <w:rPr>
          <w:lang w:val="fr-FR"/>
        </w:rPr>
        <w:tab/>
        <w:t>Le secrétariat a été prié de préciser le statut du groupe de travail informel des sociétés de classification ADN recommandées dans le Comité de sécurité.</w:t>
      </w:r>
    </w:p>
    <w:p w14:paraId="7E24268C" w14:textId="51260200" w:rsidR="006408A6" w:rsidRPr="009F551D" w:rsidRDefault="006408A6" w:rsidP="006408A6">
      <w:pPr>
        <w:pStyle w:val="H1G"/>
        <w:rPr>
          <w:lang w:val="fr-FR"/>
        </w:rPr>
      </w:pPr>
      <w:r w:rsidRPr="009F551D">
        <w:rPr>
          <w:lang w:val="fr-FR"/>
        </w:rPr>
        <w:tab/>
        <w:t>B.</w:t>
      </w:r>
      <w:r w:rsidRPr="009F551D">
        <w:rPr>
          <w:lang w:val="fr-FR"/>
        </w:rPr>
        <w:tab/>
      </w:r>
      <w:r w:rsidRPr="009F551D">
        <w:rPr>
          <w:bCs/>
          <w:lang w:val="fr-FR"/>
        </w:rPr>
        <w:t xml:space="preserve">Informations sur les possibilités de financement de la préservation </w:t>
      </w:r>
      <w:r w:rsidR="005F58E9">
        <w:rPr>
          <w:bCs/>
          <w:lang w:val="fr-FR"/>
        </w:rPr>
        <w:br/>
      </w:r>
      <w:r w:rsidRPr="009F551D">
        <w:rPr>
          <w:bCs/>
          <w:lang w:val="fr-FR"/>
        </w:rPr>
        <w:t>de l</w:t>
      </w:r>
      <w:r>
        <w:rPr>
          <w:bCs/>
          <w:lang w:val="fr-FR"/>
        </w:rPr>
        <w:t>’</w:t>
      </w:r>
      <w:r w:rsidRPr="009F551D">
        <w:rPr>
          <w:bCs/>
          <w:lang w:val="fr-FR"/>
        </w:rPr>
        <w:t>environnement dans le cadre du transport de marchandises dangereuses</w:t>
      </w:r>
      <w:bookmarkStart w:id="94" w:name="_Toc81410438"/>
      <w:bookmarkEnd w:id="94"/>
    </w:p>
    <w:p w14:paraId="4BE7CDA2" w14:textId="58DDCD03" w:rsidR="006408A6" w:rsidRPr="009F551D" w:rsidRDefault="006408A6" w:rsidP="00C93CE5">
      <w:pPr>
        <w:pStyle w:val="SingleTxtG"/>
        <w:ind w:left="3402" w:hanging="2268"/>
        <w:rPr>
          <w:b/>
          <w:bCs/>
          <w:lang w:val="fr-FR"/>
        </w:rPr>
      </w:pPr>
      <w:bookmarkStart w:id="95" w:name="_Toc81410439"/>
      <w:r w:rsidRPr="009F551D">
        <w:rPr>
          <w:bCs/>
          <w:i/>
          <w:iCs/>
          <w:lang w:val="fr-FR"/>
        </w:rPr>
        <w:t>Document informel :</w:t>
      </w:r>
      <w:r w:rsidRPr="009F551D">
        <w:rPr>
          <w:bCs/>
          <w:lang w:val="fr-FR"/>
        </w:rPr>
        <w:tab/>
        <w:t>INF.19 (Commission européenne)</w:t>
      </w:r>
      <w:bookmarkEnd w:id="95"/>
      <w:r w:rsidR="00C93CE5">
        <w:rPr>
          <w:bCs/>
          <w:lang w:val="fr-FR"/>
        </w:rPr>
        <w:t>.</w:t>
      </w:r>
    </w:p>
    <w:p w14:paraId="16C89499" w14:textId="77777777" w:rsidR="006408A6" w:rsidRPr="009F551D" w:rsidRDefault="006408A6" w:rsidP="006408A6">
      <w:pPr>
        <w:pStyle w:val="SingleTxtG"/>
        <w:rPr>
          <w:lang w:val="fr-FR"/>
        </w:rPr>
      </w:pPr>
      <w:r w:rsidRPr="009F551D">
        <w:rPr>
          <w:lang w:val="fr-FR"/>
        </w:rPr>
        <w:t>62.</w:t>
      </w:r>
      <w:r w:rsidRPr="009F551D">
        <w:rPr>
          <w:lang w:val="fr-FR"/>
        </w:rPr>
        <w:tab/>
        <w:t>Le Comité de sécurité a pris note du document informel INF.19 sur les possibilités de financement par la Commission européenne d</w:t>
      </w:r>
      <w:r>
        <w:rPr>
          <w:lang w:val="fr-FR"/>
        </w:rPr>
        <w:t>’</w:t>
      </w:r>
      <w:r w:rsidRPr="009F551D">
        <w:rPr>
          <w:lang w:val="fr-FR"/>
        </w:rPr>
        <w:t>initiatives de préservation de l</w:t>
      </w:r>
      <w:r>
        <w:rPr>
          <w:lang w:val="fr-FR"/>
        </w:rPr>
        <w:t>’</w:t>
      </w:r>
      <w:r w:rsidRPr="009F551D">
        <w:rPr>
          <w:lang w:val="fr-FR"/>
        </w:rPr>
        <w:t>environnement dans le cadre du transport de marchandises dangereuses, et notamment des informations détaillées sur le sous-programme LIFE pour l</w:t>
      </w:r>
      <w:r>
        <w:rPr>
          <w:lang w:val="fr-FR"/>
        </w:rPr>
        <w:t>’</w:t>
      </w:r>
      <w:r w:rsidRPr="009F551D">
        <w:rPr>
          <w:lang w:val="fr-FR"/>
        </w:rPr>
        <w:t>environnement. Il a été précisé que ce programme pouvait également servir à financer des activités en dehors de l</w:t>
      </w:r>
      <w:r>
        <w:rPr>
          <w:lang w:val="fr-FR"/>
        </w:rPr>
        <w:t>’</w:t>
      </w:r>
      <w:r w:rsidRPr="009F551D">
        <w:rPr>
          <w:lang w:val="fr-FR"/>
        </w:rPr>
        <w:t>Union européenne, même dans des pays ou territoires d</w:t>
      </w:r>
      <w:r>
        <w:rPr>
          <w:lang w:val="fr-FR"/>
        </w:rPr>
        <w:t>’</w:t>
      </w:r>
      <w:r w:rsidRPr="009F551D">
        <w:rPr>
          <w:lang w:val="fr-FR"/>
        </w:rPr>
        <w:t>outre-mer, à condition que le chef de projet se trouve dans l</w:t>
      </w:r>
      <w:r>
        <w:rPr>
          <w:lang w:val="fr-FR"/>
        </w:rPr>
        <w:t>’</w:t>
      </w:r>
      <w:r w:rsidRPr="009F551D">
        <w:rPr>
          <w:lang w:val="fr-FR"/>
        </w:rPr>
        <w:t>Union européenne.</w:t>
      </w:r>
    </w:p>
    <w:p w14:paraId="27F975C5" w14:textId="77777777" w:rsidR="006408A6" w:rsidRPr="009F551D" w:rsidRDefault="006408A6" w:rsidP="006408A6">
      <w:pPr>
        <w:pStyle w:val="H1G"/>
        <w:rPr>
          <w:lang w:val="fr-FR"/>
        </w:rPr>
      </w:pPr>
      <w:r w:rsidRPr="009F551D">
        <w:rPr>
          <w:lang w:val="fr-FR"/>
        </w:rPr>
        <w:tab/>
        <w:t>C.</w:t>
      </w:r>
      <w:r w:rsidRPr="009F551D">
        <w:rPr>
          <w:lang w:val="fr-FR"/>
        </w:rPr>
        <w:tab/>
      </w:r>
      <w:r w:rsidRPr="009F551D">
        <w:rPr>
          <w:bCs/>
          <w:lang w:val="fr-FR"/>
        </w:rPr>
        <w:t>Communauté des transports</w:t>
      </w:r>
      <w:bookmarkStart w:id="96" w:name="_Toc81410440"/>
      <w:bookmarkEnd w:id="96"/>
    </w:p>
    <w:p w14:paraId="2827C548" w14:textId="77777777" w:rsidR="006408A6" w:rsidRPr="009F551D" w:rsidRDefault="006408A6" w:rsidP="006408A6">
      <w:pPr>
        <w:pStyle w:val="SingleTxtG"/>
        <w:keepNext/>
        <w:keepLines/>
        <w:rPr>
          <w:lang w:val="fr-FR"/>
        </w:rPr>
      </w:pPr>
      <w:r w:rsidRPr="009F551D">
        <w:rPr>
          <w:lang w:val="fr-FR"/>
        </w:rPr>
        <w:t>63.</w:t>
      </w:r>
      <w:r w:rsidRPr="009F551D">
        <w:rPr>
          <w:lang w:val="fr-FR"/>
        </w:rPr>
        <w:tab/>
        <w:t>La représentante de la Communauté des transports a présenté cette organisation gouvernementale internationale, qui œuvre dans le domaine de la mobilité et des transports (</w:t>
      </w:r>
      <w:hyperlink r:id="rId8" w:history="1">
        <w:r w:rsidRPr="009F551D">
          <w:rPr>
            <w:rStyle w:val="Lienhypertexte"/>
            <w:lang w:val="fr-FR"/>
          </w:rPr>
          <w:t>https://www.transport-community.org/</w:t>
        </w:r>
      </w:hyperlink>
      <w:r w:rsidRPr="009F551D">
        <w:rPr>
          <w:lang w:val="fr-FR"/>
        </w:rPr>
        <w:t>). L</w:t>
      </w:r>
      <w:r>
        <w:rPr>
          <w:lang w:val="fr-FR"/>
        </w:rPr>
        <w:t>’</w:t>
      </w:r>
      <w:r w:rsidRPr="009F551D">
        <w:rPr>
          <w:lang w:val="fr-FR"/>
        </w:rPr>
        <w:t>organisation a été établie en 2019 conformément à un traité signé entre l</w:t>
      </w:r>
      <w:r>
        <w:rPr>
          <w:lang w:val="fr-FR"/>
        </w:rPr>
        <w:t>’</w:t>
      </w:r>
      <w:r w:rsidRPr="009F551D">
        <w:rPr>
          <w:lang w:val="fr-FR"/>
        </w:rPr>
        <w:t>Union européenne et six Parties de l</w:t>
      </w:r>
      <w:r>
        <w:rPr>
          <w:lang w:val="fr-FR"/>
        </w:rPr>
        <w:t>’</w:t>
      </w:r>
      <w:r w:rsidRPr="009F551D">
        <w:rPr>
          <w:lang w:val="fr-FR"/>
        </w:rPr>
        <w:t>Europe du Sud-Est en vue de faciliter leur intégration. Elle élabore des lignes directrices sur des activités telles que le transport de marchandises dangereuses et a mis en place dans ce domaine particulier un comité technique dont les membres souhaiteraient participer aux travaux du Comité de sécurité. Le Comité de sécurité s</w:t>
      </w:r>
      <w:r>
        <w:rPr>
          <w:lang w:val="fr-FR"/>
        </w:rPr>
        <w:t>’</w:t>
      </w:r>
      <w:r w:rsidRPr="009F551D">
        <w:rPr>
          <w:lang w:val="fr-FR"/>
        </w:rPr>
        <w:t>est félicité de la participation des membres du comité technique à ses futures sessions et des contributions qu</w:t>
      </w:r>
      <w:r>
        <w:rPr>
          <w:lang w:val="fr-FR"/>
        </w:rPr>
        <w:t>’</w:t>
      </w:r>
      <w:r w:rsidRPr="009F551D">
        <w:rPr>
          <w:lang w:val="fr-FR"/>
        </w:rPr>
        <w:t>ils pourraient apporter.</w:t>
      </w:r>
    </w:p>
    <w:p w14:paraId="18C83646" w14:textId="77777777" w:rsidR="006408A6" w:rsidRPr="009F551D" w:rsidRDefault="006408A6" w:rsidP="006408A6">
      <w:pPr>
        <w:pStyle w:val="HChG"/>
        <w:rPr>
          <w:i/>
          <w:lang w:val="fr-FR"/>
        </w:rPr>
      </w:pPr>
      <w:r w:rsidRPr="009F551D">
        <w:rPr>
          <w:lang w:val="fr-FR"/>
        </w:rPr>
        <w:tab/>
        <w:t>X.</w:t>
      </w:r>
      <w:r w:rsidRPr="009F551D">
        <w:rPr>
          <w:lang w:val="fr-FR"/>
        </w:rPr>
        <w:tab/>
      </w:r>
      <w:r w:rsidRPr="009F551D">
        <w:rPr>
          <w:bCs/>
          <w:lang w:val="fr-FR"/>
        </w:rPr>
        <w:t>Adoption du rapport (point 8 de l</w:t>
      </w:r>
      <w:r>
        <w:rPr>
          <w:bCs/>
          <w:lang w:val="fr-FR"/>
        </w:rPr>
        <w:t>’</w:t>
      </w:r>
      <w:r w:rsidRPr="009F551D">
        <w:rPr>
          <w:bCs/>
          <w:lang w:val="fr-FR"/>
        </w:rPr>
        <w:t>ordre du jour)</w:t>
      </w:r>
      <w:bookmarkStart w:id="97" w:name="_Toc81410441"/>
      <w:bookmarkEnd w:id="97"/>
    </w:p>
    <w:p w14:paraId="2AFA07AA" w14:textId="3A279C9B" w:rsidR="00C93CE5" w:rsidRDefault="006408A6" w:rsidP="005F58E9">
      <w:pPr>
        <w:pStyle w:val="SingleTxtG"/>
        <w:rPr>
          <w:lang w:val="fr-FR"/>
        </w:rPr>
      </w:pPr>
      <w:r w:rsidRPr="009F551D">
        <w:rPr>
          <w:lang w:val="fr-FR"/>
        </w:rPr>
        <w:t>64.</w:t>
      </w:r>
      <w:r w:rsidRPr="009F551D">
        <w:rPr>
          <w:lang w:val="fr-FR"/>
        </w:rPr>
        <w:tab/>
        <w:t>Le Comité de sécurité a adopté le rapport de sa trente-huitième session et ses annexes sur la base d</w:t>
      </w:r>
      <w:r>
        <w:rPr>
          <w:lang w:val="fr-FR"/>
        </w:rPr>
        <w:t>’</w:t>
      </w:r>
      <w:r w:rsidRPr="009F551D">
        <w:rPr>
          <w:lang w:val="fr-FR"/>
        </w:rPr>
        <w:t>un projet établi par le secrétariat.</w:t>
      </w:r>
      <w:r w:rsidR="00C93CE5">
        <w:rPr>
          <w:lang w:val="fr-FR"/>
        </w:rPr>
        <w:br w:type="page"/>
      </w:r>
    </w:p>
    <w:p w14:paraId="5D768BCF" w14:textId="4A8B57DD" w:rsidR="006408A6" w:rsidRPr="009F551D" w:rsidRDefault="006408A6" w:rsidP="00C93CE5">
      <w:pPr>
        <w:pStyle w:val="HChG"/>
        <w:rPr>
          <w:lang w:val="fr-FR"/>
        </w:rPr>
      </w:pPr>
      <w:r w:rsidRPr="009F551D">
        <w:rPr>
          <w:lang w:val="fr-FR"/>
        </w:rPr>
        <w:lastRenderedPageBreak/>
        <w:t>Annexe I</w:t>
      </w:r>
    </w:p>
    <w:p w14:paraId="27DE6E72" w14:textId="77777777" w:rsidR="006408A6" w:rsidRPr="009F551D" w:rsidRDefault="006408A6" w:rsidP="00C93CE5">
      <w:pPr>
        <w:pStyle w:val="SingleTxtG"/>
        <w:jc w:val="right"/>
        <w:rPr>
          <w:rFonts w:eastAsia="Calibri"/>
          <w:lang w:val="fr-FR"/>
        </w:rPr>
      </w:pPr>
      <w:r w:rsidRPr="009F551D">
        <w:rPr>
          <w:lang w:val="fr-FR"/>
        </w:rPr>
        <w:t>[Original : anglais et français]</w:t>
      </w:r>
    </w:p>
    <w:p w14:paraId="1B3FCCFB" w14:textId="77777777" w:rsidR="006408A6" w:rsidRPr="009F551D" w:rsidRDefault="006408A6" w:rsidP="006408A6">
      <w:pPr>
        <w:keepNext/>
        <w:keepLines/>
        <w:tabs>
          <w:tab w:val="right" w:pos="851"/>
        </w:tabs>
        <w:spacing w:before="360" w:after="240" w:line="300" w:lineRule="exact"/>
        <w:ind w:left="1134" w:right="1134" w:hanging="1134"/>
        <w:outlineLvl w:val="1"/>
        <w:rPr>
          <w:rFonts w:eastAsia="Calibri"/>
          <w:b/>
          <w:sz w:val="28"/>
          <w:lang w:val="fr-FR"/>
        </w:rPr>
      </w:pPr>
      <w:r w:rsidRPr="009F551D">
        <w:rPr>
          <w:rFonts w:eastAsia="Calibri"/>
          <w:b/>
          <w:sz w:val="28"/>
          <w:lang w:val="fr-FR"/>
        </w:rPr>
        <w:tab/>
      </w:r>
      <w:r w:rsidRPr="009F551D">
        <w:rPr>
          <w:rFonts w:eastAsia="Calibri"/>
          <w:b/>
          <w:sz w:val="28"/>
          <w:lang w:val="fr-FR"/>
        </w:rPr>
        <w:tab/>
        <w:t>Propositions d</w:t>
      </w:r>
      <w:r>
        <w:rPr>
          <w:rFonts w:eastAsia="Calibri"/>
          <w:b/>
          <w:sz w:val="28"/>
          <w:lang w:val="fr-FR"/>
        </w:rPr>
        <w:t>’</w:t>
      </w:r>
      <w:r w:rsidRPr="009F551D">
        <w:rPr>
          <w:rFonts w:eastAsia="Calibri"/>
          <w:b/>
          <w:sz w:val="28"/>
          <w:lang w:val="fr-FR"/>
        </w:rPr>
        <w:t>amendements au Règlement annexé à l</w:t>
      </w:r>
      <w:r>
        <w:rPr>
          <w:rFonts w:eastAsia="Calibri"/>
          <w:b/>
          <w:sz w:val="28"/>
          <w:lang w:val="fr-FR"/>
        </w:rPr>
        <w:t>’</w:t>
      </w:r>
      <w:r w:rsidRPr="009F551D">
        <w:rPr>
          <w:rFonts w:eastAsia="Calibri"/>
          <w:b/>
          <w:sz w:val="28"/>
          <w:lang w:val="fr-FR"/>
        </w:rPr>
        <w:t xml:space="preserve">ADN pour </w:t>
      </w:r>
      <w:proofErr w:type="spellStart"/>
      <w:r w:rsidRPr="009F551D">
        <w:rPr>
          <w:rFonts w:eastAsia="Calibri"/>
          <w:b/>
          <w:sz w:val="28"/>
          <w:lang w:val="fr-FR"/>
        </w:rPr>
        <w:t>entrée</w:t>
      </w:r>
      <w:proofErr w:type="spellEnd"/>
      <w:r w:rsidRPr="009F551D">
        <w:rPr>
          <w:rFonts w:eastAsia="Calibri"/>
          <w:b/>
          <w:sz w:val="28"/>
          <w:lang w:val="fr-FR"/>
        </w:rPr>
        <w:t xml:space="preserve"> en vigueur le 1</w:t>
      </w:r>
      <w:r w:rsidRPr="009F551D">
        <w:rPr>
          <w:rFonts w:eastAsia="Calibri"/>
          <w:b/>
          <w:sz w:val="28"/>
          <w:vertAlign w:val="superscript"/>
          <w:lang w:val="fr-FR"/>
        </w:rPr>
        <w:t>er</w:t>
      </w:r>
      <w:r w:rsidRPr="009F551D">
        <w:rPr>
          <w:rFonts w:eastAsia="Calibri"/>
          <w:b/>
          <w:sz w:val="28"/>
          <w:lang w:val="fr-FR"/>
        </w:rPr>
        <w:t xml:space="preserve"> janvier 2023 </w:t>
      </w:r>
    </w:p>
    <w:p w14:paraId="79A76A2F" w14:textId="77777777" w:rsidR="006408A6" w:rsidRPr="009F551D" w:rsidRDefault="006408A6" w:rsidP="006408A6">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tab/>
      </w:r>
      <w:r w:rsidRPr="009F551D">
        <w:rPr>
          <w:rFonts w:eastAsia="Calibri"/>
          <w:b/>
          <w:lang w:val="fr-FR"/>
        </w:rPr>
        <w:tab/>
      </w:r>
      <w:r w:rsidRPr="009F551D">
        <w:rPr>
          <w:rFonts w:eastAsia="Calibri"/>
          <w:b/>
          <w:lang w:val="fr-FR"/>
        </w:rPr>
        <w:tab/>
        <w:t>Chapitre 1.6</w:t>
      </w:r>
    </w:p>
    <w:p w14:paraId="26A18556" w14:textId="77777777" w:rsidR="006408A6" w:rsidRPr="009F551D" w:rsidRDefault="006408A6" w:rsidP="006408A6">
      <w:pPr>
        <w:spacing w:after="120"/>
        <w:ind w:left="2268" w:right="1134" w:hanging="1134"/>
        <w:jc w:val="both"/>
        <w:rPr>
          <w:rFonts w:eastAsia="Calibri"/>
          <w:color w:val="000000"/>
          <w:lang w:val="fr-FR"/>
        </w:rPr>
      </w:pPr>
      <w:r w:rsidRPr="009F551D">
        <w:rPr>
          <w:rFonts w:eastAsia="Calibri"/>
          <w:lang w:val="fr-FR"/>
        </w:rPr>
        <w:t>1.6.7.2.1.1</w:t>
      </w:r>
      <w:r w:rsidRPr="009F551D">
        <w:rPr>
          <w:rFonts w:eastAsia="Calibri"/>
          <w:lang w:val="fr-FR"/>
        </w:rPr>
        <w:tab/>
        <w:t>Ajouter la nouvelle mesure transitoire suivante :</w:t>
      </w:r>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7"/>
        <w:gridCol w:w="2562"/>
        <w:gridCol w:w="3832"/>
      </w:tblGrid>
      <w:tr w:rsidR="006408A6" w:rsidRPr="00E86888" w14:paraId="632359C0" w14:textId="77777777" w:rsidTr="00C93CE5">
        <w:tc>
          <w:tcPr>
            <w:tcW w:w="977" w:type="dxa"/>
            <w:shd w:val="clear" w:color="auto" w:fill="auto"/>
          </w:tcPr>
          <w:p w14:paraId="1D84FC40" w14:textId="77777777" w:rsidR="006408A6" w:rsidRPr="009F551D" w:rsidRDefault="006408A6" w:rsidP="00C93CE5">
            <w:pPr>
              <w:spacing w:before="60" w:after="60"/>
              <w:ind w:left="57" w:right="57"/>
              <w:jc w:val="both"/>
              <w:rPr>
                <w:rFonts w:eastAsia="Calibri"/>
                <w:bCs/>
                <w:color w:val="000000"/>
                <w:lang w:val="fr-FR"/>
              </w:rPr>
            </w:pPr>
            <w:r w:rsidRPr="009F551D">
              <w:rPr>
                <w:rFonts w:eastAsia="Calibri"/>
                <w:lang w:val="fr-FR"/>
              </w:rPr>
              <w:t>8.6.1.1</w:t>
            </w:r>
          </w:p>
        </w:tc>
        <w:tc>
          <w:tcPr>
            <w:tcW w:w="2562" w:type="dxa"/>
            <w:shd w:val="clear" w:color="auto" w:fill="auto"/>
          </w:tcPr>
          <w:p w14:paraId="11CDEC15" w14:textId="77777777" w:rsidR="006408A6" w:rsidRPr="009F551D" w:rsidRDefault="006408A6" w:rsidP="00C93CE5">
            <w:pPr>
              <w:spacing w:before="60" w:after="60"/>
              <w:ind w:left="57" w:right="57"/>
              <w:rPr>
                <w:rFonts w:eastAsia="Calibri"/>
                <w:bCs/>
                <w:color w:val="000000"/>
                <w:lang w:val="fr-FR"/>
              </w:rPr>
            </w:pPr>
            <w:r w:rsidRPr="009F551D">
              <w:rPr>
                <w:rFonts w:eastAsia="Calibri"/>
                <w:lang w:val="fr-FR"/>
              </w:rPr>
              <w:t>Modification du certificat d</w:t>
            </w:r>
            <w:r>
              <w:rPr>
                <w:rFonts w:eastAsia="Calibri"/>
                <w:lang w:val="fr-FR"/>
              </w:rPr>
              <w:t>’</w:t>
            </w:r>
            <w:r w:rsidRPr="009F551D">
              <w:rPr>
                <w:rFonts w:eastAsia="Calibri"/>
                <w:lang w:val="fr-FR"/>
              </w:rPr>
              <w:t>agrément (numéros 4 et 8)</w:t>
            </w:r>
          </w:p>
        </w:tc>
        <w:tc>
          <w:tcPr>
            <w:tcW w:w="3832" w:type="dxa"/>
            <w:shd w:val="clear" w:color="auto" w:fill="auto"/>
          </w:tcPr>
          <w:p w14:paraId="23E6AA63" w14:textId="77777777" w:rsidR="006408A6" w:rsidRPr="009F551D" w:rsidRDefault="006408A6" w:rsidP="00C93CE5">
            <w:pPr>
              <w:spacing w:before="60" w:after="60"/>
              <w:ind w:left="57" w:right="57"/>
              <w:jc w:val="center"/>
              <w:rPr>
                <w:rFonts w:eastAsia="Calibri"/>
                <w:bCs/>
                <w:color w:val="000000"/>
                <w:lang w:val="fr-FR"/>
              </w:rPr>
            </w:pPr>
            <w:r w:rsidRPr="009F551D">
              <w:rPr>
                <w:rFonts w:eastAsia="Calibri"/>
                <w:lang w:val="fr-FR"/>
              </w:rPr>
              <w:t>N.R.T. à partir du 1</w:t>
            </w:r>
            <w:r w:rsidRPr="009F551D">
              <w:rPr>
                <w:rFonts w:eastAsia="Calibri"/>
                <w:vertAlign w:val="superscript"/>
                <w:lang w:val="fr-FR"/>
              </w:rPr>
              <w:t>er</w:t>
            </w:r>
            <w:r w:rsidRPr="009F551D">
              <w:rPr>
                <w:rFonts w:eastAsia="Calibri"/>
                <w:lang w:val="fr-FR"/>
              </w:rPr>
              <w:t xml:space="preserve"> janvier 2023 </w:t>
            </w:r>
            <w:r w:rsidRPr="009F551D">
              <w:rPr>
                <w:rFonts w:eastAsia="Calibri"/>
                <w:lang w:val="fr-FR"/>
              </w:rPr>
              <w:br/>
              <w:t>Renouvellement du certificat d</w:t>
            </w:r>
            <w:r>
              <w:rPr>
                <w:rFonts w:eastAsia="Calibri"/>
                <w:lang w:val="fr-FR"/>
              </w:rPr>
              <w:t>’</w:t>
            </w:r>
            <w:r w:rsidRPr="009F551D">
              <w:rPr>
                <w:rFonts w:eastAsia="Calibri"/>
                <w:lang w:val="fr-FR"/>
              </w:rPr>
              <w:t xml:space="preserve">agrément après le 31 décembre 2022 </w:t>
            </w:r>
          </w:p>
        </w:tc>
      </w:tr>
    </w:tbl>
    <w:p w14:paraId="5E370705" w14:textId="77777777" w:rsidR="006408A6" w:rsidRPr="009F551D" w:rsidRDefault="006408A6" w:rsidP="006408A6">
      <w:pPr>
        <w:spacing w:before="240" w:after="120"/>
        <w:ind w:left="1134" w:right="1134"/>
        <w:jc w:val="both"/>
        <w:rPr>
          <w:rFonts w:eastAsia="Calibri"/>
          <w:lang w:val="fr-FR"/>
        </w:rPr>
      </w:pPr>
      <w:r w:rsidRPr="009F551D">
        <w:rPr>
          <w:rFonts w:eastAsia="Calibri"/>
          <w:i/>
          <w:iCs/>
          <w:lang w:val="fr-FR"/>
        </w:rPr>
        <w:t>(Document de référence : document ECE/TRANS/WP.15/AC.2/2021/27 tel que modifié par le document informel INF.20)</w:t>
      </w:r>
    </w:p>
    <w:p w14:paraId="001536B8" w14:textId="77777777" w:rsidR="006408A6" w:rsidRPr="009F551D" w:rsidRDefault="006408A6" w:rsidP="006408A6">
      <w:pPr>
        <w:spacing w:after="120"/>
        <w:ind w:left="2268" w:right="1134" w:hanging="1134"/>
        <w:jc w:val="both"/>
        <w:rPr>
          <w:rFonts w:eastAsia="Calibri"/>
          <w:lang w:val="fr-FR"/>
        </w:rPr>
      </w:pPr>
      <w:r w:rsidRPr="009F551D">
        <w:rPr>
          <w:rFonts w:eastAsia="Calibri"/>
          <w:lang w:val="fr-FR"/>
        </w:rPr>
        <w:t>1.6.7.2.2.2</w:t>
      </w:r>
      <w:r w:rsidRPr="009F551D">
        <w:rPr>
          <w:rFonts w:eastAsia="Calibri"/>
          <w:lang w:val="fr-FR"/>
        </w:rPr>
        <w:tab/>
        <w:t>Renuméroter la disposition transitoire pour les 9.3.1.0.3 d), 9.3.2.0.3 d) et 9.3.3.0.3 d) « Matériaux des logements et de la timonerie difficilement inflammables » en tant que 9.3.1.0.6, 9.3.2.0.6 et 9.3.3.0.6.</w:t>
      </w:r>
    </w:p>
    <w:p w14:paraId="48E0D389" w14:textId="77777777" w:rsidR="006408A6" w:rsidRPr="009F551D" w:rsidRDefault="006408A6" w:rsidP="006408A6">
      <w:pPr>
        <w:spacing w:after="120"/>
        <w:ind w:left="2268" w:right="1134" w:hanging="1134"/>
        <w:jc w:val="both"/>
        <w:rPr>
          <w:rFonts w:eastAsia="Calibri"/>
          <w:lang w:val="fr-FR"/>
        </w:rPr>
      </w:pPr>
      <w:r w:rsidRPr="009F551D">
        <w:rPr>
          <w:rFonts w:eastAsia="Calibri"/>
          <w:i/>
          <w:iCs/>
          <w:lang w:val="fr-FR"/>
        </w:rPr>
        <w:t>(Document de référence : ECE/TRANS/WP.15/AC.2/2021/30, amendement de conséquence)</w:t>
      </w:r>
    </w:p>
    <w:p w14:paraId="74200C6E" w14:textId="77777777" w:rsidR="006408A6" w:rsidRPr="009F551D" w:rsidRDefault="006408A6" w:rsidP="006408A6">
      <w:pPr>
        <w:spacing w:after="120"/>
        <w:ind w:left="2268" w:right="1134" w:hanging="1134"/>
        <w:jc w:val="both"/>
        <w:rPr>
          <w:rFonts w:eastAsia="Calibri"/>
          <w:lang w:val="fr-FR"/>
        </w:rPr>
      </w:pPr>
      <w:r w:rsidRPr="009F551D">
        <w:rPr>
          <w:rFonts w:eastAsia="Calibri"/>
          <w:lang w:val="fr-FR"/>
        </w:rPr>
        <w:t>1.6.8.1</w:t>
      </w:r>
      <w:r w:rsidRPr="009F551D">
        <w:rPr>
          <w:rFonts w:eastAsia="Calibri"/>
          <w:lang w:val="fr-FR"/>
        </w:rPr>
        <w:tab/>
        <w:t>Supprimer et remplacer par « 1.6.8.1</w:t>
      </w:r>
      <w:r w:rsidRPr="009F551D">
        <w:rPr>
          <w:rFonts w:eastAsia="Calibri"/>
          <w:lang w:val="fr-FR"/>
        </w:rPr>
        <w:tab/>
        <w:t>Supprimé ».</w:t>
      </w:r>
    </w:p>
    <w:p w14:paraId="0C89C163" w14:textId="77777777" w:rsidR="006408A6" w:rsidRPr="009F551D" w:rsidRDefault="006408A6" w:rsidP="006408A6">
      <w:pPr>
        <w:spacing w:after="120"/>
        <w:ind w:left="2268" w:right="1134" w:hanging="1134"/>
        <w:jc w:val="both"/>
        <w:rPr>
          <w:rFonts w:eastAsia="Calibri"/>
          <w:i/>
          <w:lang w:val="fr-FR"/>
        </w:rPr>
      </w:pPr>
      <w:r w:rsidRPr="009F551D">
        <w:rPr>
          <w:rFonts w:eastAsia="Calibri"/>
          <w:i/>
          <w:iCs/>
          <w:lang w:val="fr-FR"/>
        </w:rPr>
        <w:t>(Document de référence : ECE/TRANS/WP.15/AC.2/2021/21)</w:t>
      </w:r>
    </w:p>
    <w:p w14:paraId="1BCCBC52" w14:textId="77777777" w:rsidR="006408A6" w:rsidRPr="009F551D" w:rsidRDefault="006408A6" w:rsidP="006408A6">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tab/>
      </w:r>
      <w:r w:rsidRPr="009F551D">
        <w:rPr>
          <w:rFonts w:eastAsia="Calibri"/>
          <w:b/>
          <w:lang w:val="fr-FR"/>
        </w:rPr>
        <w:tab/>
      </w:r>
      <w:r w:rsidRPr="009F551D">
        <w:rPr>
          <w:rFonts w:eastAsia="Calibri"/>
          <w:b/>
          <w:lang w:val="fr-FR"/>
        </w:rPr>
        <w:tab/>
      </w:r>
      <w:r w:rsidRPr="009F551D">
        <w:rPr>
          <w:rFonts w:eastAsia="Calibri"/>
          <w:b/>
          <w:bCs/>
          <w:lang w:val="fr-FR"/>
        </w:rPr>
        <w:t>Chapitre 3.2, tableau A</w:t>
      </w:r>
    </w:p>
    <w:p w14:paraId="186168F6" w14:textId="77777777" w:rsidR="006408A6" w:rsidRPr="009F551D" w:rsidRDefault="006408A6" w:rsidP="006408A6">
      <w:pPr>
        <w:spacing w:after="120"/>
        <w:ind w:left="1134" w:right="1134"/>
        <w:jc w:val="both"/>
        <w:rPr>
          <w:rFonts w:eastAsia="Calibri"/>
          <w:lang w:val="fr-FR"/>
        </w:rPr>
      </w:pPr>
      <w:r w:rsidRPr="009F551D">
        <w:rPr>
          <w:rFonts w:eastAsia="Calibri"/>
          <w:lang w:val="fr-FR"/>
        </w:rPr>
        <w:t>Pour les Nos ONU 2381, 3483, 3543, 3544, 3545, 3546, 3547 et 3548, ajouter « 802 » dans la colonne (6).</w:t>
      </w:r>
    </w:p>
    <w:p w14:paraId="6C0470AB" w14:textId="77777777" w:rsidR="006408A6" w:rsidRPr="009F551D" w:rsidRDefault="006408A6" w:rsidP="006408A6">
      <w:pPr>
        <w:spacing w:after="120"/>
        <w:ind w:left="1134" w:right="1134"/>
        <w:jc w:val="both"/>
        <w:rPr>
          <w:rFonts w:eastAsia="Calibri"/>
          <w:lang w:val="fr-FR"/>
        </w:rPr>
      </w:pPr>
      <w:r w:rsidRPr="009F551D">
        <w:rPr>
          <w:rFonts w:eastAsia="Calibri"/>
          <w:i/>
          <w:iCs/>
          <w:lang w:val="fr-FR"/>
        </w:rPr>
        <w:t>(Document de référence : ECE/TRANS/WP.15/AC.2/2021/19)</w:t>
      </w:r>
    </w:p>
    <w:p w14:paraId="01633F05" w14:textId="77777777" w:rsidR="006408A6" w:rsidRPr="009F551D" w:rsidRDefault="006408A6" w:rsidP="006408A6">
      <w:pPr>
        <w:spacing w:after="120"/>
        <w:ind w:left="1134" w:right="1134"/>
        <w:jc w:val="both"/>
        <w:rPr>
          <w:rFonts w:eastAsia="Calibri"/>
          <w:lang w:val="fr-FR"/>
        </w:rPr>
      </w:pPr>
      <w:r w:rsidRPr="009F551D">
        <w:rPr>
          <w:rFonts w:eastAsia="Calibri"/>
          <w:lang w:val="fr-FR"/>
        </w:rPr>
        <w:t>Pour le No ONU 3440 (toutes les rubriques), ajouter « 563 » dans la colonne (6).</w:t>
      </w:r>
    </w:p>
    <w:p w14:paraId="57754FB3" w14:textId="77777777" w:rsidR="006408A6" w:rsidRPr="009F551D" w:rsidRDefault="006408A6" w:rsidP="006408A6">
      <w:pPr>
        <w:spacing w:after="120"/>
        <w:ind w:left="1134" w:right="1134"/>
        <w:jc w:val="both"/>
        <w:rPr>
          <w:rFonts w:eastAsia="Calibri"/>
          <w:lang w:val="fr-FR"/>
        </w:rPr>
      </w:pPr>
      <w:r w:rsidRPr="009F551D">
        <w:rPr>
          <w:rFonts w:eastAsia="Calibri"/>
          <w:i/>
          <w:iCs/>
          <w:lang w:val="fr-FR"/>
        </w:rPr>
        <w:t>(Document de référence : ECE/TRANS/WP.15/AC.2/2021/19)</w:t>
      </w:r>
    </w:p>
    <w:p w14:paraId="4A7F584D" w14:textId="77777777" w:rsidR="006408A6" w:rsidRPr="009F551D" w:rsidRDefault="006408A6" w:rsidP="006408A6">
      <w:pPr>
        <w:spacing w:after="120"/>
        <w:ind w:left="1134" w:right="1134"/>
        <w:jc w:val="both"/>
        <w:rPr>
          <w:rFonts w:eastAsia="Calibri"/>
          <w:lang w:val="fr-FR"/>
        </w:rPr>
      </w:pPr>
      <w:r w:rsidRPr="009F551D">
        <w:rPr>
          <w:rFonts w:eastAsia="Calibri"/>
          <w:lang w:val="fr-FR"/>
        </w:rPr>
        <w:t>Pour le No ONU 3494 (toutes les rubriques), supprimer « 649 » dans la colonne (6).</w:t>
      </w:r>
    </w:p>
    <w:p w14:paraId="126B51D9" w14:textId="77777777" w:rsidR="006408A6" w:rsidRPr="009F551D" w:rsidRDefault="006408A6" w:rsidP="006408A6">
      <w:pPr>
        <w:spacing w:after="120"/>
        <w:ind w:left="1134" w:right="1134"/>
        <w:jc w:val="both"/>
        <w:rPr>
          <w:rFonts w:eastAsia="Calibri"/>
          <w:lang w:val="fr-FR"/>
        </w:rPr>
      </w:pPr>
      <w:r w:rsidRPr="009F551D">
        <w:rPr>
          <w:rFonts w:eastAsia="Calibri"/>
          <w:i/>
          <w:iCs/>
          <w:lang w:val="fr-FR"/>
        </w:rPr>
        <w:t>(Document de référence : ECE/TRANS/WP.15/AC.2/2021/19)</w:t>
      </w:r>
    </w:p>
    <w:p w14:paraId="3A2FBD6F" w14:textId="77777777" w:rsidR="006408A6" w:rsidRPr="009F551D" w:rsidRDefault="006408A6" w:rsidP="006408A6">
      <w:pPr>
        <w:spacing w:after="120"/>
        <w:ind w:left="1134" w:right="1134"/>
        <w:jc w:val="both"/>
        <w:rPr>
          <w:rFonts w:eastAsia="Calibri"/>
          <w:lang w:val="fr-FR"/>
        </w:rPr>
      </w:pPr>
      <w:r w:rsidRPr="009F551D">
        <w:rPr>
          <w:rFonts w:eastAsia="Calibri"/>
          <w:lang w:val="fr-FR"/>
        </w:rPr>
        <w:t>Pour les Nos ONU 3537, 3539, 3540, 3541 et 3542, supprimer « 649 » dans la colonne (6).</w:t>
      </w:r>
    </w:p>
    <w:p w14:paraId="54832FBA" w14:textId="77777777" w:rsidR="006408A6" w:rsidRPr="009F551D" w:rsidRDefault="006408A6" w:rsidP="006408A6">
      <w:pPr>
        <w:spacing w:after="120"/>
        <w:ind w:left="1134" w:right="1134"/>
        <w:jc w:val="both"/>
        <w:rPr>
          <w:rFonts w:eastAsia="Calibri"/>
          <w:lang w:val="fr-FR"/>
        </w:rPr>
      </w:pPr>
      <w:r w:rsidRPr="009F551D">
        <w:rPr>
          <w:rFonts w:eastAsia="Calibri"/>
          <w:i/>
          <w:iCs/>
          <w:lang w:val="fr-FR"/>
        </w:rPr>
        <w:t>(Document de référence : ECE/TRANS/WP.15/AC.2/2021/19)</w:t>
      </w:r>
    </w:p>
    <w:p w14:paraId="47CADBB2" w14:textId="77777777" w:rsidR="006408A6" w:rsidRPr="009F551D" w:rsidRDefault="006408A6" w:rsidP="006408A6">
      <w:pPr>
        <w:keepNext/>
        <w:keepLines/>
        <w:tabs>
          <w:tab w:val="right" w:pos="851"/>
        </w:tabs>
        <w:spacing w:before="240" w:after="120" w:line="240" w:lineRule="exact"/>
        <w:ind w:left="1134" w:right="1134" w:hanging="1134"/>
        <w:outlineLvl w:val="3"/>
        <w:rPr>
          <w:rFonts w:eastAsia="Calibri"/>
          <w:b/>
          <w:i/>
          <w:iCs/>
          <w:lang w:val="fr-FR"/>
        </w:rPr>
      </w:pPr>
      <w:r w:rsidRPr="009F551D">
        <w:rPr>
          <w:rFonts w:eastAsia="Calibri"/>
          <w:b/>
          <w:lang w:val="fr-FR"/>
        </w:rPr>
        <w:tab/>
      </w:r>
      <w:r w:rsidRPr="009F551D">
        <w:rPr>
          <w:rFonts w:eastAsia="Calibri"/>
          <w:b/>
          <w:lang w:val="fr-FR"/>
        </w:rPr>
        <w:tab/>
      </w:r>
      <w:r w:rsidRPr="009F551D">
        <w:rPr>
          <w:rFonts w:eastAsia="Calibri"/>
          <w:b/>
          <w:lang w:val="fr-FR"/>
        </w:rPr>
        <w:tab/>
      </w:r>
      <w:r w:rsidRPr="009F551D">
        <w:rPr>
          <w:rFonts w:eastAsia="Calibri"/>
          <w:b/>
          <w:bCs/>
          <w:lang w:val="fr-FR"/>
        </w:rPr>
        <w:t>Chapitre 3.2, tableau C</w:t>
      </w:r>
    </w:p>
    <w:p w14:paraId="4C5B0F6F" w14:textId="77777777" w:rsidR="006408A6" w:rsidRPr="009F551D" w:rsidRDefault="006408A6" w:rsidP="006408A6">
      <w:pPr>
        <w:spacing w:after="120"/>
        <w:ind w:left="1134" w:right="1134"/>
        <w:jc w:val="both"/>
        <w:rPr>
          <w:rFonts w:eastAsia="Calibri"/>
          <w:lang w:val="fr-FR"/>
        </w:rPr>
      </w:pPr>
      <w:r w:rsidRPr="009F551D">
        <w:rPr>
          <w:rFonts w:eastAsia="Calibri"/>
          <w:lang w:val="fr-FR"/>
        </w:rPr>
        <w:t>Pour le numéro d</w:t>
      </w:r>
      <w:r>
        <w:rPr>
          <w:rFonts w:eastAsia="Calibri"/>
          <w:lang w:val="fr-FR"/>
        </w:rPr>
        <w:t>’</w:t>
      </w:r>
      <w:r w:rsidRPr="009F551D">
        <w:rPr>
          <w:rFonts w:eastAsia="Calibri"/>
          <w:lang w:val="fr-FR"/>
        </w:rPr>
        <w:t>identification 9004, colonne (5), lire « 9+S ».</w:t>
      </w:r>
    </w:p>
    <w:p w14:paraId="5C6BF202" w14:textId="77777777" w:rsidR="006408A6" w:rsidRPr="009F551D" w:rsidRDefault="006408A6" w:rsidP="006408A6">
      <w:pPr>
        <w:spacing w:after="120"/>
        <w:ind w:left="1134" w:right="1134"/>
        <w:jc w:val="both"/>
        <w:rPr>
          <w:rFonts w:eastAsia="Calibri"/>
          <w:i/>
          <w:lang w:val="fr-FR"/>
        </w:rPr>
      </w:pPr>
      <w:r w:rsidRPr="009F551D">
        <w:rPr>
          <w:rFonts w:eastAsia="Calibri"/>
          <w:i/>
          <w:iCs/>
          <w:lang w:val="fr-FR"/>
        </w:rPr>
        <w:t>(Document de référence : ECE/TRANS/WP.15/AC.2/2021/19)</w:t>
      </w:r>
    </w:p>
    <w:p w14:paraId="34302B04" w14:textId="77777777" w:rsidR="006408A6" w:rsidRPr="009F551D" w:rsidRDefault="006408A6" w:rsidP="006408A6">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tab/>
      </w:r>
      <w:r w:rsidRPr="009F551D">
        <w:rPr>
          <w:rFonts w:eastAsia="Calibri"/>
          <w:b/>
          <w:lang w:val="fr-FR"/>
        </w:rPr>
        <w:tab/>
      </w:r>
      <w:r w:rsidRPr="009F551D">
        <w:rPr>
          <w:rFonts w:eastAsia="Calibri"/>
          <w:b/>
          <w:lang w:val="fr-FR"/>
        </w:rPr>
        <w:tab/>
        <w:t>Chapitre 3.2</w:t>
      </w:r>
    </w:p>
    <w:p w14:paraId="28A5B80A" w14:textId="36EF0EB2" w:rsidR="006408A6" w:rsidRDefault="006408A6" w:rsidP="006408A6">
      <w:pPr>
        <w:spacing w:after="120"/>
        <w:ind w:left="2268" w:right="1134" w:hanging="1134"/>
        <w:jc w:val="both"/>
        <w:rPr>
          <w:lang w:val="fr-FR"/>
        </w:rPr>
      </w:pPr>
      <w:r w:rsidRPr="009F551D">
        <w:rPr>
          <w:rFonts w:eastAsia="Calibri"/>
          <w:lang w:val="fr-FR"/>
        </w:rPr>
        <w:t>3.2.3.3</w:t>
      </w:r>
      <w:r w:rsidRPr="009F551D">
        <w:rPr>
          <w:rFonts w:eastAsia="Calibri"/>
          <w:lang w:val="fr-FR"/>
        </w:rPr>
        <w:tab/>
        <w:t>Schéma B, lire :</w:t>
      </w:r>
    </w:p>
    <w:p w14:paraId="58C248A4" w14:textId="77777777" w:rsidR="00E63FF9" w:rsidRDefault="00E63FF9" w:rsidP="006408A6">
      <w:pPr>
        <w:pStyle w:val="SingleTxtG"/>
        <w:rPr>
          <w:lang w:val="fr-FR"/>
        </w:rPr>
        <w:sectPr w:rsidR="00E63FF9" w:rsidSect="006408A6">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pPr>
    </w:p>
    <w:p w14:paraId="4018849E" w14:textId="77777777" w:rsidR="00E63FF9" w:rsidRPr="009F551D" w:rsidRDefault="00E63FF9" w:rsidP="00E63FF9">
      <w:pPr>
        <w:keepNext/>
        <w:keepLines/>
        <w:tabs>
          <w:tab w:val="right" w:pos="851"/>
        </w:tabs>
        <w:spacing w:before="360" w:after="240" w:line="270" w:lineRule="exact"/>
        <w:ind w:left="1134" w:right="1134" w:hanging="1134"/>
        <w:outlineLvl w:val="2"/>
        <w:rPr>
          <w:rFonts w:eastAsia="Calibri"/>
          <w:b/>
          <w:sz w:val="24"/>
          <w:lang w:val="fr-FR"/>
        </w:rPr>
      </w:pPr>
      <w:r w:rsidRPr="009F551D">
        <w:rPr>
          <w:rFonts w:eastAsia="Calibri"/>
          <w:b/>
          <w:sz w:val="24"/>
          <w:lang w:val="fr-FR"/>
        </w:rPr>
        <w:lastRenderedPageBreak/>
        <w:tab/>
      </w:r>
      <w:r w:rsidRPr="009F551D">
        <w:rPr>
          <w:rFonts w:eastAsia="Calibri"/>
          <w:b/>
          <w:sz w:val="24"/>
          <w:lang w:val="fr-FR"/>
        </w:rPr>
        <w:tab/>
        <w:t>Schéma B : Critères pour l</w:t>
      </w:r>
      <w:r>
        <w:rPr>
          <w:rFonts w:eastAsia="Calibri"/>
          <w:b/>
          <w:sz w:val="24"/>
          <w:lang w:val="fr-FR"/>
        </w:rPr>
        <w:t>’</w:t>
      </w:r>
      <w:r w:rsidRPr="009F551D">
        <w:rPr>
          <w:rFonts w:eastAsia="Calibri"/>
          <w:b/>
          <w:sz w:val="24"/>
          <w:lang w:val="fr-FR"/>
        </w:rPr>
        <w:t>équipement des bateaux du type N avec des citernes à cargaison fermées</w:t>
      </w:r>
    </w:p>
    <w:p w14:paraId="07A46B6E" w14:textId="77777777" w:rsidR="00E63FF9" w:rsidRPr="009F551D" w:rsidRDefault="00E63FF9" w:rsidP="00E63FF9">
      <w:pPr>
        <w:spacing w:after="120"/>
        <w:ind w:left="1134" w:right="1134"/>
        <w:jc w:val="both"/>
        <w:rPr>
          <w:rFonts w:eastAsia="Calibri"/>
          <w:lang w:val="fr-FR"/>
        </w:rPr>
      </w:pPr>
      <w:r w:rsidRPr="009F551D">
        <w:rPr>
          <w:rFonts w:eastAsia="Calibri"/>
          <w:lang w:val="fr-FR"/>
        </w:rPr>
        <w:t>Déterminer dans les six premières colonnes les caractéristiques de la matière/citerne à cargaison qui sont pertinentes. Choisir la rangée qui convient dans la colonne correspondante. Les critères pour l</w:t>
      </w:r>
      <w:r>
        <w:rPr>
          <w:rFonts w:eastAsia="Calibri"/>
          <w:lang w:val="fr-FR"/>
        </w:rPr>
        <w:t>’</w:t>
      </w:r>
      <w:r w:rsidRPr="009F551D">
        <w:rPr>
          <w:rFonts w:eastAsia="Calibri"/>
          <w:lang w:val="fr-FR"/>
        </w:rPr>
        <w:t>équipement des citernes à cargaison des bateaux de type N − bateaux avec des citernes à cargaison fermées − sont alors décrits sur cette ligne dans la septième colonne. Si plusieurs colonnes sont pertinentes, sélectionner la ligne la plus pertinente dans la septième colonne.</w:t>
      </w:r>
    </w:p>
    <w:tbl>
      <w:tblPr>
        <w:tblW w:w="1377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111"/>
        <w:gridCol w:w="1702"/>
        <w:gridCol w:w="1533"/>
        <w:gridCol w:w="2295"/>
        <w:gridCol w:w="2835"/>
        <w:gridCol w:w="2687"/>
      </w:tblGrid>
      <w:tr w:rsidR="00E63FF9" w:rsidRPr="009F551D" w14:paraId="340C3102" w14:textId="77777777" w:rsidTr="00C93CE5">
        <w:trPr>
          <w:trHeight w:val="355"/>
        </w:trPr>
        <w:tc>
          <w:tcPr>
            <w:tcW w:w="11091" w:type="dxa"/>
            <w:gridSpan w:val="6"/>
            <w:tcMar>
              <w:left w:w="0" w:type="dxa"/>
              <w:right w:w="0" w:type="dxa"/>
            </w:tcMar>
            <w:vAlign w:val="center"/>
          </w:tcPr>
          <w:p w14:paraId="49BA201F" w14:textId="77777777" w:rsidR="00E63FF9" w:rsidRPr="009F551D" w:rsidRDefault="00E63FF9" w:rsidP="00C93CE5">
            <w:pPr>
              <w:spacing w:before="80" w:after="80" w:line="200" w:lineRule="exact"/>
              <w:ind w:left="57" w:right="113"/>
              <w:jc w:val="center"/>
              <w:rPr>
                <w:rFonts w:eastAsia="Calibri"/>
                <w:b/>
                <w:bCs/>
                <w:i/>
                <w:iCs/>
                <w:sz w:val="16"/>
                <w:szCs w:val="16"/>
                <w:lang w:val="fr-FR"/>
              </w:rPr>
            </w:pPr>
            <w:r w:rsidRPr="009F551D">
              <w:rPr>
                <w:rFonts w:eastAsia="Calibri"/>
                <w:b/>
                <w:bCs/>
                <w:i/>
                <w:iCs/>
                <w:sz w:val="16"/>
                <w:szCs w:val="16"/>
                <w:lang w:val="fr-FR"/>
              </w:rPr>
              <w:t>Caractéristiques de la matière/citerne à cargaison</w:t>
            </w:r>
          </w:p>
        </w:tc>
        <w:tc>
          <w:tcPr>
            <w:tcW w:w="2687" w:type="dxa"/>
            <w:tcMar>
              <w:left w:w="0" w:type="dxa"/>
              <w:right w:w="0" w:type="dxa"/>
            </w:tcMar>
          </w:tcPr>
          <w:p w14:paraId="046F11D8" w14:textId="77777777" w:rsidR="00E63FF9" w:rsidRPr="009F551D" w:rsidRDefault="00E63FF9" w:rsidP="00C93CE5">
            <w:pPr>
              <w:spacing w:before="80" w:after="80" w:line="200" w:lineRule="exact"/>
              <w:ind w:left="57" w:right="113"/>
              <w:rPr>
                <w:rFonts w:eastAsia="Calibri"/>
                <w:b/>
                <w:bCs/>
                <w:i/>
                <w:iCs/>
                <w:sz w:val="16"/>
                <w:szCs w:val="16"/>
                <w:lang w:val="fr-FR"/>
              </w:rPr>
            </w:pPr>
            <w:r w:rsidRPr="009F551D">
              <w:rPr>
                <w:rFonts w:eastAsia="Calibri"/>
                <w:b/>
                <w:bCs/>
                <w:i/>
                <w:iCs/>
                <w:sz w:val="16"/>
                <w:szCs w:val="16"/>
                <w:lang w:val="fr-FR"/>
              </w:rPr>
              <w:t>Prescriptions</w:t>
            </w:r>
          </w:p>
        </w:tc>
      </w:tr>
      <w:tr w:rsidR="00E63FF9" w:rsidRPr="00E86888" w14:paraId="2B1B5673" w14:textId="77777777" w:rsidTr="00C93CE5">
        <w:trPr>
          <w:trHeight w:val="355"/>
        </w:trPr>
        <w:tc>
          <w:tcPr>
            <w:tcW w:w="5961" w:type="dxa"/>
            <w:gridSpan w:val="4"/>
            <w:tcMar>
              <w:left w:w="0" w:type="dxa"/>
              <w:right w:w="0" w:type="dxa"/>
            </w:tcMar>
            <w:vAlign w:val="center"/>
          </w:tcPr>
          <w:p w14:paraId="52C0F3A4" w14:textId="77777777" w:rsidR="00E63FF9" w:rsidRPr="009F551D" w:rsidRDefault="00E63FF9" w:rsidP="00C93CE5">
            <w:pPr>
              <w:spacing w:before="80" w:after="80" w:line="200" w:lineRule="exact"/>
              <w:ind w:left="57" w:right="113"/>
              <w:jc w:val="center"/>
              <w:rPr>
                <w:rFonts w:eastAsia="Calibri"/>
                <w:i/>
                <w:iCs/>
                <w:sz w:val="16"/>
                <w:szCs w:val="16"/>
                <w:lang w:val="fr-FR"/>
              </w:rPr>
            </w:pPr>
            <w:r w:rsidRPr="009F551D">
              <w:rPr>
                <w:rFonts w:eastAsia="Calibri"/>
                <w:i/>
                <w:iCs/>
                <w:sz w:val="16"/>
                <w:szCs w:val="16"/>
                <w:lang w:val="fr-FR"/>
              </w:rPr>
              <w:t>Classe 3, point d</w:t>
            </w:r>
            <w:r>
              <w:rPr>
                <w:rFonts w:eastAsia="Calibri"/>
                <w:i/>
                <w:iCs/>
                <w:sz w:val="16"/>
                <w:szCs w:val="16"/>
                <w:lang w:val="fr-FR"/>
              </w:rPr>
              <w:t>’</w:t>
            </w:r>
            <w:r w:rsidRPr="009F551D">
              <w:rPr>
                <w:rFonts w:eastAsia="Calibri"/>
                <w:i/>
                <w:iCs/>
                <w:sz w:val="16"/>
                <w:szCs w:val="16"/>
                <w:lang w:val="fr-FR"/>
              </w:rPr>
              <w:t>éclair &lt; 23 °C</w:t>
            </w:r>
          </w:p>
        </w:tc>
        <w:tc>
          <w:tcPr>
            <w:tcW w:w="2295" w:type="dxa"/>
            <w:tcMar>
              <w:left w:w="0" w:type="dxa"/>
              <w:right w:w="0" w:type="dxa"/>
            </w:tcMar>
            <w:vAlign w:val="center"/>
          </w:tcPr>
          <w:p w14:paraId="4F4FB338" w14:textId="77777777" w:rsidR="00E63FF9" w:rsidRPr="009F551D" w:rsidRDefault="00E63FF9" w:rsidP="00C93CE5">
            <w:pPr>
              <w:spacing w:before="80" w:after="80" w:line="200" w:lineRule="exact"/>
              <w:ind w:left="57" w:right="113"/>
              <w:rPr>
                <w:rFonts w:eastAsia="Calibri"/>
                <w:i/>
                <w:iCs/>
                <w:sz w:val="16"/>
                <w:szCs w:val="16"/>
                <w:lang w:val="fr-FR"/>
              </w:rPr>
            </w:pPr>
            <w:r w:rsidRPr="009F551D">
              <w:rPr>
                <w:rFonts w:eastAsia="Calibri"/>
                <w:i/>
                <w:iCs/>
                <w:sz w:val="16"/>
                <w:szCs w:val="16"/>
                <w:lang w:val="fr-FR"/>
              </w:rPr>
              <w:t>Matières corrosives</w:t>
            </w:r>
          </w:p>
        </w:tc>
        <w:tc>
          <w:tcPr>
            <w:tcW w:w="2835" w:type="dxa"/>
            <w:tcMar>
              <w:left w:w="0" w:type="dxa"/>
              <w:right w:w="0" w:type="dxa"/>
            </w:tcMar>
            <w:vAlign w:val="center"/>
          </w:tcPr>
          <w:p w14:paraId="3F9B409D" w14:textId="77777777" w:rsidR="00E63FF9" w:rsidRPr="009F551D" w:rsidRDefault="00E63FF9" w:rsidP="00C93CE5">
            <w:pPr>
              <w:spacing w:before="80" w:after="80" w:line="200" w:lineRule="exact"/>
              <w:ind w:left="57" w:right="113"/>
              <w:rPr>
                <w:rFonts w:eastAsia="Calibri"/>
                <w:i/>
                <w:iCs/>
                <w:sz w:val="16"/>
                <w:szCs w:val="16"/>
                <w:lang w:val="fr-FR"/>
              </w:rPr>
            </w:pPr>
            <w:r w:rsidRPr="009F551D">
              <w:rPr>
                <w:rFonts w:eastAsia="Calibri"/>
                <w:i/>
                <w:iCs/>
                <w:sz w:val="16"/>
                <w:szCs w:val="16"/>
                <w:lang w:val="fr-FR"/>
              </w:rPr>
              <w:t>Matières CMR</w:t>
            </w:r>
          </w:p>
        </w:tc>
        <w:tc>
          <w:tcPr>
            <w:tcW w:w="2687" w:type="dxa"/>
            <w:tcMar>
              <w:left w:w="0" w:type="dxa"/>
              <w:right w:w="0" w:type="dxa"/>
            </w:tcMar>
          </w:tcPr>
          <w:p w14:paraId="420A95A3" w14:textId="77777777" w:rsidR="00E63FF9" w:rsidRPr="009F551D" w:rsidRDefault="00E63FF9" w:rsidP="00C93CE5">
            <w:pPr>
              <w:spacing w:before="80" w:after="80" w:line="200" w:lineRule="exact"/>
              <w:ind w:left="57" w:right="113"/>
              <w:rPr>
                <w:rFonts w:eastAsia="Calibri"/>
                <w:i/>
                <w:iCs/>
                <w:sz w:val="16"/>
                <w:szCs w:val="16"/>
                <w:lang w:val="fr-FR"/>
              </w:rPr>
            </w:pPr>
            <w:r w:rsidRPr="009F551D">
              <w:rPr>
                <w:rFonts w:eastAsia="Calibri"/>
                <w:i/>
                <w:iCs/>
                <w:sz w:val="16"/>
                <w:szCs w:val="16"/>
                <w:lang w:val="fr-FR"/>
              </w:rPr>
              <w:t xml:space="preserve">Équipement de la citerne </w:t>
            </w:r>
            <w:r w:rsidRPr="009F551D">
              <w:rPr>
                <w:rFonts w:eastAsia="Calibri"/>
                <w:i/>
                <w:iCs/>
                <w:sz w:val="16"/>
                <w:szCs w:val="16"/>
                <w:lang w:val="fr-FR"/>
              </w:rPr>
              <w:br/>
              <w:t>à cargaison</w:t>
            </w:r>
          </w:p>
        </w:tc>
      </w:tr>
      <w:tr w:rsidR="00E63FF9" w:rsidRPr="009F551D" w14:paraId="2BAA12BE" w14:textId="77777777" w:rsidTr="00C93CE5">
        <w:tc>
          <w:tcPr>
            <w:tcW w:w="1615" w:type="dxa"/>
            <w:tcMar>
              <w:left w:w="0" w:type="dxa"/>
              <w:right w:w="0" w:type="dxa"/>
            </w:tcMar>
          </w:tcPr>
          <w:p w14:paraId="52D03126" w14:textId="77777777" w:rsidR="00E63FF9" w:rsidRPr="009F551D" w:rsidRDefault="00E63FF9" w:rsidP="00C93CE5">
            <w:pPr>
              <w:spacing w:before="60" w:after="60" w:line="220" w:lineRule="atLeast"/>
              <w:ind w:left="57" w:right="113"/>
              <w:rPr>
                <w:rFonts w:eastAsia="Calibri"/>
                <w:sz w:val="18"/>
                <w:szCs w:val="18"/>
                <w:lang w:val="fr-FR"/>
              </w:rPr>
            </w:pPr>
            <w:r w:rsidRPr="009F551D">
              <w:rPr>
                <w:rFonts w:eastAsia="Calibri"/>
                <w:sz w:val="18"/>
                <w:szCs w:val="18"/>
                <w:lang w:val="fr-FR"/>
              </w:rPr>
              <w:t xml:space="preserve">175 kPa ≤ </w:t>
            </w:r>
            <w:proofErr w:type="spellStart"/>
            <w:r w:rsidRPr="009F551D">
              <w:rPr>
                <w:rFonts w:eastAsia="Calibri"/>
                <w:sz w:val="18"/>
                <w:szCs w:val="18"/>
                <w:lang w:val="fr-FR"/>
              </w:rPr>
              <w:t>P</w:t>
            </w:r>
            <w:r w:rsidRPr="009F551D">
              <w:rPr>
                <w:rFonts w:eastAsia="Calibri"/>
                <w:sz w:val="18"/>
                <w:szCs w:val="18"/>
                <w:vertAlign w:val="subscript"/>
                <w:lang w:val="fr-FR"/>
              </w:rPr>
              <w:t>v</w:t>
            </w:r>
            <w:proofErr w:type="spellEnd"/>
            <w:r w:rsidRPr="009F551D">
              <w:rPr>
                <w:rFonts w:eastAsia="Calibri"/>
                <w:sz w:val="18"/>
                <w:szCs w:val="18"/>
                <w:vertAlign w:val="subscript"/>
                <w:lang w:val="fr-FR"/>
              </w:rPr>
              <w:t xml:space="preserve"> 50</w:t>
            </w:r>
            <w:r w:rsidRPr="009F551D">
              <w:rPr>
                <w:rFonts w:eastAsia="Calibri"/>
                <w:sz w:val="18"/>
                <w:szCs w:val="18"/>
                <w:lang w:val="fr-FR"/>
              </w:rPr>
              <w:t xml:space="preserve"> </w:t>
            </w:r>
            <w:r w:rsidRPr="009F551D">
              <w:rPr>
                <w:rFonts w:eastAsia="Calibri"/>
                <w:sz w:val="18"/>
                <w:szCs w:val="18"/>
                <w:lang w:val="fr-FR"/>
              </w:rPr>
              <w:br/>
              <w:t>&lt; 300 kPa, sans réfrigération</w:t>
            </w:r>
          </w:p>
        </w:tc>
        <w:tc>
          <w:tcPr>
            <w:tcW w:w="1111" w:type="dxa"/>
            <w:tcMar>
              <w:left w:w="0" w:type="dxa"/>
              <w:right w:w="0" w:type="dxa"/>
            </w:tcMar>
          </w:tcPr>
          <w:p w14:paraId="17FA6190" w14:textId="77777777" w:rsidR="00E63FF9" w:rsidRPr="009F551D" w:rsidRDefault="00E63FF9" w:rsidP="00C93CE5">
            <w:pPr>
              <w:spacing w:before="60" w:after="60" w:line="220" w:lineRule="atLeast"/>
              <w:ind w:left="57" w:right="113"/>
              <w:rPr>
                <w:rFonts w:eastAsia="Calibri"/>
                <w:sz w:val="18"/>
                <w:szCs w:val="18"/>
                <w:lang w:val="fr-FR"/>
              </w:rPr>
            </w:pPr>
          </w:p>
        </w:tc>
        <w:tc>
          <w:tcPr>
            <w:tcW w:w="1702" w:type="dxa"/>
            <w:tcMar>
              <w:left w:w="0" w:type="dxa"/>
              <w:right w:w="0" w:type="dxa"/>
            </w:tcMar>
          </w:tcPr>
          <w:p w14:paraId="7B7D9438" w14:textId="77777777" w:rsidR="00E63FF9" w:rsidRPr="009F551D" w:rsidRDefault="00E63FF9" w:rsidP="00C93CE5">
            <w:pPr>
              <w:spacing w:before="60" w:after="60" w:line="220" w:lineRule="atLeast"/>
              <w:ind w:left="57" w:right="113"/>
              <w:rPr>
                <w:rFonts w:eastAsia="Calibri"/>
                <w:sz w:val="18"/>
                <w:szCs w:val="18"/>
                <w:lang w:val="fr-FR"/>
              </w:rPr>
            </w:pPr>
          </w:p>
        </w:tc>
        <w:tc>
          <w:tcPr>
            <w:tcW w:w="1533" w:type="dxa"/>
            <w:tcMar>
              <w:left w:w="0" w:type="dxa"/>
              <w:right w:w="0" w:type="dxa"/>
            </w:tcMar>
          </w:tcPr>
          <w:p w14:paraId="1BAC306B" w14:textId="77777777" w:rsidR="00E63FF9" w:rsidRPr="009F551D" w:rsidRDefault="00E63FF9" w:rsidP="00C93CE5">
            <w:pPr>
              <w:spacing w:before="60" w:after="60" w:line="220" w:lineRule="atLeast"/>
              <w:ind w:left="57" w:right="113"/>
              <w:rPr>
                <w:rFonts w:eastAsia="Calibri"/>
                <w:sz w:val="18"/>
                <w:szCs w:val="18"/>
                <w:lang w:val="fr-FR"/>
              </w:rPr>
            </w:pPr>
          </w:p>
        </w:tc>
        <w:tc>
          <w:tcPr>
            <w:tcW w:w="2295" w:type="dxa"/>
            <w:tcMar>
              <w:left w:w="0" w:type="dxa"/>
              <w:right w:w="0" w:type="dxa"/>
            </w:tcMar>
          </w:tcPr>
          <w:p w14:paraId="37CA26F4" w14:textId="77777777" w:rsidR="00E63FF9" w:rsidRPr="009F551D" w:rsidRDefault="00E63FF9" w:rsidP="00C93CE5">
            <w:pPr>
              <w:spacing w:before="60" w:after="60" w:line="220" w:lineRule="atLeast"/>
              <w:ind w:left="57" w:right="113"/>
              <w:rPr>
                <w:rFonts w:eastAsia="Calibri"/>
                <w:sz w:val="18"/>
                <w:szCs w:val="18"/>
                <w:lang w:val="fr-FR"/>
              </w:rPr>
            </w:pPr>
          </w:p>
        </w:tc>
        <w:tc>
          <w:tcPr>
            <w:tcW w:w="2835" w:type="dxa"/>
            <w:tcMar>
              <w:left w:w="0" w:type="dxa"/>
              <w:right w:w="0" w:type="dxa"/>
            </w:tcMar>
          </w:tcPr>
          <w:p w14:paraId="61452D50" w14:textId="77777777" w:rsidR="00E63FF9" w:rsidRPr="009F551D" w:rsidRDefault="00E63FF9" w:rsidP="00C93CE5">
            <w:pPr>
              <w:spacing w:before="60" w:after="60" w:line="220" w:lineRule="atLeast"/>
              <w:ind w:left="57" w:right="113"/>
              <w:rPr>
                <w:rFonts w:eastAsia="Calibri"/>
                <w:sz w:val="18"/>
                <w:szCs w:val="18"/>
                <w:lang w:val="fr-FR"/>
              </w:rPr>
            </w:pPr>
          </w:p>
        </w:tc>
        <w:tc>
          <w:tcPr>
            <w:tcW w:w="2687" w:type="dxa"/>
            <w:tcMar>
              <w:left w:w="0" w:type="dxa"/>
              <w:right w:w="0" w:type="dxa"/>
            </w:tcMar>
          </w:tcPr>
          <w:p w14:paraId="35E84BA0" w14:textId="77777777" w:rsidR="00E63FF9" w:rsidRPr="009F551D" w:rsidRDefault="00E63FF9" w:rsidP="00C93CE5">
            <w:pPr>
              <w:spacing w:before="60" w:after="60" w:line="220" w:lineRule="atLeast"/>
              <w:ind w:left="57" w:right="113"/>
              <w:rPr>
                <w:rFonts w:eastAsia="Calibri"/>
                <w:sz w:val="18"/>
                <w:szCs w:val="18"/>
                <w:lang w:val="fr-FR"/>
              </w:rPr>
            </w:pPr>
            <w:r w:rsidRPr="009F551D">
              <w:rPr>
                <w:rFonts w:eastAsia="Calibri"/>
                <w:sz w:val="18"/>
                <w:szCs w:val="18"/>
                <w:lang w:val="fr-FR"/>
              </w:rPr>
              <w:t>Citerne à pression (400 kPa)</w:t>
            </w:r>
          </w:p>
        </w:tc>
      </w:tr>
      <w:tr w:rsidR="00E63FF9" w:rsidRPr="00E86888" w14:paraId="1BCF281D" w14:textId="77777777" w:rsidTr="00C93CE5">
        <w:tc>
          <w:tcPr>
            <w:tcW w:w="1615" w:type="dxa"/>
            <w:tcMar>
              <w:left w:w="0" w:type="dxa"/>
              <w:right w:w="0" w:type="dxa"/>
            </w:tcMar>
          </w:tcPr>
          <w:p w14:paraId="369DBFCB" w14:textId="77777777" w:rsidR="00E63FF9" w:rsidRPr="009F551D" w:rsidRDefault="00E63FF9" w:rsidP="00C93CE5">
            <w:pPr>
              <w:spacing w:before="60" w:after="60" w:line="220" w:lineRule="atLeast"/>
              <w:ind w:left="57" w:right="113"/>
              <w:rPr>
                <w:rFonts w:eastAsia="Calibri"/>
                <w:sz w:val="18"/>
                <w:szCs w:val="18"/>
                <w:lang w:val="fr-FR"/>
              </w:rPr>
            </w:pPr>
            <w:r w:rsidRPr="009F551D">
              <w:rPr>
                <w:rFonts w:eastAsia="Calibri"/>
                <w:sz w:val="18"/>
                <w:szCs w:val="18"/>
                <w:lang w:val="fr-FR"/>
              </w:rPr>
              <w:t xml:space="preserve">175 kPa ≤ </w:t>
            </w:r>
            <w:proofErr w:type="spellStart"/>
            <w:r w:rsidRPr="009F551D">
              <w:rPr>
                <w:rFonts w:eastAsia="Calibri"/>
                <w:sz w:val="18"/>
                <w:szCs w:val="18"/>
                <w:lang w:val="fr-FR"/>
              </w:rPr>
              <w:t>P</w:t>
            </w:r>
            <w:r w:rsidRPr="009F551D">
              <w:rPr>
                <w:rFonts w:eastAsia="Calibri"/>
                <w:sz w:val="18"/>
                <w:szCs w:val="18"/>
                <w:vertAlign w:val="subscript"/>
                <w:lang w:val="fr-FR"/>
              </w:rPr>
              <w:t>v</w:t>
            </w:r>
            <w:proofErr w:type="spellEnd"/>
            <w:r w:rsidRPr="009F551D">
              <w:rPr>
                <w:rFonts w:eastAsia="Calibri"/>
                <w:sz w:val="18"/>
                <w:szCs w:val="18"/>
                <w:vertAlign w:val="subscript"/>
                <w:lang w:val="fr-FR"/>
              </w:rPr>
              <w:t xml:space="preserve"> 50</w:t>
            </w:r>
            <w:r w:rsidRPr="009F551D">
              <w:rPr>
                <w:rFonts w:eastAsia="Calibri"/>
                <w:sz w:val="18"/>
                <w:szCs w:val="18"/>
                <w:lang w:val="fr-FR"/>
              </w:rPr>
              <w:t xml:space="preserve"> </w:t>
            </w:r>
            <w:r w:rsidRPr="009F551D">
              <w:rPr>
                <w:rFonts w:eastAsia="Calibri"/>
                <w:sz w:val="18"/>
                <w:szCs w:val="18"/>
                <w:lang w:val="fr-FR"/>
              </w:rPr>
              <w:br/>
              <w:t xml:space="preserve">&lt; 300 kPa, avec réfrigération </w:t>
            </w:r>
          </w:p>
        </w:tc>
        <w:tc>
          <w:tcPr>
            <w:tcW w:w="1111" w:type="dxa"/>
            <w:tcMar>
              <w:left w:w="0" w:type="dxa"/>
              <w:right w:w="0" w:type="dxa"/>
            </w:tcMar>
          </w:tcPr>
          <w:p w14:paraId="5CD38E22" w14:textId="77777777" w:rsidR="00E63FF9" w:rsidRPr="009F551D" w:rsidRDefault="00E63FF9" w:rsidP="00C93CE5">
            <w:pPr>
              <w:spacing w:before="60" w:after="60" w:line="220" w:lineRule="atLeast"/>
              <w:ind w:left="57" w:right="113"/>
              <w:rPr>
                <w:rFonts w:eastAsia="Calibri"/>
                <w:strike/>
                <w:sz w:val="18"/>
                <w:szCs w:val="18"/>
                <w:lang w:val="fr-FR"/>
              </w:rPr>
            </w:pPr>
          </w:p>
        </w:tc>
        <w:tc>
          <w:tcPr>
            <w:tcW w:w="1702" w:type="dxa"/>
            <w:tcMar>
              <w:left w:w="0" w:type="dxa"/>
              <w:right w:w="0" w:type="dxa"/>
            </w:tcMar>
          </w:tcPr>
          <w:p w14:paraId="3B00A1D1" w14:textId="77777777" w:rsidR="00E63FF9" w:rsidRPr="009F551D" w:rsidRDefault="00E63FF9" w:rsidP="00C93CE5">
            <w:pPr>
              <w:spacing w:before="60" w:after="60" w:line="220" w:lineRule="atLeast"/>
              <w:ind w:left="57" w:right="113"/>
              <w:rPr>
                <w:rFonts w:eastAsia="Calibri"/>
                <w:sz w:val="18"/>
                <w:szCs w:val="18"/>
                <w:lang w:val="fr-FR"/>
              </w:rPr>
            </w:pPr>
          </w:p>
        </w:tc>
        <w:tc>
          <w:tcPr>
            <w:tcW w:w="1533" w:type="dxa"/>
            <w:tcMar>
              <w:left w:w="0" w:type="dxa"/>
              <w:right w:w="0" w:type="dxa"/>
            </w:tcMar>
          </w:tcPr>
          <w:p w14:paraId="224CA53F" w14:textId="77777777" w:rsidR="00E63FF9" w:rsidRPr="009F551D" w:rsidRDefault="00E63FF9" w:rsidP="00C93CE5">
            <w:pPr>
              <w:spacing w:before="60" w:after="60" w:line="220" w:lineRule="atLeast"/>
              <w:ind w:left="57" w:right="113"/>
              <w:rPr>
                <w:rFonts w:eastAsia="Calibri"/>
                <w:sz w:val="18"/>
                <w:szCs w:val="18"/>
                <w:lang w:val="fr-FR"/>
              </w:rPr>
            </w:pPr>
          </w:p>
        </w:tc>
        <w:tc>
          <w:tcPr>
            <w:tcW w:w="2295" w:type="dxa"/>
            <w:tcMar>
              <w:left w:w="0" w:type="dxa"/>
              <w:right w:w="0" w:type="dxa"/>
            </w:tcMar>
          </w:tcPr>
          <w:p w14:paraId="716C1EF3" w14:textId="77777777" w:rsidR="00E63FF9" w:rsidRPr="009F551D" w:rsidRDefault="00E63FF9" w:rsidP="00C93CE5">
            <w:pPr>
              <w:spacing w:before="60" w:after="60" w:line="220" w:lineRule="atLeast"/>
              <w:ind w:left="57" w:right="113"/>
              <w:rPr>
                <w:rFonts w:eastAsia="Calibri"/>
                <w:sz w:val="18"/>
                <w:szCs w:val="18"/>
                <w:lang w:val="fr-FR"/>
              </w:rPr>
            </w:pPr>
          </w:p>
        </w:tc>
        <w:tc>
          <w:tcPr>
            <w:tcW w:w="2835" w:type="dxa"/>
            <w:tcMar>
              <w:left w:w="0" w:type="dxa"/>
              <w:right w:w="0" w:type="dxa"/>
            </w:tcMar>
          </w:tcPr>
          <w:p w14:paraId="5BEC51E7" w14:textId="77777777" w:rsidR="00E63FF9" w:rsidRPr="009F551D" w:rsidRDefault="00E63FF9" w:rsidP="00C93CE5">
            <w:pPr>
              <w:spacing w:before="60" w:after="60" w:line="220" w:lineRule="atLeast"/>
              <w:ind w:left="57" w:right="113"/>
              <w:rPr>
                <w:rFonts w:eastAsia="Calibri"/>
                <w:sz w:val="18"/>
                <w:szCs w:val="18"/>
                <w:lang w:val="fr-FR"/>
              </w:rPr>
            </w:pPr>
          </w:p>
        </w:tc>
        <w:tc>
          <w:tcPr>
            <w:tcW w:w="2687" w:type="dxa"/>
            <w:tcMar>
              <w:left w:w="0" w:type="dxa"/>
              <w:right w:w="0" w:type="dxa"/>
            </w:tcMar>
          </w:tcPr>
          <w:p w14:paraId="140EEE0D" w14:textId="77777777" w:rsidR="00E63FF9" w:rsidRPr="009F551D" w:rsidRDefault="00E63FF9" w:rsidP="00C93CE5">
            <w:pPr>
              <w:spacing w:before="60" w:after="60" w:line="220" w:lineRule="atLeast"/>
              <w:ind w:left="57" w:right="113"/>
              <w:rPr>
                <w:rFonts w:eastAsia="Calibri"/>
                <w:sz w:val="18"/>
                <w:szCs w:val="18"/>
                <w:lang w:val="fr-FR"/>
              </w:rPr>
            </w:pPr>
            <w:r w:rsidRPr="009F551D">
              <w:rPr>
                <w:rFonts w:eastAsia="Calibri"/>
                <w:sz w:val="18"/>
                <w:szCs w:val="18"/>
                <w:lang w:val="fr-FR"/>
              </w:rPr>
              <w:t>Pression d</w:t>
            </w:r>
            <w:r>
              <w:rPr>
                <w:rFonts w:eastAsia="Calibri"/>
                <w:sz w:val="18"/>
                <w:szCs w:val="18"/>
                <w:lang w:val="fr-FR"/>
              </w:rPr>
              <w:t>’</w:t>
            </w:r>
            <w:r w:rsidRPr="009F551D">
              <w:rPr>
                <w:rFonts w:eastAsia="Calibri"/>
                <w:sz w:val="18"/>
                <w:szCs w:val="18"/>
                <w:lang w:val="fr-FR"/>
              </w:rPr>
              <w:t xml:space="preserve">ouverture de la soupape de surpression/soupape de dégagement à grande vitesse : 50 kPa (avec réfrigération </w:t>
            </w:r>
            <w:r w:rsidRPr="009F551D">
              <w:rPr>
                <w:rFonts w:eastAsia="Calibri"/>
                <w:sz w:val="18"/>
                <w:szCs w:val="18"/>
                <w:lang w:val="fr-FR"/>
              </w:rPr>
              <w:br/>
              <w:t>(chiffre 1 à la colonne 9))</w:t>
            </w:r>
          </w:p>
        </w:tc>
      </w:tr>
      <w:tr w:rsidR="00E63FF9" w:rsidRPr="00E86888" w14:paraId="4784425A" w14:textId="77777777" w:rsidTr="00C93CE5">
        <w:tc>
          <w:tcPr>
            <w:tcW w:w="1615" w:type="dxa"/>
            <w:tcMar>
              <w:left w:w="0" w:type="dxa"/>
              <w:right w:w="0" w:type="dxa"/>
            </w:tcMar>
          </w:tcPr>
          <w:p w14:paraId="7542ADA2" w14:textId="77777777" w:rsidR="00E63FF9" w:rsidRPr="009F551D" w:rsidRDefault="00E63FF9" w:rsidP="00C93CE5">
            <w:pPr>
              <w:spacing w:before="60" w:after="60" w:line="220" w:lineRule="atLeast"/>
              <w:ind w:left="57" w:right="113"/>
              <w:rPr>
                <w:rFonts w:eastAsia="Calibri"/>
                <w:sz w:val="18"/>
                <w:szCs w:val="18"/>
                <w:lang w:val="fr-FR"/>
              </w:rPr>
            </w:pPr>
          </w:p>
        </w:tc>
        <w:tc>
          <w:tcPr>
            <w:tcW w:w="1111" w:type="dxa"/>
            <w:tcMar>
              <w:left w:w="0" w:type="dxa"/>
              <w:right w:w="0" w:type="dxa"/>
            </w:tcMar>
          </w:tcPr>
          <w:p w14:paraId="1A0C1C89" w14:textId="77777777" w:rsidR="00E63FF9" w:rsidRPr="009F551D" w:rsidRDefault="00E63FF9" w:rsidP="00C93CE5">
            <w:pPr>
              <w:spacing w:before="60" w:after="60" w:line="220" w:lineRule="atLeast"/>
              <w:ind w:left="57" w:right="113"/>
              <w:rPr>
                <w:rFonts w:eastAsia="Calibri"/>
                <w:sz w:val="18"/>
                <w:szCs w:val="18"/>
                <w:lang w:val="fr-FR"/>
              </w:rPr>
            </w:pPr>
            <w:r w:rsidRPr="009F551D">
              <w:rPr>
                <w:rFonts w:eastAsia="Calibri"/>
                <w:sz w:val="18"/>
                <w:szCs w:val="18"/>
                <w:lang w:val="fr-FR"/>
              </w:rPr>
              <w:t>150 kPa</w:t>
            </w:r>
            <w:r w:rsidRPr="009F551D">
              <w:rPr>
                <w:rFonts w:eastAsia="Calibri"/>
                <w:sz w:val="18"/>
                <w:szCs w:val="18"/>
                <w:lang w:val="fr-FR"/>
              </w:rPr>
              <w:br/>
              <w:t xml:space="preserve"> ≤ </w:t>
            </w:r>
            <w:proofErr w:type="spellStart"/>
            <w:r w:rsidRPr="009F551D">
              <w:rPr>
                <w:rFonts w:eastAsia="Calibri"/>
                <w:sz w:val="18"/>
                <w:szCs w:val="18"/>
                <w:lang w:val="fr-FR"/>
              </w:rPr>
              <w:t>P</w:t>
            </w:r>
            <w:r w:rsidRPr="009F551D">
              <w:rPr>
                <w:rFonts w:eastAsia="Calibri"/>
                <w:sz w:val="18"/>
                <w:szCs w:val="18"/>
                <w:vertAlign w:val="subscript"/>
                <w:lang w:val="fr-FR"/>
              </w:rPr>
              <w:t>v</w:t>
            </w:r>
            <w:proofErr w:type="spellEnd"/>
            <w:r w:rsidRPr="009F551D">
              <w:rPr>
                <w:rFonts w:eastAsia="Calibri"/>
                <w:sz w:val="18"/>
                <w:szCs w:val="18"/>
                <w:vertAlign w:val="subscript"/>
                <w:lang w:val="fr-FR"/>
              </w:rPr>
              <w:t xml:space="preserve"> 50</w:t>
            </w:r>
            <w:r w:rsidRPr="009F551D">
              <w:rPr>
                <w:rFonts w:eastAsia="Calibri"/>
                <w:sz w:val="18"/>
                <w:szCs w:val="18"/>
                <w:lang w:val="fr-FR"/>
              </w:rPr>
              <w:t xml:space="preserve"> </w:t>
            </w:r>
            <w:r w:rsidRPr="009F551D">
              <w:rPr>
                <w:rFonts w:eastAsia="Calibri"/>
                <w:sz w:val="18"/>
                <w:szCs w:val="18"/>
                <w:lang w:val="fr-FR"/>
              </w:rPr>
              <w:br/>
              <w:t xml:space="preserve">&lt; 175 kPa </w:t>
            </w:r>
          </w:p>
        </w:tc>
        <w:tc>
          <w:tcPr>
            <w:tcW w:w="1702" w:type="dxa"/>
            <w:tcMar>
              <w:left w:w="0" w:type="dxa"/>
              <w:right w:w="0" w:type="dxa"/>
            </w:tcMar>
          </w:tcPr>
          <w:p w14:paraId="5DAF70D6" w14:textId="77777777" w:rsidR="00E63FF9" w:rsidRPr="009F551D" w:rsidRDefault="00E63FF9" w:rsidP="00C93CE5">
            <w:pPr>
              <w:spacing w:before="60" w:after="60" w:line="220" w:lineRule="atLeast"/>
              <w:ind w:left="57" w:right="113"/>
              <w:rPr>
                <w:rFonts w:eastAsia="Calibri"/>
                <w:sz w:val="18"/>
                <w:szCs w:val="18"/>
                <w:lang w:val="fr-FR"/>
              </w:rPr>
            </w:pPr>
            <w:r w:rsidRPr="009F551D">
              <w:rPr>
                <w:rFonts w:eastAsia="Calibri"/>
                <w:sz w:val="18"/>
                <w:szCs w:val="18"/>
                <w:lang w:val="fr-FR"/>
              </w:rPr>
              <w:t xml:space="preserve">110 kPa ≤ </w:t>
            </w:r>
            <w:proofErr w:type="spellStart"/>
            <w:r w:rsidRPr="009F551D">
              <w:rPr>
                <w:rFonts w:eastAsia="Calibri"/>
                <w:sz w:val="18"/>
                <w:szCs w:val="18"/>
                <w:lang w:val="fr-FR"/>
              </w:rPr>
              <w:t>P</w:t>
            </w:r>
            <w:r w:rsidRPr="009F551D">
              <w:rPr>
                <w:rFonts w:eastAsia="Calibri"/>
                <w:sz w:val="18"/>
                <w:szCs w:val="18"/>
                <w:vertAlign w:val="subscript"/>
                <w:lang w:val="fr-FR"/>
              </w:rPr>
              <w:t>v</w:t>
            </w:r>
            <w:proofErr w:type="spellEnd"/>
            <w:r w:rsidRPr="009F551D">
              <w:rPr>
                <w:rFonts w:eastAsia="Calibri"/>
                <w:sz w:val="18"/>
                <w:szCs w:val="18"/>
                <w:vertAlign w:val="subscript"/>
                <w:lang w:val="fr-FR"/>
              </w:rPr>
              <w:t xml:space="preserve"> 50</w:t>
            </w:r>
            <w:r w:rsidRPr="009F551D">
              <w:rPr>
                <w:rFonts w:eastAsia="Calibri"/>
                <w:sz w:val="18"/>
                <w:szCs w:val="18"/>
                <w:lang w:val="fr-FR"/>
              </w:rPr>
              <w:t xml:space="preserve"> </w:t>
            </w:r>
            <w:r w:rsidRPr="009F551D">
              <w:rPr>
                <w:rFonts w:eastAsia="Calibri"/>
                <w:sz w:val="18"/>
                <w:szCs w:val="18"/>
                <w:lang w:val="fr-FR"/>
              </w:rPr>
              <w:br/>
              <w:t>&lt; 150 kPa sans pulvérisation</w:t>
            </w:r>
          </w:p>
        </w:tc>
        <w:tc>
          <w:tcPr>
            <w:tcW w:w="1533" w:type="dxa"/>
            <w:tcMar>
              <w:left w:w="0" w:type="dxa"/>
              <w:right w:w="0" w:type="dxa"/>
            </w:tcMar>
          </w:tcPr>
          <w:p w14:paraId="2E889D02" w14:textId="77777777" w:rsidR="00E63FF9" w:rsidRPr="009F551D" w:rsidRDefault="00E63FF9" w:rsidP="00C93CE5">
            <w:pPr>
              <w:spacing w:before="60" w:after="60" w:line="220" w:lineRule="atLeast"/>
              <w:ind w:left="57" w:right="113"/>
              <w:rPr>
                <w:rFonts w:eastAsia="Calibri"/>
                <w:sz w:val="18"/>
                <w:szCs w:val="18"/>
                <w:lang w:val="fr-FR"/>
              </w:rPr>
            </w:pPr>
          </w:p>
        </w:tc>
        <w:tc>
          <w:tcPr>
            <w:tcW w:w="2295" w:type="dxa"/>
            <w:tcMar>
              <w:left w:w="0" w:type="dxa"/>
              <w:right w:w="0" w:type="dxa"/>
            </w:tcMar>
          </w:tcPr>
          <w:p w14:paraId="49FC1258" w14:textId="77777777" w:rsidR="00E63FF9" w:rsidRPr="009F551D" w:rsidRDefault="00E63FF9" w:rsidP="00C93CE5">
            <w:pPr>
              <w:spacing w:before="60" w:after="60" w:line="220" w:lineRule="atLeast"/>
              <w:ind w:left="57" w:right="113"/>
              <w:rPr>
                <w:rFonts w:eastAsia="Calibri"/>
                <w:sz w:val="18"/>
                <w:szCs w:val="18"/>
                <w:lang w:val="fr-FR"/>
              </w:rPr>
            </w:pPr>
          </w:p>
        </w:tc>
        <w:tc>
          <w:tcPr>
            <w:tcW w:w="2835" w:type="dxa"/>
            <w:tcMar>
              <w:left w:w="0" w:type="dxa"/>
              <w:right w:w="0" w:type="dxa"/>
            </w:tcMar>
          </w:tcPr>
          <w:p w14:paraId="665891C8" w14:textId="77777777" w:rsidR="00E63FF9" w:rsidRPr="009F551D" w:rsidRDefault="00E63FF9" w:rsidP="00C93CE5">
            <w:pPr>
              <w:spacing w:before="60" w:after="60" w:line="220" w:lineRule="atLeast"/>
              <w:ind w:left="57" w:right="113"/>
              <w:rPr>
                <w:rFonts w:eastAsia="Calibri"/>
                <w:sz w:val="18"/>
                <w:szCs w:val="18"/>
                <w:lang w:val="fr-FR"/>
              </w:rPr>
            </w:pPr>
          </w:p>
        </w:tc>
        <w:tc>
          <w:tcPr>
            <w:tcW w:w="2687" w:type="dxa"/>
            <w:tcMar>
              <w:left w:w="0" w:type="dxa"/>
              <w:right w:w="0" w:type="dxa"/>
            </w:tcMar>
          </w:tcPr>
          <w:p w14:paraId="6EDDA15C" w14:textId="77777777" w:rsidR="00E63FF9" w:rsidRPr="009F551D" w:rsidRDefault="00E63FF9" w:rsidP="00C93CE5">
            <w:pPr>
              <w:spacing w:before="60" w:after="60" w:line="220" w:lineRule="atLeast"/>
              <w:ind w:left="57" w:right="113"/>
              <w:rPr>
                <w:rFonts w:eastAsia="Calibri"/>
                <w:sz w:val="18"/>
                <w:szCs w:val="18"/>
                <w:lang w:val="fr-FR"/>
              </w:rPr>
            </w:pPr>
            <w:r w:rsidRPr="009F551D">
              <w:rPr>
                <w:rFonts w:eastAsia="Calibri"/>
                <w:sz w:val="18"/>
                <w:szCs w:val="18"/>
                <w:lang w:val="fr-FR"/>
              </w:rPr>
              <w:t>Pression d</w:t>
            </w:r>
            <w:r>
              <w:rPr>
                <w:rFonts w:eastAsia="Calibri"/>
                <w:sz w:val="18"/>
                <w:szCs w:val="18"/>
                <w:lang w:val="fr-FR"/>
              </w:rPr>
              <w:t>’</w:t>
            </w:r>
            <w:r w:rsidRPr="009F551D">
              <w:rPr>
                <w:rFonts w:eastAsia="Calibri"/>
                <w:sz w:val="18"/>
                <w:szCs w:val="18"/>
                <w:lang w:val="fr-FR"/>
              </w:rPr>
              <w:t xml:space="preserve">ouverture de la soupape de surpression/soupape de dégagement à grande vitesse : 50 kPa </w:t>
            </w:r>
          </w:p>
        </w:tc>
      </w:tr>
      <w:tr w:rsidR="00E63FF9" w:rsidRPr="00E86888" w14:paraId="0928C877" w14:textId="77777777" w:rsidTr="00C93CE5">
        <w:tc>
          <w:tcPr>
            <w:tcW w:w="1615" w:type="dxa"/>
            <w:tcMar>
              <w:left w:w="0" w:type="dxa"/>
              <w:right w:w="0" w:type="dxa"/>
            </w:tcMar>
          </w:tcPr>
          <w:p w14:paraId="37F26152" w14:textId="77777777" w:rsidR="00E63FF9" w:rsidRPr="009F551D" w:rsidRDefault="00E63FF9" w:rsidP="00C93CE5">
            <w:pPr>
              <w:spacing w:before="60" w:after="60" w:line="220" w:lineRule="atLeast"/>
              <w:ind w:left="57" w:right="113"/>
              <w:rPr>
                <w:rFonts w:eastAsia="Calibri"/>
                <w:sz w:val="18"/>
                <w:szCs w:val="18"/>
                <w:lang w:val="fr-FR"/>
              </w:rPr>
            </w:pPr>
          </w:p>
        </w:tc>
        <w:tc>
          <w:tcPr>
            <w:tcW w:w="1111" w:type="dxa"/>
            <w:tcMar>
              <w:left w:w="0" w:type="dxa"/>
              <w:right w:w="0" w:type="dxa"/>
            </w:tcMar>
          </w:tcPr>
          <w:p w14:paraId="688C4C78" w14:textId="77777777" w:rsidR="00E63FF9" w:rsidRPr="009F551D" w:rsidRDefault="00E63FF9" w:rsidP="00C93CE5">
            <w:pPr>
              <w:spacing w:before="60" w:after="60" w:line="220" w:lineRule="atLeast"/>
              <w:ind w:left="57" w:right="113"/>
              <w:rPr>
                <w:rFonts w:eastAsia="Calibri"/>
                <w:sz w:val="18"/>
                <w:szCs w:val="18"/>
                <w:lang w:val="fr-FR"/>
              </w:rPr>
            </w:pPr>
          </w:p>
        </w:tc>
        <w:tc>
          <w:tcPr>
            <w:tcW w:w="1702" w:type="dxa"/>
            <w:tcMar>
              <w:left w:w="0" w:type="dxa"/>
              <w:right w:w="0" w:type="dxa"/>
            </w:tcMar>
          </w:tcPr>
          <w:p w14:paraId="695E94F2" w14:textId="77777777" w:rsidR="00E63FF9" w:rsidRPr="009F551D" w:rsidRDefault="00E63FF9" w:rsidP="00C93CE5">
            <w:pPr>
              <w:spacing w:before="60" w:after="60" w:line="220" w:lineRule="atLeast"/>
              <w:ind w:left="57" w:right="113"/>
              <w:rPr>
                <w:rFonts w:eastAsia="Calibri"/>
                <w:sz w:val="18"/>
                <w:szCs w:val="18"/>
                <w:lang w:val="fr-FR"/>
              </w:rPr>
            </w:pPr>
            <w:r w:rsidRPr="009F551D">
              <w:rPr>
                <w:rFonts w:eastAsia="Calibri"/>
                <w:sz w:val="18"/>
                <w:szCs w:val="18"/>
                <w:lang w:val="fr-FR"/>
              </w:rPr>
              <w:t xml:space="preserve">110 kPa ≤ </w:t>
            </w:r>
            <w:proofErr w:type="spellStart"/>
            <w:r w:rsidRPr="009F551D">
              <w:rPr>
                <w:rFonts w:eastAsia="Calibri"/>
                <w:sz w:val="18"/>
                <w:szCs w:val="18"/>
                <w:lang w:val="fr-FR"/>
              </w:rPr>
              <w:t>P</w:t>
            </w:r>
            <w:r w:rsidRPr="009F551D">
              <w:rPr>
                <w:rFonts w:eastAsia="Calibri"/>
                <w:sz w:val="18"/>
                <w:szCs w:val="18"/>
                <w:vertAlign w:val="subscript"/>
                <w:lang w:val="fr-FR"/>
              </w:rPr>
              <w:t>v</w:t>
            </w:r>
            <w:proofErr w:type="spellEnd"/>
            <w:r w:rsidRPr="009F551D">
              <w:rPr>
                <w:rFonts w:eastAsia="Calibri"/>
                <w:sz w:val="18"/>
                <w:szCs w:val="18"/>
                <w:vertAlign w:val="subscript"/>
                <w:lang w:val="fr-FR"/>
              </w:rPr>
              <w:t xml:space="preserve"> 50</w:t>
            </w:r>
            <w:r w:rsidRPr="009F551D">
              <w:rPr>
                <w:rFonts w:eastAsia="Calibri"/>
                <w:sz w:val="18"/>
                <w:szCs w:val="18"/>
                <w:lang w:val="fr-FR"/>
              </w:rPr>
              <w:t xml:space="preserve"> </w:t>
            </w:r>
            <w:r w:rsidRPr="009F551D">
              <w:rPr>
                <w:rFonts w:eastAsia="Calibri"/>
                <w:sz w:val="18"/>
                <w:szCs w:val="18"/>
                <w:lang w:val="fr-FR"/>
              </w:rPr>
              <w:br/>
              <w:t xml:space="preserve">&lt; 150 kPa avec pulvérisation </w:t>
            </w:r>
          </w:p>
        </w:tc>
        <w:tc>
          <w:tcPr>
            <w:tcW w:w="1533" w:type="dxa"/>
            <w:tcMar>
              <w:left w:w="0" w:type="dxa"/>
              <w:right w:w="0" w:type="dxa"/>
            </w:tcMar>
          </w:tcPr>
          <w:p w14:paraId="6C8503B1" w14:textId="77777777" w:rsidR="00E63FF9" w:rsidRPr="009F551D" w:rsidRDefault="00E63FF9" w:rsidP="00C93CE5">
            <w:pPr>
              <w:spacing w:before="60" w:after="60" w:line="220" w:lineRule="atLeast"/>
              <w:ind w:left="57" w:right="113"/>
              <w:rPr>
                <w:rFonts w:eastAsia="Calibri"/>
                <w:strike/>
                <w:sz w:val="18"/>
                <w:szCs w:val="18"/>
                <w:lang w:val="fr-FR"/>
              </w:rPr>
            </w:pPr>
          </w:p>
        </w:tc>
        <w:tc>
          <w:tcPr>
            <w:tcW w:w="2295" w:type="dxa"/>
            <w:tcMar>
              <w:left w:w="0" w:type="dxa"/>
              <w:right w:w="0" w:type="dxa"/>
            </w:tcMar>
          </w:tcPr>
          <w:p w14:paraId="45EBA033" w14:textId="77777777" w:rsidR="00E63FF9" w:rsidRPr="009F551D" w:rsidRDefault="00E63FF9" w:rsidP="00C93CE5">
            <w:pPr>
              <w:spacing w:before="60" w:after="60" w:line="220" w:lineRule="atLeast"/>
              <w:ind w:left="57" w:right="113"/>
              <w:rPr>
                <w:rFonts w:eastAsia="Calibri"/>
                <w:strike/>
                <w:sz w:val="18"/>
                <w:szCs w:val="18"/>
                <w:lang w:val="fr-FR"/>
              </w:rPr>
            </w:pPr>
          </w:p>
        </w:tc>
        <w:tc>
          <w:tcPr>
            <w:tcW w:w="2835" w:type="dxa"/>
            <w:tcMar>
              <w:left w:w="0" w:type="dxa"/>
              <w:right w:w="0" w:type="dxa"/>
            </w:tcMar>
          </w:tcPr>
          <w:p w14:paraId="7B6DAAF3" w14:textId="77777777" w:rsidR="00E63FF9" w:rsidRPr="009F551D" w:rsidRDefault="00E63FF9" w:rsidP="00C93CE5">
            <w:pPr>
              <w:spacing w:before="60" w:after="60" w:line="220" w:lineRule="atLeast"/>
              <w:ind w:left="57" w:right="113"/>
              <w:rPr>
                <w:rFonts w:eastAsia="Calibri"/>
                <w:sz w:val="18"/>
                <w:szCs w:val="18"/>
                <w:lang w:val="fr-FR"/>
              </w:rPr>
            </w:pPr>
            <w:r w:rsidRPr="009F551D">
              <w:rPr>
                <w:rFonts w:eastAsia="Calibri"/>
                <w:sz w:val="18"/>
                <w:szCs w:val="18"/>
                <w:lang w:val="fr-FR"/>
              </w:rPr>
              <w:t xml:space="preserve">Pression de vapeur &gt; 10 kPa </w:t>
            </w:r>
            <w:r w:rsidRPr="009F551D">
              <w:rPr>
                <w:rFonts w:eastAsia="Calibri"/>
                <w:sz w:val="18"/>
                <w:szCs w:val="18"/>
                <w:lang w:val="fr-FR"/>
              </w:rPr>
              <w:br/>
              <w:t xml:space="preserve">(calcul de la pression de vapeur </w:t>
            </w:r>
            <w:r w:rsidRPr="009F551D">
              <w:rPr>
                <w:rFonts w:eastAsia="Calibri"/>
                <w:sz w:val="18"/>
                <w:szCs w:val="18"/>
                <w:lang w:val="fr-FR"/>
              </w:rPr>
              <w:br/>
              <w:t>selon la formule pour la colonne 10, avec toutefois v</w:t>
            </w:r>
            <w:r w:rsidRPr="009F551D">
              <w:rPr>
                <w:rFonts w:eastAsia="Calibri"/>
                <w:sz w:val="18"/>
                <w:szCs w:val="18"/>
                <w:vertAlign w:val="subscript"/>
                <w:lang w:val="fr-FR"/>
              </w:rPr>
              <w:t>a</w:t>
            </w:r>
            <w:r w:rsidRPr="009F551D">
              <w:rPr>
                <w:rFonts w:eastAsia="Calibri"/>
                <w:sz w:val="18"/>
                <w:szCs w:val="18"/>
                <w:lang w:val="fr-FR"/>
              </w:rPr>
              <w:t xml:space="preserve"> = 0,03)</w:t>
            </w:r>
          </w:p>
        </w:tc>
        <w:tc>
          <w:tcPr>
            <w:tcW w:w="2687" w:type="dxa"/>
            <w:tcMar>
              <w:left w:w="0" w:type="dxa"/>
              <w:right w:w="0" w:type="dxa"/>
            </w:tcMar>
          </w:tcPr>
          <w:p w14:paraId="39443818" w14:textId="77777777" w:rsidR="00E63FF9" w:rsidRPr="009F551D" w:rsidRDefault="00E63FF9" w:rsidP="00C93CE5">
            <w:pPr>
              <w:spacing w:before="60" w:after="60" w:line="220" w:lineRule="atLeast"/>
              <w:ind w:left="57" w:right="113"/>
              <w:rPr>
                <w:rFonts w:eastAsia="Calibri"/>
                <w:sz w:val="18"/>
                <w:szCs w:val="18"/>
                <w:lang w:val="fr-FR"/>
              </w:rPr>
            </w:pPr>
            <w:r w:rsidRPr="009F551D">
              <w:rPr>
                <w:rFonts w:eastAsia="Calibri"/>
                <w:sz w:val="18"/>
                <w:szCs w:val="18"/>
                <w:lang w:val="fr-FR"/>
              </w:rPr>
              <w:t>Pression d</w:t>
            </w:r>
            <w:r>
              <w:rPr>
                <w:rFonts w:eastAsia="Calibri"/>
                <w:sz w:val="18"/>
                <w:szCs w:val="18"/>
                <w:lang w:val="fr-FR"/>
              </w:rPr>
              <w:t>’</w:t>
            </w:r>
            <w:r w:rsidRPr="009F551D">
              <w:rPr>
                <w:rFonts w:eastAsia="Calibri"/>
                <w:sz w:val="18"/>
                <w:szCs w:val="18"/>
                <w:lang w:val="fr-FR"/>
              </w:rPr>
              <w:t xml:space="preserve">ouverture de la soupape de surpression/soupape de dégagement à grande vitesse : 10 kPa (avec pulvérisation </w:t>
            </w:r>
            <w:r w:rsidRPr="009F551D">
              <w:rPr>
                <w:rFonts w:eastAsia="Calibri"/>
                <w:sz w:val="18"/>
                <w:szCs w:val="18"/>
                <w:lang w:val="fr-FR"/>
              </w:rPr>
              <w:br/>
              <w:t>(chiffre 3 à la colonne 9))</w:t>
            </w:r>
          </w:p>
        </w:tc>
      </w:tr>
      <w:tr w:rsidR="00E63FF9" w:rsidRPr="00E86888" w14:paraId="6FCB17EE" w14:textId="77777777" w:rsidTr="00C93CE5">
        <w:tc>
          <w:tcPr>
            <w:tcW w:w="1615" w:type="dxa"/>
            <w:tcMar>
              <w:left w:w="0" w:type="dxa"/>
              <w:right w:w="0" w:type="dxa"/>
            </w:tcMar>
          </w:tcPr>
          <w:p w14:paraId="7C9F253D" w14:textId="77777777" w:rsidR="00E63FF9" w:rsidRPr="009F551D" w:rsidRDefault="00E63FF9" w:rsidP="00C93CE5">
            <w:pPr>
              <w:spacing w:before="60" w:after="60" w:line="220" w:lineRule="atLeast"/>
              <w:ind w:left="57" w:right="113"/>
              <w:rPr>
                <w:rFonts w:eastAsia="Calibri"/>
                <w:sz w:val="18"/>
                <w:szCs w:val="18"/>
                <w:lang w:val="fr-FR"/>
              </w:rPr>
            </w:pPr>
          </w:p>
        </w:tc>
        <w:tc>
          <w:tcPr>
            <w:tcW w:w="1111" w:type="dxa"/>
            <w:tcMar>
              <w:left w:w="0" w:type="dxa"/>
              <w:right w:w="0" w:type="dxa"/>
            </w:tcMar>
          </w:tcPr>
          <w:p w14:paraId="00649538" w14:textId="77777777" w:rsidR="00E63FF9" w:rsidRPr="009F551D" w:rsidRDefault="00E63FF9" w:rsidP="00C93CE5">
            <w:pPr>
              <w:spacing w:before="60" w:after="60" w:line="220" w:lineRule="atLeast"/>
              <w:ind w:left="57" w:right="113"/>
              <w:rPr>
                <w:rFonts w:eastAsia="Calibri"/>
                <w:sz w:val="18"/>
                <w:szCs w:val="18"/>
                <w:lang w:val="fr-FR"/>
              </w:rPr>
            </w:pPr>
          </w:p>
        </w:tc>
        <w:tc>
          <w:tcPr>
            <w:tcW w:w="1702" w:type="dxa"/>
            <w:tcMar>
              <w:left w:w="0" w:type="dxa"/>
              <w:right w:w="0" w:type="dxa"/>
            </w:tcMar>
          </w:tcPr>
          <w:p w14:paraId="2DBD22CB" w14:textId="77777777" w:rsidR="00E63FF9" w:rsidRPr="009F551D" w:rsidRDefault="00E63FF9" w:rsidP="00C93CE5">
            <w:pPr>
              <w:spacing w:before="60" w:after="60" w:line="220" w:lineRule="atLeast"/>
              <w:ind w:left="57" w:right="113"/>
              <w:rPr>
                <w:rFonts w:eastAsia="Calibri"/>
                <w:sz w:val="18"/>
                <w:szCs w:val="18"/>
                <w:lang w:val="fr-FR"/>
              </w:rPr>
            </w:pPr>
          </w:p>
        </w:tc>
        <w:tc>
          <w:tcPr>
            <w:tcW w:w="1533" w:type="dxa"/>
            <w:tcMar>
              <w:left w:w="0" w:type="dxa"/>
              <w:right w:w="0" w:type="dxa"/>
            </w:tcMar>
          </w:tcPr>
          <w:p w14:paraId="4BEC87FC" w14:textId="77777777" w:rsidR="00E63FF9" w:rsidRPr="009F551D" w:rsidRDefault="00E63FF9" w:rsidP="00C93CE5">
            <w:pPr>
              <w:spacing w:before="60" w:after="60" w:line="220" w:lineRule="atLeast"/>
              <w:ind w:left="57" w:right="113"/>
              <w:rPr>
                <w:rFonts w:eastAsia="Calibri"/>
                <w:sz w:val="18"/>
                <w:szCs w:val="18"/>
                <w:lang w:val="fr-FR"/>
              </w:rPr>
            </w:pPr>
            <w:proofErr w:type="spellStart"/>
            <w:r w:rsidRPr="009F551D">
              <w:rPr>
                <w:rFonts w:eastAsia="Calibri"/>
                <w:sz w:val="18"/>
                <w:szCs w:val="18"/>
                <w:lang w:val="fr-FR"/>
              </w:rPr>
              <w:t>P</w:t>
            </w:r>
            <w:r w:rsidRPr="009F551D">
              <w:rPr>
                <w:rFonts w:eastAsia="Calibri"/>
                <w:sz w:val="18"/>
                <w:szCs w:val="18"/>
                <w:vertAlign w:val="subscript"/>
                <w:lang w:val="fr-FR"/>
              </w:rPr>
              <w:t>v</w:t>
            </w:r>
            <w:proofErr w:type="spellEnd"/>
            <w:r w:rsidRPr="009F551D">
              <w:rPr>
                <w:rFonts w:eastAsia="Calibri"/>
                <w:sz w:val="18"/>
                <w:szCs w:val="18"/>
                <w:vertAlign w:val="subscript"/>
                <w:lang w:val="fr-FR"/>
              </w:rPr>
              <w:t xml:space="preserve"> 50</w:t>
            </w:r>
            <w:r w:rsidRPr="009F551D">
              <w:rPr>
                <w:rFonts w:eastAsia="Calibri"/>
                <w:sz w:val="18"/>
                <w:szCs w:val="18"/>
                <w:lang w:val="fr-FR"/>
              </w:rPr>
              <w:t xml:space="preserve"> &lt; 110 kPa</w:t>
            </w:r>
          </w:p>
        </w:tc>
        <w:tc>
          <w:tcPr>
            <w:tcW w:w="2295" w:type="dxa"/>
            <w:tcMar>
              <w:left w:w="0" w:type="dxa"/>
              <w:right w:w="0" w:type="dxa"/>
            </w:tcMar>
          </w:tcPr>
          <w:p w14:paraId="4C29A64A" w14:textId="77777777" w:rsidR="00E63FF9" w:rsidRPr="009F551D" w:rsidRDefault="00E63FF9" w:rsidP="00C93CE5">
            <w:pPr>
              <w:spacing w:before="60" w:after="60" w:line="220" w:lineRule="atLeast"/>
              <w:ind w:left="57" w:right="113"/>
              <w:rPr>
                <w:rFonts w:eastAsia="Calibri"/>
                <w:sz w:val="18"/>
                <w:szCs w:val="18"/>
                <w:lang w:val="fr-FR"/>
              </w:rPr>
            </w:pPr>
            <w:r w:rsidRPr="009F551D">
              <w:rPr>
                <w:rFonts w:eastAsia="Calibri"/>
                <w:sz w:val="18"/>
                <w:szCs w:val="18"/>
                <w:lang w:val="fr-FR"/>
              </w:rPr>
              <w:t>Groupe d</w:t>
            </w:r>
            <w:r>
              <w:rPr>
                <w:rFonts w:eastAsia="Calibri"/>
                <w:sz w:val="18"/>
                <w:szCs w:val="18"/>
                <w:lang w:val="fr-FR"/>
              </w:rPr>
              <w:t>’</w:t>
            </w:r>
            <w:r w:rsidRPr="009F551D">
              <w:rPr>
                <w:rFonts w:eastAsia="Calibri"/>
                <w:sz w:val="18"/>
                <w:szCs w:val="18"/>
                <w:lang w:val="fr-FR"/>
              </w:rPr>
              <w:t xml:space="preserve">emballage I ou II avec </w:t>
            </w:r>
            <w:proofErr w:type="spellStart"/>
            <w:r w:rsidRPr="009F551D">
              <w:rPr>
                <w:rFonts w:eastAsia="Calibri"/>
                <w:sz w:val="18"/>
                <w:szCs w:val="18"/>
                <w:lang w:val="fr-FR"/>
              </w:rPr>
              <w:t>P</w:t>
            </w:r>
            <w:r w:rsidRPr="009F551D">
              <w:rPr>
                <w:rFonts w:eastAsia="Calibri"/>
                <w:sz w:val="18"/>
                <w:szCs w:val="18"/>
                <w:vertAlign w:val="subscript"/>
                <w:lang w:val="fr-FR"/>
              </w:rPr>
              <w:t>v</w:t>
            </w:r>
            <w:proofErr w:type="spellEnd"/>
            <w:r w:rsidRPr="009F551D">
              <w:rPr>
                <w:rFonts w:eastAsia="Calibri"/>
                <w:sz w:val="18"/>
                <w:szCs w:val="18"/>
                <w:vertAlign w:val="subscript"/>
                <w:lang w:val="fr-FR"/>
              </w:rPr>
              <w:t xml:space="preserve"> 50</w:t>
            </w:r>
            <w:r w:rsidRPr="009F551D">
              <w:rPr>
                <w:rFonts w:eastAsia="Calibri"/>
                <w:sz w:val="18"/>
                <w:szCs w:val="18"/>
                <w:lang w:val="fr-FR"/>
              </w:rPr>
              <w:t xml:space="preserve"> &gt; 12,5 kPa ou réagissant dangereusement avec l</w:t>
            </w:r>
            <w:r>
              <w:rPr>
                <w:rFonts w:eastAsia="Calibri"/>
                <w:sz w:val="18"/>
                <w:szCs w:val="18"/>
                <w:lang w:val="fr-FR"/>
              </w:rPr>
              <w:t>’</w:t>
            </w:r>
            <w:r w:rsidRPr="009F551D">
              <w:rPr>
                <w:rFonts w:eastAsia="Calibri"/>
                <w:sz w:val="18"/>
                <w:szCs w:val="18"/>
                <w:lang w:val="fr-FR"/>
              </w:rPr>
              <w:t>eau ou avec des gaz en solution</w:t>
            </w:r>
          </w:p>
        </w:tc>
        <w:tc>
          <w:tcPr>
            <w:tcW w:w="2835" w:type="dxa"/>
            <w:tcMar>
              <w:left w:w="0" w:type="dxa"/>
              <w:right w:w="0" w:type="dxa"/>
            </w:tcMar>
          </w:tcPr>
          <w:p w14:paraId="74DD3341" w14:textId="77777777" w:rsidR="00E63FF9" w:rsidRPr="009F551D" w:rsidRDefault="00E63FF9" w:rsidP="00C93CE5">
            <w:pPr>
              <w:spacing w:before="60" w:after="60" w:line="220" w:lineRule="atLeast"/>
              <w:ind w:left="57" w:right="113"/>
              <w:rPr>
                <w:rFonts w:eastAsia="Calibri"/>
                <w:sz w:val="18"/>
                <w:szCs w:val="18"/>
                <w:lang w:val="fr-FR"/>
              </w:rPr>
            </w:pPr>
            <w:r w:rsidRPr="009F551D">
              <w:rPr>
                <w:rFonts w:eastAsia="Calibri"/>
                <w:sz w:val="18"/>
                <w:szCs w:val="18"/>
                <w:lang w:val="fr-FR"/>
              </w:rPr>
              <w:t xml:space="preserve">Pression de vapeur ≤ 10 kPa </w:t>
            </w:r>
            <w:r w:rsidRPr="009F551D">
              <w:rPr>
                <w:rFonts w:eastAsia="Calibri"/>
                <w:sz w:val="18"/>
                <w:szCs w:val="18"/>
                <w:lang w:val="fr-FR"/>
              </w:rPr>
              <w:br/>
              <w:t xml:space="preserve">(calcul de la pression de vapeur </w:t>
            </w:r>
            <w:r w:rsidRPr="009F551D">
              <w:rPr>
                <w:rFonts w:eastAsia="Calibri"/>
                <w:sz w:val="18"/>
                <w:szCs w:val="18"/>
                <w:lang w:val="fr-FR"/>
              </w:rPr>
              <w:br/>
              <w:t>selon la formule pour la colonne 10, avec toutefois v</w:t>
            </w:r>
            <w:r w:rsidRPr="009F551D">
              <w:rPr>
                <w:rFonts w:eastAsia="Calibri"/>
                <w:sz w:val="18"/>
                <w:szCs w:val="18"/>
                <w:vertAlign w:val="subscript"/>
                <w:lang w:val="fr-FR"/>
              </w:rPr>
              <w:t>a</w:t>
            </w:r>
            <w:r w:rsidRPr="009F551D">
              <w:rPr>
                <w:rFonts w:eastAsia="Calibri"/>
                <w:sz w:val="18"/>
                <w:szCs w:val="18"/>
                <w:lang w:val="fr-FR"/>
              </w:rPr>
              <w:t xml:space="preserve"> = 0,03)</w:t>
            </w:r>
          </w:p>
        </w:tc>
        <w:tc>
          <w:tcPr>
            <w:tcW w:w="2687" w:type="dxa"/>
            <w:tcMar>
              <w:left w:w="0" w:type="dxa"/>
              <w:right w:w="0" w:type="dxa"/>
            </w:tcMar>
          </w:tcPr>
          <w:p w14:paraId="650444AA" w14:textId="77777777" w:rsidR="00E63FF9" w:rsidRPr="009F551D" w:rsidRDefault="00E63FF9" w:rsidP="00C93CE5">
            <w:pPr>
              <w:spacing w:before="60" w:after="60" w:line="220" w:lineRule="atLeast"/>
              <w:ind w:left="57" w:right="113"/>
              <w:rPr>
                <w:rFonts w:eastAsia="Calibri"/>
                <w:sz w:val="18"/>
                <w:szCs w:val="18"/>
                <w:lang w:val="fr-FR"/>
              </w:rPr>
            </w:pPr>
            <w:r w:rsidRPr="009F551D">
              <w:rPr>
                <w:rFonts w:eastAsia="Calibri"/>
                <w:sz w:val="18"/>
                <w:szCs w:val="18"/>
                <w:lang w:val="fr-FR"/>
              </w:rPr>
              <w:t>Pression d</w:t>
            </w:r>
            <w:r>
              <w:rPr>
                <w:rFonts w:eastAsia="Calibri"/>
                <w:sz w:val="18"/>
                <w:szCs w:val="18"/>
                <w:lang w:val="fr-FR"/>
              </w:rPr>
              <w:t>’</w:t>
            </w:r>
            <w:r w:rsidRPr="009F551D">
              <w:rPr>
                <w:rFonts w:eastAsia="Calibri"/>
                <w:sz w:val="18"/>
                <w:szCs w:val="18"/>
                <w:lang w:val="fr-FR"/>
              </w:rPr>
              <w:t>ouverture de la soupape de surpression/ soupape de dégagement à grande vitesse : 10 kPa</w:t>
            </w:r>
          </w:p>
        </w:tc>
      </w:tr>
    </w:tbl>
    <w:p w14:paraId="74B722A4" w14:textId="4AB497E1" w:rsidR="006408A6" w:rsidRDefault="00E63FF9" w:rsidP="00E63FF9">
      <w:pPr>
        <w:spacing w:before="120" w:after="240"/>
        <w:ind w:left="1134" w:right="1134"/>
        <w:jc w:val="both"/>
        <w:rPr>
          <w:rFonts w:eastAsia="Calibri"/>
          <w:i/>
          <w:iCs/>
          <w:lang w:val="fr-FR"/>
        </w:rPr>
      </w:pPr>
      <w:r w:rsidRPr="009F551D">
        <w:rPr>
          <w:rFonts w:eastAsia="Calibri"/>
          <w:i/>
          <w:iCs/>
          <w:lang w:val="fr-FR"/>
        </w:rPr>
        <w:t>(Document de référence : ECE/TRANS/WP.15/AC.2/2021/28 tel que modifié)</w:t>
      </w:r>
    </w:p>
    <w:p w14:paraId="3AD4B425" w14:textId="77777777" w:rsidR="00776B62" w:rsidRDefault="00776B62" w:rsidP="00E63FF9">
      <w:pPr>
        <w:spacing w:before="120" w:after="240"/>
        <w:ind w:left="1134" w:right="1134"/>
        <w:jc w:val="both"/>
        <w:rPr>
          <w:lang w:val="fr-FR"/>
        </w:rPr>
        <w:sectPr w:rsidR="00776B62" w:rsidSect="00E63FF9">
          <w:headerReference w:type="even" r:id="rId14"/>
          <w:headerReference w:type="default" r:id="rId15"/>
          <w:footerReference w:type="even" r:id="rId16"/>
          <w:footerReference w:type="default" r:id="rId17"/>
          <w:endnotePr>
            <w:numFmt w:val="decimal"/>
          </w:endnotePr>
          <w:pgSz w:w="16838" w:h="11906" w:orient="landscape" w:code="9"/>
          <w:pgMar w:top="1134" w:right="1417" w:bottom="1134" w:left="1134" w:header="567" w:footer="567" w:gutter="0"/>
          <w:cols w:space="708"/>
          <w:docGrid w:linePitch="360"/>
        </w:sectPr>
      </w:pPr>
    </w:p>
    <w:p w14:paraId="259346E9" w14:textId="77777777" w:rsidR="00776B62" w:rsidRPr="009F551D" w:rsidRDefault="00776B62" w:rsidP="00776B62">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lastRenderedPageBreak/>
        <w:tab/>
      </w:r>
      <w:r w:rsidRPr="009F551D">
        <w:rPr>
          <w:rFonts w:eastAsia="Calibri"/>
          <w:b/>
          <w:lang w:val="fr-FR"/>
        </w:rPr>
        <w:tab/>
      </w:r>
      <w:r w:rsidRPr="009F551D">
        <w:rPr>
          <w:rFonts w:eastAsia="Calibri"/>
          <w:b/>
          <w:bCs/>
          <w:lang w:val="fr-FR"/>
        </w:rPr>
        <w:t>Chapitre 7.2</w:t>
      </w:r>
    </w:p>
    <w:p w14:paraId="1E141ABC" w14:textId="77777777" w:rsidR="00776B62" w:rsidRPr="009F551D" w:rsidRDefault="00776B62" w:rsidP="00776B62">
      <w:pPr>
        <w:spacing w:after="120"/>
        <w:ind w:left="2268" w:right="1134" w:hanging="1134"/>
        <w:jc w:val="both"/>
        <w:rPr>
          <w:rFonts w:eastAsia="Calibri"/>
          <w:lang w:val="fr-FR"/>
        </w:rPr>
      </w:pPr>
      <w:r w:rsidRPr="009F551D">
        <w:rPr>
          <w:rFonts w:eastAsia="Calibri"/>
          <w:lang w:val="fr-FR"/>
        </w:rPr>
        <w:t>7.2.4.41</w:t>
      </w:r>
      <w:r w:rsidRPr="009F551D">
        <w:rPr>
          <w:rFonts w:eastAsia="Calibri"/>
          <w:lang w:val="fr-FR"/>
        </w:rPr>
        <w:tab/>
        <w:t>Dans la première phrase, après « ou de fumer », ajouter « , y compris des cigarettes électroniques, ».</w:t>
      </w:r>
    </w:p>
    <w:p w14:paraId="045259B8" w14:textId="77777777" w:rsidR="00776B62" w:rsidRPr="009F551D" w:rsidRDefault="00776B62" w:rsidP="00776B62">
      <w:pPr>
        <w:spacing w:after="120"/>
        <w:ind w:left="1134" w:right="1134"/>
        <w:jc w:val="both"/>
        <w:rPr>
          <w:rFonts w:eastAsia="Calibri"/>
          <w:lang w:val="fr-FR"/>
        </w:rPr>
      </w:pPr>
      <w:r w:rsidRPr="009F551D">
        <w:rPr>
          <w:rFonts w:eastAsia="Calibri"/>
          <w:i/>
          <w:iCs/>
          <w:lang w:val="fr-FR"/>
        </w:rPr>
        <w:t>(Document de référence : ECE/TRANS/WP.15/AC.2/2021/17)</w:t>
      </w:r>
    </w:p>
    <w:p w14:paraId="66489CE4" w14:textId="77777777" w:rsidR="00776B62" w:rsidRPr="009F551D" w:rsidRDefault="00776B62" w:rsidP="00776B62">
      <w:pPr>
        <w:spacing w:after="120"/>
        <w:ind w:left="2268" w:right="1134" w:hanging="1134"/>
        <w:jc w:val="both"/>
        <w:rPr>
          <w:rFonts w:eastAsia="Calibri"/>
          <w:lang w:val="fr-FR"/>
        </w:rPr>
      </w:pPr>
      <w:r w:rsidRPr="009F551D">
        <w:rPr>
          <w:rFonts w:eastAsia="Calibri"/>
          <w:lang w:val="fr-FR"/>
        </w:rPr>
        <w:t>7.2.5.4.2</w:t>
      </w:r>
      <w:r w:rsidRPr="009F551D">
        <w:rPr>
          <w:rFonts w:eastAsia="Calibri"/>
          <w:lang w:val="fr-FR"/>
        </w:rPr>
        <w:tab/>
        <w:t>Modifier le début de la première phrase comme suit :</w:t>
      </w:r>
    </w:p>
    <w:p w14:paraId="0AB7C7C0" w14:textId="77777777" w:rsidR="00776B62" w:rsidRPr="009F551D" w:rsidRDefault="00776B62" w:rsidP="00776B62">
      <w:pPr>
        <w:spacing w:after="120"/>
        <w:ind w:left="2268" w:right="1134"/>
        <w:jc w:val="both"/>
        <w:rPr>
          <w:rFonts w:eastAsia="Calibri"/>
          <w:lang w:val="fr-FR"/>
        </w:rPr>
      </w:pPr>
      <w:r w:rsidRPr="009F551D">
        <w:rPr>
          <w:rFonts w:eastAsia="Calibri"/>
          <w:lang w:val="fr-FR"/>
        </w:rPr>
        <w:t>« Un expert au sens du 8.2.1.2 doit se trouver en permanence à bord... ». Le reste demeure inchangé.</w:t>
      </w:r>
    </w:p>
    <w:p w14:paraId="4776B9F6" w14:textId="77777777" w:rsidR="00776B62" w:rsidRPr="009F551D" w:rsidRDefault="00776B62" w:rsidP="00776B62">
      <w:pPr>
        <w:spacing w:after="120"/>
        <w:ind w:left="1134" w:right="1134"/>
        <w:jc w:val="both"/>
        <w:rPr>
          <w:rFonts w:eastAsia="Calibri"/>
          <w:lang w:val="fr-FR"/>
        </w:rPr>
      </w:pPr>
      <w:r w:rsidRPr="009F551D">
        <w:rPr>
          <w:rFonts w:eastAsia="Calibri"/>
          <w:i/>
          <w:iCs/>
          <w:lang w:val="fr-FR"/>
        </w:rPr>
        <w:t>(Document de référence : ECE/TRANS/WP.15/AC.2/2021/19 tel que modifié)</w:t>
      </w:r>
    </w:p>
    <w:p w14:paraId="30C8E876" w14:textId="77777777" w:rsidR="00776B62" w:rsidRPr="009F551D" w:rsidRDefault="00776B62" w:rsidP="00776B62">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tab/>
      </w:r>
      <w:r w:rsidRPr="009F551D">
        <w:rPr>
          <w:rFonts w:eastAsia="Calibri"/>
          <w:b/>
          <w:lang w:val="fr-FR"/>
        </w:rPr>
        <w:tab/>
      </w:r>
      <w:r w:rsidRPr="009F551D">
        <w:rPr>
          <w:rFonts w:eastAsia="Calibri"/>
          <w:b/>
          <w:lang w:val="fr-FR"/>
        </w:rPr>
        <w:tab/>
        <w:t>Chapitre 8.2</w:t>
      </w:r>
    </w:p>
    <w:p w14:paraId="268AC565" w14:textId="77777777" w:rsidR="00776B62" w:rsidRPr="009F551D" w:rsidRDefault="00776B62" w:rsidP="00776B62">
      <w:pPr>
        <w:spacing w:after="120"/>
        <w:ind w:left="2268" w:right="1134" w:hanging="1134"/>
        <w:jc w:val="both"/>
        <w:rPr>
          <w:rFonts w:eastAsia="Calibri"/>
          <w:lang w:val="fr-FR"/>
        </w:rPr>
      </w:pPr>
      <w:r w:rsidRPr="009F551D">
        <w:rPr>
          <w:rFonts w:eastAsia="Calibri"/>
          <w:lang w:val="fr-FR"/>
        </w:rPr>
        <w:t>8.2.2.7.2.1</w:t>
      </w:r>
      <w:r w:rsidRPr="009F551D">
        <w:rPr>
          <w:rFonts w:eastAsia="Calibri"/>
          <w:lang w:val="fr-FR"/>
        </w:rPr>
        <w:tab/>
        <w:t>Deuxième phrase, lire : « Cet examen peut avoir lieu immédiatement après la formation ou dans un délai de six mois suivant la fin de la formation. ».</w:t>
      </w:r>
    </w:p>
    <w:p w14:paraId="34C374F4" w14:textId="77777777" w:rsidR="00776B62" w:rsidRPr="009F551D" w:rsidRDefault="00776B62" w:rsidP="00776B62">
      <w:pPr>
        <w:spacing w:after="120"/>
        <w:ind w:left="2268" w:right="1134" w:hanging="1134"/>
        <w:jc w:val="both"/>
        <w:rPr>
          <w:rFonts w:eastAsia="Calibri"/>
          <w:i/>
          <w:iCs/>
          <w:lang w:val="fr-FR"/>
        </w:rPr>
      </w:pPr>
      <w:r w:rsidRPr="009F551D">
        <w:rPr>
          <w:rFonts w:eastAsia="Calibri"/>
          <w:i/>
          <w:iCs/>
          <w:lang w:val="fr-FR"/>
        </w:rPr>
        <w:t>(Document de référence : ECE/TRANS/WP.15/AC.2/2021/21)</w:t>
      </w:r>
    </w:p>
    <w:p w14:paraId="496A967F" w14:textId="77777777" w:rsidR="00776B62" w:rsidRPr="009F551D" w:rsidRDefault="00776B62" w:rsidP="00776B62">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tab/>
      </w:r>
      <w:r w:rsidRPr="009F551D">
        <w:rPr>
          <w:rFonts w:eastAsia="Calibri"/>
          <w:b/>
          <w:lang w:val="fr-FR"/>
        </w:rPr>
        <w:tab/>
      </w:r>
      <w:r w:rsidRPr="009F551D">
        <w:rPr>
          <w:rFonts w:eastAsia="Calibri"/>
          <w:b/>
          <w:lang w:val="fr-FR"/>
        </w:rPr>
        <w:tab/>
        <w:t>Chapitre 8.6</w:t>
      </w:r>
    </w:p>
    <w:p w14:paraId="191C6885" w14:textId="77777777" w:rsidR="00776B62" w:rsidRPr="009F551D" w:rsidRDefault="00776B62" w:rsidP="00776B62">
      <w:pPr>
        <w:spacing w:after="120"/>
        <w:ind w:left="2268" w:right="1134" w:hanging="1134"/>
        <w:jc w:val="both"/>
        <w:rPr>
          <w:rFonts w:eastAsia="Calibri"/>
          <w:color w:val="000000"/>
          <w:lang w:val="fr-FR"/>
        </w:rPr>
      </w:pPr>
      <w:r w:rsidRPr="009F551D">
        <w:rPr>
          <w:rFonts w:eastAsia="Calibri"/>
          <w:lang w:val="fr-FR"/>
        </w:rPr>
        <w:t>8.6.1.1 et 8.6.1.2</w:t>
      </w:r>
      <w:r w:rsidRPr="009F551D">
        <w:rPr>
          <w:rFonts w:eastAsia="Calibri"/>
          <w:lang w:val="fr-FR"/>
        </w:rPr>
        <w:tab/>
        <w:t>Point 4, remplacer « Exigences supplémentaires » par « Exigences ».</w:t>
      </w:r>
    </w:p>
    <w:p w14:paraId="71E27CBF" w14:textId="77777777" w:rsidR="00776B62" w:rsidRPr="009F551D" w:rsidRDefault="00776B62" w:rsidP="00776B62">
      <w:pPr>
        <w:spacing w:after="120"/>
        <w:ind w:left="1134" w:right="1134"/>
        <w:jc w:val="both"/>
        <w:rPr>
          <w:rFonts w:eastAsia="Calibri"/>
          <w:i/>
          <w:lang w:val="fr-FR"/>
        </w:rPr>
      </w:pPr>
      <w:r w:rsidRPr="009F551D">
        <w:rPr>
          <w:rFonts w:eastAsia="Calibri"/>
          <w:i/>
          <w:iCs/>
          <w:lang w:val="fr-FR"/>
        </w:rPr>
        <w:t>(Document de référence : document informel INF.20)</w:t>
      </w:r>
    </w:p>
    <w:p w14:paraId="18D8A1B4" w14:textId="77777777" w:rsidR="00776B62" w:rsidRPr="009F551D" w:rsidRDefault="00776B62" w:rsidP="00776B62">
      <w:pPr>
        <w:spacing w:after="120"/>
        <w:ind w:left="2268" w:right="1134" w:hanging="1134"/>
        <w:jc w:val="both"/>
        <w:rPr>
          <w:rFonts w:eastAsia="Calibri"/>
          <w:iCs/>
          <w:lang w:val="fr-FR"/>
        </w:rPr>
      </w:pPr>
      <w:r w:rsidRPr="009F551D">
        <w:rPr>
          <w:rFonts w:eastAsia="Calibri"/>
          <w:lang w:val="fr-FR"/>
        </w:rPr>
        <w:t>8.6.1.1</w:t>
      </w:r>
      <w:r w:rsidRPr="009F551D">
        <w:rPr>
          <w:rFonts w:eastAsia="Calibri"/>
          <w:lang w:val="fr-FR"/>
        </w:rPr>
        <w:tab/>
      </w:r>
      <w:r w:rsidRPr="009F551D">
        <w:rPr>
          <w:rFonts w:eastAsia="Calibri"/>
          <w:lang w:val="fr-FR"/>
        </w:rPr>
        <w:tab/>
        <w:t>Point 8, phrase d</w:t>
      </w:r>
      <w:r>
        <w:rPr>
          <w:rFonts w:eastAsia="Calibri"/>
          <w:lang w:val="fr-FR"/>
        </w:rPr>
        <w:t>’</w:t>
      </w:r>
      <w:r w:rsidRPr="009F551D">
        <w:rPr>
          <w:rFonts w:eastAsia="Calibri"/>
          <w:lang w:val="fr-FR"/>
        </w:rPr>
        <w:t>introduction, lire « Le présent certificat est délivré sur la base : ».</w:t>
      </w:r>
    </w:p>
    <w:p w14:paraId="49C022AC" w14:textId="77777777" w:rsidR="00776B62" w:rsidRPr="009F551D" w:rsidRDefault="00776B62" w:rsidP="00776B62">
      <w:pPr>
        <w:spacing w:after="120"/>
        <w:ind w:left="1134" w:right="1134"/>
        <w:jc w:val="both"/>
        <w:rPr>
          <w:rFonts w:eastAsia="Calibri"/>
          <w:iCs/>
          <w:lang w:val="fr-FR"/>
        </w:rPr>
      </w:pPr>
      <w:r w:rsidRPr="009F551D">
        <w:rPr>
          <w:rFonts w:eastAsia="Calibri"/>
          <w:i/>
          <w:iCs/>
          <w:lang w:val="fr-FR"/>
        </w:rPr>
        <w:t>(Document de référence : document ECE/TRANS/WP.15/AC.2/2021/27 tel que modifié par le document informel INF.20)</w:t>
      </w:r>
    </w:p>
    <w:p w14:paraId="6AFF07BC" w14:textId="77777777" w:rsidR="00776B62" w:rsidRPr="009F551D" w:rsidRDefault="00776B62" w:rsidP="00776B62">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tab/>
      </w:r>
      <w:r w:rsidRPr="009F551D">
        <w:rPr>
          <w:rFonts w:eastAsia="Calibri"/>
          <w:b/>
          <w:lang w:val="fr-FR"/>
        </w:rPr>
        <w:tab/>
      </w:r>
      <w:r w:rsidRPr="009F551D">
        <w:rPr>
          <w:rFonts w:eastAsia="Calibri"/>
          <w:b/>
          <w:lang w:val="fr-FR"/>
        </w:rPr>
        <w:tab/>
      </w:r>
      <w:r w:rsidRPr="009F551D">
        <w:rPr>
          <w:rFonts w:eastAsia="Calibri"/>
          <w:b/>
          <w:bCs/>
          <w:lang w:val="fr-FR"/>
        </w:rPr>
        <w:t>Chapitre 9.3</w:t>
      </w:r>
    </w:p>
    <w:p w14:paraId="54D89CAD" w14:textId="77777777" w:rsidR="00776B62" w:rsidRPr="009F551D" w:rsidRDefault="00776B62" w:rsidP="00776B62">
      <w:pPr>
        <w:spacing w:after="120"/>
        <w:ind w:left="2268" w:right="1134" w:hanging="1134"/>
        <w:jc w:val="both"/>
        <w:rPr>
          <w:rFonts w:eastAsia="Calibri"/>
          <w:lang w:val="fr-FR"/>
        </w:rPr>
      </w:pPr>
      <w:r w:rsidRPr="009F551D">
        <w:rPr>
          <w:rFonts w:eastAsia="Calibri"/>
          <w:lang w:val="fr-FR"/>
        </w:rPr>
        <w:t>9.3.1.0</w:t>
      </w:r>
      <w:r w:rsidRPr="009F551D">
        <w:rPr>
          <w:rFonts w:eastAsia="Calibri"/>
          <w:lang w:val="fr-FR"/>
        </w:rPr>
        <w:tab/>
      </w:r>
      <w:r w:rsidRPr="009F551D">
        <w:rPr>
          <w:rFonts w:eastAsia="Calibri"/>
          <w:lang w:val="fr-FR"/>
        </w:rPr>
        <w:tab/>
        <w:t>Modifier comme suit :</w:t>
      </w:r>
    </w:p>
    <w:p w14:paraId="14FF698C" w14:textId="77777777" w:rsidR="00776B62" w:rsidRPr="009F551D" w:rsidRDefault="00776B62" w:rsidP="00776B62">
      <w:pPr>
        <w:spacing w:after="120"/>
        <w:ind w:left="2268" w:right="1134"/>
        <w:jc w:val="both"/>
        <w:rPr>
          <w:rFonts w:eastAsia="Calibri"/>
          <w:lang w:val="fr-FR"/>
        </w:rPr>
      </w:pPr>
      <w:r w:rsidRPr="009F551D">
        <w:rPr>
          <w:rFonts w:eastAsia="Calibri"/>
          <w:lang w:val="fr-FR"/>
        </w:rPr>
        <w:t>Le premier paragraphe du 9.3.1.0.1 a) devient le 9.3.1.0.1.1. À la fin, après « au moins équivalente », ajouter « , sans préjudice des dispositions spéciales énoncées dans la colonne (20) (“Exigences supplémentaires/Observations”) du tableau C du chapitre 3.2 ».</w:t>
      </w:r>
    </w:p>
    <w:p w14:paraId="2580EB64" w14:textId="77777777" w:rsidR="00776B62" w:rsidRPr="009F551D" w:rsidRDefault="00776B62" w:rsidP="00776B62">
      <w:pPr>
        <w:spacing w:after="120"/>
        <w:ind w:left="2268" w:right="1134"/>
        <w:jc w:val="both"/>
        <w:rPr>
          <w:rFonts w:eastAsia="Calibri"/>
          <w:lang w:val="fr-FR"/>
        </w:rPr>
      </w:pPr>
      <w:r w:rsidRPr="009F551D">
        <w:rPr>
          <w:rFonts w:eastAsia="Calibri"/>
          <w:lang w:val="fr-FR"/>
        </w:rPr>
        <w:t>Le second paragraphe du 9.3.1.0.1 a) devient le 9.3.1.0.1.2.</w:t>
      </w:r>
    </w:p>
    <w:p w14:paraId="5DD31266" w14:textId="77777777" w:rsidR="00776B62" w:rsidRPr="009F551D" w:rsidRDefault="00776B62" w:rsidP="00776B62">
      <w:pPr>
        <w:spacing w:after="120"/>
        <w:ind w:left="2268" w:right="1134"/>
        <w:jc w:val="both"/>
        <w:rPr>
          <w:rFonts w:eastAsia="Calibri"/>
          <w:lang w:val="fr-FR"/>
        </w:rPr>
      </w:pPr>
      <w:r w:rsidRPr="009F551D">
        <w:rPr>
          <w:rFonts w:eastAsia="Calibri"/>
          <w:lang w:val="fr-FR"/>
        </w:rPr>
        <w:t>Le 9.3.1.0.1 b) devient le 9.3.1.0.2.</w:t>
      </w:r>
    </w:p>
    <w:p w14:paraId="0575C04E" w14:textId="77777777" w:rsidR="00776B62" w:rsidRPr="009F551D" w:rsidRDefault="00776B62" w:rsidP="00776B62">
      <w:pPr>
        <w:spacing w:after="120"/>
        <w:ind w:left="2268" w:right="1134"/>
        <w:jc w:val="both"/>
        <w:rPr>
          <w:rFonts w:eastAsia="Calibri"/>
          <w:lang w:val="fr-FR"/>
        </w:rPr>
      </w:pPr>
      <w:r w:rsidRPr="009F551D">
        <w:rPr>
          <w:rFonts w:eastAsia="Calibri"/>
          <w:lang w:val="fr-FR"/>
        </w:rPr>
        <w:t>Le 9.3.1.0.2 devient le 9.3.1.0.3. Remplacer « des matières plastiques ou de caoutchouc » par « des matières plastiques, de caoutchouc, de verre ou de matériau composite ».</w:t>
      </w:r>
    </w:p>
    <w:p w14:paraId="115F1D5F" w14:textId="77777777" w:rsidR="00776B62" w:rsidRPr="009F551D" w:rsidRDefault="00776B62" w:rsidP="00776B62">
      <w:pPr>
        <w:spacing w:after="120"/>
        <w:ind w:left="2268" w:right="1134"/>
        <w:jc w:val="both"/>
        <w:rPr>
          <w:rFonts w:eastAsia="Calibri"/>
          <w:lang w:val="fr-FR"/>
        </w:rPr>
      </w:pPr>
      <w:r w:rsidRPr="009F551D">
        <w:rPr>
          <w:rFonts w:eastAsia="Calibri"/>
          <w:lang w:val="fr-FR"/>
        </w:rPr>
        <w:t>Le 9.3.1.0.3 devient le 9.3.1.0.4. Remplacer « de matières plastiques ou de caoutchouc » par « de matières plastiques, de caoutchouc, de verre ou de matériau composite ».</w:t>
      </w:r>
    </w:p>
    <w:p w14:paraId="08F67F5C" w14:textId="77777777" w:rsidR="00776B62" w:rsidRPr="009F551D" w:rsidRDefault="00776B62" w:rsidP="00776B62">
      <w:pPr>
        <w:spacing w:after="120"/>
        <w:ind w:left="567" w:right="1134" w:firstLine="567"/>
        <w:jc w:val="both"/>
        <w:rPr>
          <w:rFonts w:eastAsia="Calibri"/>
          <w:i/>
          <w:lang w:val="fr-FR"/>
        </w:rPr>
      </w:pPr>
      <w:r w:rsidRPr="009F551D">
        <w:rPr>
          <w:rFonts w:eastAsia="Calibri"/>
          <w:i/>
          <w:iCs/>
          <w:lang w:val="fr-FR"/>
        </w:rPr>
        <w:t>(Document de référence : ECE/TRANS/WP.15/AC.2/2021/30 tel que modifié)</w:t>
      </w:r>
    </w:p>
    <w:p w14:paraId="7380A896" w14:textId="77777777" w:rsidR="00776B62" w:rsidRPr="009F551D" w:rsidRDefault="00776B62" w:rsidP="00776B62">
      <w:pPr>
        <w:spacing w:after="120"/>
        <w:ind w:left="2268" w:right="1134" w:hanging="1134"/>
        <w:jc w:val="both"/>
        <w:rPr>
          <w:rFonts w:eastAsia="Calibri"/>
          <w:lang w:val="fr-FR"/>
        </w:rPr>
      </w:pPr>
      <w:r w:rsidRPr="009F551D">
        <w:rPr>
          <w:rFonts w:eastAsia="Calibri"/>
          <w:lang w:val="fr-FR"/>
        </w:rPr>
        <w:t>9.3.2.0 et 9.3.3.0</w:t>
      </w:r>
      <w:r w:rsidRPr="009F551D">
        <w:rPr>
          <w:rFonts w:eastAsia="Calibri"/>
          <w:lang w:val="fr-FR"/>
        </w:rPr>
        <w:tab/>
        <w:t>Modifier comme suit :</w:t>
      </w:r>
    </w:p>
    <w:p w14:paraId="29D07D3A" w14:textId="77777777" w:rsidR="00776B62" w:rsidRPr="009F551D" w:rsidRDefault="00776B62" w:rsidP="00776B62">
      <w:pPr>
        <w:spacing w:after="120"/>
        <w:ind w:left="2268" w:right="1134"/>
        <w:jc w:val="both"/>
        <w:rPr>
          <w:rFonts w:eastAsia="Calibri"/>
          <w:lang w:val="fr-FR"/>
        </w:rPr>
      </w:pPr>
      <w:r w:rsidRPr="009F551D">
        <w:rPr>
          <w:rFonts w:eastAsia="Calibri"/>
          <w:lang w:val="fr-FR"/>
        </w:rPr>
        <w:t>Les premiers paragraphes du 9.3.2.0.1 a) et du 9.3.3.0.1 a) deviennent les 9.3.2.0.1.1 et 9.3.3.0.1.1, respectivement. À la fin, après « au moins équivalente », ajouter « , sans préjudice des dispositions spéciales énoncées dans la colonne (20) (“Exigences supplémentaires/Observations”) du tableau C du chapitre 3.2 ».</w:t>
      </w:r>
    </w:p>
    <w:p w14:paraId="3E60E1ED" w14:textId="77777777" w:rsidR="00776B62" w:rsidRPr="009F551D" w:rsidRDefault="00776B62" w:rsidP="00776B62">
      <w:pPr>
        <w:spacing w:after="120"/>
        <w:ind w:left="2268" w:right="1134"/>
        <w:jc w:val="both"/>
        <w:rPr>
          <w:rFonts w:eastAsia="Calibri"/>
          <w:lang w:val="fr-FR"/>
        </w:rPr>
      </w:pPr>
      <w:r w:rsidRPr="009F551D">
        <w:rPr>
          <w:rFonts w:eastAsia="Calibri"/>
          <w:lang w:val="fr-FR"/>
        </w:rPr>
        <w:t>Les seconds paragraphes du 9.3.2.0.1 a) et du 9.3.3.0.1 a) deviennent les 9.3.2.0.1.2 et 9.3.3.0.1.2, respectivement.</w:t>
      </w:r>
    </w:p>
    <w:p w14:paraId="25C8225B" w14:textId="77777777" w:rsidR="00776B62" w:rsidRPr="009F551D" w:rsidRDefault="00776B62" w:rsidP="00776B62">
      <w:pPr>
        <w:spacing w:after="120"/>
        <w:ind w:left="2268" w:right="1134"/>
        <w:jc w:val="both"/>
        <w:rPr>
          <w:rFonts w:eastAsia="Calibri"/>
          <w:lang w:val="fr-FR"/>
        </w:rPr>
      </w:pPr>
      <w:r w:rsidRPr="009F551D">
        <w:rPr>
          <w:rFonts w:eastAsia="Calibri"/>
          <w:lang w:val="fr-FR"/>
        </w:rPr>
        <w:t>Les 9.3.2.0.1 b) et 9.3.3.0.1 b) deviennent les 9.3.2.0.2 et 9.3.3.0.2, respectivement.</w:t>
      </w:r>
    </w:p>
    <w:p w14:paraId="09DACE0F" w14:textId="77777777" w:rsidR="00776B62" w:rsidRPr="009F551D" w:rsidRDefault="00776B62" w:rsidP="00776B62">
      <w:pPr>
        <w:spacing w:after="120"/>
        <w:ind w:left="2268" w:right="1134"/>
        <w:jc w:val="both"/>
        <w:rPr>
          <w:rFonts w:eastAsia="Calibri"/>
          <w:lang w:val="fr-FR"/>
        </w:rPr>
      </w:pPr>
      <w:r w:rsidRPr="009F551D">
        <w:rPr>
          <w:rFonts w:eastAsia="Calibri"/>
          <w:lang w:val="fr-FR"/>
        </w:rPr>
        <w:lastRenderedPageBreak/>
        <w:t>Les 9.3.2.0.2 et 9.3.3.0.2 deviennent les 9.3.2.0.3 et 9.3.3.0.3, respectivement. Remplacer « des matières plastiques ou de caoutchouc » par « des matières plastiques, de caoutchouc, de verre ou de matériau composite ».</w:t>
      </w:r>
    </w:p>
    <w:p w14:paraId="2A1FD67D" w14:textId="77777777" w:rsidR="00776B62" w:rsidRPr="009F551D" w:rsidRDefault="00776B62" w:rsidP="00776B62">
      <w:pPr>
        <w:spacing w:after="120"/>
        <w:ind w:left="2268" w:right="1134"/>
        <w:jc w:val="both"/>
        <w:rPr>
          <w:rFonts w:eastAsia="Calibri"/>
          <w:lang w:val="fr-FR"/>
        </w:rPr>
      </w:pPr>
      <w:r w:rsidRPr="009F551D">
        <w:rPr>
          <w:rFonts w:eastAsia="Calibri"/>
          <w:lang w:val="fr-FR"/>
        </w:rPr>
        <w:t>Les 9.3.2.0.3 et 9.3.3.0.3 deviennent les 9.3.2.0.4 et 9.3.3.0.4, respectivement. Remplacer « de matières plastiques ou de caoutchouc » par « de matières plastiques, de caoutchouc, de verre ou de matériau composite ».</w:t>
      </w:r>
    </w:p>
    <w:p w14:paraId="2274465D" w14:textId="77777777" w:rsidR="00776B62" w:rsidRPr="009F551D" w:rsidRDefault="00776B62" w:rsidP="00776B62">
      <w:pPr>
        <w:spacing w:after="120"/>
        <w:ind w:left="567" w:right="1134" w:firstLine="567"/>
        <w:jc w:val="both"/>
        <w:rPr>
          <w:rFonts w:eastAsia="Calibri"/>
          <w:i/>
          <w:lang w:val="fr-FR"/>
        </w:rPr>
      </w:pPr>
      <w:r w:rsidRPr="009F551D">
        <w:rPr>
          <w:rFonts w:eastAsia="Calibri"/>
          <w:i/>
          <w:iCs/>
          <w:lang w:val="fr-FR"/>
        </w:rPr>
        <w:t>(Document de référence : ECE/TRANS/WP.15/AC.2/2021/30 tel que modifié)</w:t>
      </w:r>
    </w:p>
    <w:p w14:paraId="0D335CC5" w14:textId="61BC262A" w:rsidR="00E63FF9" w:rsidRDefault="00776B62" w:rsidP="00776B62">
      <w:pPr>
        <w:spacing w:after="120"/>
        <w:ind w:left="2268" w:right="1134" w:hanging="1134"/>
        <w:jc w:val="both"/>
        <w:rPr>
          <w:lang w:val="fr-FR"/>
        </w:rPr>
      </w:pPr>
      <w:r w:rsidRPr="009F551D">
        <w:rPr>
          <w:rFonts w:eastAsia="Calibri"/>
          <w:lang w:val="fr-FR"/>
        </w:rPr>
        <w:t>9.3.x.0</w:t>
      </w:r>
      <w:r w:rsidRPr="009F551D">
        <w:rPr>
          <w:rFonts w:eastAsia="Calibri"/>
          <w:lang w:val="fr-FR"/>
        </w:rPr>
        <w:tab/>
      </w:r>
      <w:r w:rsidRPr="009F551D">
        <w:rPr>
          <w:rFonts w:eastAsia="Calibri"/>
          <w:lang w:val="fr-FR"/>
        </w:rPr>
        <w:tab/>
        <w:t>Remplacer le tableau sous le 9.3.x.0.4 (anciennement 9.3.x.0.3) par le tableau suivant :</w:t>
      </w:r>
    </w:p>
    <w:p w14:paraId="2C4CFD3C" w14:textId="77777777" w:rsidR="001517A0" w:rsidRDefault="001517A0" w:rsidP="00E63FF9">
      <w:pPr>
        <w:spacing w:before="120" w:after="240"/>
        <w:ind w:left="1134" w:right="1134"/>
        <w:jc w:val="both"/>
        <w:rPr>
          <w:lang w:val="fr-FR"/>
        </w:rPr>
        <w:sectPr w:rsidR="001517A0" w:rsidSect="00776B62">
          <w:headerReference w:type="even" r:id="rId18"/>
          <w:headerReference w:type="default" r:id="rId19"/>
          <w:footerReference w:type="even" r:id="rId20"/>
          <w:footerReference w:type="default" r:id="rId21"/>
          <w:endnotePr>
            <w:numFmt w:val="decimal"/>
          </w:endnotePr>
          <w:pgSz w:w="11906" w:h="16838" w:code="9"/>
          <w:pgMar w:top="1417" w:right="1134" w:bottom="1134" w:left="1134" w:header="850" w:footer="567" w:gutter="0"/>
          <w:cols w:space="708"/>
          <w:docGrid w:linePitch="360"/>
        </w:sectPr>
      </w:pPr>
    </w:p>
    <w:p w14:paraId="0BDBC38C" w14:textId="77777777" w:rsidR="001517A0" w:rsidRPr="009F551D" w:rsidRDefault="001517A0" w:rsidP="001517A0">
      <w:pPr>
        <w:spacing w:after="120"/>
        <w:ind w:left="1134" w:right="1134"/>
        <w:jc w:val="both"/>
        <w:rPr>
          <w:rFonts w:eastAsia="Calibri"/>
          <w:b/>
          <w:bCs/>
          <w:lang w:val="fr-FR"/>
        </w:rPr>
      </w:pPr>
      <w:r w:rsidRPr="009F551D">
        <w:rPr>
          <w:rFonts w:eastAsia="Calibri"/>
          <w:b/>
          <w:bCs/>
          <w:lang w:val="fr-FR"/>
        </w:rPr>
        <w:lastRenderedPageBreak/>
        <w:t>(X signifie « autorisé »)</w:t>
      </w:r>
    </w:p>
    <w:tbl>
      <w:tblPr>
        <w:tblW w:w="1377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69"/>
        <w:gridCol w:w="1260"/>
        <w:gridCol w:w="1554"/>
        <w:gridCol w:w="1834"/>
        <w:gridCol w:w="1553"/>
        <w:gridCol w:w="1408"/>
      </w:tblGrid>
      <w:tr w:rsidR="001517A0" w:rsidRPr="009F551D" w14:paraId="4BF517DC" w14:textId="77777777" w:rsidTr="00C93CE5">
        <w:trPr>
          <w:trHeight w:val="270"/>
          <w:tblHeader/>
        </w:trPr>
        <w:tc>
          <w:tcPr>
            <w:tcW w:w="6169" w:type="dxa"/>
            <w:tcBorders>
              <w:top w:val="nil"/>
              <w:left w:val="nil"/>
            </w:tcBorders>
            <w:shd w:val="clear" w:color="auto" w:fill="auto"/>
            <w:noWrap/>
            <w:vAlign w:val="bottom"/>
            <w:hideMark/>
          </w:tcPr>
          <w:p w14:paraId="08E999F2" w14:textId="77777777" w:rsidR="001517A0" w:rsidRPr="009F551D" w:rsidRDefault="001517A0" w:rsidP="00C93CE5">
            <w:pPr>
              <w:spacing w:before="80" w:after="80" w:line="200" w:lineRule="exact"/>
              <w:rPr>
                <w:rFonts w:eastAsia="Calibri"/>
                <w:b/>
                <w:i/>
                <w:iCs/>
                <w:sz w:val="16"/>
                <w:szCs w:val="16"/>
                <w:lang w:val="fr-FR"/>
              </w:rPr>
            </w:pPr>
          </w:p>
        </w:tc>
        <w:tc>
          <w:tcPr>
            <w:tcW w:w="1260" w:type="dxa"/>
            <w:tcBorders>
              <w:top w:val="single" w:sz="4" w:space="0" w:color="auto"/>
            </w:tcBorders>
            <w:shd w:val="clear" w:color="auto" w:fill="auto"/>
            <w:noWrap/>
            <w:vAlign w:val="center"/>
            <w:hideMark/>
          </w:tcPr>
          <w:p w14:paraId="04C3825A" w14:textId="77777777" w:rsidR="001517A0" w:rsidRPr="009F551D" w:rsidRDefault="001517A0" w:rsidP="00C93CE5">
            <w:pPr>
              <w:spacing w:before="80" w:after="80" w:line="200" w:lineRule="exact"/>
              <w:jc w:val="center"/>
              <w:rPr>
                <w:rFonts w:eastAsia="Calibri"/>
                <w:b/>
                <w:i/>
                <w:iCs/>
                <w:sz w:val="16"/>
                <w:szCs w:val="16"/>
                <w:lang w:val="fr-FR"/>
              </w:rPr>
            </w:pPr>
            <w:r w:rsidRPr="009F551D">
              <w:rPr>
                <w:rFonts w:eastAsia="Calibri"/>
                <w:b/>
                <w:bCs/>
                <w:i/>
                <w:iCs/>
                <w:sz w:val="16"/>
                <w:szCs w:val="16"/>
                <w:lang w:val="fr-FR"/>
              </w:rPr>
              <w:t>Bois</w:t>
            </w:r>
          </w:p>
        </w:tc>
        <w:tc>
          <w:tcPr>
            <w:tcW w:w="1554" w:type="dxa"/>
            <w:shd w:val="clear" w:color="auto" w:fill="auto"/>
            <w:noWrap/>
            <w:vAlign w:val="center"/>
            <w:hideMark/>
          </w:tcPr>
          <w:p w14:paraId="5B6C7B54" w14:textId="77777777" w:rsidR="001517A0" w:rsidRPr="009F551D" w:rsidRDefault="001517A0" w:rsidP="00C93CE5">
            <w:pPr>
              <w:spacing w:before="80" w:after="80" w:line="200" w:lineRule="exact"/>
              <w:jc w:val="center"/>
              <w:rPr>
                <w:rFonts w:eastAsia="Calibri"/>
                <w:b/>
                <w:i/>
                <w:iCs/>
                <w:sz w:val="16"/>
                <w:szCs w:val="16"/>
                <w:lang w:val="fr-FR"/>
              </w:rPr>
            </w:pPr>
            <w:r w:rsidRPr="009F551D">
              <w:rPr>
                <w:rFonts w:eastAsia="Calibri"/>
                <w:b/>
                <w:bCs/>
                <w:i/>
                <w:iCs/>
                <w:sz w:val="16"/>
                <w:szCs w:val="16"/>
                <w:lang w:val="fr-FR"/>
              </w:rPr>
              <w:t>Alliages d</w:t>
            </w:r>
            <w:r>
              <w:rPr>
                <w:rFonts w:eastAsia="Calibri"/>
                <w:b/>
                <w:bCs/>
                <w:i/>
                <w:iCs/>
                <w:sz w:val="16"/>
                <w:szCs w:val="16"/>
                <w:lang w:val="fr-FR"/>
              </w:rPr>
              <w:t>’</w:t>
            </w:r>
            <w:r w:rsidRPr="009F551D">
              <w:rPr>
                <w:rFonts w:eastAsia="Calibri"/>
                <w:b/>
                <w:bCs/>
                <w:i/>
                <w:iCs/>
                <w:sz w:val="16"/>
                <w:szCs w:val="16"/>
                <w:lang w:val="fr-FR"/>
              </w:rPr>
              <w:t>aluminium</w:t>
            </w:r>
          </w:p>
        </w:tc>
        <w:tc>
          <w:tcPr>
            <w:tcW w:w="1834" w:type="dxa"/>
            <w:shd w:val="clear" w:color="auto" w:fill="auto"/>
            <w:noWrap/>
            <w:vAlign w:val="center"/>
            <w:hideMark/>
          </w:tcPr>
          <w:p w14:paraId="6BC42E0A" w14:textId="77777777" w:rsidR="001517A0" w:rsidRPr="009F551D" w:rsidRDefault="001517A0" w:rsidP="00C93CE5">
            <w:pPr>
              <w:spacing w:before="80" w:after="80" w:line="200" w:lineRule="exact"/>
              <w:jc w:val="center"/>
              <w:rPr>
                <w:rFonts w:eastAsia="Calibri"/>
                <w:b/>
                <w:i/>
                <w:iCs/>
                <w:sz w:val="16"/>
                <w:szCs w:val="16"/>
                <w:lang w:val="fr-FR"/>
              </w:rPr>
            </w:pPr>
            <w:r w:rsidRPr="009F551D">
              <w:rPr>
                <w:rFonts w:eastAsia="Calibri"/>
                <w:b/>
                <w:bCs/>
                <w:i/>
                <w:iCs/>
                <w:sz w:val="16"/>
                <w:szCs w:val="16"/>
                <w:lang w:val="fr-FR"/>
              </w:rPr>
              <w:t>Matières plastiques/ Matériaux composites</w:t>
            </w:r>
          </w:p>
        </w:tc>
        <w:tc>
          <w:tcPr>
            <w:tcW w:w="1553" w:type="dxa"/>
            <w:shd w:val="clear" w:color="auto" w:fill="auto"/>
            <w:noWrap/>
            <w:vAlign w:val="center"/>
            <w:hideMark/>
          </w:tcPr>
          <w:p w14:paraId="60271E62" w14:textId="77777777" w:rsidR="001517A0" w:rsidRPr="009F551D" w:rsidRDefault="001517A0" w:rsidP="00C93CE5">
            <w:pPr>
              <w:spacing w:before="80" w:after="80" w:line="200" w:lineRule="exact"/>
              <w:jc w:val="center"/>
              <w:rPr>
                <w:rFonts w:eastAsia="Calibri"/>
                <w:b/>
                <w:i/>
                <w:iCs/>
                <w:sz w:val="16"/>
                <w:szCs w:val="16"/>
                <w:lang w:val="fr-FR"/>
              </w:rPr>
            </w:pPr>
            <w:r w:rsidRPr="009F551D">
              <w:rPr>
                <w:rFonts w:eastAsia="Calibri"/>
                <w:b/>
                <w:bCs/>
                <w:i/>
                <w:iCs/>
                <w:sz w:val="16"/>
                <w:szCs w:val="16"/>
                <w:lang w:val="fr-FR"/>
              </w:rPr>
              <w:t>Caoutchouc</w:t>
            </w:r>
          </w:p>
        </w:tc>
        <w:tc>
          <w:tcPr>
            <w:tcW w:w="1408" w:type="dxa"/>
            <w:vAlign w:val="center"/>
          </w:tcPr>
          <w:p w14:paraId="57C56D0B" w14:textId="77777777" w:rsidR="001517A0" w:rsidRPr="009F551D" w:rsidRDefault="001517A0" w:rsidP="00C93CE5">
            <w:pPr>
              <w:spacing w:before="80" w:after="80" w:line="200" w:lineRule="exact"/>
              <w:jc w:val="center"/>
              <w:rPr>
                <w:rFonts w:eastAsia="Calibri"/>
                <w:b/>
                <w:i/>
                <w:iCs/>
                <w:sz w:val="16"/>
                <w:szCs w:val="16"/>
                <w:lang w:val="fr-FR"/>
              </w:rPr>
            </w:pPr>
            <w:r w:rsidRPr="009F551D">
              <w:rPr>
                <w:rFonts w:eastAsia="Calibri"/>
                <w:b/>
                <w:bCs/>
                <w:i/>
                <w:iCs/>
                <w:sz w:val="16"/>
                <w:szCs w:val="16"/>
                <w:lang w:val="fr-FR"/>
              </w:rPr>
              <w:t>Verre</w:t>
            </w:r>
          </w:p>
        </w:tc>
      </w:tr>
      <w:tr w:rsidR="001517A0" w:rsidRPr="009F551D" w14:paraId="18E986C0" w14:textId="77777777" w:rsidTr="00C93CE5">
        <w:tc>
          <w:tcPr>
            <w:tcW w:w="6169" w:type="dxa"/>
            <w:shd w:val="clear" w:color="auto" w:fill="D9D9D9"/>
            <w:vAlign w:val="bottom"/>
          </w:tcPr>
          <w:p w14:paraId="14A13D19" w14:textId="77777777" w:rsidR="001517A0" w:rsidRPr="009F551D" w:rsidRDefault="001517A0" w:rsidP="00C93CE5">
            <w:pPr>
              <w:spacing w:before="60" w:after="60"/>
              <w:rPr>
                <w:rFonts w:eastAsia="Calibri"/>
                <w:b/>
                <w:lang w:val="fr-FR"/>
              </w:rPr>
            </w:pPr>
            <w:r w:rsidRPr="009F551D">
              <w:rPr>
                <w:rFonts w:eastAsia="Calibri"/>
                <w:b/>
                <w:bCs/>
                <w:lang w:val="fr-FR"/>
              </w:rPr>
              <w:t>Éléments fixés à demeure</w:t>
            </w:r>
          </w:p>
        </w:tc>
        <w:tc>
          <w:tcPr>
            <w:tcW w:w="1260" w:type="dxa"/>
            <w:shd w:val="clear" w:color="auto" w:fill="D9D9D9"/>
            <w:noWrap/>
            <w:vAlign w:val="center"/>
          </w:tcPr>
          <w:p w14:paraId="08B1AA53" w14:textId="77777777" w:rsidR="001517A0" w:rsidRPr="009F551D" w:rsidRDefault="001517A0" w:rsidP="00C93CE5">
            <w:pPr>
              <w:spacing w:before="60" w:after="60"/>
              <w:rPr>
                <w:rFonts w:eastAsia="Calibri"/>
                <w:bCs/>
                <w:lang w:val="fr-FR"/>
              </w:rPr>
            </w:pPr>
          </w:p>
        </w:tc>
        <w:tc>
          <w:tcPr>
            <w:tcW w:w="1554" w:type="dxa"/>
            <w:shd w:val="clear" w:color="auto" w:fill="D9D9D9"/>
            <w:noWrap/>
            <w:vAlign w:val="center"/>
          </w:tcPr>
          <w:p w14:paraId="22DFD525" w14:textId="77777777" w:rsidR="001517A0" w:rsidRPr="009F551D" w:rsidRDefault="001517A0" w:rsidP="00C93CE5">
            <w:pPr>
              <w:spacing w:before="60" w:after="60"/>
              <w:rPr>
                <w:rFonts w:eastAsia="Calibri"/>
                <w:bCs/>
                <w:lang w:val="fr-FR"/>
              </w:rPr>
            </w:pPr>
          </w:p>
        </w:tc>
        <w:tc>
          <w:tcPr>
            <w:tcW w:w="1834" w:type="dxa"/>
            <w:shd w:val="clear" w:color="auto" w:fill="D9D9D9"/>
            <w:noWrap/>
            <w:vAlign w:val="center"/>
          </w:tcPr>
          <w:p w14:paraId="0000BF9E" w14:textId="77777777" w:rsidR="001517A0" w:rsidRPr="009F551D" w:rsidRDefault="001517A0" w:rsidP="00C93CE5">
            <w:pPr>
              <w:spacing w:before="60" w:after="60"/>
              <w:rPr>
                <w:rFonts w:eastAsia="Calibri"/>
                <w:bCs/>
                <w:lang w:val="fr-FR"/>
              </w:rPr>
            </w:pPr>
          </w:p>
        </w:tc>
        <w:tc>
          <w:tcPr>
            <w:tcW w:w="1553" w:type="dxa"/>
            <w:shd w:val="clear" w:color="auto" w:fill="D9D9D9"/>
            <w:noWrap/>
            <w:vAlign w:val="center"/>
          </w:tcPr>
          <w:p w14:paraId="37C3B557" w14:textId="77777777" w:rsidR="001517A0" w:rsidRPr="009F551D" w:rsidRDefault="001517A0" w:rsidP="00C93CE5">
            <w:pPr>
              <w:spacing w:before="60" w:after="60"/>
              <w:rPr>
                <w:rFonts w:eastAsia="Calibri"/>
                <w:bCs/>
                <w:lang w:val="fr-FR"/>
              </w:rPr>
            </w:pPr>
          </w:p>
        </w:tc>
        <w:tc>
          <w:tcPr>
            <w:tcW w:w="1408" w:type="dxa"/>
            <w:shd w:val="clear" w:color="auto" w:fill="D9D9D9"/>
          </w:tcPr>
          <w:p w14:paraId="6A109323" w14:textId="77777777" w:rsidR="001517A0" w:rsidRPr="009F551D" w:rsidRDefault="001517A0" w:rsidP="00C93CE5">
            <w:pPr>
              <w:spacing w:before="60" w:after="60"/>
              <w:rPr>
                <w:rFonts w:eastAsia="Calibri"/>
                <w:bCs/>
                <w:lang w:val="fr-FR"/>
              </w:rPr>
            </w:pPr>
          </w:p>
        </w:tc>
      </w:tr>
      <w:tr w:rsidR="001517A0" w:rsidRPr="009F551D" w14:paraId="1E5B0E6A" w14:textId="77777777" w:rsidTr="00C93CE5">
        <w:tc>
          <w:tcPr>
            <w:tcW w:w="6169" w:type="dxa"/>
            <w:shd w:val="clear" w:color="auto" w:fill="auto"/>
            <w:vAlign w:val="bottom"/>
            <w:hideMark/>
          </w:tcPr>
          <w:p w14:paraId="51E32FD7" w14:textId="77777777" w:rsidR="001517A0" w:rsidRPr="009F551D" w:rsidRDefault="001517A0" w:rsidP="00C93CE5">
            <w:pPr>
              <w:spacing w:before="60" w:after="60"/>
              <w:rPr>
                <w:rFonts w:eastAsia="Calibri"/>
                <w:bCs/>
                <w:lang w:val="fr-FR"/>
              </w:rPr>
            </w:pPr>
            <w:r w:rsidRPr="009F551D">
              <w:rPr>
                <w:rFonts w:eastAsia="Calibri"/>
                <w:lang w:val="fr-FR"/>
              </w:rPr>
              <w:t>Calage de citernes à cargaison indépendantes de la coque et calage d</w:t>
            </w:r>
            <w:r>
              <w:rPr>
                <w:rFonts w:eastAsia="Calibri"/>
                <w:lang w:val="fr-FR"/>
              </w:rPr>
              <w:t>’</w:t>
            </w:r>
            <w:r w:rsidRPr="009F551D">
              <w:rPr>
                <w:rFonts w:eastAsia="Calibri"/>
                <w:lang w:val="fr-FR"/>
              </w:rPr>
              <w:t>installations et équipements</w:t>
            </w:r>
          </w:p>
        </w:tc>
        <w:tc>
          <w:tcPr>
            <w:tcW w:w="1260" w:type="dxa"/>
            <w:shd w:val="clear" w:color="auto" w:fill="auto"/>
            <w:noWrap/>
            <w:vAlign w:val="center"/>
            <w:hideMark/>
          </w:tcPr>
          <w:p w14:paraId="13AF3EDF"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4" w:type="dxa"/>
            <w:shd w:val="clear" w:color="auto" w:fill="auto"/>
            <w:noWrap/>
            <w:vAlign w:val="center"/>
            <w:hideMark/>
          </w:tcPr>
          <w:p w14:paraId="450BBCD7" w14:textId="77777777" w:rsidR="001517A0" w:rsidRPr="009F551D" w:rsidRDefault="001517A0" w:rsidP="00C93CE5">
            <w:pPr>
              <w:spacing w:before="60" w:after="60"/>
              <w:jc w:val="center"/>
              <w:rPr>
                <w:rFonts w:eastAsia="Calibri"/>
                <w:bCs/>
                <w:lang w:val="fr-FR"/>
              </w:rPr>
            </w:pPr>
          </w:p>
        </w:tc>
        <w:tc>
          <w:tcPr>
            <w:tcW w:w="1834" w:type="dxa"/>
            <w:shd w:val="clear" w:color="auto" w:fill="auto"/>
            <w:noWrap/>
            <w:vAlign w:val="center"/>
            <w:hideMark/>
          </w:tcPr>
          <w:p w14:paraId="6E58570C"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4E106A7C" w14:textId="77777777" w:rsidR="001517A0" w:rsidRPr="009F551D" w:rsidRDefault="001517A0" w:rsidP="00C93CE5">
            <w:pPr>
              <w:spacing w:before="60" w:after="60"/>
              <w:jc w:val="center"/>
              <w:rPr>
                <w:rFonts w:eastAsia="Calibri"/>
                <w:bCs/>
                <w:lang w:val="fr-FR"/>
              </w:rPr>
            </w:pPr>
          </w:p>
        </w:tc>
        <w:tc>
          <w:tcPr>
            <w:tcW w:w="1408" w:type="dxa"/>
          </w:tcPr>
          <w:p w14:paraId="66D1EC17" w14:textId="77777777" w:rsidR="001517A0" w:rsidRPr="009F551D" w:rsidRDefault="001517A0" w:rsidP="00C93CE5">
            <w:pPr>
              <w:spacing w:before="60" w:after="60"/>
              <w:jc w:val="center"/>
              <w:rPr>
                <w:rFonts w:eastAsia="Calibri"/>
                <w:bCs/>
                <w:lang w:val="fr-FR"/>
              </w:rPr>
            </w:pPr>
          </w:p>
        </w:tc>
      </w:tr>
      <w:tr w:rsidR="001517A0" w:rsidRPr="009F551D" w14:paraId="600737FE" w14:textId="77777777" w:rsidTr="00C93CE5">
        <w:tc>
          <w:tcPr>
            <w:tcW w:w="6169" w:type="dxa"/>
            <w:shd w:val="clear" w:color="auto" w:fill="auto"/>
            <w:vAlign w:val="bottom"/>
            <w:hideMark/>
          </w:tcPr>
          <w:p w14:paraId="2644CD1B" w14:textId="77777777" w:rsidR="001517A0" w:rsidRPr="009F551D" w:rsidRDefault="001517A0" w:rsidP="00C93CE5">
            <w:pPr>
              <w:spacing w:before="60" w:after="60"/>
              <w:rPr>
                <w:rFonts w:eastAsia="Calibri"/>
                <w:bCs/>
                <w:lang w:val="fr-FR"/>
              </w:rPr>
            </w:pPr>
            <w:r w:rsidRPr="009F551D">
              <w:rPr>
                <w:rFonts w:eastAsia="Calibri"/>
                <w:lang w:val="fr-FR"/>
              </w:rPr>
              <w:t>Mâts et mâtures similaires</w:t>
            </w:r>
          </w:p>
        </w:tc>
        <w:tc>
          <w:tcPr>
            <w:tcW w:w="1260" w:type="dxa"/>
            <w:shd w:val="clear" w:color="auto" w:fill="auto"/>
            <w:noWrap/>
            <w:vAlign w:val="center"/>
            <w:hideMark/>
          </w:tcPr>
          <w:p w14:paraId="387D3B0F"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4" w:type="dxa"/>
            <w:shd w:val="clear" w:color="auto" w:fill="auto"/>
            <w:noWrap/>
            <w:vAlign w:val="center"/>
            <w:hideMark/>
          </w:tcPr>
          <w:p w14:paraId="374F7568"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hideMark/>
          </w:tcPr>
          <w:p w14:paraId="7E57F124"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0ECAF488" w14:textId="77777777" w:rsidR="001517A0" w:rsidRPr="009F551D" w:rsidRDefault="001517A0" w:rsidP="00C93CE5">
            <w:pPr>
              <w:spacing w:before="60" w:after="60"/>
              <w:jc w:val="center"/>
              <w:rPr>
                <w:rFonts w:eastAsia="Calibri"/>
                <w:bCs/>
                <w:lang w:val="fr-FR"/>
              </w:rPr>
            </w:pPr>
          </w:p>
        </w:tc>
        <w:tc>
          <w:tcPr>
            <w:tcW w:w="1408" w:type="dxa"/>
          </w:tcPr>
          <w:p w14:paraId="1B13C207" w14:textId="77777777" w:rsidR="001517A0" w:rsidRPr="009F551D" w:rsidRDefault="001517A0" w:rsidP="00C93CE5">
            <w:pPr>
              <w:spacing w:before="60" w:after="60"/>
              <w:jc w:val="center"/>
              <w:rPr>
                <w:rFonts w:eastAsia="Calibri"/>
                <w:bCs/>
                <w:lang w:val="fr-FR"/>
              </w:rPr>
            </w:pPr>
          </w:p>
        </w:tc>
      </w:tr>
      <w:tr w:rsidR="001517A0" w:rsidRPr="009F551D" w14:paraId="5A4B1DC3" w14:textId="77777777" w:rsidTr="00C93CE5">
        <w:tc>
          <w:tcPr>
            <w:tcW w:w="6169" w:type="dxa"/>
            <w:shd w:val="clear" w:color="auto" w:fill="auto"/>
            <w:vAlign w:val="bottom"/>
            <w:hideMark/>
          </w:tcPr>
          <w:p w14:paraId="0FFC06FC" w14:textId="77777777" w:rsidR="001517A0" w:rsidRPr="009F551D" w:rsidRDefault="001517A0" w:rsidP="00C93CE5">
            <w:pPr>
              <w:spacing w:before="60" w:after="60"/>
              <w:rPr>
                <w:rFonts w:eastAsia="Calibri"/>
                <w:bCs/>
                <w:lang w:val="fr-FR"/>
              </w:rPr>
            </w:pPr>
            <w:r w:rsidRPr="009F551D">
              <w:rPr>
                <w:rFonts w:eastAsia="Calibri"/>
                <w:lang w:val="fr-FR"/>
              </w:rPr>
              <w:t>Parties de machines</w:t>
            </w:r>
          </w:p>
        </w:tc>
        <w:tc>
          <w:tcPr>
            <w:tcW w:w="1260" w:type="dxa"/>
            <w:shd w:val="clear" w:color="auto" w:fill="auto"/>
            <w:noWrap/>
            <w:vAlign w:val="center"/>
            <w:hideMark/>
          </w:tcPr>
          <w:p w14:paraId="52A4A0C0"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hideMark/>
          </w:tcPr>
          <w:p w14:paraId="10B7D03A"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hideMark/>
          </w:tcPr>
          <w:p w14:paraId="76BBF8D0"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24454929" w14:textId="77777777" w:rsidR="001517A0" w:rsidRPr="009F551D" w:rsidRDefault="001517A0" w:rsidP="00C93CE5">
            <w:pPr>
              <w:spacing w:before="60" w:after="60"/>
              <w:jc w:val="center"/>
              <w:rPr>
                <w:rFonts w:eastAsia="Calibri"/>
                <w:bCs/>
                <w:lang w:val="fr-FR"/>
              </w:rPr>
            </w:pPr>
          </w:p>
        </w:tc>
        <w:tc>
          <w:tcPr>
            <w:tcW w:w="1408" w:type="dxa"/>
          </w:tcPr>
          <w:p w14:paraId="11147EA4" w14:textId="77777777" w:rsidR="001517A0" w:rsidRPr="009F551D" w:rsidRDefault="001517A0" w:rsidP="00C93CE5">
            <w:pPr>
              <w:spacing w:before="60" w:after="60"/>
              <w:jc w:val="center"/>
              <w:rPr>
                <w:rFonts w:eastAsia="Calibri"/>
                <w:bCs/>
                <w:lang w:val="fr-FR"/>
              </w:rPr>
            </w:pPr>
          </w:p>
        </w:tc>
      </w:tr>
      <w:tr w:rsidR="001517A0" w:rsidRPr="009F551D" w14:paraId="12C73369" w14:textId="77777777" w:rsidTr="00C93CE5">
        <w:tc>
          <w:tcPr>
            <w:tcW w:w="6169" w:type="dxa"/>
            <w:shd w:val="clear" w:color="auto" w:fill="auto"/>
            <w:vAlign w:val="bottom"/>
            <w:hideMark/>
          </w:tcPr>
          <w:p w14:paraId="0EC1A6EC" w14:textId="77777777" w:rsidR="001517A0" w:rsidRPr="009F551D" w:rsidRDefault="001517A0" w:rsidP="00C93CE5">
            <w:pPr>
              <w:spacing w:before="60" w:after="60"/>
              <w:rPr>
                <w:rFonts w:eastAsia="Calibri"/>
                <w:bCs/>
                <w:lang w:val="fr-FR"/>
              </w:rPr>
            </w:pPr>
            <w:r w:rsidRPr="009F551D">
              <w:rPr>
                <w:rFonts w:eastAsia="Calibri"/>
                <w:lang w:val="fr-FR"/>
              </w:rPr>
              <w:t xml:space="preserve">Habillage de protection de moteurs et de pompes </w:t>
            </w:r>
          </w:p>
        </w:tc>
        <w:tc>
          <w:tcPr>
            <w:tcW w:w="1260" w:type="dxa"/>
            <w:shd w:val="clear" w:color="auto" w:fill="auto"/>
            <w:noWrap/>
            <w:vAlign w:val="center"/>
            <w:hideMark/>
          </w:tcPr>
          <w:p w14:paraId="362D607C"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hideMark/>
          </w:tcPr>
          <w:p w14:paraId="05DB4A18" w14:textId="77777777" w:rsidR="001517A0" w:rsidRPr="009F551D" w:rsidRDefault="001517A0" w:rsidP="00C93CE5">
            <w:pPr>
              <w:spacing w:before="60" w:after="60"/>
              <w:jc w:val="center"/>
              <w:rPr>
                <w:rFonts w:eastAsia="Calibri"/>
                <w:bCs/>
                <w:lang w:val="fr-FR"/>
              </w:rPr>
            </w:pPr>
          </w:p>
        </w:tc>
        <w:tc>
          <w:tcPr>
            <w:tcW w:w="1834" w:type="dxa"/>
            <w:shd w:val="clear" w:color="auto" w:fill="auto"/>
            <w:noWrap/>
            <w:vAlign w:val="center"/>
            <w:hideMark/>
          </w:tcPr>
          <w:p w14:paraId="48B6346A"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11059B1B" w14:textId="77777777" w:rsidR="001517A0" w:rsidRPr="009F551D" w:rsidRDefault="001517A0" w:rsidP="00C93CE5">
            <w:pPr>
              <w:spacing w:before="60" w:after="60"/>
              <w:jc w:val="center"/>
              <w:rPr>
                <w:rFonts w:eastAsia="Calibri"/>
                <w:bCs/>
                <w:lang w:val="fr-FR"/>
              </w:rPr>
            </w:pPr>
          </w:p>
        </w:tc>
        <w:tc>
          <w:tcPr>
            <w:tcW w:w="1408" w:type="dxa"/>
          </w:tcPr>
          <w:p w14:paraId="1F1C110F" w14:textId="77777777" w:rsidR="001517A0" w:rsidRPr="009F551D" w:rsidRDefault="001517A0" w:rsidP="00C93CE5">
            <w:pPr>
              <w:spacing w:before="60" w:after="60"/>
              <w:jc w:val="center"/>
              <w:rPr>
                <w:rFonts w:eastAsia="Calibri"/>
                <w:bCs/>
                <w:lang w:val="fr-FR"/>
              </w:rPr>
            </w:pPr>
          </w:p>
        </w:tc>
      </w:tr>
      <w:tr w:rsidR="001517A0" w:rsidRPr="009F551D" w14:paraId="052F4619" w14:textId="77777777" w:rsidTr="00C93CE5">
        <w:tc>
          <w:tcPr>
            <w:tcW w:w="6169" w:type="dxa"/>
            <w:shd w:val="clear" w:color="auto" w:fill="auto"/>
          </w:tcPr>
          <w:p w14:paraId="7F0BF724" w14:textId="77777777" w:rsidR="001517A0" w:rsidRPr="009F551D" w:rsidRDefault="001517A0" w:rsidP="00C93CE5">
            <w:pPr>
              <w:spacing w:before="60" w:after="60"/>
              <w:rPr>
                <w:rFonts w:eastAsia="Calibri"/>
                <w:bCs/>
                <w:lang w:val="fr-FR"/>
              </w:rPr>
            </w:pPr>
            <w:r w:rsidRPr="009F551D">
              <w:rPr>
                <w:rFonts w:eastAsia="Calibri"/>
                <w:lang w:val="fr-FR"/>
              </w:rPr>
              <w:t>Panneaux d</w:t>
            </w:r>
            <w:r>
              <w:rPr>
                <w:rFonts w:eastAsia="Calibri"/>
                <w:lang w:val="fr-FR"/>
              </w:rPr>
              <w:t>’</w:t>
            </w:r>
            <w:r w:rsidRPr="009F551D">
              <w:rPr>
                <w:rFonts w:eastAsia="Calibri"/>
                <w:lang w:val="fr-FR"/>
              </w:rPr>
              <w:t>avertissement (accès à bord interdit et interdiction de fumer)</w:t>
            </w:r>
          </w:p>
        </w:tc>
        <w:tc>
          <w:tcPr>
            <w:tcW w:w="1260" w:type="dxa"/>
            <w:shd w:val="clear" w:color="auto" w:fill="auto"/>
            <w:noWrap/>
            <w:vAlign w:val="center"/>
          </w:tcPr>
          <w:p w14:paraId="09152288"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0ADA7807"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7A3B55FE"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515EECFB" w14:textId="77777777" w:rsidR="001517A0" w:rsidRPr="009F551D" w:rsidRDefault="001517A0" w:rsidP="00C93CE5">
            <w:pPr>
              <w:spacing w:before="60" w:after="60"/>
              <w:jc w:val="center"/>
              <w:rPr>
                <w:rFonts w:eastAsia="Calibri"/>
                <w:bCs/>
                <w:lang w:val="fr-FR"/>
              </w:rPr>
            </w:pPr>
          </w:p>
        </w:tc>
        <w:tc>
          <w:tcPr>
            <w:tcW w:w="1408" w:type="dxa"/>
          </w:tcPr>
          <w:p w14:paraId="41B62ED4" w14:textId="77777777" w:rsidR="001517A0" w:rsidRPr="009F551D" w:rsidRDefault="001517A0" w:rsidP="00C93CE5">
            <w:pPr>
              <w:spacing w:before="60" w:after="60"/>
              <w:jc w:val="center"/>
              <w:rPr>
                <w:rFonts w:eastAsia="Calibri"/>
                <w:bCs/>
                <w:lang w:val="fr-FR"/>
              </w:rPr>
            </w:pPr>
          </w:p>
        </w:tc>
      </w:tr>
      <w:tr w:rsidR="001517A0" w:rsidRPr="009F551D" w14:paraId="59B52DBA" w14:textId="77777777" w:rsidTr="00C93CE5">
        <w:tc>
          <w:tcPr>
            <w:tcW w:w="6169" w:type="dxa"/>
            <w:vMerge w:val="restart"/>
            <w:shd w:val="clear" w:color="auto" w:fill="auto"/>
            <w:hideMark/>
          </w:tcPr>
          <w:p w14:paraId="01A0E0B6" w14:textId="77777777" w:rsidR="001517A0" w:rsidRPr="009F551D" w:rsidRDefault="001517A0" w:rsidP="00C93CE5">
            <w:pPr>
              <w:spacing w:before="60" w:after="60"/>
              <w:rPr>
                <w:rFonts w:eastAsia="Calibri"/>
                <w:bCs/>
                <w:lang w:val="fr-FR"/>
              </w:rPr>
            </w:pPr>
            <w:r w:rsidRPr="009F551D">
              <w:rPr>
                <w:rFonts w:eastAsia="Calibri"/>
                <w:lang w:val="fr-FR"/>
              </w:rPr>
              <w:t>Parties de l</w:t>
            </w:r>
            <w:r>
              <w:rPr>
                <w:rFonts w:eastAsia="Calibri"/>
                <w:lang w:val="fr-FR"/>
              </w:rPr>
              <w:t>’</w:t>
            </w:r>
            <w:r w:rsidRPr="009F551D">
              <w:rPr>
                <w:rFonts w:eastAsia="Calibri"/>
                <w:lang w:val="fr-FR"/>
              </w:rPr>
              <w:t>installation électrique</w:t>
            </w:r>
          </w:p>
        </w:tc>
        <w:tc>
          <w:tcPr>
            <w:tcW w:w="1260" w:type="dxa"/>
            <w:shd w:val="clear" w:color="auto" w:fill="auto"/>
            <w:noWrap/>
            <w:vAlign w:val="center"/>
          </w:tcPr>
          <w:p w14:paraId="13D95F5E"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hideMark/>
          </w:tcPr>
          <w:p w14:paraId="152C43F0"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hideMark/>
          </w:tcPr>
          <w:p w14:paraId="5E37024C"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7F601754" w14:textId="77777777" w:rsidR="001517A0" w:rsidRPr="009F551D" w:rsidRDefault="001517A0" w:rsidP="00C93CE5">
            <w:pPr>
              <w:spacing w:before="60" w:after="60"/>
              <w:jc w:val="center"/>
              <w:rPr>
                <w:rFonts w:eastAsia="Calibri"/>
                <w:bCs/>
                <w:lang w:val="fr-FR"/>
              </w:rPr>
            </w:pPr>
          </w:p>
        </w:tc>
        <w:tc>
          <w:tcPr>
            <w:tcW w:w="1408" w:type="dxa"/>
          </w:tcPr>
          <w:p w14:paraId="246BE176" w14:textId="77777777" w:rsidR="001517A0" w:rsidRPr="009F551D" w:rsidRDefault="001517A0" w:rsidP="00C93CE5">
            <w:pPr>
              <w:spacing w:before="60" w:after="60"/>
              <w:jc w:val="center"/>
              <w:rPr>
                <w:rFonts w:eastAsia="Calibri"/>
                <w:bCs/>
                <w:lang w:val="fr-FR"/>
              </w:rPr>
            </w:pPr>
          </w:p>
        </w:tc>
      </w:tr>
      <w:tr w:rsidR="001517A0" w:rsidRPr="00E86888" w14:paraId="05F7BF41" w14:textId="77777777" w:rsidTr="00C93CE5">
        <w:tc>
          <w:tcPr>
            <w:tcW w:w="6169" w:type="dxa"/>
            <w:vMerge/>
            <w:shd w:val="clear" w:color="auto" w:fill="auto"/>
            <w:vAlign w:val="bottom"/>
          </w:tcPr>
          <w:p w14:paraId="16A82BD0" w14:textId="77777777" w:rsidR="001517A0" w:rsidRPr="009F551D" w:rsidRDefault="001517A0" w:rsidP="00C93CE5">
            <w:pPr>
              <w:spacing w:before="60" w:after="60"/>
              <w:rPr>
                <w:rFonts w:eastAsia="Calibri"/>
                <w:bCs/>
                <w:lang w:val="fr-FR"/>
              </w:rPr>
            </w:pPr>
          </w:p>
        </w:tc>
        <w:tc>
          <w:tcPr>
            <w:tcW w:w="7609" w:type="dxa"/>
            <w:gridSpan w:val="5"/>
            <w:shd w:val="clear" w:color="auto" w:fill="auto"/>
            <w:noWrap/>
            <w:vAlign w:val="center"/>
          </w:tcPr>
          <w:p w14:paraId="4CA58BF9" w14:textId="77777777" w:rsidR="001517A0" w:rsidRPr="009F551D" w:rsidRDefault="001517A0" w:rsidP="00C93CE5">
            <w:pPr>
              <w:spacing w:before="60" w:after="60"/>
              <w:jc w:val="center"/>
              <w:rPr>
                <w:rFonts w:eastAsia="Calibri"/>
                <w:bCs/>
                <w:lang w:val="fr-FR"/>
              </w:rPr>
            </w:pPr>
            <w:r w:rsidRPr="009F551D">
              <w:rPr>
                <w:rFonts w:eastAsia="Calibri"/>
                <w:lang w:val="fr-FR"/>
              </w:rPr>
              <w:t>Conformément aux normes techniques applicables</w:t>
            </w:r>
          </w:p>
        </w:tc>
      </w:tr>
      <w:tr w:rsidR="001517A0" w:rsidRPr="009F551D" w14:paraId="7F706F41" w14:textId="77777777" w:rsidTr="00C93CE5">
        <w:tc>
          <w:tcPr>
            <w:tcW w:w="6169" w:type="dxa"/>
            <w:shd w:val="clear" w:color="auto" w:fill="auto"/>
            <w:vAlign w:val="bottom"/>
            <w:hideMark/>
          </w:tcPr>
          <w:p w14:paraId="0C70D464" w14:textId="77777777" w:rsidR="001517A0" w:rsidRPr="009F551D" w:rsidRDefault="001517A0" w:rsidP="00C93CE5">
            <w:pPr>
              <w:spacing w:before="60" w:after="60"/>
              <w:rPr>
                <w:rFonts w:eastAsia="Calibri"/>
                <w:bCs/>
                <w:lang w:val="fr-FR"/>
              </w:rPr>
            </w:pPr>
            <w:r w:rsidRPr="009F551D">
              <w:rPr>
                <w:rFonts w:eastAsia="Calibri"/>
                <w:lang w:val="fr-FR"/>
              </w:rPr>
              <w:t>Parties de l</w:t>
            </w:r>
            <w:r>
              <w:rPr>
                <w:rFonts w:eastAsia="Calibri"/>
                <w:lang w:val="fr-FR"/>
              </w:rPr>
              <w:t>’</w:t>
            </w:r>
            <w:r w:rsidRPr="009F551D">
              <w:rPr>
                <w:rFonts w:eastAsia="Calibri"/>
                <w:lang w:val="fr-FR"/>
              </w:rPr>
              <w:t xml:space="preserve">installation de chargement et de déchargement comme </w:t>
            </w:r>
            <w:r w:rsidRPr="009F551D">
              <w:rPr>
                <w:rFonts w:eastAsia="Calibri"/>
                <w:lang w:val="fr-FR"/>
              </w:rPr>
              <w:br/>
              <w:t>par exemple joints d</w:t>
            </w:r>
            <w:r>
              <w:rPr>
                <w:rFonts w:eastAsia="Calibri"/>
                <w:lang w:val="fr-FR"/>
              </w:rPr>
              <w:t>’</w:t>
            </w:r>
            <w:r w:rsidRPr="009F551D">
              <w:rPr>
                <w:rFonts w:eastAsia="Calibri"/>
                <w:lang w:val="fr-FR"/>
              </w:rPr>
              <w:t>étanchéité etc.</w:t>
            </w:r>
          </w:p>
        </w:tc>
        <w:tc>
          <w:tcPr>
            <w:tcW w:w="1260" w:type="dxa"/>
            <w:shd w:val="clear" w:color="auto" w:fill="auto"/>
            <w:noWrap/>
            <w:vAlign w:val="center"/>
          </w:tcPr>
          <w:p w14:paraId="5F90C782" w14:textId="77777777" w:rsidR="001517A0" w:rsidRPr="009F551D" w:rsidRDefault="001517A0" w:rsidP="00C93CE5">
            <w:pPr>
              <w:spacing w:before="60" w:after="60"/>
              <w:rPr>
                <w:rFonts w:eastAsia="Calibri"/>
                <w:bCs/>
                <w:lang w:val="fr-FR"/>
              </w:rPr>
            </w:pPr>
          </w:p>
        </w:tc>
        <w:tc>
          <w:tcPr>
            <w:tcW w:w="1554" w:type="dxa"/>
            <w:shd w:val="clear" w:color="auto" w:fill="auto"/>
            <w:noWrap/>
            <w:vAlign w:val="center"/>
            <w:hideMark/>
          </w:tcPr>
          <w:p w14:paraId="5042B57F"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hideMark/>
          </w:tcPr>
          <w:p w14:paraId="2A3998DD"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7EAA13F3"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5DCC3DEC" w14:textId="77777777" w:rsidR="001517A0" w:rsidRPr="009F551D" w:rsidRDefault="001517A0" w:rsidP="00C93CE5">
            <w:pPr>
              <w:spacing w:before="60" w:after="60"/>
              <w:rPr>
                <w:rFonts w:eastAsia="Calibri"/>
                <w:bCs/>
                <w:lang w:val="fr-FR"/>
              </w:rPr>
            </w:pPr>
          </w:p>
        </w:tc>
      </w:tr>
      <w:tr w:rsidR="001517A0" w:rsidRPr="009F551D" w14:paraId="59426134" w14:textId="77777777" w:rsidTr="00C93CE5">
        <w:tc>
          <w:tcPr>
            <w:tcW w:w="6169" w:type="dxa"/>
            <w:shd w:val="clear" w:color="auto" w:fill="auto"/>
            <w:vAlign w:val="bottom"/>
            <w:hideMark/>
          </w:tcPr>
          <w:p w14:paraId="17691FBB" w14:textId="77777777" w:rsidR="001517A0" w:rsidRPr="009F551D" w:rsidRDefault="001517A0" w:rsidP="00C93CE5">
            <w:pPr>
              <w:spacing w:before="60" w:after="60"/>
              <w:rPr>
                <w:rFonts w:eastAsia="Calibri"/>
                <w:bCs/>
                <w:lang w:val="fr-FR"/>
              </w:rPr>
            </w:pPr>
            <w:r w:rsidRPr="009F551D">
              <w:rPr>
                <w:rFonts w:eastAsia="Calibri"/>
                <w:lang w:val="fr-FR"/>
              </w:rPr>
              <w:t>Supports ou butées de tous types</w:t>
            </w:r>
          </w:p>
        </w:tc>
        <w:tc>
          <w:tcPr>
            <w:tcW w:w="1260" w:type="dxa"/>
            <w:shd w:val="clear" w:color="auto" w:fill="auto"/>
            <w:noWrap/>
            <w:vAlign w:val="center"/>
            <w:hideMark/>
          </w:tcPr>
          <w:p w14:paraId="36F2FA03"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4" w:type="dxa"/>
            <w:shd w:val="clear" w:color="auto" w:fill="auto"/>
            <w:noWrap/>
            <w:vAlign w:val="center"/>
            <w:hideMark/>
          </w:tcPr>
          <w:p w14:paraId="226E1DF5" w14:textId="77777777" w:rsidR="001517A0" w:rsidRPr="009F551D" w:rsidRDefault="001517A0" w:rsidP="00C93CE5">
            <w:pPr>
              <w:spacing w:before="60" w:after="60"/>
              <w:jc w:val="center"/>
              <w:rPr>
                <w:rFonts w:eastAsia="Calibri"/>
                <w:bCs/>
                <w:lang w:val="fr-FR"/>
              </w:rPr>
            </w:pPr>
          </w:p>
        </w:tc>
        <w:tc>
          <w:tcPr>
            <w:tcW w:w="1834" w:type="dxa"/>
            <w:shd w:val="clear" w:color="auto" w:fill="auto"/>
            <w:noWrap/>
            <w:vAlign w:val="center"/>
            <w:hideMark/>
          </w:tcPr>
          <w:p w14:paraId="758003D0"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4B1F2B29" w14:textId="77777777" w:rsidR="001517A0" w:rsidRPr="009F551D" w:rsidRDefault="001517A0" w:rsidP="00C93CE5">
            <w:pPr>
              <w:spacing w:before="60" w:after="60"/>
              <w:jc w:val="center"/>
              <w:rPr>
                <w:rFonts w:eastAsia="Calibri"/>
                <w:bCs/>
                <w:lang w:val="fr-FR"/>
              </w:rPr>
            </w:pPr>
          </w:p>
        </w:tc>
        <w:tc>
          <w:tcPr>
            <w:tcW w:w="1408" w:type="dxa"/>
          </w:tcPr>
          <w:p w14:paraId="05C7B39E" w14:textId="77777777" w:rsidR="001517A0" w:rsidRPr="009F551D" w:rsidRDefault="001517A0" w:rsidP="00C93CE5">
            <w:pPr>
              <w:spacing w:before="60" w:after="60"/>
              <w:jc w:val="center"/>
              <w:rPr>
                <w:rFonts w:eastAsia="Calibri"/>
                <w:bCs/>
                <w:lang w:val="fr-FR"/>
              </w:rPr>
            </w:pPr>
          </w:p>
        </w:tc>
      </w:tr>
      <w:tr w:rsidR="001517A0" w:rsidRPr="009F551D" w14:paraId="53906EB8" w14:textId="77777777" w:rsidTr="00C93CE5">
        <w:tc>
          <w:tcPr>
            <w:tcW w:w="6169" w:type="dxa"/>
            <w:shd w:val="clear" w:color="auto" w:fill="auto"/>
            <w:vAlign w:val="bottom"/>
          </w:tcPr>
          <w:p w14:paraId="6297F98E" w14:textId="77777777" w:rsidR="001517A0" w:rsidRPr="009F551D" w:rsidRDefault="001517A0" w:rsidP="00C93CE5">
            <w:pPr>
              <w:spacing w:before="60" w:after="60"/>
              <w:rPr>
                <w:rFonts w:eastAsia="Calibri"/>
                <w:bCs/>
                <w:lang w:val="fr-FR"/>
              </w:rPr>
            </w:pPr>
            <w:r w:rsidRPr="009F551D">
              <w:rPr>
                <w:rFonts w:eastAsia="Calibri"/>
                <w:lang w:val="fr-FR"/>
              </w:rPr>
              <w:t>Ventilateurs, y compris les tuyauteries flexibles pour la ventilation</w:t>
            </w:r>
          </w:p>
        </w:tc>
        <w:tc>
          <w:tcPr>
            <w:tcW w:w="1260" w:type="dxa"/>
            <w:shd w:val="clear" w:color="auto" w:fill="auto"/>
            <w:noWrap/>
            <w:vAlign w:val="center"/>
            <w:hideMark/>
          </w:tcPr>
          <w:p w14:paraId="7B4DAB7A"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hideMark/>
          </w:tcPr>
          <w:p w14:paraId="6DB860ED"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hideMark/>
          </w:tcPr>
          <w:p w14:paraId="556B5CCE"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12D43CA8" w14:textId="77777777" w:rsidR="001517A0" w:rsidRPr="009F551D" w:rsidRDefault="001517A0" w:rsidP="00C93CE5">
            <w:pPr>
              <w:spacing w:before="60" w:after="60"/>
              <w:jc w:val="center"/>
              <w:rPr>
                <w:rFonts w:eastAsia="Calibri"/>
                <w:bCs/>
                <w:lang w:val="fr-FR"/>
              </w:rPr>
            </w:pPr>
          </w:p>
        </w:tc>
        <w:tc>
          <w:tcPr>
            <w:tcW w:w="1408" w:type="dxa"/>
          </w:tcPr>
          <w:p w14:paraId="7327A922" w14:textId="77777777" w:rsidR="001517A0" w:rsidRPr="009F551D" w:rsidRDefault="001517A0" w:rsidP="00C93CE5">
            <w:pPr>
              <w:spacing w:before="60" w:after="60"/>
              <w:jc w:val="center"/>
              <w:rPr>
                <w:rFonts w:eastAsia="Calibri"/>
                <w:bCs/>
                <w:lang w:val="fr-FR"/>
              </w:rPr>
            </w:pPr>
          </w:p>
        </w:tc>
      </w:tr>
      <w:tr w:rsidR="001517A0" w:rsidRPr="009F551D" w14:paraId="3D7E4D6F" w14:textId="77777777" w:rsidTr="00C93CE5">
        <w:tc>
          <w:tcPr>
            <w:tcW w:w="6169" w:type="dxa"/>
            <w:shd w:val="clear" w:color="auto" w:fill="auto"/>
            <w:vAlign w:val="bottom"/>
            <w:hideMark/>
          </w:tcPr>
          <w:p w14:paraId="66F45BF0" w14:textId="77777777" w:rsidR="001517A0" w:rsidRPr="009F551D" w:rsidRDefault="001517A0" w:rsidP="00C93CE5">
            <w:pPr>
              <w:spacing w:before="60" w:after="60"/>
              <w:rPr>
                <w:rFonts w:eastAsia="Calibri"/>
                <w:bCs/>
                <w:lang w:val="fr-FR"/>
              </w:rPr>
            </w:pPr>
            <w:r w:rsidRPr="009F551D">
              <w:rPr>
                <w:rFonts w:eastAsia="Calibri"/>
                <w:lang w:val="fr-FR"/>
              </w:rPr>
              <w:t>Parties de l</w:t>
            </w:r>
            <w:r>
              <w:rPr>
                <w:rFonts w:eastAsia="Calibri"/>
                <w:lang w:val="fr-FR"/>
              </w:rPr>
              <w:t>’</w:t>
            </w:r>
            <w:r w:rsidRPr="009F551D">
              <w:rPr>
                <w:rFonts w:eastAsia="Calibri"/>
                <w:lang w:val="fr-FR"/>
              </w:rPr>
              <w:t>installation d</w:t>
            </w:r>
            <w:r>
              <w:rPr>
                <w:rFonts w:eastAsia="Calibri"/>
                <w:lang w:val="fr-FR"/>
              </w:rPr>
              <w:t>’</w:t>
            </w:r>
            <w:r w:rsidRPr="009F551D">
              <w:rPr>
                <w:rFonts w:eastAsia="Calibri"/>
                <w:lang w:val="fr-FR"/>
              </w:rPr>
              <w:t>aspersion d</w:t>
            </w:r>
            <w:r>
              <w:rPr>
                <w:rFonts w:eastAsia="Calibri"/>
                <w:lang w:val="fr-FR"/>
              </w:rPr>
              <w:t>’</w:t>
            </w:r>
            <w:r w:rsidRPr="009F551D">
              <w:rPr>
                <w:rFonts w:eastAsia="Calibri"/>
                <w:lang w:val="fr-FR"/>
              </w:rPr>
              <w:t>eau et de la douche, et installation pour le rinçage des yeux et du visage</w:t>
            </w:r>
          </w:p>
        </w:tc>
        <w:tc>
          <w:tcPr>
            <w:tcW w:w="1260" w:type="dxa"/>
            <w:shd w:val="clear" w:color="auto" w:fill="auto"/>
            <w:noWrap/>
            <w:vAlign w:val="center"/>
            <w:hideMark/>
          </w:tcPr>
          <w:p w14:paraId="4777F0E3"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hideMark/>
          </w:tcPr>
          <w:p w14:paraId="5F61011D"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hideMark/>
          </w:tcPr>
          <w:p w14:paraId="2774AEC5"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4261915C" w14:textId="77777777" w:rsidR="001517A0" w:rsidRPr="009F551D" w:rsidRDefault="001517A0" w:rsidP="00C93CE5">
            <w:pPr>
              <w:spacing w:before="60" w:after="60"/>
              <w:jc w:val="center"/>
              <w:rPr>
                <w:rFonts w:eastAsia="Calibri"/>
                <w:bCs/>
                <w:lang w:val="fr-FR"/>
              </w:rPr>
            </w:pPr>
          </w:p>
        </w:tc>
        <w:tc>
          <w:tcPr>
            <w:tcW w:w="1408" w:type="dxa"/>
          </w:tcPr>
          <w:p w14:paraId="34124F70" w14:textId="77777777" w:rsidR="001517A0" w:rsidRPr="009F551D" w:rsidRDefault="001517A0" w:rsidP="00C93CE5">
            <w:pPr>
              <w:spacing w:before="60" w:after="60"/>
              <w:jc w:val="center"/>
              <w:rPr>
                <w:rFonts w:eastAsia="Calibri"/>
                <w:bCs/>
                <w:lang w:val="fr-FR"/>
              </w:rPr>
            </w:pPr>
          </w:p>
        </w:tc>
      </w:tr>
      <w:tr w:rsidR="001517A0" w:rsidRPr="009F551D" w14:paraId="199AA69B" w14:textId="77777777" w:rsidTr="00C93CE5">
        <w:tc>
          <w:tcPr>
            <w:tcW w:w="6169" w:type="dxa"/>
            <w:shd w:val="clear" w:color="auto" w:fill="auto"/>
            <w:vAlign w:val="bottom"/>
            <w:hideMark/>
          </w:tcPr>
          <w:p w14:paraId="316D7BAF" w14:textId="77777777" w:rsidR="001517A0" w:rsidRPr="009F551D" w:rsidRDefault="001517A0" w:rsidP="00C93CE5">
            <w:pPr>
              <w:spacing w:before="60" w:after="60"/>
              <w:rPr>
                <w:rFonts w:eastAsia="Calibri"/>
                <w:bCs/>
                <w:lang w:val="fr-FR"/>
              </w:rPr>
            </w:pPr>
            <w:r w:rsidRPr="009F551D">
              <w:rPr>
                <w:rFonts w:eastAsia="Calibri"/>
                <w:lang w:val="fr-FR"/>
              </w:rPr>
              <w:t xml:space="preserve">Isolation des citernes à cargaison, des tuyauteries de chargement </w:t>
            </w:r>
            <w:r w:rsidRPr="009F551D">
              <w:rPr>
                <w:rFonts w:eastAsia="Calibri"/>
                <w:lang w:val="fr-FR"/>
              </w:rPr>
              <w:br/>
              <w:t>et de déchargement, des conduites d</w:t>
            </w:r>
            <w:r>
              <w:rPr>
                <w:rFonts w:eastAsia="Calibri"/>
                <w:lang w:val="fr-FR"/>
              </w:rPr>
              <w:t>’</w:t>
            </w:r>
            <w:r w:rsidRPr="009F551D">
              <w:rPr>
                <w:rFonts w:eastAsia="Calibri"/>
                <w:lang w:val="fr-FR"/>
              </w:rPr>
              <w:t xml:space="preserve">évacuation de gaz </w:t>
            </w:r>
            <w:r w:rsidRPr="009F551D">
              <w:rPr>
                <w:rFonts w:eastAsia="Calibri"/>
                <w:lang w:val="fr-FR"/>
              </w:rPr>
              <w:br/>
              <w:t>et des conduites de chauffage</w:t>
            </w:r>
          </w:p>
        </w:tc>
        <w:tc>
          <w:tcPr>
            <w:tcW w:w="1260" w:type="dxa"/>
            <w:shd w:val="clear" w:color="auto" w:fill="auto"/>
            <w:noWrap/>
            <w:vAlign w:val="center"/>
            <w:hideMark/>
          </w:tcPr>
          <w:p w14:paraId="502EB2AD"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hideMark/>
          </w:tcPr>
          <w:p w14:paraId="2A898957"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hideMark/>
          </w:tcPr>
          <w:p w14:paraId="7966970F"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6FBE0D16"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690901E5" w14:textId="77777777" w:rsidR="001517A0" w:rsidRPr="009F551D" w:rsidRDefault="001517A0" w:rsidP="00C93CE5">
            <w:pPr>
              <w:spacing w:before="60" w:after="60"/>
              <w:jc w:val="center"/>
              <w:rPr>
                <w:rFonts w:eastAsia="Calibri"/>
                <w:bCs/>
                <w:lang w:val="fr-FR"/>
              </w:rPr>
            </w:pPr>
          </w:p>
        </w:tc>
      </w:tr>
      <w:tr w:rsidR="001517A0" w:rsidRPr="009F551D" w14:paraId="109366C4" w14:textId="77777777" w:rsidTr="00C93CE5">
        <w:tc>
          <w:tcPr>
            <w:tcW w:w="6169" w:type="dxa"/>
            <w:shd w:val="clear" w:color="auto" w:fill="auto"/>
            <w:vAlign w:val="bottom"/>
            <w:hideMark/>
          </w:tcPr>
          <w:p w14:paraId="5CF637D0" w14:textId="77777777" w:rsidR="001517A0" w:rsidRPr="009F551D" w:rsidRDefault="001517A0" w:rsidP="00C93CE5">
            <w:pPr>
              <w:spacing w:before="60" w:after="60"/>
              <w:rPr>
                <w:rFonts w:eastAsia="Calibri"/>
                <w:bCs/>
                <w:lang w:val="fr-FR"/>
              </w:rPr>
            </w:pPr>
            <w:r w:rsidRPr="009F551D">
              <w:rPr>
                <w:rFonts w:eastAsia="Calibri"/>
                <w:lang w:val="fr-FR"/>
              </w:rPr>
              <w:t>Revêtement des citernes à cargaison et tuyauteries de chargement et déchargement</w:t>
            </w:r>
          </w:p>
        </w:tc>
        <w:tc>
          <w:tcPr>
            <w:tcW w:w="1260" w:type="dxa"/>
            <w:shd w:val="clear" w:color="auto" w:fill="auto"/>
            <w:noWrap/>
            <w:vAlign w:val="center"/>
            <w:hideMark/>
          </w:tcPr>
          <w:p w14:paraId="6CC8068B"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hideMark/>
          </w:tcPr>
          <w:p w14:paraId="50AFF67C"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hideMark/>
          </w:tcPr>
          <w:p w14:paraId="098FD3C8"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6DBC663C"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6FAB100B" w14:textId="77777777" w:rsidR="001517A0" w:rsidRPr="009F551D" w:rsidRDefault="001517A0" w:rsidP="00C93CE5">
            <w:pPr>
              <w:spacing w:before="60" w:after="60"/>
              <w:jc w:val="center"/>
              <w:rPr>
                <w:rFonts w:eastAsia="Calibri"/>
                <w:bCs/>
                <w:lang w:val="fr-FR"/>
              </w:rPr>
            </w:pPr>
          </w:p>
        </w:tc>
      </w:tr>
      <w:tr w:rsidR="001517A0" w:rsidRPr="009F551D" w14:paraId="7344CEB9" w14:textId="77777777" w:rsidTr="00C93CE5">
        <w:tc>
          <w:tcPr>
            <w:tcW w:w="6169" w:type="dxa"/>
            <w:shd w:val="clear" w:color="auto" w:fill="auto"/>
            <w:vAlign w:val="bottom"/>
          </w:tcPr>
          <w:p w14:paraId="01DA2EEB" w14:textId="77777777" w:rsidR="001517A0" w:rsidRPr="009F551D" w:rsidRDefault="001517A0" w:rsidP="00C93CE5">
            <w:pPr>
              <w:spacing w:before="60" w:after="60"/>
              <w:rPr>
                <w:rFonts w:eastAsia="Calibri"/>
                <w:bCs/>
                <w:lang w:val="fr-FR"/>
              </w:rPr>
            </w:pPr>
            <w:r w:rsidRPr="009F551D">
              <w:rPr>
                <w:rFonts w:eastAsia="Calibri"/>
                <w:lang w:val="fr-FR"/>
              </w:rPr>
              <w:t xml:space="preserve">Isolation des citernes à cargaison (observation 32 de la colonne (20) </w:t>
            </w:r>
            <w:r w:rsidRPr="009F551D">
              <w:rPr>
                <w:rFonts w:eastAsia="Calibri"/>
                <w:lang w:val="fr-FR"/>
              </w:rPr>
              <w:br/>
              <w:t xml:space="preserve">du tableau C) </w:t>
            </w:r>
          </w:p>
        </w:tc>
        <w:tc>
          <w:tcPr>
            <w:tcW w:w="1260" w:type="dxa"/>
            <w:shd w:val="clear" w:color="auto" w:fill="auto"/>
            <w:noWrap/>
            <w:vAlign w:val="center"/>
          </w:tcPr>
          <w:p w14:paraId="2A46AC50"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744D42B7"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53056C87"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12214F3D"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22E9829F" w14:textId="77777777" w:rsidR="001517A0" w:rsidRPr="009F551D" w:rsidRDefault="001517A0" w:rsidP="00C93CE5">
            <w:pPr>
              <w:spacing w:before="60" w:after="60"/>
              <w:jc w:val="center"/>
              <w:rPr>
                <w:rFonts w:eastAsia="Calibri"/>
                <w:bCs/>
                <w:lang w:val="fr-FR"/>
              </w:rPr>
            </w:pPr>
          </w:p>
        </w:tc>
      </w:tr>
      <w:tr w:rsidR="001517A0" w:rsidRPr="009F551D" w14:paraId="299D3FA8" w14:textId="77777777" w:rsidTr="00C93CE5">
        <w:tc>
          <w:tcPr>
            <w:tcW w:w="6169" w:type="dxa"/>
            <w:vMerge w:val="restart"/>
            <w:shd w:val="clear" w:color="auto" w:fill="auto"/>
            <w:hideMark/>
          </w:tcPr>
          <w:p w14:paraId="31BB7B8E" w14:textId="77777777" w:rsidR="001517A0" w:rsidRPr="009F551D" w:rsidRDefault="001517A0" w:rsidP="00C93CE5">
            <w:pPr>
              <w:spacing w:before="60" w:after="60"/>
              <w:rPr>
                <w:rFonts w:eastAsia="Calibri"/>
                <w:bCs/>
                <w:lang w:val="fr-FR"/>
              </w:rPr>
            </w:pPr>
            <w:r w:rsidRPr="009F551D">
              <w:rPr>
                <w:rFonts w:eastAsia="Calibri"/>
                <w:lang w:val="fr-FR"/>
              </w:rPr>
              <w:t>Tous types de joints</w:t>
            </w:r>
          </w:p>
        </w:tc>
        <w:tc>
          <w:tcPr>
            <w:tcW w:w="1260" w:type="dxa"/>
            <w:shd w:val="clear" w:color="auto" w:fill="auto"/>
            <w:noWrap/>
            <w:vAlign w:val="center"/>
            <w:hideMark/>
          </w:tcPr>
          <w:p w14:paraId="007FC33E"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hideMark/>
          </w:tcPr>
          <w:p w14:paraId="4071CE08"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hideMark/>
          </w:tcPr>
          <w:p w14:paraId="68F9DEB3"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54E15D81"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64CD0DF4" w14:textId="77777777" w:rsidR="001517A0" w:rsidRPr="009F551D" w:rsidRDefault="001517A0" w:rsidP="00C93CE5">
            <w:pPr>
              <w:spacing w:before="60" w:after="60"/>
              <w:jc w:val="center"/>
              <w:rPr>
                <w:rFonts w:eastAsia="Calibri"/>
                <w:bCs/>
                <w:lang w:val="fr-FR"/>
              </w:rPr>
            </w:pPr>
          </w:p>
        </w:tc>
      </w:tr>
      <w:tr w:rsidR="001517A0" w:rsidRPr="00E86888" w14:paraId="446DD13E" w14:textId="77777777" w:rsidTr="00C93CE5">
        <w:tc>
          <w:tcPr>
            <w:tcW w:w="6169" w:type="dxa"/>
            <w:vMerge/>
            <w:shd w:val="clear" w:color="auto" w:fill="auto"/>
          </w:tcPr>
          <w:p w14:paraId="109FC6BB" w14:textId="77777777" w:rsidR="001517A0" w:rsidRPr="009F551D" w:rsidRDefault="001517A0" w:rsidP="00C93CE5">
            <w:pPr>
              <w:spacing w:before="60" w:after="60"/>
              <w:rPr>
                <w:rFonts w:eastAsia="Calibri"/>
                <w:bCs/>
                <w:lang w:val="fr-FR"/>
              </w:rPr>
            </w:pPr>
          </w:p>
        </w:tc>
        <w:tc>
          <w:tcPr>
            <w:tcW w:w="7609" w:type="dxa"/>
            <w:gridSpan w:val="5"/>
            <w:shd w:val="clear" w:color="auto" w:fill="auto"/>
            <w:noWrap/>
            <w:vAlign w:val="center"/>
          </w:tcPr>
          <w:p w14:paraId="5C97BE56" w14:textId="77777777" w:rsidR="001517A0" w:rsidRPr="009F551D" w:rsidRDefault="001517A0" w:rsidP="00C93CE5">
            <w:pPr>
              <w:spacing w:before="60" w:after="60"/>
              <w:jc w:val="center"/>
              <w:rPr>
                <w:rFonts w:eastAsia="Calibri"/>
                <w:bCs/>
                <w:lang w:val="fr-FR"/>
              </w:rPr>
            </w:pPr>
            <w:r w:rsidRPr="009F551D">
              <w:rPr>
                <w:rFonts w:eastAsia="Calibri"/>
                <w:lang w:val="fr-FR"/>
              </w:rPr>
              <w:t>Sous réserve de l</w:t>
            </w:r>
            <w:r>
              <w:rPr>
                <w:rFonts w:eastAsia="Calibri"/>
                <w:lang w:val="fr-FR"/>
              </w:rPr>
              <w:t>’</w:t>
            </w:r>
            <w:r w:rsidRPr="009F551D">
              <w:rPr>
                <w:rFonts w:eastAsia="Calibri"/>
                <w:lang w:val="fr-FR"/>
              </w:rPr>
              <w:t>observation 39 a) de la colonne (20) du tableau C</w:t>
            </w:r>
          </w:p>
        </w:tc>
      </w:tr>
      <w:tr w:rsidR="001517A0" w:rsidRPr="009F551D" w14:paraId="2B83A3CD" w14:textId="77777777" w:rsidTr="00C93CE5">
        <w:tc>
          <w:tcPr>
            <w:tcW w:w="6169" w:type="dxa"/>
            <w:vMerge w:val="restart"/>
            <w:shd w:val="clear" w:color="auto" w:fill="auto"/>
            <w:hideMark/>
          </w:tcPr>
          <w:p w14:paraId="440115DC" w14:textId="77777777" w:rsidR="001517A0" w:rsidRPr="009F551D" w:rsidRDefault="001517A0" w:rsidP="00C93CE5">
            <w:pPr>
              <w:keepNext/>
              <w:spacing w:before="60" w:after="60"/>
              <w:rPr>
                <w:rFonts w:eastAsia="Calibri"/>
                <w:bCs/>
                <w:lang w:val="fr-FR"/>
              </w:rPr>
            </w:pPr>
            <w:r w:rsidRPr="009F551D">
              <w:rPr>
                <w:rFonts w:eastAsia="Calibri"/>
                <w:lang w:val="fr-FR"/>
              </w:rPr>
              <w:lastRenderedPageBreak/>
              <w:t>Câbles pour les appareils électriques</w:t>
            </w:r>
          </w:p>
        </w:tc>
        <w:tc>
          <w:tcPr>
            <w:tcW w:w="1260" w:type="dxa"/>
            <w:shd w:val="clear" w:color="auto" w:fill="auto"/>
            <w:noWrap/>
            <w:vAlign w:val="center"/>
            <w:hideMark/>
          </w:tcPr>
          <w:p w14:paraId="78B066B2" w14:textId="77777777" w:rsidR="001517A0" w:rsidRPr="009F551D" w:rsidRDefault="001517A0" w:rsidP="00C93CE5">
            <w:pPr>
              <w:keepNext/>
              <w:spacing w:before="60" w:after="60"/>
              <w:rPr>
                <w:rFonts w:eastAsia="Calibri"/>
                <w:bCs/>
                <w:lang w:val="fr-FR"/>
              </w:rPr>
            </w:pPr>
          </w:p>
        </w:tc>
        <w:tc>
          <w:tcPr>
            <w:tcW w:w="1554" w:type="dxa"/>
            <w:shd w:val="clear" w:color="auto" w:fill="auto"/>
            <w:noWrap/>
            <w:vAlign w:val="center"/>
            <w:hideMark/>
          </w:tcPr>
          <w:p w14:paraId="2260A956" w14:textId="77777777" w:rsidR="001517A0" w:rsidRPr="009F551D" w:rsidRDefault="001517A0" w:rsidP="00C93CE5">
            <w:pPr>
              <w:keepNext/>
              <w:spacing w:before="60" w:after="60"/>
              <w:rPr>
                <w:rFonts w:eastAsia="Calibri"/>
                <w:bCs/>
                <w:lang w:val="fr-FR"/>
              </w:rPr>
            </w:pPr>
          </w:p>
        </w:tc>
        <w:tc>
          <w:tcPr>
            <w:tcW w:w="1834" w:type="dxa"/>
            <w:shd w:val="clear" w:color="auto" w:fill="auto"/>
            <w:noWrap/>
            <w:vAlign w:val="center"/>
            <w:hideMark/>
          </w:tcPr>
          <w:p w14:paraId="714D06A8" w14:textId="77777777" w:rsidR="001517A0" w:rsidRPr="009F551D" w:rsidRDefault="001517A0" w:rsidP="00C93CE5">
            <w:pPr>
              <w:keepNext/>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330540A3" w14:textId="77777777" w:rsidR="001517A0" w:rsidRPr="009F551D" w:rsidRDefault="001517A0" w:rsidP="00C93CE5">
            <w:pPr>
              <w:keepNext/>
              <w:spacing w:before="60" w:after="60"/>
              <w:jc w:val="center"/>
              <w:rPr>
                <w:rFonts w:eastAsia="Calibri"/>
                <w:bCs/>
                <w:lang w:val="fr-FR"/>
              </w:rPr>
            </w:pPr>
            <w:r w:rsidRPr="009F551D">
              <w:rPr>
                <w:rFonts w:eastAsia="Calibri"/>
                <w:lang w:val="fr-FR"/>
              </w:rPr>
              <w:t>X</w:t>
            </w:r>
          </w:p>
        </w:tc>
        <w:tc>
          <w:tcPr>
            <w:tcW w:w="1408" w:type="dxa"/>
          </w:tcPr>
          <w:p w14:paraId="6B8D6C61" w14:textId="77777777" w:rsidR="001517A0" w:rsidRPr="009F551D" w:rsidRDefault="001517A0" w:rsidP="00C93CE5">
            <w:pPr>
              <w:keepNext/>
              <w:spacing w:before="60" w:after="60"/>
              <w:rPr>
                <w:rFonts w:eastAsia="Calibri"/>
                <w:bCs/>
                <w:lang w:val="fr-FR"/>
              </w:rPr>
            </w:pPr>
          </w:p>
        </w:tc>
      </w:tr>
      <w:tr w:rsidR="001517A0" w:rsidRPr="00E86888" w14:paraId="3DD787B2" w14:textId="77777777" w:rsidTr="00C93CE5">
        <w:tc>
          <w:tcPr>
            <w:tcW w:w="6169" w:type="dxa"/>
            <w:vMerge/>
            <w:shd w:val="clear" w:color="auto" w:fill="auto"/>
            <w:vAlign w:val="bottom"/>
          </w:tcPr>
          <w:p w14:paraId="742FABF0" w14:textId="77777777" w:rsidR="001517A0" w:rsidRPr="009F551D" w:rsidRDefault="001517A0" w:rsidP="00C93CE5">
            <w:pPr>
              <w:spacing w:before="60" w:after="60"/>
              <w:rPr>
                <w:rFonts w:eastAsia="Calibri"/>
                <w:bCs/>
                <w:lang w:val="fr-FR"/>
              </w:rPr>
            </w:pPr>
          </w:p>
        </w:tc>
        <w:tc>
          <w:tcPr>
            <w:tcW w:w="7609" w:type="dxa"/>
            <w:gridSpan w:val="5"/>
            <w:shd w:val="clear" w:color="auto" w:fill="auto"/>
            <w:noWrap/>
            <w:vAlign w:val="center"/>
          </w:tcPr>
          <w:p w14:paraId="63E4066E" w14:textId="77777777" w:rsidR="001517A0" w:rsidRPr="009F551D" w:rsidRDefault="001517A0" w:rsidP="00C93CE5">
            <w:pPr>
              <w:spacing w:before="60" w:after="60"/>
              <w:jc w:val="center"/>
              <w:rPr>
                <w:rFonts w:eastAsia="Calibri"/>
                <w:bCs/>
                <w:lang w:val="fr-FR"/>
              </w:rPr>
            </w:pPr>
            <w:r w:rsidRPr="009F551D">
              <w:rPr>
                <w:rFonts w:eastAsia="Calibri"/>
                <w:lang w:val="fr-FR"/>
              </w:rPr>
              <w:t>Conformément aux normes techniques applicables</w:t>
            </w:r>
          </w:p>
        </w:tc>
      </w:tr>
      <w:tr w:rsidR="001517A0" w:rsidRPr="009F551D" w14:paraId="68F96039" w14:textId="77777777" w:rsidTr="00C93CE5">
        <w:tc>
          <w:tcPr>
            <w:tcW w:w="6169" w:type="dxa"/>
            <w:shd w:val="clear" w:color="auto" w:fill="auto"/>
            <w:vAlign w:val="bottom"/>
          </w:tcPr>
          <w:p w14:paraId="107D9A6C" w14:textId="77777777" w:rsidR="001517A0" w:rsidRPr="009F551D" w:rsidRDefault="001517A0" w:rsidP="00C93CE5">
            <w:pPr>
              <w:spacing w:before="60" w:after="60"/>
              <w:rPr>
                <w:rFonts w:eastAsia="Calibri"/>
                <w:bCs/>
                <w:lang w:val="fr-FR"/>
              </w:rPr>
            </w:pPr>
            <w:r w:rsidRPr="009F551D">
              <w:rPr>
                <w:rFonts w:eastAsia="Calibri"/>
                <w:lang w:val="fr-FR"/>
              </w:rPr>
              <w:t>Caisses, armoires ou autres récipients placés sur le pont pour le stockage du matériel servant à recueillir des fuites de liquides, des produits de nettoyage, des extincteurs, des manches d</w:t>
            </w:r>
            <w:r>
              <w:rPr>
                <w:rFonts w:eastAsia="Calibri"/>
                <w:lang w:val="fr-FR"/>
              </w:rPr>
              <w:t>’</w:t>
            </w:r>
            <w:r w:rsidRPr="009F551D">
              <w:rPr>
                <w:rFonts w:eastAsia="Calibri"/>
                <w:lang w:val="fr-FR"/>
              </w:rPr>
              <w:t>incendie, etc.</w:t>
            </w:r>
          </w:p>
        </w:tc>
        <w:tc>
          <w:tcPr>
            <w:tcW w:w="1260" w:type="dxa"/>
            <w:shd w:val="clear" w:color="auto" w:fill="auto"/>
            <w:noWrap/>
            <w:vAlign w:val="center"/>
          </w:tcPr>
          <w:p w14:paraId="3D99E425" w14:textId="77777777" w:rsidR="001517A0" w:rsidRPr="009F551D" w:rsidRDefault="001517A0" w:rsidP="00C93CE5">
            <w:pPr>
              <w:spacing w:before="60" w:after="60"/>
              <w:rPr>
                <w:rFonts w:eastAsia="Calibri"/>
                <w:bCs/>
                <w:lang w:val="fr-FR"/>
              </w:rPr>
            </w:pPr>
          </w:p>
        </w:tc>
        <w:tc>
          <w:tcPr>
            <w:tcW w:w="1554" w:type="dxa"/>
            <w:shd w:val="clear" w:color="auto" w:fill="auto"/>
            <w:noWrap/>
            <w:vAlign w:val="center"/>
          </w:tcPr>
          <w:p w14:paraId="53D24126"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441A2340"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39C71CED" w14:textId="77777777" w:rsidR="001517A0" w:rsidRPr="009F551D" w:rsidRDefault="001517A0" w:rsidP="00C93CE5">
            <w:pPr>
              <w:spacing w:before="60" w:after="60"/>
              <w:jc w:val="center"/>
              <w:rPr>
                <w:rFonts w:eastAsia="Calibri"/>
                <w:bCs/>
                <w:lang w:val="fr-FR"/>
              </w:rPr>
            </w:pPr>
          </w:p>
        </w:tc>
        <w:tc>
          <w:tcPr>
            <w:tcW w:w="1408" w:type="dxa"/>
          </w:tcPr>
          <w:p w14:paraId="26AD7F4C" w14:textId="77777777" w:rsidR="001517A0" w:rsidRPr="009F551D" w:rsidRDefault="001517A0" w:rsidP="00C93CE5">
            <w:pPr>
              <w:spacing w:before="60" w:after="60"/>
              <w:jc w:val="center"/>
              <w:rPr>
                <w:rFonts w:eastAsia="Calibri"/>
                <w:bCs/>
                <w:lang w:val="fr-FR"/>
              </w:rPr>
            </w:pPr>
          </w:p>
        </w:tc>
      </w:tr>
      <w:tr w:rsidR="001517A0" w:rsidRPr="009F551D" w14:paraId="2E798D12" w14:textId="77777777" w:rsidTr="00C93CE5">
        <w:tc>
          <w:tcPr>
            <w:tcW w:w="6169" w:type="dxa"/>
            <w:vMerge w:val="restart"/>
            <w:shd w:val="clear" w:color="auto" w:fill="auto"/>
          </w:tcPr>
          <w:p w14:paraId="41ED4DD6" w14:textId="77777777" w:rsidR="001517A0" w:rsidRPr="009F551D" w:rsidRDefault="001517A0" w:rsidP="00C93CE5">
            <w:pPr>
              <w:spacing w:before="60" w:after="60"/>
              <w:rPr>
                <w:rFonts w:eastAsia="Calibri"/>
                <w:bCs/>
                <w:lang w:val="fr-FR"/>
              </w:rPr>
            </w:pPr>
            <w:r w:rsidRPr="009F551D">
              <w:rPr>
                <w:rFonts w:eastAsia="Calibri"/>
                <w:lang w:val="fr-FR"/>
              </w:rPr>
              <w:t xml:space="preserve">Caisses, armoires ou autres récipients placés sur le pont pour le stockage de matériel visant à recueillir les déchets </w:t>
            </w:r>
          </w:p>
        </w:tc>
        <w:tc>
          <w:tcPr>
            <w:tcW w:w="1260" w:type="dxa"/>
            <w:shd w:val="clear" w:color="auto" w:fill="auto"/>
            <w:noWrap/>
            <w:vAlign w:val="center"/>
          </w:tcPr>
          <w:p w14:paraId="47CFF07F" w14:textId="77777777" w:rsidR="001517A0" w:rsidRPr="009F551D" w:rsidRDefault="001517A0" w:rsidP="00C93CE5">
            <w:pPr>
              <w:spacing w:before="60" w:after="60"/>
              <w:rPr>
                <w:rFonts w:eastAsia="Calibri"/>
                <w:bCs/>
                <w:lang w:val="fr-FR"/>
              </w:rPr>
            </w:pPr>
          </w:p>
        </w:tc>
        <w:tc>
          <w:tcPr>
            <w:tcW w:w="1554" w:type="dxa"/>
            <w:shd w:val="clear" w:color="auto" w:fill="auto"/>
            <w:noWrap/>
            <w:vAlign w:val="center"/>
          </w:tcPr>
          <w:p w14:paraId="0F4A053E"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25B7CB7B"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1705EAC1" w14:textId="77777777" w:rsidR="001517A0" w:rsidRPr="009F551D" w:rsidRDefault="001517A0" w:rsidP="00C93CE5">
            <w:pPr>
              <w:spacing w:before="60" w:after="60"/>
              <w:jc w:val="center"/>
              <w:rPr>
                <w:rFonts w:eastAsia="Calibri"/>
                <w:bCs/>
                <w:lang w:val="fr-FR"/>
              </w:rPr>
            </w:pPr>
          </w:p>
        </w:tc>
        <w:tc>
          <w:tcPr>
            <w:tcW w:w="1408" w:type="dxa"/>
          </w:tcPr>
          <w:p w14:paraId="590BA303" w14:textId="77777777" w:rsidR="001517A0" w:rsidRPr="009F551D" w:rsidRDefault="001517A0" w:rsidP="00C93CE5">
            <w:pPr>
              <w:spacing w:before="60" w:after="60"/>
              <w:jc w:val="center"/>
              <w:rPr>
                <w:rFonts w:eastAsia="Calibri"/>
                <w:bCs/>
                <w:lang w:val="fr-FR"/>
              </w:rPr>
            </w:pPr>
          </w:p>
        </w:tc>
      </w:tr>
      <w:tr w:rsidR="001517A0" w:rsidRPr="00E86888" w14:paraId="2526F7FD" w14:textId="77777777" w:rsidTr="00C93CE5">
        <w:tc>
          <w:tcPr>
            <w:tcW w:w="6169" w:type="dxa"/>
            <w:vMerge/>
            <w:shd w:val="clear" w:color="auto" w:fill="auto"/>
            <w:vAlign w:val="bottom"/>
          </w:tcPr>
          <w:p w14:paraId="0825C35C" w14:textId="77777777" w:rsidR="001517A0" w:rsidRPr="009F551D" w:rsidRDefault="001517A0" w:rsidP="00C93CE5">
            <w:pPr>
              <w:spacing w:before="60" w:after="60"/>
              <w:rPr>
                <w:rFonts w:eastAsia="Calibri"/>
                <w:bCs/>
                <w:lang w:val="fr-FR"/>
              </w:rPr>
            </w:pPr>
          </w:p>
        </w:tc>
        <w:tc>
          <w:tcPr>
            <w:tcW w:w="7609" w:type="dxa"/>
            <w:gridSpan w:val="5"/>
            <w:shd w:val="clear" w:color="auto" w:fill="auto"/>
            <w:noWrap/>
            <w:vAlign w:val="center"/>
          </w:tcPr>
          <w:p w14:paraId="2BC44F67" w14:textId="77777777" w:rsidR="001517A0" w:rsidRPr="009F551D" w:rsidRDefault="001517A0" w:rsidP="00C93CE5">
            <w:pPr>
              <w:spacing w:before="60" w:after="60"/>
              <w:jc w:val="center"/>
              <w:rPr>
                <w:rFonts w:eastAsia="Calibri"/>
                <w:bCs/>
                <w:lang w:val="fr-FR"/>
              </w:rPr>
            </w:pPr>
            <w:r w:rsidRPr="009F551D">
              <w:rPr>
                <w:rFonts w:eastAsia="Calibri"/>
                <w:lang w:val="fr-FR"/>
              </w:rPr>
              <w:t xml:space="preserve">Uniquement pour les récipients résistant au feu utilisés pour le transport </w:t>
            </w:r>
            <w:r w:rsidRPr="009F551D">
              <w:rPr>
                <w:rFonts w:eastAsia="Calibri"/>
                <w:lang w:val="fr-FR"/>
              </w:rPr>
              <w:br/>
              <w:t>de déchets huileux et graisseux (7.2.1.21.6)</w:t>
            </w:r>
          </w:p>
        </w:tc>
      </w:tr>
      <w:tr w:rsidR="001517A0" w:rsidRPr="009F551D" w14:paraId="6A7DBC33" w14:textId="77777777" w:rsidTr="00C93CE5">
        <w:tc>
          <w:tcPr>
            <w:tcW w:w="6169" w:type="dxa"/>
            <w:shd w:val="clear" w:color="auto" w:fill="D9D9D9"/>
            <w:vAlign w:val="bottom"/>
          </w:tcPr>
          <w:p w14:paraId="63046905" w14:textId="77777777" w:rsidR="001517A0" w:rsidRPr="009F551D" w:rsidRDefault="001517A0" w:rsidP="00C93CE5">
            <w:pPr>
              <w:spacing w:before="60" w:after="60"/>
              <w:rPr>
                <w:rFonts w:eastAsia="Calibri"/>
                <w:b/>
                <w:lang w:val="fr-FR"/>
              </w:rPr>
            </w:pPr>
            <w:r w:rsidRPr="009F551D">
              <w:rPr>
                <w:rFonts w:eastAsia="Calibri"/>
                <w:b/>
                <w:bCs/>
                <w:lang w:val="fr-FR"/>
              </w:rPr>
              <w:t>Équipements mobiles</w:t>
            </w:r>
          </w:p>
        </w:tc>
        <w:tc>
          <w:tcPr>
            <w:tcW w:w="1260" w:type="dxa"/>
            <w:shd w:val="clear" w:color="auto" w:fill="D9D9D9"/>
            <w:noWrap/>
            <w:vAlign w:val="center"/>
          </w:tcPr>
          <w:p w14:paraId="3B3DC2ED" w14:textId="77777777" w:rsidR="001517A0" w:rsidRPr="009F551D" w:rsidRDefault="001517A0" w:rsidP="00C93CE5">
            <w:pPr>
              <w:spacing w:before="60" w:after="60"/>
              <w:rPr>
                <w:rFonts w:eastAsia="Calibri"/>
                <w:bCs/>
                <w:lang w:val="fr-FR"/>
              </w:rPr>
            </w:pPr>
          </w:p>
        </w:tc>
        <w:tc>
          <w:tcPr>
            <w:tcW w:w="1554" w:type="dxa"/>
            <w:shd w:val="clear" w:color="auto" w:fill="D9D9D9"/>
            <w:noWrap/>
            <w:vAlign w:val="center"/>
          </w:tcPr>
          <w:p w14:paraId="4B6BDD55" w14:textId="77777777" w:rsidR="001517A0" w:rsidRPr="009F551D" w:rsidRDefault="001517A0" w:rsidP="00C93CE5">
            <w:pPr>
              <w:spacing w:before="60" w:after="60"/>
              <w:rPr>
                <w:rFonts w:eastAsia="Calibri"/>
                <w:bCs/>
                <w:lang w:val="fr-FR"/>
              </w:rPr>
            </w:pPr>
          </w:p>
        </w:tc>
        <w:tc>
          <w:tcPr>
            <w:tcW w:w="1834" w:type="dxa"/>
            <w:shd w:val="clear" w:color="auto" w:fill="D9D9D9"/>
            <w:noWrap/>
            <w:vAlign w:val="center"/>
          </w:tcPr>
          <w:p w14:paraId="0416DA8D" w14:textId="77777777" w:rsidR="001517A0" w:rsidRPr="009F551D" w:rsidRDefault="001517A0" w:rsidP="00C93CE5">
            <w:pPr>
              <w:spacing w:before="60" w:after="60"/>
              <w:rPr>
                <w:rFonts w:eastAsia="Calibri"/>
                <w:bCs/>
                <w:lang w:val="fr-FR"/>
              </w:rPr>
            </w:pPr>
          </w:p>
        </w:tc>
        <w:tc>
          <w:tcPr>
            <w:tcW w:w="1553" w:type="dxa"/>
            <w:shd w:val="clear" w:color="auto" w:fill="D9D9D9"/>
            <w:noWrap/>
            <w:vAlign w:val="center"/>
          </w:tcPr>
          <w:p w14:paraId="7BCB1070" w14:textId="77777777" w:rsidR="001517A0" w:rsidRPr="009F551D" w:rsidRDefault="001517A0" w:rsidP="00C93CE5">
            <w:pPr>
              <w:spacing w:before="60" w:after="60"/>
              <w:rPr>
                <w:rFonts w:eastAsia="Calibri"/>
                <w:bCs/>
                <w:lang w:val="fr-FR"/>
              </w:rPr>
            </w:pPr>
          </w:p>
        </w:tc>
        <w:tc>
          <w:tcPr>
            <w:tcW w:w="1408" w:type="dxa"/>
            <w:shd w:val="clear" w:color="auto" w:fill="D9D9D9"/>
          </w:tcPr>
          <w:p w14:paraId="384281E3" w14:textId="77777777" w:rsidR="001517A0" w:rsidRPr="009F551D" w:rsidRDefault="001517A0" w:rsidP="00C93CE5">
            <w:pPr>
              <w:spacing w:before="60" w:after="60"/>
              <w:rPr>
                <w:rFonts w:eastAsia="Calibri"/>
                <w:bCs/>
                <w:lang w:val="fr-FR"/>
              </w:rPr>
            </w:pPr>
          </w:p>
        </w:tc>
      </w:tr>
      <w:tr w:rsidR="001517A0" w:rsidRPr="009F551D" w14:paraId="136A8F41" w14:textId="77777777" w:rsidTr="00C93CE5">
        <w:tc>
          <w:tcPr>
            <w:tcW w:w="6169" w:type="dxa"/>
            <w:vMerge w:val="restart"/>
            <w:shd w:val="clear" w:color="auto" w:fill="auto"/>
            <w:hideMark/>
          </w:tcPr>
          <w:p w14:paraId="74A9EF74" w14:textId="77777777" w:rsidR="001517A0" w:rsidRPr="009F551D" w:rsidRDefault="001517A0" w:rsidP="00C93CE5">
            <w:pPr>
              <w:spacing w:before="60" w:after="60"/>
              <w:rPr>
                <w:rFonts w:eastAsia="Calibri"/>
                <w:bCs/>
                <w:lang w:val="fr-FR"/>
              </w:rPr>
            </w:pPr>
            <w:r w:rsidRPr="009F551D">
              <w:rPr>
                <w:rFonts w:eastAsia="Calibri"/>
                <w:lang w:val="fr-FR"/>
              </w:rPr>
              <w:t>Passerelles</w:t>
            </w:r>
          </w:p>
        </w:tc>
        <w:tc>
          <w:tcPr>
            <w:tcW w:w="1260" w:type="dxa"/>
            <w:shd w:val="clear" w:color="auto" w:fill="auto"/>
            <w:noWrap/>
            <w:vAlign w:val="center"/>
            <w:hideMark/>
          </w:tcPr>
          <w:p w14:paraId="365429CE"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4" w:type="dxa"/>
            <w:shd w:val="clear" w:color="auto" w:fill="auto"/>
            <w:noWrap/>
            <w:vAlign w:val="center"/>
            <w:hideMark/>
          </w:tcPr>
          <w:p w14:paraId="55D496A1"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hideMark/>
          </w:tcPr>
          <w:p w14:paraId="57A393AD"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396530FC"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7A1504EA" w14:textId="77777777" w:rsidR="001517A0" w:rsidRPr="009F551D" w:rsidRDefault="001517A0" w:rsidP="00C93CE5">
            <w:pPr>
              <w:spacing w:before="60" w:after="60"/>
              <w:jc w:val="center"/>
              <w:rPr>
                <w:rFonts w:eastAsia="Calibri"/>
                <w:bCs/>
                <w:lang w:val="fr-FR"/>
              </w:rPr>
            </w:pPr>
          </w:p>
        </w:tc>
      </w:tr>
      <w:tr w:rsidR="001517A0" w:rsidRPr="009F551D" w14:paraId="62F84F7D" w14:textId="77777777" w:rsidTr="00C93CE5">
        <w:trPr>
          <w:gridAfter w:val="5"/>
          <w:wAfter w:w="7609" w:type="dxa"/>
          <w:trHeight w:val="360"/>
        </w:trPr>
        <w:tc>
          <w:tcPr>
            <w:tcW w:w="6169" w:type="dxa"/>
            <w:vMerge/>
            <w:shd w:val="clear" w:color="auto" w:fill="auto"/>
            <w:vAlign w:val="bottom"/>
          </w:tcPr>
          <w:p w14:paraId="7A066908" w14:textId="77777777" w:rsidR="001517A0" w:rsidRPr="009F551D" w:rsidRDefault="001517A0" w:rsidP="00C93CE5">
            <w:pPr>
              <w:spacing w:before="60" w:after="60"/>
              <w:rPr>
                <w:rFonts w:eastAsia="Calibri"/>
                <w:bCs/>
                <w:lang w:val="fr-FR"/>
              </w:rPr>
            </w:pPr>
          </w:p>
        </w:tc>
      </w:tr>
      <w:tr w:rsidR="001517A0" w:rsidRPr="009F551D" w14:paraId="7AB70C48" w14:textId="77777777" w:rsidTr="00C93CE5">
        <w:tc>
          <w:tcPr>
            <w:tcW w:w="6169" w:type="dxa"/>
            <w:vMerge w:val="restart"/>
            <w:shd w:val="clear" w:color="auto" w:fill="auto"/>
            <w:hideMark/>
          </w:tcPr>
          <w:p w14:paraId="6B0E6AB7" w14:textId="77777777" w:rsidR="001517A0" w:rsidRPr="009F551D" w:rsidRDefault="001517A0" w:rsidP="00C93CE5">
            <w:pPr>
              <w:spacing w:before="60" w:after="60"/>
              <w:rPr>
                <w:rFonts w:eastAsia="Calibri"/>
                <w:bCs/>
                <w:lang w:val="fr-FR"/>
              </w:rPr>
            </w:pPr>
            <w:r w:rsidRPr="009F551D">
              <w:rPr>
                <w:rFonts w:eastAsia="Calibri"/>
                <w:lang w:val="fr-FR"/>
              </w:rPr>
              <w:t>Échelles extérieures et passages (passerelles)*)</w:t>
            </w:r>
          </w:p>
        </w:tc>
        <w:tc>
          <w:tcPr>
            <w:tcW w:w="1260" w:type="dxa"/>
            <w:shd w:val="clear" w:color="auto" w:fill="auto"/>
            <w:noWrap/>
            <w:vAlign w:val="center"/>
            <w:hideMark/>
          </w:tcPr>
          <w:p w14:paraId="2320D56F"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hideMark/>
          </w:tcPr>
          <w:p w14:paraId="3DA8CCFB"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hideMark/>
          </w:tcPr>
          <w:p w14:paraId="0FCC81DE"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339EDC78"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707CB19F" w14:textId="77777777" w:rsidR="001517A0" w:rsidRPr="009F551D" w:rsidRDefault="001517A0" w:rsidP="00C93CE5">
            <w:pPr>
              <w:spacing w:before="60" w:after="60"/>
              <w:jc w:val="center"/>
              <w:rPr>
                <w:rFonts w:eastAsia="Calibri"/>
                <w:bCs/>
                <w:lang w:val="fr-FR"/>
              </w:rPr>
            </w:pPr>
          </w:p>
        </w:tc>
      </w:tr>
      <w:tr w:rsidR="001517A0" w:rsidRPr="009F551D" w14:paraId="6A557FEE" w14:textId="77777777" w:rsidTr="00C93CE5">
        <w:trPr>
          <w:gridAfter w:val="5"/>
          <w:wAfter w:w="7609" w:type="dxa"/>
          <w:trHeight w:val="360"/>
        </w:trPr>
        <w:tc>
          <w:tcPr>
            <w:tcW w:w="6169" w:type="dxa"/>
            <w:vMerge/>
            <w:shd w:val="clear" w:color="auto" w:fill="auto"/>
            <w:vAlign w:val="bottom"/>
          </w:tcPr>
          <w:p w14:paraId="5B5F192B" w14:textId="77777777" w:rsidR="001517A0" w:rsidRPr="009F551D" w:rsidRDefault="001517A0" w:rsidP="00C93CE5">
            <w:pPr>
              <w:spacing w:before="60" w:after="60"/>
              <w:rPr>
                <w:rFonts w:eastAsia="Calibri"/>
                <w:bCs/>
                <w:lang w:val="fr-FR"/>
              </w:rPr>
            </w:pPr>
          </w:p>
        </w:tc>
      </w:tr>
      <w:tr w:rsidR="001517A0" w:rsidRPr="009F551D" w14:paraId="390E0C29" w14:textId="77777777" w:rsidTr="00C93CE5">
        <w:tblPrEx>
          <w:tblLook w:val="0480" w:firstRow="0" w:lastRow="0" w:firstColumn="1" w:lastColumn="0" w:noHBand="0" w:noVBand="1"/>
        </w:tblPrEx>
        <w:tc>
          <w:tcPr>
            <w:tcW w:w="6169" w:type="dxa"/>
            <w:vMerge w:val="restart"/>
            <w:shd w:val="clear" w:color="auto" w:fill="auto"/>
          </w:tcPr>
          <w:p w14:paraId="6D19AA38" w14:textId="77777777" w:rsidR="001517A0" w:rsidRPr="009F551D" w:rsidRDefault="001517A0" w:rsidP="00C93CE5">
            <w:pPr>
              <w:spacing w:before="60" w:after="60"/>
              <w:rPr>
                <w:rFonts w:eastAsia="Calibri"/>
                <w:bCs/>
                <w:lang w:val="fr-FR"/>
              </w:rPr>
            </w:pPr>
            <w:r w:rsidRPr="009F551D">
              <w:rPr>
                <w:rFonts w:eastAsia="Calibri"/>
                <w:lang w:val="fr-FR"/>
              </w:rPr>
              <w:t>Échelles hors-bord</w:t>
            </w:r>
          </w:p>
        </w:tc>
        <w:tc>
          <w:tcPr>
            <w:tcW w:w="1260" w:type="dxa"/>
            <w:shd w:val="clear" w:color="auto" w:fill="auto"/>
            <w:noWrap/>
            <w:vAlign w:val="center"/>
          </w:tcPr>
          <w:p w14:paraId="0CA4219B"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0FA9E325"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037BBFE3"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3D7D18D8"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032EE4D9" w14:textId="77777777" w:rsidR="001517A0" w:rsidRPr="009F551D" w:rsidRDefault="001517A0" w:rsidP="00C93CE5">
            <w:pPr>
              <w:spacing w:before="60" w:after="60"/>
              <w:jc w:val="center"/>
              <w:rPr>
                <w:rFonts w:eastAsia="Calibri"/>
                <w:bCs/>
                <w:lang w:val="fr-FR"/>
              </w:rPr>
            </w:pPr>
          </w:p>
        </w:tc>
      </w:tr>
      <w:tr w:rsidR="001517A0" w:rsidRPr="009F551D" w14:paraId="5E56CD1F" w14:textId="77777777" w:rsidTr="00C93CE5">
        <w:tblPrEx>
          <w:tblLook w:val="0480" w:firstRow="0" w:lastRow="0" w:firstColumn="1" w:lastColumn="0" w:noHBand="0" w:noVBand="1"/>
        </w:tblPrEx>
        <w:trPr>
          <w:gridAfter w:val="5"/>
          <w:wAfter w:w="7609" w:type="dxa"/>
          <w:trHeight w:val="360"/>
        </w:trPr>
        <w:tc>
          <w:tcPr>
            <w:tcW w:w="6169" w:type="dxa"/>
            <w:vMerge/>
            <w:shd w:val="clear" w:color="auto" w:fill="auto"/>
            <w:vAlign w:val="bottom"/>
          </w:tcPr>
          <w:p w14:paraId="6AF544A1" w14:textId="77777777" w:rsidR="001517A0" w:rsidRPr="009F551D" w:rsidRDefault="001517A0" w:rsidP="00C93CE5">
            <w:pPr>
              <w:spacing w:before="60" w:after="60"/>
              <w:rPr>
                <w:rFonts w:eastAsia="Calibri"/>
                <w:bCs/>
                <w:lang w:val="fr-FR"/>
              </w:rPr>
            </w:pPr>
          </w:p>
        </w:tc>
      </w:tr>
      <w:tr w:rsidR="001517A0" w:rsidRPr="009F551D" w14:paraId="6D2C8626" w14:textId="77777777" w:rsidTr="00C93CE5">
        <w:tblPrEx>
          <w:tblLook w:val="0480" w:firstRow="0" w:lastRow="0" w:firstColumn="1" w:lastColumn="0" w:noHBand="0" w:noVBand="1"/>
        </w:tblPrEx>
        <w:tc>
          <w:tcPr>
            <w:tcW w:w="6169" w:type="dxa"/>
            <w:shd w:val="clear" w:color="auto" w:fill="auto"/>
            <w:vAlign w:val="bottom"/>
          </w:tcPr>
          <w:p w14:paraId="4308092F" w14:textId="77777777" w:rsidR="001517A0" w:rsidRPr="009F551D" w:rsidRDefault="001517A0" w:rsidP="00C93CE5">
            <w:pPr>
              <w:spacing w:before="60" w:after="60"/>
              <w:rPr>
                <w:rFonts w:eastAsia="Calibri"/>
                <w:bCs/>
                <w:lang w:val="fr-FR"/>
              </w:rPr>
            </w:pPr>
            <w:r w:rsidRPr="009F551D">
              <w:rPr>
                <w:rFonts w:eastAsia="Calibri"/>
                <w:lang w:val="fr-FR"/>
              </w:rPr>
              <w:t>Échelles</w:t>
            </w:r>
          </w:p>
        </w:tc>
        <w:tc>
          <w:tcPr>
            <w:tcW w:w="1260" w:type="dxa"/>
            <w:shd w:val="clear" w:color="auto" w:fill="auto"/>
            <w:noWrap/>
            <w:vAlign w:val="center"/>
          </w:tcPr>
          <w:p w14:paraId="265531A2"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2D5DDA5C"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048ED258"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7628220D"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7CAF53BD" w14:textId="77777777" w:rsidR="001517A0" w:rsidRPr="009F551D" w:rsidRDefault="001517A0" w:rsidP="00C93CE5">
            <w:pPr>
              <w:spacing w:before="60" w:after="60"/>
              <w:jc w:val="center"/>
              <w:rPr>
                <w:rFonts w:eastAsia="Calibri"/>
                <w:bCs/>
                <w:lang w:val="fr-FR"/>
              </w:rPr>
            </w:pPr>
          </w:p>
        </w:tc>
      </w:tr>
      <w:tr w:rsidR="001517A0" w:rsidRPr="009F551D" w14:paraId="35372A0F" w14:textId="77777777" w:rsidTr="00C93CE5">
        <w:tblPrEx>
          <w:tblLook w:val="0480" w:firstRow="0" w:lastRow="0" w:firstColumn="1" w:lastColumn="0" w:noHBand="0" w:noVBand="1"/>
        </w:tblPrEx>
        <w:tc>
          <w:tcPr>
            <w:tcW w:w="6169" w:type="dxa"/>
            <w:shd w:val="clear" w:color="auto" w:fill="auto"/>
            <w:vAlign w:val="bottom"/>
            <w:hideMark/>
          </w:tcPr>
          <w:p w14:paraId="60234FD2" w14:textId="77777777" w:rsidR="001517A0" w:rsidRPr="009F551D" w:rsidRDefault="001517A0" w:rsidP="00C93CE5">
            <w:pPr>
              <w:spacing w:before="60" w:after="60"/>
              <w:rPr>
                <w:rFonts w:eastAsia="Calibri"/>
                <w:bCs/>
                <w:lang w:val="fr-FR"/>
              </w:rPr>
            </w:pPr>
            <w:r w:rsidRPr="009F551D">
              <w:rPr>
                <w:rFonts w:eastAsia="Calibri"/>
                <w:lang w:val="fr-FR"/>
              </w:rPr>
              <w:t>Matériel de nettoyage tel que balais etc.</w:t>
            </w:r>
          </w:p>
        </w:tc>
        <w:tc>
          <w:tcPr>
            <w:tcW w:w="1260" w:type="dxa"/>
            <w:shd w:val="clear" w:color="auto" w:fill="auto"/>
            <w:noWrap/>
            <w:vAlign w:val="center"/>
            <w:hideMark/>
          </w:tcPr>
          <w:p w14:paraId="45BA1A68"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4" w:type="dxa"/>
            <w:shd w:val="clear" w:color="auto" w:fill="auto"/>
            <w:noWrap/>
            <w:vAlign w:val="center"/>
            <w:hideMark/>
          </w:tcPr>
          <w:p w14:paraId="0F93EFEF"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hideMark/>
          </w:tcPr>
          <w:p w14:paraId="396869BC"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75AD16D4"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0C51B270" w14:textId="77777777" w:rsidR="001517A0" w:rsidRPr="009F551D" w:rsidRDefault="001517A0" w:rsidP="00C93CE5">
            <w:pPr>
              <w:spacing w:before="60" w:after="60"/>
              <w:jc w:val="center"/>
              <w:rPr>
                <w:rFonts w:eastAsia="Calibri"/>
                <w:bCs/>
                <w:lang w:val="fr-FR"/>
              </w:rPr>
            </w:pPr>
          </w:p>
        </w:tc>
      </w:tr>
      <w:tr w:rsidR="001517A0" w:rsidRPr="009F551D" w14:paraId="4A6C64ED" w14:textId="77777777" w:rsidTr="00C93CE5">
        <w:tblPrEx>
          <w:tblLook w:val="0480" w:firstRow="0" w:lastRow="0" w:firstColumn="1" w:lastColumn="0" w:noHBand="0" w:noVBand="1"/>
        </w:tblPrEx>
        <w:tc>
          <w:tcPr>
            <w:tcW w:w="6169" w:type="dxa"/>
            <w:shd w:val="clear" w:color="auto" w:fill="auto"/>
            <w:vAlign w:val="bottom"/>
            <w:hideMark/>
          </w:tcPr>
          <w:p w14:paraId="20556435" w14:textId="77777777" w:rsidR="001517A0" w:rsidRPr="009F551D" w:rsidRDefault="001517A0" w:rsidP="00C93CE5">
            <w:pPr>
              <w:spacing w:before="60" w:after="60"/>
              <w:rPr>
                <w:rFonts w:eastAsia="Calibri"/>
                <w:bCs/>
                <w:lang w:val="fr-FR"/>
              </w:rPr>
            </w:pPr>
            <w:r w:rsidRPr="009F551D">
              <w:rPr>
                <w:rFonts w:eastAsia="Calibri"/>
                <w:lang w:val="fr-FR"/>
              </w:rPr>
              <w:t xml:space="preserve">Extincteurs, détecteurs de gaz portatifs </w:t>
            </w:r>
          </w:p>
        </w:tc>
        <w:tc>
          <w:tcPr>
            <w:tcW w:w="1260" w:type="dxa"/>
            <w:shd w:val="clear" w:color="auto" w:fill="auto"/>
            <w:noWrap/>
            <w:vAlign w:val="center"/>
            <w:hideMark/>
          </w:tcPr>
          <w:p w14:paraId="06F2082B"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hideMark/>
          </w:tcPr>
          <w:p w14:paraId="0E3014F8"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hideMark/>
          </w:tcPr>
          <w:p w14:paraId="65A11C2C"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70C2B905"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7940EA60" w14:textId="77777777" w:rsidR="001517A0" w:rsidRPr="009F551D" w:rsidRDefault="001517A0" w:rsidP="00C93CE5">
            <w:pPr>
              <w:spacing w:before="60" w:after="60"/>
              <w:jc w:val="center"/>
              <w:rPr>
                <w:rFonts w:eastAsia="Calibri"/>
                <w:bCs/>
                <w:lang w:val="fr-FR"/>
              </w:rPr>
            </w:pPr>
          </w:p>
        </w:tc>
      </w:tr>
      <w:tr w:rsidR="001517A0" w:rsidRPr="009F551D" w14:paraId="0AFB215C" w14:textId="77777777" w:rsidTr="00C93CE5">
        <w:tblPrEx>
          <w:tblLook w:val="0480" w:firstRow="0" w:lastRow="0" w:firstColumn="1" w:lastColumn="0" w:noHBand="0" w:noVBand="1"/>
        </w:tblPrEx>
        <w:tc>
          <w:tcPr>
            <w:tcW w:w="6169" w:type="dxa"/>
            <w:shd w:val="clear" w:color="auto" w:fill="auto"/>
            <w:vAlign w:val="bottom"/>
          </w:tcPr>
          <w:p w14:paraId="3B68C246" w14:textId="77777777" w:rsidR="001517A0" w:rsidRPr="009F551D" w:rsidRDefault="001517A0" w:rsidP="00C93CE5">
            <w:pPr>
              <w:spacing w:before="60" w:after="60"/>
              <w:rPr>
                <w:rFonts w:eastAsia="Calibri"/>
                <w:bCs/>
                <w:lang w:val="fr-FR"/>
              </w:rPr>
            </w:pPr>
            <w:r w:rsidRPr="009F551D">
              <w:rPr>
                <w:rFonts w:eastAsia="Calibri"/>
                <w:lang w:val="fr-FR"/>
              </w:rPr>
              <w:t>Treuils de sauvetage</w:t>
            </w:r>
          </w:p>
        </w:tc>
        <w:tc>
          <w:tcPr>
            <w:tcW w:w="1260" w:type="dxa"/>
            <w:shd w:val="clear" w:color="auto" w:fill="auto"/>
            <w:noWrap/>
            <w:vAlign w:val="center"/>
          </w:tcPr>
          <w:p w14:paraId="3CF1B9AB"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206C9E7A"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0208817F" w14:textId="77777777" w:rsidR="001517A0" w:rsidRPr="009F551D" w:rsidRDefault="001517A0" w:rsidP="00C93CE5">
            <w:pPr>
              <w:spacing w:before="60" w:after="60"/>
              <w:jc w:val="center"/>
              <w:rPr>
                <w:rFonts w:eastAsia="Calibri"/>
                <w:bCs/>
                <w:lang w:val="fr-FR"/>
              </w:rPr>
            </w:pPr>
          </w:p>
        </w:tc>
        <w:tc>
          <w:tcPr>
            <w:tcW w:w="1553" w:type="dxa"/>
            <w:shd w:val="clear" w:color="auto" w:fill="auto"/>
            <w:noWrap/>
            <w:vAlign w:val="center"/>
          </w:tcPr>
          <w:p w14:paraId="1B5C8A14" w14:textId="77777777" w:rsidR="001517A0" w:rsidRPr="009F551D" w:rsidRDefault="001517A0" w:rsidP="00C93CE5">
            <w:pPr>
              <w:spacing w:before="60" w:after="60"/>
              <w:jc w:val="center"/>
              <w:rPr>
                <w:rFonts w:eastAsia="Calibri"/>
                <w:bCs/>
                <w:lang w:val="fr-FR"/>
              </w:rPr>
            </w:pPr>
          </w:p>
        </w:tc>
        <w:tc>
          <w:tcPr>
            <w:tcW w:w="1408" w:type="dxa"/>
          </w:tcPr>
          <w:p w14:paraId="4829E9CC" w14:textId="77777777" w:rsidR="001517A0" w:rsidRPr="009F551D" w:rsidRDefault="001517A0" w:rsidP="00C93CE5">
            <w:pPr>
              <w:spacing w:before="60" w:after="60"/>
              <w:jc w:val="center"/>
              <w:rPr>
                <w:rFonts w:eastAsia="Calibri"/>
                <w:bCs/>
                <w:lang w:val="fr-FR"/>
              </w:rPr>
            </w:pPr>
          </w:p>
        </w:tc>
      </w:tr>
      <w:tr w:rsidR="001517A0" w:rsidRPr="009F551D" w14:paraId="55AC7C80" w14:textId="77777777" w:rsidTr="00C93CE5">
        <w:tblPrEx>
          <w:tblLook w:val="0480" w:firstRow="0" w:lastRow="0" w:firstColumn="1" w:lastColumn="0" w:noHBand="0" w:noVBand="1"/>
        </w:tblPrEx>
        <w:tc>
          <w:tcPr>
            <w:tcW w:w="6169" w:type="dxa"/>
            <w:shd w:val="clear" w:color="auto" w:fill="auto"/>
            <w:vAlign w:val="bottom"/>
          </w:tcPr>
          <w:p w14:paraId="5F3B8FA0" w14:textId="77777777" w:rsidR="001517A0" w:rsidRPr="009F551D" w:rsidRDefault="001517A0" w:rsidP="00C93CE5">
            <w:pPr>
              <w:spacing w:before="60" w:after="60"/>
              <w:rPr>
                <w:rFonts w:eastAsia="Calibri"/>
                <w:bCs/>
                <w:lang w:val="fr-FR"/>
              </w:rPr>
            </w:pPr>
            <w:r w:rsidRPr="009F551D">
              <w:rPr>
                <w:rFonts w:eastAsia="Calibri"/>
                <w:lang w:val="fr-FR"/>
              </w:rPr>
              <w:t>Équipements de protection individuelle et de sécurité, équipements de secours conformes à l</w:t>
            </w:r>
            <w:r>
              <w:rPr>
                <w:rFonts w:eastAsia="Calibri"/>
                <w:lang w:val="fr-FR"/>
              </w:rPr>
              <w:t>’</w:t>
            </w:r>
            <w:r w:rsidRPr="009F551D">
              <w:rPr>
                <w:rFonts w:eastAsia="Calibri"/>
                <w:lang w:val="fr-FR"/>
              </w:rPr>
              <w:t>ES-TRIN</w:t>
            </w:r>
          </w:p>
        </w:tc>
        <w:tc>
          <w:tcPr>
            <w:tcW w:w="1260" w:type="dxa"/>
            <w:shd w:val="clear" w:color="auto" w:fill="auto"/>
            <w:noWrap/>
            <w:vAlign w:val="center"/>
          </w:tcPr>
          <w:p w14:paraId="0B01D8BA"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60E404C0"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269727E5"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0FE2567C"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791C81CD" w14:textId="77777777" w:rsidR="001517A0" w:rsidRPr="009F551D" w:rsidRDefault="001517A0" w:rsidP="00C93CE5">
            <w:pPr>
              <w:spacing w:before="60" w:after="60"/>
              <w:jc w:val="center"/>
              <w:rPr>
                <w:rFonts w:eastAsia="Calibri"/>
                <w:bCs/>
                <w:lang w:val="fr-FR"/>
              </w:rPr>
            </w:pPr>
          </w:p>
        </w:tc>
      </w:tr>
      <w:tr w:rsidR="001517A0" w:rsidRPr="009F551D" w14:paraId="254AA197" w14:textId="77777777" w:rsidTr="00C93CE5">
        <w:tblPrEx>
          <w:tblLook w:val="0480" w:firstRow="0" w:lastRow="0" w:firstColumn="1" w:lastColumn="0" w:noHBand="0" w:noVBand="1"/>
        </w:tblPrEx>
        <w:tc>
          <w:tcPr>
            <w:tcW w:w="6169" w:type="dxa"/>
            <w:shd w:val="clear" w:color="auto" w:fill="auto"/>
            <w:vAlign w:val="bottom"/>
          </w:tcPr>
          <w:p w14:paraId="55310B0C" w14:textId="77777777" w:rsidR="001517A0" w:rsidRPr="009F551D" w:rsidRDefault="001517A0" w:rsidP="00C93CE5">
            <w:pPr>
              <w:spacing w:before="60" w:after="60"/>
              <w:rPr>
                <w:rFonts w:eastAsia="Calibri"/>
                <w:bCs/>
                <w:lang w:val="fr-FR"/>
              </w:rPr>
            </w:pPr>
            <w:r w:rsidRPr="009F551D">
              <w:rPr>
                <w:rFonts w:eastAsia="Calibri"/>
                <w:lang w:val="fr-FR"/>
              </w:rPr>
              <w:t>Gattes</w:t>
            </w:r>
          </w:p>
        </w:tc>
        <w:tc>
          <w:tcPr>
            <w:tcW w:w="1260" w:type="dxa"/>
            <w:shd w:val="clear" w:color="auto" w:fill="auto"/>
            <w:noWrap/>
            <w:vAlign w:val="center"/>
          </w:tcPr>
          <w:p w14:paraId="5581AF50" w14:textId="77777777" w:rsidR="001517A0" w:rsidRPr="009F551D" w:rsidRDefault="001517A0" w:rsidP="00C93CE5">
            <w:pPr>
              <w:spacing w:before="60" w:after="60"/>
              <w:jc w:val="center"/>
              <w:rPr>
                <w:rFonts w:eastAsia="Calibri"/>
                <w:bCs/>
                <w:strike/>
                <w:lang w:val="fr-FR"/>
              </w:rPr>
            </w:pPr>
          </w:p>
        </w:tc>
        <w:tc>
          <w:tcPr>
            <w:tcW w:w="1554" w:type="dxa"/>
            <w:shd w:val="clear" w:color="auto" w:fill="auto"/>
            <w:noWrap/>
            <w:vAlign w:val="center"/>
          </w:tcPr>
          <w:p w14:paraId="6B2F75BD" w14:textId="77777777" w:rsidR="001517A0" w:rsidRPr="009F551D" w:rsidRDefault="001517A0" w:rsidP="00C93CE5">
            <w:pPr>
              <w:spacing w:before="60" w:after="60"/>
              <w:jc w:val="center"/>
              <w:rPr>
                <w:rFonts w:eastAsia="Calibri"/>
                <w:bCs/>
                <w:lang w:val="fr-FR"/>
              </w:rPr>
            </w:pPr>
          </w:p>
        </w:tc>
        <w:tc>
          <w:tcPr>
            <w:tcW w:w="1834" w:type="dxa"/>
            <w:shd w:val="clear" w:color="auto" w:fill="auto"/>
            <w:noWrap/>
            <w:vAlign w:val="center"/>
          </w:tcPr>
          <w:p w14:paraId="16C4C029"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150C98F9" w14:textId="77777777" w:rsidR="001517A0" w:rsidRPr="009F551D" w:rsidRDefault="001517A0" w:rsidP="00C93CE5">
            <w:pPr>
              <w:spacing w:before="60" w:after="60"/>
              <w:jc w:val="center"/>
              <w:rPr>
                <w:rFonts w:eastAsia="Calibri"/>
                <w:bCs/>
                <w:lang w:val="fr-FR"/>
              </w:rPr>
            </w:pPr>
          </w:p>
        </w:tc>
        <w:tc>
          <w:tcPr>
            <w:tcW w:w="1408" w:type="dxa"/>
          </w:tcPr>
          <w:p w14:paraId="1F554527" w14:textId="77777777" w:rsidR="001517A0" w:rsidRPr="009F551D" w:rsidRDefault="001517A0" w:rsidP="00C93CE5">
            <w:pPr>
              <w:spacing w:before="60" w:after="60"/>
              <w:jc w:val="center"/>
              <w:rPr>
                <w:rFonts w:eastAsia="Calibri"/>
                <w:bCs/>
                <w:lang w:val="fr-FR"/>
              </w:rPr>
            </w:pPr>
          </w:p>
        </w:tc>
      </w:tr>
      <w:tr w:rsidR="001517A0" w:rsidRPr="009F551D" w14:paraId="08F086DF" w14:textId="77777777" w:rsidTr="00C93CE5">
        <w:tblPrEx>
          <w:tblLook w:val="0480" w:firstRow="0" w:lastRow="0" w:firstColumn="1" w:lastColumn="0" w:noHBand="0" w:noVBand="1"/>
        </w:tblPrEx>
        <w:tc>
          <w:tcPr>
            <w:tcW w:w="6169" w:type="dxa"/>
            <w:shd w:val="clear" w:color="auto" w:fill="auto"/>
            <w:vAlign w:val="bottom"/>
            <w:hideMark/>
          </w:tcPr>
          <w:p w14:paraId="3B25EF14" w14:textId="77777777" w:rsidR="001517A0" w:rsidRPr="009F551D" w:rsidRDefault="001517A0" w:rsidP="00C93CE5">
            <w:pPr>
              <w:spacing w:before="60" w:after="60"/>
              <w:rPr>
                <w:rFonts w:eastAsia="Calibri"/>
                <w:bCs/>
                <w:lang w:val="fr-FR"/>
              </w:rPr>
            </w:pPr>
            <w:r w:rsidRPr="009F551D">
              <w:rPr>
                <w:rFonts w:eastAsia="Calibri"/>
                <w:lang w:val="fr-FR"/>
              </w:rPr>
              <w:t>Défenses</w:t>
            </w:r>
          </w:p>
        </w:tc>
        <w:tc>
          <w:tcPr>
            <w:tcW w:w="1260" w:type="dxa"/>
            <w:shd w:val="clear" w:color="auto" w:fill="auto"/>
            <w:noWrap/>
            <w:vAlign w:val="center"/>
            <w:hideMark/>
          </w:tcPr>
          <w:p w14:paraId="3951A836"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4" w:type="dxa"/>
            <w:shd w:val="clear" w:color="auto" w:fill="auto"/>
            <w:noWrap/>
            <w:vAlign w:val="center"/>
            <w:hideMark/>
          </w:tcPr>
          <w:p w14:paraId="0CAEE035" w14:textId="77777777" w:rsidR="001517A0" w:rsidRPr="009F551D" w:rsidRDefault="001517A0" w:rsidP="00C93CE5">
            <w:pPr>
              <w:spacing w:before="60" w:after="60"/>
              <w:jc w:val="center"/>
              <w:rPr>
                <w:rFonts w:eastAsia="Calibri"/>
                <w:bCs/>
                <w:lang w:val="fr-FR"/>
              </w:rPr>
            </w:pPr>
          </w:p>
        </w:tc>
        <w:tc>
          <w:tcPr>
            <w:tcW w:w="1834" w:type="dxa"/>
            <w:shd w:val="clear" w:color="auto" w:fill="auto"/>
            <w:noWrap/>
            <w:vAlign w:val="center"/>
            <w:hideMark/>
          </w:tcPr>
          <w:p w14:paraId="2BDC1AC3"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35FB6596"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0874EE8F" w14:textId="77777777" w:rsidR="001517A0" w:rsidRPr="009F551D" w:rsidRDefault="001517A0" w:rsidP="00C93CE5">
            <w:pPr>
              <w:spacing w:before="60" w:after="60"/>
              <w:jc w:val="center"/>
              <w:rPr>
                <w:rFonts w:eastAsia="Calibri"/>
                <w:bCs/>
                <w:lang w:val="fr-FR"/>
              </w:rPr>
            </w:pPr>
          </w:p>
        </w:tc>
      </w:tr>
      <w:tr w:rsidR="001517A0" w:rsidRPr="009F551D" w14:paraId="335EF458" w14:textId="77777777" w:rsidTr="00C93CE5">
        <w:tblPrEx>
          <w:tblLook w:val="0480" w:firstRow="0" w:lastRow="0" w:firstColumn="1" w:lastColumn="0" w:noHBand="0" w:noVBand="1"/>
        </w:tblPrEx>
        <w:tc>
          <w:tcPr>
            <w:tcW w:w="6169" w:type="dxa"/>
            <w:vMerge w:val="restart"/>
            <w:shd w:val="clear" w:color="auto" w:fill="auto"/>
            <w:hideMark/>
          </w:tcPr>
          <w:p w14:paraId="0E72BEDB" w14:textId="77777777" w:rsidR="001517A0" w:rsidRPr="009F551D" w:rsidRDefault="001517A0" w:rsidP="00C93CE5">
            <w:pPr>
              <w:spacing w:before="60" w:after="60"/>
              <w:rPr>
                <w:rFonts w:eastAsia="Calibri"/>
                <w:bCs/>
                <w:lang w:val="fr-FR"/>
              </w:rPr>
            </w:pPr>
            <w:r w:rsidRPr="009F551D">
              <w:rPr>
                <w:rFonts w:eastAsia="Calibri"/>
                <w:lang w:val="fr-FR"/>
              </w:rPr>
              <w:t>Amarres, câbles pour annexes, etc.</w:t>
            </w:r>
          </w:p>
        </w:tc>
        <w:tc>
          <w:tcPr>
            <w:tcW w:w="1260" w:type="dxa"/>
            <w:shd w:val="clear" w:color="auto" w:fill="auto"/>
            <w:noWrap/>
            <w:vAlign w:val="center"/>
            <w:hideMark/>
          </w:tcPr>
          <w:p w14:paraId="6310809E"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hideMark/>
          </w:tcPr>
          <w:p w14:paraId="0B231BEC" w14:textId="77777777" w:rsidR="001517A0" w:rsidRPr="009F551D" w:rsidRDefault="001517A0" w:rsidP="00C93CE5">
            <w:pPr>
              <w:spacing w:before="60" w:after="60"/>
              <w:jc w:val="center"/>
              <w:rPr>
                <w:rFonts w:eastAsia="Calibri"/>
                <w:bCs/>
                <w:lang w:val="fr-FR"/>
              </w:rPr>
            </w:pPr>
          </w:p>
        </w:tc>
        <w:tc>
          <w:tcPr>
            <w:tcW w:w="1834" w:type="dxa"/>
            <w:shd w:val="clear" w:color="auto" w:fill="auto"/>
            <w:noWrap/>
            <w:vAlign w:val="center"/>
            <w:hideMark/>
          </w:tcPr>
          <w:p w14:paraId="5CF2DD23"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hideMark/>
          </w:tcPr>
          <w:p w14:paraId="6C1A6E97" w14:textId="77777777" w:rsidR="001517A0" w:rsidRPr="009F551D" w:rsidRDefault="001517A0" w:rsidP="00C93CE5">
            <w:pPr>
              <w:spacing w:before="60" w:after="60"/>
              <w:jc w:val="center"/>
              <w:rPr>
                <w:rFonts w:eastAsia="Calibri"/>
                <w:bCs/>
                <w:lang w:val="fr-FR"/>
              </w:rPr>
            </w:pPr>
          </w:p>
        </w:tc>
        <w:tc>
          <w:tcPr>
            <w:tcW w:w="1408" w:type="dxa"/>
          </w:tcPr>
          <w:p w14:paraId="4D117FC1" w14:textId="77777777" w:rsidR="001517A0" w:rsidRPr="009F551D" w:rsidRDefault="001517A0" w:rsidP="00C93CE5">
            <w:pPr>
              <w:spacing w:before="60" w:after="60"/>
              <w:jc w:val="center"/>
              <w:rPr>
                <w:rFonts w:eastAsia="Calibri"/>
                <w:bCs/>
                <w:lang w:val="fr-FR"/>
              </w:rPr>
            </w:pPr>
          </w:p>
        </w:tc>
      </w:tr>
      <w:tr w:rsidR="001517A0" w:rsidRPr="009F551D" w14:paraId="79EB41BB" w14:textId="77777777" w:rsidTr="00C93CE5">
        <w:tblPrEx>
          <w:tblLook w:val="0480" w:firstRow="0" w:lastRow="0" w:firstColumn="1" w:lastColumn="0" w:noHBand="0" w:noVBand="1"/>
        </w:tblPrEx>
        <w:tc>
          <w:tcPr>
            <w:tcW w:w="6169" w:type="dxa"/>
            <w:vMerge/>
            <w:shd w:val="clear" w:color="auto" w:fill="auto"/>
            <w:vAlign w:val="bottom"/>
          </w:tcPr>
          <w:p w14:paraId="5CD096A7" w14:textId="77777777" w:rsidR="001517A0" w:rsidRPr="009F551D" w:rsidRDefault="001517A0" w:rsidP="00C93CE5">
            <w:pPr>
              <w:spacing w:before="60" w:after="60"/>
              <w:rPr>
                <w:rFonts w:eastAsia="Calibri"/>
                <w:bCs/>
                <w:lang w:val="fr-FR"/>
              </w:rPr>
            </w:pPr>
          </w:p>
        </w:tc>
        <w:tc>
          <w:tcPr>
            <w:tcW w:w="1260" w:type="dxa"/>
            <w:shd w:val="clear" w:color="auto" w:fill="auto"/>
            <w:noWrap/>
            <w:vAlign w:val="center"/>
          </w:tcPr>
          <w:p w14:paraId="493077D5" w14:textId="77777777" w:rsidR="001517A0" w:rsidRPr="009F551D" w:rsidRDefault="001517A0" w:rsidP="00C93CE5">
            <w:pPr>
              <w:spacing w:before="60" w:after="60"/>
              <w:rPr>
                <w:rFonts w:eastAsia="Calibri"/>
                <w:bCs/>
                <w:lang w:val="fr-FR"/>
              </w:rPr>
            </w:pPr>
          </w:p>
        </w:tc>
        <w:tc>
          <w:tcPr>
            <w:tcW w:w="1554" w:type="dxa"/>
            <w:shd w:val="clear" w:color="auto" w:fill="auto"/>
            <w:noWrap/>
            <w:vAlign w:val="center"/>
          </w:tcPr>
          <w:p w14:paraId="6372072F" w14:textId="77777777" w:rsidR="001517A0" w:rsidRPr="009F551D" w:rsidRDefault="001517A0" w:rsidP="00C93CE5">
            <w:pPr>
              <w:spacing w:before="60" w:after="60"/>
              <w:rPr>
                <w:rFonts w:eastAsia="Calibri"/>
                <w:bCs/>
                <w:lang w:val="fr-FR"/>
              </w:rPr>
            </w:pPr>
          </w:p>
        </w:tc>
        <w:tc>
          <w:tcPr>
            <w:tcW w:w="1834" w:type="dxa"/>
            <w:shd w:val="clear" w:color="auto" w:fill="auto"/>
            <w:noWrap/>
            <w:vAlign w:val="center"/>
          </w:tcPr>
          <w:p w14:paraId="288A89FD" w14:textId="77777777" w:rsidR="001517A0" w:rsidRPr="009F551D" w:rsidRDefault="001517A0" w:rsidP="00C93CE5">
            <w:pPr>
              <w:spacing w:before="60" w:after="60"/>
              <w:jc w:val="center"/>
              <w:rPr>
                <w:rFonts w:eastAsia="Calibri"/>
                <w:bCs/>
                <w:lang w:val="fr-FR"/>
              </w:rPr>
            </w:pPr>
            <w:r w:rsidRPr="009F551D">
              <w:rPr>
                <w:rFonts w:eastAsia="Calibri"/>
                <w:lang w:val="fr-FR"/>
              </w:rPr>
              <w:t xml:space="preserve">conformes </w:t>
            </w:r>
            <w:r w:rsidRPr="009F551D">
              <w:rPr>
                <w:rFonts w:eastAsia="Calibri"/>
                <w:lang w:val="fr-FR"/>
              </w:rPr>
              <w:br/>
              <w:t>au 7.x.4.76</w:t>
            </w:r>
          </w:p>
        </w:tc>
        <w:tc>
          <w:tcPr>
            <w:tcW w:w="1553" w:type="dxa"/>
            <w:shd w:val="clear" w:color="auto" w:fill="auto"/>
            <w:noWrap/>
            <w:vAlign w:val="center"/>
          </w:tcPr>
          <w:p w14:paraId="65DC88AC" w14:textId="77777777" w:rsidR="001517A0" w:rsidRPr="009F551D" w:rsidRDefault="001517A0" w:rsidP="00C93CE5">
            <w:pPr>
              <w:spacing w:before="60" w:after="60"/>
              <w:rPr>
                <w:rFonts w:eastAsia="Calibri"/>
                <w:bCs/>
                <w:lang w:val="fr-FR"/>
              </w:rPr>
            </w:pPr>
          </w:p>
        </w:tc>
        <w:tc>
          <w:tcPr>
            <w:tcW w:w="1408" w:type="dxa"/>
          </w:tcPr>
          <w:p w14:paraId="58741F8D" w14:textId="77777777" w:rsidR="001517A0" w:rsidRPr="009F551D" w:rsidRDefault="001517A0" w:rsidP="00C93CE5">
            <w:pPr>
              <w:spacing w:before="60" w:after="60"/>
              <w:rPr>
                <w:rFonts w:eastAsia="Calibri"/>
                <w:bCs/>
                <w:lang w:val="fr-FR"/>
              </w:rPr>
            </w:pPr>
          </w:p>
        </w:tc>
      </w:tr>
      <w:tr w:rsidR="001517A0" w:rsidRPr="009F551D" w14:paraId="37623143" w14:textId="77777777" w:rsidTr="00C93CE5">
        <w:tblPrEx>
          <w:tblLook w:val="0480" w:firstRow="0" w:lastRow="0" w:firstColumn="1" w:lastColumn="0" w:noHBand="0" w:noVBand="1"/>
        </w:tblPrEx>
        <w:tc>
          <w:tcPr>
            <w:tcW w:w="6169" w:type="dxa"/>
            <w:shd w:val="clear" w:color="auto" w:fill="auto"/>
            <w:vAlign w:val="bottom"/>
          </w:tcPr>
          <w:p w14:paraId="51459726" w14:textId="77777777" w:rsidR="001517A0" w:rsidRPr="009F551D" w:rsidRDefault="001517A0" w:rsidP="00C93CE5">
            <w:pPr>
              <w:spacing w:before="60" w:after="60"/>
              <w:rPr>
                <w:rFonts w:eastAsia="Calibri"/>
                <w:bCs/>
                <w:lang w:val="fr-FR"/>
              </w:rPr>
            </w:pPr>
            <w:r w:rsidRPr="009F551D">
              <w:rPr>
                <w:rFonts w:eastAsia="Calibri"/>
                <w:lang w:val="fr-FR"/>
              </w:rPr>
              <w:lastRenderedPageBreak/>
              <w:t>Tapis sous le raccordement à terre des tuyauteries de chargement et de déchargement</w:t>
            </w:r>
          </w:p>
        </w:tc>
        <w:tc>
          <w:tcPr>
            <w:tcW w:w="1260" w:type="dxa"/>
            <w:shd w:val="clear" w:color="auto" w:fill="auto"/>
            <w:noWrap/>
            <w:vAlign w:val="center"/>
          </w:tcPr>
          <w:p w14:paraId="75C45C27"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09102BB9" w14:textId="77777777" w:rsidR="001517A0" w:rsidRPr="009F551D" w:rsidRDefault="001517A0" w:rsidP="00C93CE5">
            <w:pPr>
              <w:spacing w:before="60" w:after="60"/>
              <w:jc w:val="center"/>
              <w:rPr>
                <w:rFonts w:eastAsia="Calibri"/>
                <w:bCs/>
                <w:lang w:val="fr-FR"/>
              </w:rPr>
            </w:pPr>
          </w:p>
        </w:tc>
        <w:tc>
          <w:tcPr>
            <w:tcW w:w="1834" w:type="dxa"/>
            <w:shd w:val="clear" w:color="auto" w:fill="auto"/>
            <w:noWrap/>
            <w:vAlign w:val="center"/>
          </w:tcPr>
          <w:p w14:paraId="4C6A0CE2"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1B7D082E"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26AF8A87" w14:textId="77777777" w:rsidR="001517A0" w:rsidRPr="009F551D" w:rsidRDefault="001517A0" w:rsidP="00C93CE5">
            <w:pPr>
              <w:spacing w:before="60" w:after="60"/>
              <w:jc w:val="center"/>
              <w:rPr>
                <w:rFonts w:eastAsia="Calibri"/>
                <w:bCs/>
                <w:lang w:val="fr-FR"/>
              </w:rPr>
            </w:pPr>
          </w:p>
        </w:tc>
      </w:tr>
      <w:tr w:rsidR="001517A0" w:rsidRPr="009F551D" w14:paraId="5CC93B02" w14:textId="77777777" w:rsidTr="00C93CE5">
        <w:tblPrEx>
          <w:tblLook w:val="0480" w:firstRow="0" w:lastRow="0" w:firstColumn="1" w:lastColumn="0" w:noHBand="0" w:noVBand="1"/>
        </w:tblPrEx>
        <w:tc>
          <w:tcPr>
            <w:tcW w:w="6169" w:type="dxa"/>
            <w:shd w:val="clear" w:color="auto" w:fill="auto"/>
            <w:vAlign w:val="bottom"/>
          </w:tcPr>
          <w:p w14:paraId="4D08B779" w14:textId="77777777" w:rsidR="001517A0" w:rsidRPr="009F551D" w:rsidRDefault="001517A0" w:rsidP="00C93CE5">
            <w:pPr>
              <w:spacing w:before="60" w:after="60"/>
              <w:rPr>
                <w:rFonts w:eastAsia="Calibri"/>
                <w:bCs/>
                <w:lang w:val="fr-FR"/>
              </w:rPr>
            </w:pPr>
            <w:r w:rsidRPr="009F551D">
              <w:rPr>
                <w:rFonts w:eastAsia="Calibri"/>
                <w:lang w:val="fr-FR"/>
              </w:rPr>
              <w:t>Manches d</w:t>
            </w:r>
            <w:r>
              <w:rPr>
                <w:rFonts w:eastAsia="Calibri"/>
                <w:lang w:val="fr-FR"/>
              </w:rPr>
              <w:t>’</w:t>
            </w:r>
            <w:r w:rsidRPr="009F551D">
              <w:rPr>
                <w:rFonts w:eastAsia="Calibri"/>
                <w:lang w:val="fr-FR"/>
              </w:rPr>
              <w:t>incendie, flexibles d</w:t>
            </w:r>
            <w:r>
              <w:rPr>
                <w:rFonts w:eastAsia="Calibri"/>
                <w:lang w:val="fr-FR"/>
              </w:rPr>
              <w:t>’</w:t>
            </w:r>
            <w:r w:rsidRPr="009F551D">
              <w:rPr>
                <w:rFonts w:eastAsia="Calibri"/>
                <w:lang w:val="fr-FR"/>
              </w:rPr>
              <w:t>air, tuyauteries flexibles de lavage de pont, etc.</w:t>
            </w:r>
          </w:p>
        </w:tc>
        <w:tc>
          <w:tcPr>
            <w:tcW w:w="1260" w:type="dxa"/>
            <w:shd w:val="clear" w:color="auto" w:fill="auto"/>
            <w:noWrap/>
            <w:vAlign w:val="center"/>
          </w:tcPr>
          <w:p w14:paraId="62737885"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02E35ED0" w14:textId="77777777" w:rsidR="001517A0" w:rsidRPr="009F551D" w:rsidRDefault="001517A0" w:rsidP="00C93CE5">
            <w:pPr>
              <w:spacing w:before="60" w:after="60"/>
              <w:jc w:val="center"/>
              <w:rPr>
                <w:rFonts w:eastAsia="Calibri"/>
                <w:bCs/>
                <w:lang w:val="fr-FR"/>
              </w:rPr>
            </w:pPr>
          </w:p>
        </w:tc>
        <w:tc>
          <w:tcPr>
            <w:tcW w:w="1834" w:type="dxa"/>
            <w:shd w:val="clear" w:color="auto" w:fill="auto"/>
            <w:noWrap/>
            <w:vAlign w:val="center"/>
          </w:tcPr>
          <w:p w14:paraId="67B8F287"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3D3D2240"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408" w:type="dxa"/>
          </w:tcPr>
          <w:p w14:paraId="6D57CFBB" w14:textId="77777777" w:rsidR="001517A0" w:rsidRPr="009F551D" w:rsidRDefault="001517A0" w:rsidP="00C93CE5">
            <w:pPr>
              <w:spacing w:before="60" w:after="60"/>
              <w:jc w:val="center"/>
              <w:rPr>
                <w:rFonts w:eastAsia="Calibri"/>
                <w:bCs/>
                <w:lang w:val="fr-FR"/>
              </w:rPr>
            </w:pPr>
          </w:p>
        </w:tc>
      </w:tr>
      <w:tr w:rsidR="001517A0" w:rsidRPr="00E86888" w14:paraId="690B865A" w14:textId="77777777" w:rsidTr="00C93CE5">
        <w:tblPrEx>
          <w:tblLook w:val="0480" w:firstRow="0" w:lastRow="0" w:firstColumn="1" w:lastColumn="0" w:noHBand="0" w:noVBand="1"/>
        </w:tblPrEx>
        <w:tc>
          <w:tcPr>
            <w:tcW w:w="6169" w:type="dxa"/>
            <w:shd w:val="clear" w:color="auto" w:fill="auto"/>
            <w:vAlign w:val="bottom"/>
          </w:tcPr>
          <w:p w14:paraId="2EE9A228" w14:textId="77777777" w:rsidR="001517A0" w:rsidRPr="009F551D" w:rsidRDefault="001517A0" w:rsidP="00C93CE5">
            <w:pPr>
              <w:spacing w:before="60" w:after="60"/>
              <w:rPr>
                <w:rFonts w:eastAsia="Calibri"/>
                <w:bCs/>
                <w:lang w:val="fr-FR"/>
              </w:rPr>
            </w:pPr>
            <w:r w:rsidRPr="009F551D">
              <w:rPr>
                <w:rFonts w:eastAsia="Calibri"/>
                <w:lang w:val="fr-FR"/>
              </w:rPr>
              <w:t>Autres types de tuyauteries</w:t>
            </w:r>
          </w:p>
        </w:tc>
        <w:tc>
          <w:tcPr>
            <w:tcW w:w="7609" w:type="dxa"/>
            <w:gridSpan w:val="5"/>
            <w:shd w:val="clear" w:color="auto" w:fill="auto"/>
            <w:noWrap/>
            <w:vAlign w:val="center"/>
          </w:tcPr>
          <w:p w14:paraId="53FE979F" w14:textId="77777777" w:rsidR="001517A0" w:rsidRPr="009F551D" w:rsidRDefault="001517A0" w:rsidP="00C93CE5">
            <w:pPr>
              <w:spacing w:before="60" w:after="60"/>
              <w:jc w:val="center"/>
              <w:rPr>
                <w:rFonts w:eastAsia="Calibri"/>
                <w:bCs/>
                <w:lang w:val="fr-FR"/>
              </w:rPr>
            </w:pPr>
            <w:r w:rsidRPr="009F551D">
              <w:rPr>
                <w:rFonts w:eastAsia="Calibri"/>
                <w:lang w:val="fr-FR"/>
              </w:rPr>
              <w:t>Conformément au 8.1.6.2 et aux normes mentionnées</w:t>
            </w:r>
          </w:p>
        </w:tc>
      </w:tr>
      <w:tr w:rsidR="001517A0" w:rsidRPr="009F551D" w14:paraId="38D47BB7" w14:textId="77777777" w:rsidTr="00C93CE5">
        <w:tblPrEx>
          <w:tblLook w:val="0480" w:firstRow="0" w:lastRow="0" w:firstColumn="1" w:lastColumn="0" w:noHBand="0" w:noVBand="1"/>
        </w:tblPrEx>
        <w:tc>
          <w:tcPr>
            <w:tcW w:w="6169" w:type="dxa"/>
            <w:vMerge w:val="restart"/>
            <w:shd w:val="clear" w:color="auto" w:fill="auto"/>
          </w:tcPr>
          <w:p w14:paraId="7A2E117E" w14:textId="77777777" w:rsidR="001517A0" w:rsidRPr="009F551D" w:rsidRDefault="001517A0" w:rsidP="00C93CE5">
            <w:pPr>
              <w:spacing w:before="60" w:after="60"/>
              <w:rPr>
                <w:rFonts w:eastAsia="Calibri"/>
                <w:bCs/>
                <w:lang w:val="fr-FR"/>
              </w:rPr>
            </w:pPr>
            <w:r w:rsidRPr="009F551D">
              <w:rPr>
                <w:rFonts w:eastAsia="Calibri"/>
                <w:lang w:val="fr-FR"/>
              </w:rPr>
              <w:t>Sondes en aluminium</w:t>
            </w:r>
          </w:p>
        </w:tc>
        <w:tc>
          <w:tcPr>
            <w:tcW w:w="1260" w:type="dxa"/>
            <w:shd w:val="clear" w:color="auto" w:fill="auto"/>
            <w:noWrap/>
            <w:vAlign w:val="center"/>
          </w:tcPr>
          <w:p w14:paraId="54621711"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521BD099"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101E6D3A" w14:textId="77777777" w:rsidR="001517A0" w:rsidRPr="009F551D" w:rsidRDefault="001517A0" w:rsidP="00C93CE5">
            <w:pPr>
              <w:spacing w:before="60" w:after="60"/>
              <w:jc w:val="center"/>
              <w:rPr>
                <w:rFonts w:eastAsia="Calibri"/>
                <w:bCs/>
                <w:lang w:val="fr-FR"/>
              </w:rPr>
            </w:pPr>
          </w:p>
        </w:tc>
        <w:tc>
          <w:tcPr>
            <w:tcW w:w="1553" w:type="dxa"/>
            <w:shd w:val="clear" w:color="auto" w:fill="auto"/>
            <w:noWrap/>
            <w:vAlign w:val="center"/>
          </w:tcPr>
          <w:p w14:paraId="7A511645" w14:textId="77777777" w:rsidR="001517A0" w:rsidRPr="009F551D" w:rsidRDefault="001517A0" w:rsidP="00C93CE5">
            <w:pPr>
              <w:spacing w:before="60" w:after="60"/>
              <w:jc w:val="center"/>
              <w:rPr>
                <w:rFonts w:eastAsia="Calibri"/>
                <w:bCs/>
                <w:lang w:val="fr-FR"/>
              </w:rPr>
            </w:pPr>
          </w:p>
        </w:tc>
        <w:tc>
          <w:tcPr>
            <w:tcW w:w="1408" w:type="dxa"/>
          </w:tcPr>
          <w:p w14:paraId="13D04ADB" w14:textId="77777777" w:rsidR="001517A0" w:rsidRPr="009F551D" w:rsidRDefault="001517A0" w:rsidP="00C93CE5">
            <w:pPr>
              <w:spacing w:before="60" w:after="60"/>
              <w:jc w:val="center"/>
              <w:rPr>
                <w:rFonts w:eastAsia="Calibri"/>
                <w:bCs/>
                <w:lang w:val="fr-FR"/>
              </w:rPr>
            </w:pPr>
          </w:p>
        </w:tc>
      </w:tr>
      <w:tr w:rsidR="001517A0" w:rsidRPr="00E86888" w14:paraId="4983BEBD" w14:textId="77777777" w:rsidTr="00C93CE5">
        <w:tblPrEx>
          <w:tblLook w:val="0480" w:firstRow="0" w:lastRow="0" w:firstColumn="1" w:lastColumn="0" w:noHBand="0" w:noVBand="1"/>
        </w:tblPrEx>
        <w:tc>
          <w:tcPr>
            <w:tcW w:w="6169" w:type="dxa"/>
            <w:vMerge/>
            <w:shd w:val="clear" w:color="auto" w:fill="auto"/>
            <w:vAlign w:val="bottom"/>
          </w:tcPr>
          <w:p w14:paraId="4A9AF23F" w14:textId="77777777" w:rsidR="001517A0" w:rsidRPr="009F551D" w:rsidRDefault="001517A0" w:rsidP="00C93CE5">
            <w:pPr>
              <w:spacing w:before="60" w:after="60"/>
              <w:rPr>
                <w:rFonts w:eastAsia="Calibri"/>
                <w:bCs/>
                <w:lang w:val="fr-FR"/>
              </w:rPr>
            </w:pPr>
          </w:p>
        </w:tc>
        <w:tc>
          <w:tcPr>
            <w:tcW w:w="7609" w:type="dxa"/>
            <w:gridSpan w:val="5"/>
            <w:shd w:val="clear" w:color="auto" w:fill="auto"/>
            <w:noWrap/>
            <w:vAlign w:val="center"/>
          </w:tcPr>
          <w:p w14:paraId="354C41C4" w14:textId="77777777" w:rsidR="001517A0" w:rsidRPr="009F551D" w:rsidRDefault="001517A0" w:rsidP="00C93CE5">
            <w:pPr>
              <w:spacing w:before="60" w:after="60"/>
              <w:jc w:val="center"/>
              <w:rPr>
                <w:rFonts w:eastAsia="Calibri"/>
                <w:bCs/>
                <w:lang w:val="fr-FR"/>
              </w:rPr>
            </w:pPr>
            <w:r w:rsidRPr="009F551D">
              <w:rPr>
                <w:rFonts w:eastAsia="Calibri"/>
                <w:lang w:val="fr-FR"/>
              </w:rPr>
              <w:t>Si elles sont munies d</w:t>
            </w:r>
            <w:r>
              <w:rPr>
                <w:rFonts w:eastAsia="Calibri"/>
                <w:lang w:val="fr-FR"/>
              </w:rPr>
              <w:t>’</w:t>
            </w:r>
            <w:r w:rsidRPr="009F551D">
              <w:rPr>
                <w:rFonts w:eastAsia="Calibri"/>
                <w:lang w:val="fr-FR"/>
              </w:rPr>
              <w:t>un pied en laiton ou protégées d</w:t>
            </w:r>
            <w:r>
              <w:rPr>
                <w:rFonts w:eastAsia="Calibri"/>
                <w:lang w:val="fr-FR"/>
              </w:rPr>
              <w:t>’</w:t>
            </w:r>
            <w:r w:rsidRPr="009F551D">
              <w:rPr>
                <w:rFonts w:eastAsia="Calibri"/>
                <w:lang w:val="fr-FR"/>
              </w:rPr>
              <w:t xml:space="preserve">une autre manière </w:t>
            </w:r>
            <w:r w:rsidRPr="009F551D">
              <w:rPr>
                <w:rFonts w:eastAsia="Calibri"/>
                <w:lang w:val="fr-FR"/>
              </w:rPr>
              <w:br/>
              <w:t>pour éviter la production d</w:t>
            </w:r>
            <w:r>
              <w:rPr>
                <w:rFonts w:eastAsia="Calibri"/>
                <w:lang w:val="fr-FR"/>
              </w:rPr>
              <w:t>’</w:t>
            </w:r>
            <w:r w:rsidRPr="009F551D">
              <w:rPr>
                <w:rFonts w:eastAsia="Calibri"/>
                <w:lang w:val="fr-FR"/>
              </w:rPr>
              <w:t>étincelles</w:t>
            </w:r>
          </w:p>
        </w:tc>
      </w:tr>
      <w:tr w:rsidR="001517A0" w:rsidRPr="009F551D" w14:paraId="2945EE18" w14:textId="77777777" w:rsidTr="00C93CE5">
        <w:tblPrEx>
          <w:tblLook w:val="0480" w:firstRow="0" w:lastRow="0" w:firstColumn="1" w:lastColumn="0" w:noHBand="0" w:noVBand="1"/>
        </w:tblPrEx>
        <w:tc>
          <w:tcPr>
            <w:tcW w:w="6169" w:type="dxa"/>
            <w:shd w:val="clear" w:color="auto" w:fill="auto"/>
            <w:vAlign w:val="bottom"/>
          </w:tcPr>
          <w:p w14:paraId="5E393DE3" w14:textId="77777777" w:rsidR="001517A0" w:rsidRPr="009F551D" w:rsidRDefault="001517A0" w:rsidP="00C93CE5">
            <w:pPr>
              <w:spacing w:before="60" w:after="60"/>
              <w:rPr>
                <w:rFonts w:eastAsia="Calibri"/>
                <w:bCs/>
                <w:lang w:val="fr-FR"/>
              </w:rPr>
            </w:pPr>
            <w:r w:rsidRPr="009F551D">
              <w:rPr>
                <w:rFonts w:eastAsia="Calibri"/>
                <w:lang w:val="fr-FR"/>
              </w:rPr>
              <w:t>Appareils de prélèvement d</w:t>
            </w:r>
            <w:r>
              <w:rPr>
                <w:rFonts w:eastAsia="Calibri"/>
                <w:lang w:val="fr-FR"/>
              </w:rPr>
              <w:t>’</w:t>
            </w:r>
            <w:r w:rsidRPr="009F551D">
              <w:rPr>
                <w:rFonts w:eastAsia="Calibri"/>
                <w:lang w:val="fr-FR"/>
              </w:rPr>
              <w:t>échantillons</w:t>
            </w:r>
          </w:p>
        </w:tc>
        <w:tc>
          <w:tcPr>
            <w:tcW w:w="1260" w:type="dxa"/>
            <w:shd w:val="clear" w:color="auto" w:fill="auto"/>
            <w:noWrap/>
            <w:vAlign w:val="center"/>
          </w:tcPr>
          <w:p w14:paraId="55081683"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325492C1" w14:textId="77777777" w:rsidR="001517A0" w:rsidRPr="009F551D" w:rsidRDefault="001517A0" w:rsidP="00C93CE5">
            <w:pPr>
              <w:spacing w:before="60" w:after="60"/>
              <w:jc w:val="center"/>
              <w:rPr>
                <w:rFonts w:eastAsia="Calibri"/>
                <w:bCs/>
                <w:lang w:val="fr-FR"/>
              </w:rPr>
            </w:pPr>
          </w:p>
        </w:tc>
        <w:tc>
          <w:tcPr>
            <w:tcW w:w="1834" w:type="dxa"/>
            <w:shd w:val="clear" w:color="auto" w:fill="auto"/>
            <w:noWrap/>
            <w:vAlign w:val="center"/>
          </w:tcPr>
          <w:p w14:paraId="718ED6EB"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0FD7E94A" w14:textId="77777777" w:rsidR="001517A0" w:rsidRPr="009F551D" w:rsidRDefault="001517A0" w:rsidP="00C93CE5">
            <w:pPr>
              <w:spacing w:before="60" w:after="60"/>
              <w:jc w:val="center"/>
              <w:rPr>
                <w:rFonts w:eastAsia="Calibri"/>
                <w:bCs/>
                <w:lang w:val="fr-FR"/>
              </w:rPr>
            </w:pPr>
          </w:p>
        </w:tc>
        <w:tc>
          <w:tcPr>
            <w:tcW w:w="1408" w:type="dxa"/>
          </w:tcPr>
          <w:p w14:paraId="691D6F5B" w14:textId="77777777" w:rsidR="001517A0" w:rsidRPr="009F551D" w:rsidRDefault="001517A0" w:rsidP="00C93CE5">
            <w:pPr>
              <w:spacing w:before="60" w:after="60"/>
              <w:jc w:val="center"/>
              <w:rPr>
                <w:rFonts w:eastAsia="Calibri"/>
                <w:bCs/>
                <w:lang w:val="fr-FR"/>
              </w:rPr>
            </w:pPr>
          </w:p>
        </w:tc>
      </w:tr>
    </w:tbl>
    <w:p w14:paraId="7ACBE81B" w14:textId="77777777" w:rsidR="001517A0" w:rsidRPr="009F551D" w:rsidRDefault="001517A0" w:rsidP="001517A0">
      <w:pPr>
        <w:rPr>
          <w:rFonts w:eastAsia="Calibri"/>
          <w:lang w:val="fr-FR"/>
        </w:rPr>
      </w:pPr>
    </w:p>
    <w:p w14:paraId="7B944865" w14:textId="77777777" w:rsidR="001517A0" w:rsidRPr="009F551D" w:rsidRDefault="001517A0" w:rsidP="001517A0">
      <w:pPr>
        <w:suppressAutoHyphens w:val="0"/>
        <w:spacing w:after="200" w:line="276" w:lineRule="auto"/>
        <w:rPr>
          <w:rFonts w:eastAsia="Calibri"/>
          <w:lang w:val="fr-FR"/>
        </w:rPr>
      </w:pPr>
      <w:r w:rsidRPr="009F551D">
        <w:rPr>
          <w:rFonts w:eastAsia="Calibri"/>
          <w:lang w:val="fr-FR"/>
        </w:rPr>
        <w:br w:type="page"/>
      </w:r>
    </w:p>
    <w:tbl>
      <w:tblPr>
        <w:tblW w:w="1377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69"/>
        <w:gridCol w:w="1260"/>
        <w:gridCol w:w="1554"/>
        <w:gridCol w:w="1834"/>
        <w:gridCol w:w="1553"/>
        <w:gridCol w:w="1408"/>
      </w:tblGrid>
      <w:tr w:rsidR="001517A0" w:rsidRPr="009F551D" w14:paraId="09F4BCBB" w14:textId="77777777" w:rsidTr="00C93CE5">
        <w:trPr>
          <w:trHeight w:val="270"/>
          <w:tblHeader/>
        </w:trPr>
        <w:tc>
          <w:tcPr>
            <w:tcW w:w="6169" w:type="dxa"/>
            <w:tcBorders>
              <w:top w:val="nil"/>
              <w:left w:val="nil"/>
            </w:tcBorders>
            <w:shd w:val="clear" w:color="auto" w:fill="auto"/>
            <w:noWrap/>
            <w:vAlign w:val="bottom"/>
            <w:hideMark/>
          </w:tcPr>
          <w:p w14:paraId="02AA3CD0" w14:textId="77777777" w:rsidR="001517A0" w:rsidRPr="009F551D" w:rsidRDefault="001517A0" w:rsidP="00C93CE5">
            <w:pPr>
              <w:spacing w:before="80" w:after="80" w:line="200" w:lineRule="exact"/>
              <w:jc w:val="center"/>
              <w:rPr>
                <w:rFonts w:eastAsia="Calibri"/>
                <w:bCs/>
                <w:i/>
                <w:iCs/>
                <w:sz w:val="16"/>
                <w:szCs w:val="16"/>
                <w:lang w:val="fr-FR"/>
              </w:rPr>
            </w:pPr>
            <w:r w:rsidRPr="009F551D">
              <w:rPr>
                <w:rFonts w:eastAsia="Calibri"/>
                <w:bCs/>
                <w:lang w:val="fr-FR"/>
              </w:rPr>
              <w:lastRenderedPageBreak/>
              <w:br w:type="page"/>
            </w:r>
          </w:p>
        </w:tc>
        <w:tc>
          <w:tcPr>
            <w:tcW w:w="1260" w:type="dxa"/>
            <w:tcBorders>
              <w:top w:val="single" w:sz="4" w:space="0" w:color="auto"/>
            </w:tcBorders>
            <w:shd w:val="clear" w:color="auto" w:fill="auto"/>
            <w:noWrap/>
            <w:vAlign w:val="center"/>
            <w:hideMark/>
          </w:tcPr>
          <w:p w14:paraId="57EB9D40" w14:textId="77777777" w:rsidR="001517A0" w:rsidRPr="009F551D" w:rsidRDefault="001517A0" w:rsidP="00C93CE5">
            <w:pPr>
              <w:spacing w:before="80" w:after="80" w:line="200" w:lineRule="exact"/>
              <w:jc w:val="center"/>
              <w:rPr>
                <w:rFonts w:eastAsia="Calibri"/>
                <w:b/>
                <w:i/>
                <w:iCs/>
                <w:sz w:val="16"/>
                <w:szCs w:val="16"/>
                <w:lang w:val="fr-FR"/>
              </w:rPr>
            </w:pPr>
            <w:r w:rsidRPr="009F551D">
              <w:rPr>
                <w:rFonts w:eastAsia="Calibri"/>
                <w:b/>
                <w:bCs/>
                <w:i/>
                <w:iCs/>
                <w:sz w:val="16"/>
                <w:szCs w:val="16"/>
                <w:lang w:val="fr-FR"/>
              </w:rPr>
              <w:t>Bois</w:t>
            </w:r>
          </w:p>
        </w:tc>
        <w:tc>
          <w:tcPr>
            <w:tcW w:w="1554" w:type="dxa"/>
            <w:shd w:val="clear" w:color="auto" w:fill="auto"/>
            <w:noWrap/>
            <w:vAlign w:val="center"/>
            <w:hideMark/>
          </w:tcPr>
          <w:p w14:paraId="04FC881B" w14:textId="77777777" w:rsidR="001517A0" w:rsidRPr="009F551D" w:rsidRDefault="001517A0" w:rsidP="00C93CE5">
            <w:pPr>
              <w:spacing w:before="80" w:after="80" w:line="200" w:lineRule="exact"/>
              <w:jc w:val="center"/>
              <w:rPr>
                <w:rFonts w:eastAsia="Calibri"/>
                <w:b/>
                <w:i/>
                <w:iCs/>
                <w:sz w:val="16"/>
                <w:szCs w:val="16"/>
                <w:lang w:val="fr-FR"/>
              </w:rPr>
            </w:pPr>
            <w:r w:rsidRPr="009F551D">
              <w:rPr>
                <w:rFonts w:eastAsia="Calibri"/>
                <w:b/>
                <w:bCs/>
                <w:i/>
                <w:iCs/>
                <w:sz w:val="16"/>
                <w:szCs w:val="16"/>
                <w:lang w:val="fr-FR"/>
              </w:rPr>
              <w:t>Alliages d</w:t>
            </w:r>
            <w:r>
              <w:rPr>
                <w:rFonts w:eastAsia="Calibri"/>
                <w:b/>
                <w:bCs/>
                <w:i/>
                <w:iCs/>
                <w:sz w:val="16"/>
                <w:szCs w:val="16"/>
                <w:lang w:val="fr-FR"/>
              </w:rPr>
              <w:t>’</w:t>
            </w:r>
            <w:r w:rsidRPr="009F551D">
              <w:rPr>
                <w:rFonts w:eastAsia="Calibri"/>
                <w:b/>
                <w:bCs/>
                <w:i/>
                <w:iCs/>
                <w:sz w:val="16"/>
                <w:szCs w:val="16"/>
                <w:lang w:val="fr-FR"/>
              </w:rPr>
              <w:t>aluminium</w:t>
            </w:r>
          </w:p>
        </w:tc>
        <w:tc>
          <w:tcPr>
            <w:tcW w:w="1834" w:type="dxa"/>
            <w:shd w:val="clear" w:color="auto" w:fill="auto"/>
            <w:noWrap/>
            <w:vAlign w:val="center"/>
            <w:hideMark/>
          </w:tcPr>
          <w:p w14:paraId="66FE34D8" w14:textId="77777777" w:rsidR="001517A0" w:rsidRPr="009F551D" w:rsidRDefault="001517A0" w:rsidP="00C93CE5">
            <w:pPr>
              <w:spacing w:before="80" w:after="80" w:line="200" w:lineRule="exact"/>
              <w:jc w:val="center"/>
              <w:rPr>
                <w:rFonts w:eastAsia="Calibri"/>
                <w:b/>
                <w:i/>
                <w:iCs/>
                <w:sz w:val="16"/>
                <w:szCs w:val="16"/>
                <w:lang w:val="fr-FR"/>
              </w:rPr>
            </w:pPr>
            <w:r w:rsidRPr="009F551D">
              <w:rPr>
                <w:rFonts w:eastAsia="Calibri"/>
                <w:b/>
                <w:bCs/>
                <w:i/>
                <w:iCs/>
                <w:sz w:val="16"/>
                <w:szCs w:val="16"/>
                <w:lang w:val="fr-FR"/>
              </w:rPr>
              <w:t>Matières plastiques/ Matériaux composites</w:t>
            </w:r>
          </w:p>
        </w:tc>
        <w:tc>
          <w:tcPr>
            <w:tcW w:w="1553" w:type="dxa"/>
            <w:shd w:val="clear" w:color="auto" w:fill="auto"/>
            <w:noWrap/>
            <w:vAlign w:val="center"/>
            <w:hideMark/>
          </w:tcPr>
          <w:p w14:paraId="413E35C9" w14:textId="77777777" w:rsidR="001517A0" w:rsidRPr="009F551D" w:rsidRDefault="001517A0" w:rsidP="00C93CE5">
            <w:pPr>
              <w:spacing w:before="80" w:after="80" w:line="200" w:lineRule="exact"/>
              <w:jc w:val="center"/>
              <w:rPr>
                <w:rFonts w:eastAsia="Calibri"/>
                <w:b/>
                <w:i/>
                <w:iCs/>
                <w:sz w:val="16"/>
                <w:szCs w:val="16"/>
                <w:lang w:val="fr-FR"/>
              </w:rPr>
            </w:pPr>
            <w:r w:rsidRPr="009F551D">
              <w:rPr>
                <w:rFonts w:eastAsia="Calibri"/>
                <w:b/>
                <w:bCs/>
                <w:i/>
                <w:iCs/>
                <w:sz w:val="16"/>
                <w:szCs w:val="16"/>
                <w:lang w:val="fr-FR"/>
              </w:rPr>
              <w:t>Caoutchouc</w:t>
            </w:r>
          </w:p>
        </w:tc>
        <w:tc>
          <w:tcPr>
            <w:tcW w:w="1408" w:type="dxa"/>
            <w:vAlign w:val="center"/>
          </w:tcPr>
          <w:p w14:paraId="0AA22867" w14:textId="77777777" w:rsidR="001517A0" w:rsidRPr="009F551D" w:rsidRDefault="001517A0" w:rsidP="00C93CE5">
            <w:pPr>
              <w:spacing w:before="80" w:after="80" w:line="200" w:lineRule="exact"/>
              <w:jc w:val="center"/>
              <w:rPr>
                <w:rFonts w:eastAsia="Calibri"/>
                <w:b/>
                <w:i/>
                <w:iCs/>
                <w:sz w:val="16"/>
                <w:szCs w:val="16"/>
                <w:lang w:val="fr-FR"/>
              </w:rPr>
            </w:pPr>
            <w:r w:rsidRPr="009F551D">
              <w:rPr>
                <w:rFonts w:eastAsia="Calibri"/>
                <w:b/>
                <w:bCs/>
                <w:i/>
                <w:iCs/>
                <w:sz w:val="16"/>
                <w:szCs w:val="16"/>
                <w:lang w:val="fr-FR"/>
              </w:rPr>
              <w:t>Verre</w:t>
            </w:r>
          </w:p>
        </w:tc>
      </w:tr>
      <w:tr w:rsidR="001517A0" w:rsidRPr="009F551D" w14:paraId="13D1A0E5" w14:textId="77777777" w:rsidTr="00C93CE5">
        <w:tblPrEx>
          <w:tblLook w:val="0480" w:firstRow="0" w:lastRow="0" w:firstColumn="1" w:lastColumn="0" w:noHBand="0" w:noVBand="1"/>
        </w:tblPrEx>
        <w:tc>
          <w:tcPr>
            <w:tcW w:w="6169" w:type="dxa"/>
            <w:shd w:val="clear" w:color="auto" w:fill="auto"/>
          </w:tcPr>
          <w:p w14:paraId="0CF90616" w14:textId="77777777" w:rsidR="001517A0" w:rsidRPr="009F551D" w:rsidRDefault="001517A0" w:rsidP="00C93CE5">
            <w:pPr>
              <w:spacing w:before="60" w:after="60"/>
              <w:rPr>
                <w:rFonts w:eastAsia="Calibri"/>
                <w:b/>
                <w:lang w:val="fr-FR"/>
              </w:rPr>
            </w:pPr>
            <w:r w:rsidRPr="009F551D">
              <w:rPr>
                <w:rFonts w:eastAsia="Calibri"/>
                <w:b/>
                <w:bCs/>
                <w:lang w:val="fr-FR"/>
              </w:rPr>
              <w:t>Récipients pour déchets huileux et graisseux (7.2.4.1)</w:t>
            </w:r>
          </w:p>
        </w:tc>
        <w:tc>
          <w:tcPr>
            <w:tcW w:w="1260" w:type="dxa"/>
            <w:shd w:val="clear" w:color="auto" w:fill="auto"/>
            <w:noWrap/>
            <w:vAlign w:val="center"/>
          </w:tcPr>
          <w:p w14:paraId="486B3DA7"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55290A55"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227E307A"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5E168ABD" w14:textId="77777777" w:rsidR="001517A0" w:rsidRPr="009F551D" w:rsidRDefault="001517A0" w:rsidP="00C93CE5">
            <w:pPr>
              <w:spacing w:before="60" w:after="60"/>
              <w:jc w:val="center"/>
              <w:rPr>
                <w:rFonts w:eastAsia="Calibri"/>
                <w:bCs/>
                <w:lang w:val="fr-FR"/>
              </w:rPr>
            </w:pPr>
          </w:p>
        </w:tc>
        <w:tc>
          <w:tcPr>
            <w:tcW w:w="1408" w:type="dxa"/>
          </w:tcPr>
          <w:p w14:paraId="21D56D5F" w14:textId="77777777" w:rsidR="001517A0" w:rsidRPr="009F551D" w:rsidRDefault="001517A0" w:rsidP="00C93CE5">
            <w:pPr>
              <w:spacing w:before="60" w:after="60"/>
              <w:jc w:val="center"/>
              <w:rPr>
                <w:rFonts w:eastAsia="Calibri"/>
                <w:bCs/>
                <w:lang w:val="fr-FR"/>
              </w:rPr>
            </w:pPr>
          </w:p>
        </w:tc>
      </w:tr>
      <w:tr w:rsidR="001517A0" w:rsidRPr="009F551D" w14:paraId="350F4EF6" w14:textId="77777777" w:rsidTr="00C93CE5">
        <w:tblPrEx>
          <w:tblLook w:val="0480" w:firstRow="0" w:lastRow="0" w:firstColumn="1" w:lastColumn="0" w:noHBand="0" w:noVBand="1"/>
        </w:tblPrEx>
        <w:tc>
          <w:tcPr>
            <w:tcW w:w="6169" w:type="dxa"/>
            <w:shd w:val="clear" w:color="auto" w:fill="auto"/>
          </w:tcPr>
          <w:p w14:paraId="6C161A53" w14:textId="77777777" w:rsidR="001517A0" w:rsidRPr="009F551D" w:rsidRDefault="001517A0" w:rsidP="00C93CE5">
            <w:pPr>
              <w:spacing w:before="60" w:after="60"/>
              <w:rPr>
                <w:rFonts w:eastAsia="Calibri"/>
                <w:bCs/>
                <w:lang w:val="fr-FR"/>
              </w:rPr>
            </w:pPr>
          </w:p>
        </w:tc>
        <w:tc>
          <w:tcPr>
            <w:tcW w:w="1260" w:type="dxa"/>
            <w:shd w:val="clear" w:color="auto" w:fill="auto"/>
            <w:noWrap/>
            <w:vAlign w:val="center"/>
          </w:tcPr>
          <w:p w14:paraId="26FCD7A4" w14:textId="77777777" w:rsidR="001517A0" w:rsidRPr="009F551D" w:rsidRDefault="001517A0" w:rsidP="00C93CE5">
            <w:pPr>
              <w:spacing w:before="60" w:after="60"/>
              <w:jc w:val="center"/>
              <w:rPr>
                <w:rFonts w:eastAsia="Calibri"/>
                <w:bCs/>
                <w:lang w:val="fr-FR"/>
              </w:rPr>
            </w:pPr>
          </w:p>
        </w:tc>
        <w:tc>
          <w:tcPr>
            <w:tcW w:w="6349" w:type="dxa"/>
            <w:gridSpan w:val="4"/>
            <w:shd w:val="clear" w:color="auto" w:fill="auto"/>
            <w:noWrap/>
            <w:vAlign w:val="center"/>
          </w:tcPr>
          <w:p w14:paraId="4CE98139" w14:textId="77777777" w:rsidR="001517A0" w:rsidRPr="009F551D" w:rsidRDefault="001517A0" w:rsidP="00C93CE5">
            <w:pPr>
              <w:spacing w:before="60" w:after="60"/>
              <w:jc w:val="center"/>
              <w:rPr>
                <w:rFonts w:eastAsia="Calibri"/>
                <w:bCs/>
                <w:lang w:val="fr-FR"/>
              </w:rPr>
            </w:pPr>
            <w:r w:rsidRPr="009F551D">
              <w:rPr>
                <w:rFonts w:eastAsia="Calibri"/>
                <w:lang w:val="fr-FR"/>
              </w:rPr>
              <w:t>Récipients résistants au feu (7.2.1.21.6)</w:t>
            </w:r>
          </w:p>
        </w:tc>
      </w:tr>
      <w:tr w:rsidR="001517A0" w:rsidRPr="009F551D" w14:paraId="369A9947" w14:textId="77777777" w:rsidTr="00C93CE5">
        <w:tblPrEx>
          <w:tblLook w:val="0480" w:firstRow="0" w:lastRow="0" w:firstColumn="1" w:lastColumn="0" w:noHBand="0" w:noVBand="1"/>
        </w:tblPrEx>
        <w:tc>
          <w:tcPr>
            <w:tcW w:w="6169" w:type="dxa"/>
            <w:shd w:val="clear" w:color="auto" w:fill="auto"/>
          </w:tcPr>
          <w:p w14:paraId="2754F262" w14:textId="77777777" w:rsidR="001517A0" w:rsidRPr="009F551D" w:rsidRDefault="001517A0" w:rsidP="00C93CE5">
            <w:pPr>
              <w:spacing w:before="60" w:after="60"/>
              <w:rPr>
                <w:rFonts w:eastAsia="Calibri"/>
                <w:bCs/>
                <w:lang w:val="fr-FR"/>
              </w:rPr>
            </w:pPr>
            <w:r w:rsidRPr="009F551D">
              <w:rPr>
                <w:rFonts w:eastAsia="Calibri"/>
                <w:lang w:val="fr-FR"/>
              </w:rPr>
              <w:t xml:space="preserve">Récipients pour produits résiduaires et récipients pour </w:t>
            </w:r>
            <w:proofErr w:type="spellStart"/>
            <w:r w:rsidRPr="009F551D">
              <w:rPr>
                <w:rFonts w:eastAsia="Calibri"/>
                <w:lang w:val="fr-FR"/>
              </w:rPr>
              <w:t>slops</w:t>
            </w:r>
            <w:proofErr w:type="spellEnd"/>
          </w:p>
        </w:tc>
        <w:tc>
          <w:tcPr>
            <w:tcW w:w="1260" w:type="dxa"/>
            <w:shd w:val="clear" w:color="auto" w:fill="auto"/>
            <w:noWrap/>
            <w:vAlign w:val="center"/>
          </w:tcPr>
          <w:p w14:paraId="00E36A3B"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2F6EF7A2"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4F1EBD0C"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6947475E" w14:textId="77777777" w:rsidR="001517A0" w:rsidRPr="009F551D" w:rsidRDefault="001517A0" w:rsidP="00C93CE5">
            <w:pPr>
              <w:spacing w:before="60" w:after="60"/>
              <w:jc w:val="center"/>
              <w:rPr>
                <w:rFonts w:eastAsia="Calibri"/>
                <w:bCs/>
                <w:lang w:val="fr-FR"/>
              </w:rPr>
            </w:pPr>
          </w:p>
        </w:tc>
        <w:tc>
          <w:tcPr>
            <w:tcW w:w="1408" w:type="dxa"/>
          </w:tcPr>
          <w:p w14:paraId="6E89C6C0" w14:textId="77777777" w:rsidR="001517A0" w:rsidRPr="009F551D" w:rsidRDefault="001517A0" w:rsidP="00C93CE5">
            <w:pPr>
              <w:spacing w:before="60" w:after="60"/>
              <w:jc w:val="center"/>
              <w:rPr>
                <w:rFonts w:eastAsia="Calibri"/>
                <w:bCs/>
                <w:lang w:val="fr-FR"/>
              </w:rPr>
            </w:pPr>
          </w:p>
        </w:tc>
      </w:tr>
      <w:tr w:rsidR="001517A0" w:rsidRPr="00E86888" w14:paraId="5E0C4112" w14:textId="77777777" w:rsidTr="00C93CE5">
        <w:tblPrEx>
          <w:tblLook w:val="0480" w:firstRow="0" w:lastRow="0" w:firstColumn="1" w:lastColumn="0" w:noHBand="0" w:noVBand="1"/>
        </w:tblPrEx>
        <w:tc>
          <w:tcPr>
            <w:tcW w:w="6169" w:type="dxa"/>
            <w:shd w:val="clear" w:color="auto" w:fill="auto"/>
          </w:tcPr>
          <w:p w14:paraId="63F7176D" w14:textId="77777777" w:rsidR="001517A0" w:rsidRPr="009F551D" w:rsidRDefault="001517A0" w:rsidP="00C93CE5">
            <w:pPr>
              <w:spacing w:before="60" w:after="60"/>
              <w:rPr>
                <w:rFonts w:eastAsia="Calibri"/>
                <w:bCs/>
                <w:lang w:val="fr-FR"/>
              </w:rPr>
            </w:pPr>
          </w:p>
        </w:tc>
        <w:tc>
          <w:tcPr>
            <w:tcW w:w="7609" w:type="dxa"/>
            <w:gridSpan w:val="5"/>
            <w:shd w:val="clear" w:color="auto" w:fill="auto"/>
            <w:noWrap/>
            <w:vAlign w:val="center"/>
          </w:tcPr>
          <w:p w14:paraId="194A9A40" w14:textId="77777777" w:rsidR="001517A0" w:rsidRPr="009F551D" w:rsidRDefault="001517A0" w:rsidP="00C93CE5">
            <w:pPr>
              <w:spacing w:before="60" w:after="60"/>
              <w:jc w:val="center"/>
              <w:rPr>
                <w:rFonts w:eastAsia="Calibri"/>
                <w:bCs/>
                <w:lang w:val="fr-FR"/>
              </w:rPr>
            </w:pPr>
            <w:r w:rsidRPr="009F551D">
              <w:rPr>
                <w:rFonts w:eastAsia="Calibri"/>
                <w:lang w:val="fr-FR"/>
              </w:rPr>
              <w:t>Conformes à l</w:t>
            </w:r>
            <w:r>
              <w:rPr>
                <w:rFonts w:eastAsia="Calibri"/>
                <w:lang w:val="fr-FR"/>
              </w:rPr>
              <w:t>’</w:t>
            </w:r>
            <w:r w:rsidRPr="009F551D">
              <w:rPr>
                <w:rFonts w:eastAsia="Calibri"/>
                <w:lang w:val="fr-FR"/>
              </w:rPr>
              <w:t xml:space="preserve">ADR, au RID ou au Code IMDG en ce qui concerne les critères </w:t>
            </w:r>
            <w:r w:rsidRPr="009F551D">
              <w:rPr>
                <w:rFonts w:eastAsia="Calibri"/>
                <w:lang w:val="fr-FR"/>
              </w:rPr>
              <w:br/>
              <w:t>d</w:t>
            </w:r>
            <w:r>
              <w:rPr>
                <w:rFonts w:eastAsia="Calibri"/>
                <w:lang w:val="fr-FR"/>
              </w:rPr>
              <w:t>’</w:t>
            </w:r>
            <w:r w:rsidRPr="009F551D">
              <w:rPr>
                <w:rFonts w:eastAsia="Calibri"/>
                <w:lang w:val="fr-FR"/>
              </w:rPr>
              <w:t>acceptation des matériaux</w:t>
            </w:r>
          </w:p>
        </w:tc>
      </w:tr>
      <w:tr w:rsidR="001517A0" w:rsidRPr="009F551D" w14:paraId="003BBC35" w14:textId="77777777" w:rsidTr="00C93CE5">
        <w:tblPrEx>
          <w:tblLook w:val="0480" w:firstRow="0" w:lastRow="0" w:firstColumn="1" w:lastColumn="0" w:noHBand="0" w:noVBand="1"/>
        </w:tblPrEx>
        <w:tc>
          <w:tcPr>
            <w:tcW w:w="6169" w:type="dxa"/>
            <w:vMerge w:val="restart"/>
            <w:shd w:val="clear" w:color="auto" w:fill="auto"/>
          </w:tcPr>
          <w:p w14:paraId="172935BE" w14:textId="77777777" w:rsidR="001517A0" w:rsidRPr="009F551D" w:rsidRDefault="001517A0" w:rsidP="00C93CE5">
            <w:pPr>
              <w:spacing w:before="60" w:after="60"/>
              <w:rPr>
                <w:rFonts w:eastAsia="Calibri"/>
                <w:bCs/>
                <w:lang w:val="fr-FR"/>
              </w:rPr>
            </w:pPr>
            <w:r w:rsidRPr="009F551D">
              <w:rPr>
                <w:rFonts w:eastAsia="Calibri"/>
                <w:lang w:val="fr-FR"/>
              </w:rPr>
              <w:t>Bouteilles de prélèvement d</w:t>
            </w:r>
            <w:r>
              <w:rPr>
                <w:rFonts w:eastAsia="Calibri"/>
                <w:lang w:val="fr-FR"/>
              </w:rPr>
              <w:t>’</w:t>
            </w:r>
            <w:r w:rsidRPr="009F551D">
              <w:rPr>
                <w:rFonts w:eastAsia="Calibri"/>
                <w:lang w:val="fr-FR"/>
              </w:rPr>
              <w:t>échantillons</w:t>
            </w:r>
          </w:p>
        </w:tc>
        <w:tc>
          <w:tcPr>
            <w:tcW w:w="1260" w:type="dxa"/>
            <w:shd w:val="clear" w:color="auto" w:fill="auto"/>
            <w:noWrap/>
            <w:vAlign w:val="center"/>
          </w:tcPr>
          <w:p w14:paraId="22FF8A93"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4073E6FE" w14:textId="77777777" w:rsidR="001517A0" w:rsidRPr="009F551D" w:rsidRDefault="001517A0" w:rsidP="00C93CE5">
            <w:pPr>
              <w:spacing w:before="60" w:after="60"/>
              <w:jc w:val="center"/>
              <w:rPr>
                <w:rFonts w:eastAsia="Calibri"/>
                <w:bCs/>
                <w:lang w:val="fr-FR"/>
              </w:rPr>
            </w:pPr>
          </w:p>
        </w:tc>
        <w:tc>
          <w:tcPr>
            <w:tcW w:w="1834" w:type="dxa"/>
            <w:shd w:val="clear" w:color="auto" w:fill="auto"/>
            <w:noWrap/>
            <w:vAlign w:val="center"/>
          </w:tcPr>
          <w:p w14:paraId="397183F4"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52DFEDC6" w14:textId="77777777" w:rsidR="001517A0" w:rsidRPr="009F551D" w:rsidRDefault="001517A0" w:rsidP="00C93CE5">
            <w:pPr>
              <w:spacing w:before="60" w:after="60"/>
              <w:jc w:val="center"/>
              <w:rPr>
                <w:rFonts w:eastAsia="Calibri"/>
                <w:bCs/>
                <w:lang w:val="fr-FR"/>
              </w:rPr>
            </w:pPr>
          </w:p>
        </w:tc>
        <w:tc>
          <w:tcPr>
            <w:tcW w:w="1408" w:type="dxa"/>
          </w:tcPr>
          <w:p w14:paraId="73B19F5E"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r>
      <w:tr w:rsidR="001517A0" w:rsidRPr="00E86888" w14:paraId="4FEBCDA1" w14:textId="77777777" w:rsidTr="00C93CE5">
        <w:tblPrEx>
          <w:tblLook w:val="0480" w:firstRow="0" w:lastRow="0" w:firstColumn="1" w:lastColumn="0" w:noHBand="0" w:noVBand="1"/>
        </w:tblPrEx>
        <w:tc>
          <w:tcPr>
            <w:tcW w:w="6169" w:type="dxa"/>
            <w:vMerge/>
            <w:shd w:val="clear" w:color="auto" w:fill="auto"/>
            <w:vAlign w:val="bottom"/>
          </w:tcPr>
          <w:p w14:paraId="0EAFF5D4" w14:textId="77777777" w:rsidR="001517A0" w:rsidRPr="009F551D" w:rsidRDefault="001517A0" w:rsidP="00C93CE5">
            <w:pPr>
              <w:spacing w:before="60" w:after="60"/>
              <w:rPr>
                <w:rFonts w:eastAsia="Calibri"/>
                <w:bCs/>
                <w:lang w:val="fr-FR"/>
              </w:rPr>
            </w:pPr>
          </w:p>
        </w:tc>
        <w:tc>
          <w:tcPr>
            <w:tcW w:w="7609" w:type="dxa"/>
            <w:gridSpan w:val="5"/>
            <w:shd w:val="clear" w:color="auto" w:fill="auto"/>
            <w:noWrap/>
            <w:vAlign w:val="center"/>
          </w:tcPr>
          <w:p w14:paraId="0F767ED1" w14:textId="77777777" w:rsidR="001517A0" w:rsidRPr="009F551D" w:rsidRDefault="001517A0" w:rsidP="00C93CE5">
            <w:pPr>
              <w:spacing w:before="60" w:after="60"/>
              <w:jc w:val="center"/>
              <w:rPr>
                <w:rFonts w:eastAsia="Calibri"/>
                <w:bCs/>
                <w:lang w:val="fr-FR"/>
              </w:rPr>
            </w:pPr>
            <w:r w:rsidRPr="009F551D">
              <w:rPr>
                <w:rFonts w:eastAsia="Calibri"/>
                <w:lang w:val="fr-FR"/>
              </w:rPr>
              <w:t>Conformes aux critères d</w:t>
            </w:r>
            <w:r>
              <w:rPr>
                <w:rFonts w:eastAsia="Calibri"/>
                <w:lang w:val="fr-FR"/>
              </w:rPr>
              <w:t>’</w:t>
            </w:r>
            <w:r w:rsidRPr="009F551D">
              <w:rPr>
                <w:rFonts w:eastAsia="Calibri"/>
                <w:lang w:val="fr-FR"/>
              </w:rPr>
              <w:t>acceptation des matériaux de l</w:t>
            </w:r>
            <w:r>
              <w:rPr>
                <w:rFonts w:eastAsia="Calibri"/>
                <w:lang w:val="fr-FR"/>
              </w:rPr>
              <w:t>’</w:t>
            </w:r>
            <w:r w:rsidRPr="009F551D">
              <w:rPr>
                <w:rFonts w:eastAsia="Calibri"/>
                <w:lang w:val="fr-FR"/>
              </w:rPr>
              <w:t>ADR</w:t>
            </w:r>
          </w:p>
        </w:tc>
      </w:tr>
      <w:tr w:rsidR="001517A0" w:rsidRPr="009F551D" w14:paraId="09B88F0C" w14:textId="77777777" w:rsidTr="00C93CE5">
        <w:tblPrEx>
          <w:tblLook w:val="0480" w:firstRow="0" w:lastRow="0" w:firstColumn="1" w:lastColumn="0" w:noHBand="0" w:noVBand="1"/>
        </w:tblPrEx>
        <w:tc>
          <w:tcPr>
            <w:tcW w:w="6169" w:type="dxa"/>
            <w:shd w:val="clear" w:color="auto" w:fill="auto"/>
            <w:vAlign w:val="bottom"/>
          </w:tcPr>
          <w:p w14:paraId="243C843F" w14:textId="77777777" w:rsidR="001517A0" w:rsidRPr="009F551D" w:rsidRDefault="001517A0" w:rsidP="00C93CE5">
            <w:pPr>
              <w:spacing w:before="60" w:after="60"/>
              <w:rPr>
                <w:rFonts w:eastAsia="Calibri"/>
                <w:bCs/>
                <w:lang w:val="fr-FR"/>
              </w:rPr>
            </w:pPr>
            <w:r w:rsidRPr="009F551D">
              <w:rPr>
                <w:rFonts w:eastAsia="Calibri"/>
                <w:lang w:val="fr-FR"/>
              </w:rPr>
              <w:t>Copies photo-optiques de l</w:t>
            </w:r>
            <w:r>
              <w:rPr>
                <w:rFonts w:eastAsia="Calibri"/>
                <w:lang w:val="fr-FR"/>
              </w:rPr>
              <w:t>’</w:t>
            </w:r>
            <w:r w:rsidRPr="009F551D">
              <w:rPr>
                <w:rFonts w:eastAsia="Calibri"/>
                <w:lang w:val="fr-FR"/>
              </w:rPr>
              <w:t>intégralité du certificat d</w:t>
            </w:r>
            <w:r>
              <w:rPr>
                <w:rFonts w:eastAsia="Calibri"/>
                <w:lang w:val="fr-FR"/>
              </w:rPr>
              <w:t>’</w:t>
            </w:r>
            <w:r w:rsidRPr="009F551D">
              <w:rPr>
                <w:rFonts w:eastAsia="Calibri"/>
                <w:lang w:val="fr-FR"/>
              </w:rPr>
              <w:t xml:space="preserve">agrément selon </w:t>
            </w:r>
            <w:r w:rsidRPr="009F551D">
              <w:rPr>
                <w:rFonts w:eastAsia="Calibri"/>
                <w:lang w:val="fr-FR"/>
              </w:rPr>
              <w:br/>
              <w:t xml:space="preserve">le 8.1.2.6 ou le 8.1.2.7 ainsi que du certificat de bateau, du certificat </w:t>
            </w:r>
            <w:r w:rsidRPr="009F551D">
              <w:rPr>
                <w:rFonts w:eastAsia="Calibri"/>
                <w:lang w:val="fr-FR"/>
              </w:rPr>
              <w:br/>
              <w:t>de jaugeage et des autres documents applicables</w:t>
            </w:r>
            <w:r w:rsidRPr="009F551D">
              <w:rPr>
                <w:rFonts w:eastAsia="Calibri"/>
                <w:sz w:val="18"/>
                <w:szCs w:val="18"/>
                <w:vertAlign w:val="superscript"/>
                <w:lang w:val="fr-FR"/>
              </w:rPr>
              <w:footnoteReference w:id="4"/>
            </w:r>
            <w:r w:rsidRPr="009F551D">
              <w:rPr>
                <w:rFonts w:eastAsia="Calibri"/>
                <w:lang w:val="fr-FR"/>
              </w:rPr>
              <w:t xml:space="preserve"> </w:t>
            </w:r>
          </w:p>
        </w:tc>
        <w:tc>
          <w:tcPr>
            <w:tcW w:w="1260" w:type="dxa"/>
            <w:shd w:val="clear" w:color="auto" w:fill="auto"/>
            <w:noWrap/>
            <w:vAlign w:val="center"/>
          </w:tcPr>
          <w:p w14:paraId="40AA1A03"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58B4B69C"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27CE707D"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35BE41E1" w14:textId="77777777" w:rsidR="001517A0" w:rsidRPr="009F551D" w:rsidRDefault="001517A0" w:rsidP="00C93CE5">
            <w:pPr>
              <w:spacing w:before="60" w:after="60"/>
              <w:jc w:val="center"/>
              <w:rPr>
                <w:rFonts w:eastAsia="Calibri"/>
                <w:bCs/>
                <w:lang w:val="fr-FR"/>
              </w:rPr>
            </w:pPr>
          </w:p>
        </w:tc>
        <w:tc>
          <w:tcPr>
            <w:tcW w:w="1408" w:type="dxa"/>
          </w:tcPr>
          <w:p w14:paraId="5EF21FBD" w14:textId="77777777" w:rsidR="001517A0" w:rsidRPr="009F551D" w:rsidRDefault="001517A0" w:rsidP="00C93CE5">
            <w:pPr>
              <w:spacing w:before="60" w:after="60"/>
              <w:jc w:val="center"/>
              <w:rPr>
                <w:rFonts w:eastAsia="Calibri"/>
                <w:bCs/>
                <w:lang w:val="fr-FR"/>
              </w:rPr>
            </w:pPr>
          </w:p>
        </w:tc>
      </w:tr>
      <w:tr w:rsidR="001517A0" w:rsidRPr="009F551D" w14:paraId="41413388" w14:textId="77777777" w:rsidTr="00C93CE5">
        <w:tblPrEx>
          <w:tblLook w:val="0480" w:firstRow="0" w:lastRow="0" w:firstColumn="1" w:lastColumn="0" w:noHBand="0" w:noVBand="1"/>
        </w:tblPrEx>
        <w:tc>
          <w:tcPr>
            <w:tcW w:w="6169" w:type="dxa"/>
            <w:shd w:val="clear" w:color="auto" w:fill="auto"/>
            <w:vAlign w:val="bottom"/>
          </w:tcPr>
          <w:p w14:paraId="08547CBB" w14:textId="77777777" w:rsidR="001517A0" w:rsidRPr="009F551D" w:rsidRDefault="001517A0" w:rsidP="00C93CE5">
            <w:pPr>
              <w:spacing w:before="60" w:after="60"/>
              <w:rPr>
                <w:rFonts w:eastAsia="Calibri"/>
                <w:bCs/>
                <w:lang w:val="fr-FR"/>
              </w:rPr>
            </w:pPr>
            <w:r w:rsidRPr="009F551D">
              <w:rPr>
                <w:rFonts w:eastAsia="Calibri"/>
                <w:lang w:val="fr-FR"/>
              </w:rPr>
              <w:t>Paniers en aluminium pour le stockage des amarres</w:t>
            </w:r>
          </w:p>
        </w:tc>
        <w:tc>
          <w:tcPr>
            <w:tcW w:w="1260" w:type="dxa"/>
            <w:shd w:val="clear" w:color="auto" w:fill="auto"/>
            <w:noWrap/>
            <w:vAlign w:val="center"/>
          </w:tcPr>
          <w:p w14:paraId="2C41BC58" w14:textId="77777777" w:rsidR="001517A0" w:rsidRPr="009F551D" w:rsidRDefault="001517A0" w:rsidP="00C93CE5">
            <w:pPr>
              <w:spacing w:before="60" w:after="60"/>
              <w:jc w:val="center"/>
              <w:rPr>
                <w:rFonts w:eastAsia="Calibri"/>
                <w:bCs/>
                <w:lang w:val="fr-FR"/>
              </w:rPr>
            </w:pPr>
          </w:p>
        </w:tc>
        <w:tc>
          <w:tcPr>
            <w:tcW w:w="1554" w:type="dxa"/>
            <w:shd w:val="clear" w:color="auto" w:fill="auto"/>
            <w:noWrap/>
            <w:vAlign w:val="center"/>
          </w:tcPr>
          <w:p w14:paraId="70E34E76"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5B46048B" w14:textId="77777777" w:rsidR="001517A0" w:rsidRPr="009F551D" w:rsidRDefault="001517A0" w:rsidP="00C93CE5">
            <w:pPr>
              <w:spacing w:before="60" w:after="60"/>
              <w:jc w:val="center"/>
              <w:rPr>
                <w:rFonts w:eastAsia="Calibri"/>
                <w:bCs/>
                <w:lang w:val="fr-FR"/>
              </w:rPr>
            </w:pPr>
          </w:p>
        </w:tc>
        <w:tc>
          <w:tcPr>
            <w:tcW w:w="1553" w:type="dxa"/>
            <w:shd w:val="clear" w:color="auto" w:fill="auto"/>
            <w:noWrap/>
            <w:vAlign w:val="center"/>
          </w:tcPr>
          <w:p w14:paraId="2829361E" w14:textId="77777777" w:rsidR="001517A0" w:rsidRPr="009F551D" w:rsidRDefault="001517A0" w:rsidP="00C93CE5">
            <w:pPr>
              <w:spacing w:before="60" w:after="60"/>
              <w:jc w:val="center"/>
              <w:rPr>
                <w:rFonts w:eastAsia="Calibri"/>
                <w:bCs/>
                <w:lang w:val="fr-FR"/>
              </w:rPr>
            </w:pPr>
          </w:p>
        </w:tc>
        <w:tc>
          <w:tcPr>
            <w:tcW w:w="1408" w:type="dxa"/>
          </w:tcPr>
          <w:p w14:paraId="500DECC5" w14:textId="77777777" w:rsidR="001517A0" w:rsidRPr="009F551D" w:rsidRDefault="001517A0" w:rsidP="00C93CE5">
            <w:pPr>
              <w:spacing w:before="60" w:after="60"/>
              <w:jc w:val="center"/>
              <w:rPr>
                <w:rFonts w:eastAsia="Calibri"/>
                <w:bCs/>
                <w:lang w:val="fr-FR"/>
              </w:rPr>
            </w:pPr>
          </w:p>
        </w:tc>
      </w:tr>
      <w:tr w:rsidR="001517A0" w:rsidRPr="009F551D" w14:paraId="1814DD8C" w14:textId="77777777" w:rsidTr="00C93CE5">
        <w:tblPrEx>
          <w:tblLook w:val="0480" w:firstRow="0" w:lastRow="0" w:firstColumn="1" w:lastColumn="0" w:noHBand="0" w:noVBand="1"/>
        </w:tblPrEx>
        <w:tc>
          <w:tcPr>
            <w:tcW w:w="6169" w:type="dxa"/>
            <w:shd w:val="clear" w:color="auto" w:fill="auto"/>
            <w:vAlign w:val="bottom"/>
          </w:tcPr>
          <w:p w14:paraId="7D62CCCF" w14:textId="77777777" w:rsidR="001517A0" w:rsidRPr="009F551D" w:rsidRDefault="001517A0" w:rsidP="00C93CE5">
            <w:pPr>
              <w:spacing w:before="60" w:after="60"/>
              <w:rPr>
                <w:rFonts w:eastAsia="Calibri"/>
                <w:bCs/>
                <w:lang w:val="fr-FR"/>
              </w:rPr>
            </w:pPr>
            <w:r w:rsidRPr="009F551D">
              <w:rPr>
                <w:rFonts w:eastAsia="Calibri"/>
                <w:lang w:val="fr-FR"/>
              </w:rPr>
              <w:t>Gaffes</w:t>
            </w:r>
          </w:p>
        </w:tc>
        <w:tc>
          <w:tcPr>
            <w:tcW w:w="1260" w:type="dxa"/>
            <w:shd w:val="clear" w:color="auto" w:fill="auto"/>
            <w:noWrap/>
            <w:vAlign w:val="center"/>
          </w:tcPr>
          <w:p w14:paraId="52580A53"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4" w:type="dxa"/>
            <w:shd w:val="clear" w:color="auto" w:fill="auto"/>
            <w:noWrap/>
            <w:vAlign w:val="center"/>
          </w:tcPr>
          <w:p w14:paraId="1690E600"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auto"/>
            <w:noWrap/>
            <w:vAlign w:val="center"/>
          </w:tcPr>
          <w:p w14:paraId="4FD44B4A"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auto"/>
            <w:noWrap/>
            <w:vAlign w:val="center"/>
          </w:tcPr>
          <w:p w14:paraId="1E59460E" w14:textId="77777777" w:rsidR="001517A0" w:rsidRPr="009F551D" w:rsidRDefault="001517A0" w:rsidP="00C93CE5">
            <w:pPr>
              <w:spacing w:before="60" w:after="60"/>
              <w:jc w:val="center"/>
              <w:rPr>
                <w:rFonts w:eastAsia="Calibri"/>
                <w:bCs/>
                <w:lang w:val="fr-FR"/>
              </w:rPr>
            </w:pPr>
          </w:p>
        </w:tc>
        <w:tc>
          <w:tcPr>
            <w:tcW w:w="1408" w:type="dxa"/>
          </w:tcPr>
          <w:p w14:paraId="61E13757" w14:textId="77777777" w:rsidR="001517A0" w:rsidRPr="009F551D" w:rsidRDefault="001517A0" w:rsidP="00C93CE5">
            <w:pPr>
              <w:spacing w:before="60" w:after="60"/>
              <w:jc w:val="center"/>
              <w:rPr>
                <w:rFonts w:eastAsia="Calibri"/>
                <w:bCs/>
                <w:lang w:val="fr-FR"/>
              </w:rPr>
            </w:pPr>
          </w:p>
        </w:tc>
      </w:tr>
      <w:tr w:rsidR="001517A0" w:rsidRPr="009F551D" w14:paraId="76885773" w14:textId="77777777" w:rsidTr="00C93CE5">
        <w:tblPrEx>
          <w:tblLook w:val="0480" w:firstRow="0" w:lastRow="0" w:firstColumn="1" w:lastColumn="0" w:noHBand="0" w:noVBand="1"/>
        </w:tblPrEx>
        <w:tc>
          <w:tcPr>
            <w:tcW w:w="6169" w:type="dxa"/>
            <w:vMerge w:val="restart"/>
            <w:shd w:val="clear" w:color="auto" w:fill="D9D9D9"/>
            <w:vAlign w:val="bottom"/>
          </w:tcPr>
          <w:p w14:paraId="73840EA3" w14:textId="77777777" w:rsidR="001517A0" w:rsidRPr="009F551D" w:rsidRDefault="001517A0" w:rsidP="00C93CE5">
            <w:pPr>
              <w:spacing w:before="60" w:after="60"/>
              <w:rPr>
                <w:rFonts w:eastAsia="Calibri"/>
                <w:bCs/>
                <w:lang w:val="fr-FR"/>
              </w:rPr>
            </w:pPr>
            <w:r w:rsidRPr="009F551D">
              <w:rPr>
                <w:rFonts w:eastAsia="Calibri"/>
                <w:lang w:val="fr-FR"/>
              </w:rPr>
              <w:t>Canots de service</w:t>
            </w:r>
          </w:p>
          <w:p w14:paraId="2C3267B2" w14:textId="77777777" w:rsidR="001517A0" w:rsidRPr="009F551D" w:rsidRDefault="001517A0" w:rsidP="00C93CE5">
            <w:pPr>
              <w:spacing w:before="60" w:after="60"/>
              <w:rPr>
                <w:rFonts w:eastAsia="Calibri"/>
                <w:bCs/>
                <w:lang w:val="fr-FR"/>
              </w:rPr>
            </w:pPr>
            <w:r w:rsidRPr="009F551D">
              <w:rPr>
                <w:rFonts w:eastAsia="Calibri"/>
                <w:lang w:val="fr-FR"/>
              </w:rPr>
              <w:t xml:space="preserve">(Dans les cas, visés aux 7.2.3.29.1 et 7.2.3.31.1, où les canots </w:t>
            </w:r>
            <w:r w:rsidRPr="009F551D">
              <w:rPr>
                <w:rFonts w:eastAsia="Calibri"/>
                <w:lang w:val="fr-FR"/>
              </w:rPr>
              <w:br/>
              <w:t>sont autorisés dans la zone de cargaison)</w:t>
            </w:r>
          </w:p>
        </w:tc>
        <w:tc>
          <w:tcPr>
            <w:tcW w:w="1260" w:type="dxa"/>
            <w:shd w:val="clear" w:color="auto" w:fill="D9D9D9"/>
            <w:noWrap/>
            <w:vAlign w:val="center"/>
          </w:tcPr>
          <w:p w14:paraId="24C0E178" w14:textId="77777777" w:rsidR="001517A0" w:rsidRPr="009F551D" w:rsidRDefault="001517A0" w:rsidP="00C93CE5">
            <w:pPr>
              <w:spacing w:before="60" w:after="60"/>
              <w:jc w:val="center"/>
              <w:rPr>
                <w:rFonts w:eastAsia="Calibri"/>
                <w:bCs/>
                <w:lang w:val="fr-FR"/>
              </w:rPr>
            </w:pPr>
          </w:p>
        </w:tc>
        <w:tc>
          <w:tcPr>
            <w:tcW w:w="1554" w:type="dxa"/>
            <w:shd w:val="clear" w:color="auto" w:fill="D9D9D9"/>
            <w:noWrap/>
            <w:vAlign w:val="center"/>
          </w:tcPr>
          <w:p w14:paraId="16968F37"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834" w:type="dxa"/>
            <w:shd w:val="clear" w:color="auto" w:fill="D9D9D9"/>
            <w:noWrap/>
            <w:vAlign w:val="center"/>
          </w:tcPr>
          <w:p w14:paraId="2900E38F" w14:textId="77777777" w:rsidR="001517A0" w:rsidRPr="009F551D" w:rsidRDefault="001517A0" w:rsidP="00C93CE5">
            <w:pPr>
              <w:spacing w:before="60" w:after="60"/>
              <w:jc w:val="center"/>
              <w:rPr>
                <w:rFonts w:eastAsia="Calibri"/>
                <w:bCs/>
                <w:lang w:val="fr-FR"/>
              </w:rPr>
            </w:pPr>
            <w:r w:rsidRPr="009F551D">
              <w:rPr>
                <w:rFonts w:eastAsia="Calibri"/>
                <w:lang w:val="fr-FR"/>
              </w:rPr>
              <w:t>X</w:t>
            </w:r>
          </w:p>
        </w:tc>
        <w:tc>
          <w:tcPr>
            <w:tcW w:w="1553" w:type="dxa"/>
            <w:shd w:val="clear" w:color="auto" w:fill="D9D9D9"/>
            <w:noWrap/>
            <w:vAlign w:val="center"/>
          </w:tcPr>
          <w:p w14:paraId="2226AFBB" w14:textId="77777777" w:rsidR="001517A0" w:rsidRPr="009F551D" w:rsidRDefault="001517A0" w:rsidP="00C93CE5">
            <w:pPr>
              <w:spacing w:before="60" w:after="60"/>
              <w:jc w:val="center"/>
              <w:rPr>
                <w:rFonts w:eastAsia="Calibri"/>
                <w:bCs/>
                <w:lang w:val="fr-FR"/>
              </w:rPr>
            </w:pPr>
          </w:p>
        </w:tc>
        <w:tc>
          <w:tcPr>
            <w:tcW w:w="1408" w:type="dxa"/>
            <w:shd w:val="clear" w:color="auto" w:fill="D9D9D9"/>
          </w:tcPr>
          <w:p w14:paraId="4130570D" w14:textId="77777777" w:rsidR="001517A0" w:rsidRPr="009F551D" w:rsidRDefault="001517A0" w:rsidP="00C93CE5">
            <w:pPr>
              <w:spacing w:before="60" w:after="60"/>
              <w:jc w:val="center"/>
              <w:rPr>
                <w:rFonts w:eastAsia="Calibri"/>
                <w:bCs/>
                <w:lang w:val="fr-FR"/>
              </w:rPr>
            </w:pPr>
          </w:p>
        </w:tc>
      </w:tr>
      <w:tr w:rsidR="001517A0" w:rsidRPr="00E86888" w14:paraId="0E5B45B1" w14:textId="77777777" w:rsidTr="00C93CE5">
        <w:tblPrEx>
          <w:tblLook w:val="0480" w:firstRow="0" w:lastRow="0" w:firstColumn="1" w:lastColumn="0" w:noHBand="0" w:noVBand="1"/>
        </w:tblPrEx>
        <w:tc>
          <w:tcPr>
            <w:tcW w:w="6169" w:type="dxa"/>
            <w:vMerge/>
            <w:shd w:val="clear" w:color="auto" w:fill="D9D9D9"/>
            <w:vAlign w:val="bottom"/>
          </w:tcPr>
          <w:p w14:paraId="678FCCCA" w14:textId="77777777" w:rsidR="001517A0" w:rsidRPr="009F551D" w:rsidRDefault="001517A0" w:rsidP="00C93CE5">
            <w:pPr>
              <w:spacing w:before="60" w:after="60"/>
              <w:rPr>
                <w:rFonts w:eastAsia="Calibri"/>
                <w:bCs/>
                <w:lang w:val="fr-FR"/>
              </w:rPr>
            </w:pPr>
          </w:p>
        </w:tc>
        <w:tc>
          <w:tcPr>
            <w:tcW w:w="7609" w:type="dxa"/>
            <w:gridSpan w:val="5"/>
            <w:shd w:val="clear" w:color="auto" w:fill="D9D9D9"/>
            <w:noWrap/>
            <w:vAlign w:val="center"/>
          </w:tcPr>
          <w:p w14:paraId="12B03E86" w14:textId="77777777" w:rsidR="001517A0" w:rsidRPr="009F551D" w:rsidRDefault="001517A0" w:rsidP="00C93CE5">
            <w:pPr>
              <w:spacing w:before="60" w:after="60"/>
              <w:jc w:val="center"/>
              <w:rPr>
                <w:rFonts w:eastAsia="Calibri"/>
                <w:bCs/>
                <w:lang w:val="fr-FR"/>
              </w:rPr>
            </w:pPr>
            <w:r w:rsidRPr="009F551D">
              <w:rPr>
                <w:rFonts w:eastAsia="Calibri"/>
                <w:lang w:val="fr-FR"/>
              </w:rPr>
              <w:t>Uniquement si les matériaux sont difficilement inflammables</w:t>
            </w:r>
          </w:p>
        </w:tc>
      </w:tr>
    </w:tbl>
    <w:p w14:paraId="33418F30" w14:textId="11ECEA95" w:rsidR="00776B62" w:rsidRDefault="001517A0" w:rsidP="001517A0">
      <w:pPr>
        <w:spacing w:before="120" w:after="240"/>
        <w:ind w:left="1134" w:right="1134"/>
        <w:jc w:val="both"/>
        <w:rPr>
          <w:rFonts w:eastAsia="Calibri"/>
          <w:i/>
          <w:iCs/>
          <w:lang w:val="fr-FR"/>
        </w:rPr>
      </w:pPr>
      <w:r w:rsidRPr="009F551D">
        <w:rPr>
          <w:rFonts w:eastAsia="Calibri"/>
          <w:i/>
          <w:iCs/>
          <w:lang w:val="fr-FR"/>
        </w:rPr>
        <w:t>(Document de référence : ECE/TRANS/WP.15/AC.2/2021/30 tel que modifié)</w:t>
      </w:r>
    </w:p>
    <w:p w14:paraId="1B433BE4" w14:textId="77777777" w:rsidR="00C93CE5" w:rsidRDefault="00C93CE5" w:rsidP="001517A0">
      <w:pPr>
        <w:spacing w:before="120" w:after="240"/>
        <w:ind w:left="1134" w:right="1134"/>
        <w:jc w:val="both"/>
        <w:rPr>
          <w:lang w:val="fr-FR"/>
        </w:rPr>
        <w:sectPr w:rsidR="00C93CE5" w:rsidSect="001517A0">
          <w:headerReference w:type="even" r:id="rId22"/>
          <w:headerReference w:type="default" r:id="rId23"/>
          <w:footerReference w:type="even" r:id="rId24"/>
          <w:footerReference w:type="default" r:id="rId25"/>
          <w:endnotePr>
            <w:numFmt w:val="decimal"/>
          </w:endnotePr>
          <w:pgSz w:w="16838" w:h="11906" w:orient="landscape" w:code="9"/>
          <w:pgMar w:top="1134" w:right="1417" w:bottom="1134" w:left="1134" w:header="567" w:footer="567" w:gutter="0"/>
          <w:cols w:space="708"/>
          <w:docGrid w:linePitch="360"/>
        </w:sectPr>
      </w:pPr>
    </w:p>
    <w:p w14:paraId="50B77C22" w14:textId="77777777" w:rsidR="00C93CE5" w:rsidRPr="009F551D" w:rsidRDefault="00C93CE5" w:rsidP="00C93CE5">
      <w:pPr>
        <w:spacing w:after="120"/>
        <w:ind w:left="1134" w:right="1134"/>
        <w:jc w:val="both"/>
        <w:rPr>
          <w:rFonts w:eastAsia="Calibri"/>
          <w:lang w:val="fr-FR"/>
        </w:rPr>
      </w:pPr>
      <w:r w:rsidRPr="009F551D">
        <w:rPr>
          <w:rFonts w:eastAsia="Calibri"/>
          <w:lang w:val="fr-FR"/>
        </w:rPr>
        <w:lastRenderedPageBreak/>
        <w:t>9.3.x.0</w:t>
      </w:r>
      <w:r w:rsidRPr="009F551D">
        <w:rPr>
          <w:rFonts w:eastAsia="Calibri"/>
          <w:lang w:val="fr-FR"/>
        </w:rPr>
        <w:tab/>
      </w:r>
      <w:r w:rsidRPr="009F551D">
        <w:rPr>
          <w:rFonts w:eastAsia="Calibri"/>
          <w:lang w:val="fr-FR"/>
        </w:rPr>
        <w:tab/>
        <w:t>Remplacer les paragraphes après le tableau par les paragraphes suivants :</w:t>
      </w:r>
    </w:p>
    <w:p w14:paraId="2A21F3ED" w14:textId="77777777" w:rsidR="00C93CE5" w:rsidRPr="009F551D" w:rsidRDefault="00C93CE5" w:rsidP="00C93CE5">
      <w:pPr>
        <w:spacing w:after="120"/>
        <w:ind w:left="2268" w:right="1134" w:hanging="1134"/>
        <w:jc w:val="both"/>
        <w:rPr>
          <w:rFonts w:eastAsia="Calibri"/>
          <w:lang w:val="fr-FR"/>
        </w:rPr>
      </w:pPr>
      <w:r w:rsidRPr="009F551D">
        <w:rPr>
          <w:rFonts w:eastAsia="Calibri"/>
          <w:lang w:val="fr-FR"/>
        </w:rPr>
        <w:t>« 9.3.x.0.5</w:t>
      </w:r>
      <w:r w:rsidRPr="009F551D">
        <w:rPr>
          <w:rFonts w:eastAsia="Calibri"/>
          <w:lang w:val="fr-FR"/>
        </w:rPr>
        <w:tab/>
        <w:t>La peinture utilisée dans la zone de cargaison ne doit pas être susceptible de produire des étincelles, notamment en cas de choc.</w:t>
      </w:r>
    </w:p>
    <w:p w14:paraId="7397A130" w14:textId="77777777" w:rsidR="00C93CE5" w:rsidRPr="009F551D" w:rsidRDefault="00C93CE5" w:rsidP="00C93CE5">
      <w:pPr>
        <w:spacing w:after="120"/>
        <w:ind w:left="2268" w:right="1134" w:hanging="1134"/>
        <w:jc w:val="both"/>
        <w:rPr>
          <w:rFonts w:eastAsia="Calibri"/>
          <w:lang w:val="fr-FR"/>
        </w:rPr>
      </w:pPr>
      <w:r w:rsidRPr="009F551D">
        <w:rPr>
          <w:rFonts w:eastAsia="Calibri"/>
          <w:lang w:val="fr-FR"/>
        </w:rPr>
        <w:t>9.3.x.0.6</w:t>
      </w:r>
      <w:r w:rsidRPr="009F551D">
        <w:rPr>
          <w:rFonts w:eastAsia="Calibri"/>
          <w:lang w:val="fr-FR"/>
        </w:rPr>
        <w:tab/>
        <w:t>Tous les matériaux utilisés pour les éléments fixes des logements ou de la timonerie, à l</w:t>
      </w:r>
      <w:r>
        <w:rPr>
          <w:rFonts w:eastAsia="Calibri"/>
          <w:lang w:val="fr-FR"/>
        </w:rPr>
        <w:t>’</w:t>
      </w:r>
      <w:r w:rsidRPr="009F551D">
        <w:rPr>
          <w:rFonts w:eastAsia="Calibri"/>
          <w:lang w:val="fr-FR"/>
        </w:rPr>
        <w:t>exception des meubles, doivent être difficilement inflammables. Lors d</w:t>
      </w:r>
      <w:r>
        <w:rPr>
          <w:rFonts w:eastAsia="Calibri"/>
          <w:lang w:val="fr-FR"/>
        </w:rPr>
        <w:t>’</w:t>
      </w:r>
      <w:r w:rsidRPr="009F551D">
        <w:rPr>
          <w:rFonts w:eastAsia="Calibri"/>
          <w:lang w:val="fr-FR"/>
        </w:rPr>
        <w:t>un incendie, ils ne doivent pas dégager de fumées ou de gaz toxiques en quantités dangereuses. ».</w:t>
      </w:r>
    </w:p>
    <w:p w14:paraId="1B0FA354" w14:textId="77777777" w:rsidR="00C93CE5" w:rsidRPr="009F551D" w:rsidRDefault="00C93CE5" w:rsidP="00C93CE5">
      <w:pPr>
        <w:spacing w:after="120"/>
        <w:ind w:left="1134" w:right="1134"/>
        <w:jc w:val="both"/>
        <w:rPr>
          <w:rFonts w:eastAsia="Calibri"/>
          <w:lang w:val="fr-FR"/>
        </w:rPr>
      </w:pPr>
      <w:r w:rsidRPr="009F551D">
        <w:rPr>
          <w:rFonts w:eastAsia="Calibri"/>
          <w:i/>
          <w:iCs/>
          <w:lang w:val="fr-FR"/>
        </w:rPr>
        <w:t>(Document de référence : ECE/TRANS/WP.15/AC.2/2021/30)</w:t>
      </w:r>
    </w:p>
    <w:p w14:paraId="41F98EC7" w14:textId="77777777" w:rsidR="00C93CE5" w:rsidRPr="009F551D" w:rsidRDefault="00C93CE5" w:rsidP="00C93CE5">
      <w:pPr>
        <w:spacing w:after="120"/>
        <w:ind w:left="2268" w:right="1134" w:hanging="1134"/>
        <w:jc w:val="both"/>
        <w:rPr>
          <w:rFonts w:eastAsia="Calibri"/>
          <w:lang w:val="fr-FR"/>
        </w:rPr>
      </w:pPr>
      <w:r w:rsidRPr="009F551D">
        <w:rPr>
          <w:rFonts w:eastAsia="Calibri"/>
          <w:lang w:val="fr-FR"/>
        </w:rPr>
        <w:t>9.3.3.60</w:t>
      </w:r>
      <w:r w:rsidRPr="009F551D">
        <w:rPr>
          <w:rFonts w:eastAsia="Calibri"/>
          <w:lang w:val="fr-FR"/>
        </w:rPr>
        <w:tab/>
        <w:t>Supprimer : « Cette prescription ne s</w:t>
      </w:r>
      <w:r>
        <w:rPr>
          <w:rFonts w:eastAsia="Calibri"/>
          <w:lang w:val="fr-FR"/>
        </w:rPr>
        <w:t>’</w:t>
      </w:r>
      <w:r w:rsidRPr="009F551D">
        <w:rPr>
          <w:rFonts w:eastAsia="Calibri"/>
          <w:lang w:val="fr-FR"/>
        </w:rPr>
        <w:t>applique pas aux bateaux déshuileurs et aux bateaux avitailleurs. ».</w:t>
      </w:r>
    </w:p>
    <w:p w14:paraId="48F013CB" w14:textId="0DDE5EF8" w:rsidR="00C93CE5" w:rsidRDefault="00C93CE5" w:rsidP="00C93CE5">
      <w:pPr>
        <w:spacing w:before="120" w:after="240"/>
        <w:ind w:left="1134" w:right="1134"/>
        <w:jc w:val="both"/>
        <w:rPr>
          <w:rFonts w:eastAsia="Calibri"/>
          <w:i/>
          <w:iCs/>
          <w:lang w:val="fr-FR"/>
        </w:rPr>
      </w:pPr>
      <w:r w:rsidRPr="009F551D">
        <w:rPr>
          <w:rFonts w:eastAsia="Calibri"/>
          <w:i/>
          <w:iCs/>
          <w:lang w:val="fr-FR"/>
        </w:rPr>
        <w:t>(Document de référence : ECE/TRANS/WP.15/AC.2/2021/24)</w:t>
      </w:r>
    </w:p>
    <w:p w14:paraId="26EE182D" w14:textId="77777777" w:rsidR="00C93CE5" w:rsidRDefault="00C93CE5">
      <w:pPr>
        <w:suppressAutoHyphens w:val="0"/>
        <w:kinsoku/>
        <w:overflowPunct/>
        <w:autoSpaceDE/>
        <w:autoSpaceDN/>
        <w:adjustRightInd/>
        <w:snapToGrid/>
        <w:spacing w:after="200" w:line="276" w:lineRule="auto"/>
        <w:rPr>
          <w:rFonts w:eastAsia="Calibri"/>
          <w:i/>
          <w:iCs/>
          <w:lang w:val="fr-FR"/>
        </w:rPr>
      </w:pPr>
      <w:r>
        <w:rPr>
          <w:rFonts w:eastAsia="Calibri"/>
          <w:i/>
          <w:iCs/>
          <w:lang w:val="fr-FR"/>
        </w:rPr>
        <w:br w:type="page"/>
      </w:r>
    </w:p>
    <w:p w14:paraId="42719AEC" w14:textId="77777777" w:rsidR="00C93CE5" w:rsidRPr="009F551D" w:rsidRDefault="00C93CE5" w:rsidP="00C93CE5">
      <w:pPr>
        <w:keepNext/>
        <w:keepLines/>
        <w:tabs>
          <w:tab w:val="right" w:pos="851"/>
        </w:tabs>
        <w:spacing w:before="360" w:after="240" w:line="300" w:lineRule="exact"/>
        <w:ind w:left="1134" w:right="1134" w:hanging="1134"/>
        <w:outlineLvl w:val="1"/>
        <w:rPr>
          <w:rFonts w:eastAsia="Calibri"/>
          <w:b/>
          <w:sz w:val="28"/>
          <w:lang w:val="fr-FR"/>
        </w:rPr>
      </w:pPr>
      <w:r w:rsidRPr="009F551D">
        <w:rPr>
          <w:rFonts w:eastAsia="Calibri"/>
          <w:b/>
          <w:sz w:val="28"/>
          <w:lang w:val="fr-FR"/>
        </w:rPr>
        <w:lastRenderedPageBreak/>
        <w:t>Annexe II</w:t>
      </w:r>
    </w:p>
    <w:p w14:paraId="1B5125AE" w14:textId="77777777" w:rsidR="00C93CE5" w:rsidRPr="009F551D" w:rsidRDefault="00C93CE5" w:rsidP="00C93CE5">
      <w:pPr>
        <w:pStyle w:val="SingleTxtG"/>
        <w:jc w:val="right"/>
        <w:rPr>
          <w:rFonts w:eastAsia="Calibri"/>
          <w:lang w:val="fr-FR"/>
        </w:rPr>
      </w:pPr>
      <w:r w:rsidRPr="009F551D">
        <w:rPr>
          <w:lang w:val="fr-FR"/>
        </w:rPr>
        <w:t>[Original : anglais et français]</w:t>
      </w:r>
    </w:p>
    <w:p w14:paraId="131F44CD" w14:textId="77777777" w:rsidR="00C93CE5" w:rsidRPr="009F551D" w:rsidRDefault="00C93CE5" w:rsidP="00C93CE5">
      <w:pPr>
        <w:keepNext/>
        <w:keepLines/>
        <w:tabs>
          <w:tab w:val="right" w:pos="851"/>
        </w:tabs>
        <w:spacing w:before="360" w:line="300" w:lineRule="exact"/>
        <w:ind w:left="1134" w:right="1134" w:hanging="1134"/>
        <w:outlineLvl w:val="1"/>
        <w:rPr>
          <w:rFonts w:eastAsia="Calibri"/>
          <w:b/>
          <w:sz w:val="28"/>
          <w:lang w:val="fr-FR"/>
        </w:rPr>
      </w:pPr>
      <w:r w:rsidRPr="009F551D">
        <w:rPr>
          <w:rFonts w:eastAsia="Calibri"/>
          <w:b/>
          <w:sz w:val="28"/>
          <w:lang w:val="fr-FR"/>
        </w:rPr>
        <w:tab/>
      </w:r>
      <w:r w:rsidRPr="009F551D">
        <w:rPr>
          <w:rFonts w:eastAsia="Calibri"/>
          <w:b/>
          <w:sz w:val="28"/>
          <w:lang w:val="fr-FR"/>
        </w:rPr>
        <w:tab/>
        <w:t>Corrections à apporter au document ECE/TRANS/301 (publication de l</w:t>
      </w:r>
      <w:r>
        <w:rPr>
          <w:rFonts w:eastAsia="Calibri"/>
          <w:b/>
          <w:sz w:val="28"/>
          <w:lang w:val="fr-FR"/>
        </w:rPr>
        <w:t>’</w:t>
      </w:r>
      <w:r w:rsidRPr="009F551D">
        <w:rPr>
          <w:rFonts w:eastAsia="Calibri"/>
          <w:b/>
          <w:sz w:val="28"/>
          <w:lang w:val="fr-FR"/>
        </w:rPr>
        <w:t>ADN 2021)</w:t>
      </w:r>
    </w:p>
    <w:p w14:paraId="319F35FB" w14:textId="77777777" w:rsidR="00C93CE5" w:rsidRPr="009F551D" w:rsidRDefault="00C93CE5" w:rsidP="00C93CE5">
      <w:pPr>
        <w:keepNext/>
        <w:keepLines/>
        <w:tabs>
          <w:tab w:val="right" w:pos="851"/>
        </w:tabs>
        <w:spacing w:after="240" w:line="240" w:lineRule="exact"/>
        <w:ind w:left="1134" w:right="1134" w:hanging="1134"/>
        <w:rPr>
          <w:rFonts w:eastAsia="Calibri"/>
          <w:b/>
          <w:i/>
          <w:lang w:val="fr-FR"/>
        </w:rPr>
      </w:pPr>
      <w:r w:rsidRPr="009F551D">
        <w:rPr>
          <w:rFonts w:eastAsia="Calibri"/>
          <w:i/>
          <w:lang w:val="fr-FR"/>
        </w:rPr>
        <w:tab/>
      </w:r>
      <w:r w:rsidRPr="009F551D">
        <w:rPr>
          <w:rFonts w:eastAsia="Calibri"/>
          <w:i/>
          <w:lang w:val="fr-FR"/>
        </w:rPr>
        <w:tab/>
        <w:t>(</w:t>
      </w:r>
      <w:r w:rsidRPr="009F551D">
        <w:rPr>
          <w:i/>
          <w:lang w:val="fr-FR"/>
        </w:rPr>
        <w:t>Corrections</w:t>
      </w:r>
      <w:r w:rsidRPr="009F551D">
        <w:rPr>
          <w:rFonts w:eastAsia="Calibri"/>
          <w:i/>
          <w:iCs/>
          <w:lang w:val="fr-FR"/>
        </w:rPr>
        <w:t xml:space="preserve"> ne nécessitant aucune acceptation par les Parties contractantes</w:t>
      </w:r>
      <w:r w:rsidRPr="009F551D">
        <w:rPr>
          <w:rFonts w:eastAsia="Calibri"/>
          <w:i/>
          <w:lang w:val="fr-FR"/>
        </w:rPr>
        <w:t>)</w:t>
      </w:r>
    </w:p>
    <w:p w14:paraId="43E698ED" w14:textId="77777777" w:rsidR="00C93CE5" w:rsidRPr="009F551D" w:rsidRDefault="00C93CE5" w:rsidP="00C93CE5">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tab/>
        <w:t>1.</w:t>
      </w:r>
      <w:r w:rsidRPr="009F551D">
        <w:rPr>
          <w:rFonts w:eastAsia="Calibri"/>
          <w:b/>
          <w:lang w:val="fr-FR"/>
        </w:rPr>
        <w:tab/>
        <w:t>Chapitre 3.2, tableau C, No ONU 1202, deuxième rubrique, colonne (2)</w:t>
      </w:r>
    </w:p>
    <w:p w14:paraId="0085A587" w14:textId="77777777" w:rsidR="00C93CE5" w:rsidRPr="009F551D" w:rsidRDefault="00C93CE5" w:rsidP="00C93CE5">
      <w:pPr>
        <w:spacing w:after="120"/>
        <w:ind w:left="1134" w:right="1134"/>
        <w:jc w:val="both"/>
        <w:rPr>
          <w:rFonts w:eastAsia="Calibri"/>
          <w:lang w:val="fr-FR"/>
        </w:rPr>
      </w:pPr>
      <w:r w:rsidRPr="009F551D">
        <w:rPr>
          <w:rFonts w:eastAsia="Calibri"/>
          <w:i/>
          <w:iCs/>
          <w:lang w:val="fr-FR"/>
        </w:rPr>
        <w:t>Sans objet en français.</w:t>
      </w:r>
    </w:p>
    <w:p w14:paraId="222BCEF6" w14:textId="77777777" w:rsidR="00C93CE5" w:rsidRPr="009F551D" w:rsidRDefault="00C93CE5" w:rsidP="00C93CE5">
      <w:pPr>
        <w:spacing w:after="120"/>
        <w:ind w:left="1134" w:right="1134"/>
        <w:jc w:val="both"/>
        <w:rPr>
          <w:rFonts w:eastAsia="Calibri"/>
          <w:i/>
          <w:lang w:val="fr-FR"/>
        </w:rPr>
      </w:pPr>
      <w:r w:rsidRPr="009F551D">
        <w:rPr>
          <w:rFonts w:eastAsia="Calibri"/>
          <w:i/>
          <w:iCs/>
          <w:lang w:val="fr-FR"/>
        </w:rPr>
        <w:t>(Document de référence : document informel INF.10)</w:t>
      </w:r>
    </w:p>
    <w:p w14:paraId="05AF7F93" w14:textId="77777777" w:rsidR="00C93CE5" w:rsidRPr="009F551D" w:rsidRDefault="00C93CE5" w:rsidP="00C93CE5">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tab/>
        <w:t>2.</w:t>
      </w:r>
      <w:r w:rsidRPr="009F551D">
        <w:rPr>
          <w:rFonts w:eastAsia="Calibri"/>
          <w:b/>
          <w:lang w:val="fr-FR"/>
        </w:rPr>
        <w:tab/>
        <w:t>Chapitre 3.2, tableau C, No ONU 3295 HYDROCARBURES LIQUIDES, N.S.A. CONTENANT DE L</w:t>
      </w:r>
      <w:r>
        <w:rPr>
          <w:rFonts w:eastAsia="Calibri"/>
          <w:b/>
          <w:lang w:val="fr-FR"/>
        </w:rPr>
        <w:t>’</w:t>
      </w:r>
      <w:r w:rsidRPr="009F551D">
        <w:rPr>
          <w:rFonts w:eastAsia="Calibri"/>
          <w:b/>
          <w:lang w:val="fr-FR"/>
        </w:rPr>
        <w:t xml:space="preserve">ISOPRÈNE ET DU PENTADIÈNE, STABILISÉ, </w:t>
      </w:r>
      <w:r w:rsidRPr="009F551D">
        <w:rPr>
          <w:rFonts w:eastAsia="Calibri"/>
          <w:b/>
          <w:lang w:val="fr-FR"/>
        </w:rPr>
        <w:br/>
        <w:t>deux rubriques, colonne (5)</w:t>
      </w:r>
    </w:p>
    <w:p w14:paraId="38BDDEF7" w14:textId="77777777" w:rsidR="00C93CE5" w:rsidRPr="009F551D" w:rsidRDefault="00C93CE5" w:rsidP="00C93CE5">
      <w:pPr>
        <w:spacing w:after="120"/>
        <w:ind w:left="1134" w:right="1134"/>
        <w:jc w:val="both"/>
        <w:rPr>
          <w:rFonts w:eastAsia="Calibri"/>
          <w:lang w:val="fr-FR"/>
        </w:rPr>
      </w:pPr>
      <w:r w:rsidRPr="009F551D">
        <w:rPr>
          <w:rFonts w:eastAsia="Calibri"/>
          <w:i/>
          <w:iCs/>
          <w:lang w:val="fr-FR"/>
        </w:rPr>
        <w:t>Sans objet en français.</w:t>
      </w:r>
    </w:p>
    <w:p w14:paraId="671F8088" w14:textId="77777777" w:rsidR="00C93CE5" w:rsidRPr="009F551D" w:rsidRDefault="00C93CE5" w:rsidP="00C93CE5">
      <w:pPr>
        <w:spacing w:after="120"/>
        <w:ind w:left="1134" w:right="1134"/>
        <w:jc w:val="both"/>
        <w:rPr>
          <w:rFonts w:eastAsia="Calibri"/>
          <w:i/>
          <w:lang w:val="fr-FR"/>
        </w:rPr>
      </w:pPr>
      <w:r w:rsidRPr="009F551D">
        <w:rPr>
          <w:rFonts w:eastAsia="Calibri"/>
          <w:i/>
          <w:iCs/>
          <w:lang w:val="fr-FR"/>
        </w:rPr>
        <w:t>(Document de référence : document informel INF.11)</w:t>
      </w:r>
    </w:p>
    <w:p w14:paraId="3E92DEFD" w14:textId="77777777" w:rsidR="00C93CE5" w:rsidRPr="009F551D" w:rsidRDefault="00C93CE5" w:rsidP="00C93CE5">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tab/>
        <w:t>3.</w:t>
      </w:r>
      <w:r w:rsidRPr="009F551D">
        <w:rPr>
          <w:rFonts w:eastAsia="Calibri"/>
          <w:b/>
          <w:lang w:val="fr-FR"/>
        </w:rPr>
        <w:tab/>
        <w:t>Chapitre 9.3, 9.3.1.14.2, 9.3.2.14.2 et 9.3.3.14.2, alinéa a)</w:t>
      </w:r>
    </w:p>
    <w:p w14:paraId="238153DF" w14:textId="77777777" w:rsidR="00C93CE5" w:rsidRPr="009F551D" w:rsidRDefault="00C93CE5" w:rsidP="00C93CE5">
      <w:pPr>
        <w:spacing w:after="120"/>
        <w:ind w:left="1134" w:right="1134"/>
        <w:jc w:val="both"/>
        <w:rPr>
          <w:rFonts w:eastAsia="Calibri"/>
          <w:lang w:val="fr-FR"/>
        </w:rPr>
      </w:pPr>
      <w:r w:rsidRPr="009F551D">
        <w:rPr>
          <w:rFonts w:eastAsia="Calibri"/>
          <w:i/>
          <w:iCs/>
          <w:lang w:val="fr-FR"/>
        </w:rPr>
        <w:t>Sans objet en français.</w:t>
      </w:r>
    </w:p>
    <w:p w14:paraId="337B6230" w14:textId="77777777" w:rsidR="00C93CE5" w:rsidRPr="009F551D" w:rsidRDefault="00C93CE5" w:rsidP="00C93CE5">
      <w:pPr>
        <w:spacing w:after="120"/>
        <w:ind w:left="1134" w:right="1134"/>
        <w:jc w:val="both"/>
        <w:rPr>
          <w:rFonts w:eastAsia="Calibri"/>
          <w:i/>
          <w:lang w:val="fr-FR"/>
        </w:rPr>
      </w:pPr>
      <w:r w:rsidRPr="009F551D">
        <w:rPr>
          <w:rFonts w:eastAsia="Calibri"/>
          <w:i/>
          <w:iCs/>
          <w:lang w:val="fr-FR"/>
        </w:rPr>
        <w:t>(Document de référence : document informel INF.18)</w:t>
      </w:r>
    </w:p>
    <w:p w14:paraId="1F728C8D" w14:textId="77777777" w:rsidR="00C93CE5" w:rsidRPr="009F551D" w:rsidRDefault="00C93CE5" w:rsidP="00C93CE5">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tab/>
        <w:t>4.</w:t>
      </w:r>
      <w:r w:rsidRPr="009F551D">
        <w:rPr>
          <w:rFonts w:eastAsia="Calibri"/>
          <w:b/>
          <w:lang w:val="fr-FR"/>
        </w:rPr>
        <w:tab/>
        <w:t>Chapitre 9.3, 9.3.1.14.2, 9.3.2.14.2 et 9.3.3.14.2, alinéa b)</w:t>
      </w:r>
    </w:p>
    <w:p w14:paraId="0886D125" w14:textId="77777777" w:rsidR="00C93CE5" w:rsidRPr="009F551D" w:rsidRDefault="00C93CE5" w:rsidP="00C93CE5">
      <w:pPr>
        <w:spacing w:after="120"/>
        <w:ind w:left="1134" w:right="1134"/>
        <w:jc w:val="both"/>
        <w:rPr>
          <w:rFonts w:eastAsia="Calibri"/>
          <w:lang w:val="fr-FR"/>
        </w:rPr>
      </w:pPr>
      <w:r w:rsidRPr="009F551D">
        <w:rPr>
          <w:rFonts w:eastAsia="Calibri"/>
          <w:i/>
          <w:iCs/>
          <w:lang w:val="fr-FR"/>
        </w:rPr>
        <w:t>Sans objet en français.</w:t>
      </w:r>
    </w:p>
    <w:p w14:paraId="37123CB4" w14:textId="77777777" w:rsidR="00C93CE5" w:rsidRPr="009F551D" w:rsidRDefault="00C93CE5" w:rsidP="00C93CE5">
      <w:pPr>
        <w:spacing w:after="120"/>
        <w:ind w:left="1134" w:right="1134"/>
        <w:jc w:val="both"/>
        <w:rPr>
          <w:rFonts w:eastAsia="Calibri"/>
          <w:b/>
          <w:bCs/>
          <w:lang w:val="fr-FR"/>
        </w:rPr>
      </w:pPr>
      <w:r w:rsidRPr="009F551D">
        <w:rPr>
          <w:rFonts w:eastAsia="Calibri"/>
          <w:i/>
          <w:iCs/>
          <w:lang w:val="fr-FR"/>
        </w:rPr>
        <w:t>(Document de référence : document informel INF.18)</w:t>
      </w:r>
    </w:p>
    <w:p w14:paraId="51AF8B13" w14:textId="77777777" w:rsidR="00C93CE5" w:rsidRPr="009F551D" w:rsidRDefault="00C93CE5" w:rsidP="00C93CE5">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tab/>
        <w:t>5.</w:t>
      </w:r>
      <w:r w:rsidRPr="009F551D">
        <w:rPr>
          <w:rFonts w:eastAsia="Calibri"/>
          <w:b/>
          <w:lang w:val="fr-FR"/>
        </w:rPr>
        <w:tab/>
        <w:t>Chapitre 9.3, 9.3.1.15.2, dernière phrase du dernier paragraphe</w:t>
      </w:r>
    </w:p>
    <w:p w14:paraId="56772EE5" w14:textId="77777777" w:rsidR="00C93CE5" w:rsidRPr="009F551D" w:rsidRDefault="00C93CE5" w:rsidP="00C93CE5">
      <w:pPr>
        <w:spacing w:after="120"/>
        <w:ind w:left="1134" w:right="1134"/>
        <w:jc w:val="both"/>
        <w:rPr>
          <w:rFonts w:eastAsia="Calibri"/>
          <w:lang w:val="fr-FR"/>
        </w:rPr>
      </w:pPr>
      <w:r w:rsidRPr="009F551D">
        <w:rPr>
          <w:rFonts w:eastAsia="Calibri"/>
          <w:i/>
          <w:iCs/>
          <w:lang w:val="fr-FR"/>
        </w:rPr>
        <w:t>Sans objet en français.</w:t>
      </w:r>
    </w:p>
    <w:p w14:paraId="354EDC9C" w14:textId="77777777" w:rsidR="00C93CE5" w:rsidRPr="009F551D" w:rsidRDefault="00C93CE5" w:rsidP="00C93CE5">
      <w:pPr>
        <w:spacing w:after="120"/>
        <w:ind w:left="1134" w:right="1134"/>
        <w:jc w:val="both"/>
        <w:rPr>
          <w:rFonts w:eastAsia="Calibri"/>
          <w:i/>
          <w:lang w:val="fr-FR"/>
        </w:rPr>
      </w:pPr>
      <w:r w:rsidRPr="009F551D">
        <w:rPr>
          <w:rFonts w:eastAsia="Calibri"/>
          <w:i/>
          <w:iCs/>
          <w:lang w:val="fr-FR"/>
        </w:rPr>
        <w:t>(Document de référence : document informel INF.8)</w:t>
      </w:r>
    </w:p>
    <w:p w14:paraId="2D722936" w14:textId="77777777" w:rsidR="00C93CE5" w:rsidRPr="009F551D" w:rsidRDefault="00C93CE5" w:rsidP="00C93CE5">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tab/>
        <w:t>6.</w:t>
      </w:r>
      <w:r w:rsidRPr="009F551D">
        <w:rPr>
          <w:rFonts w:eastAsia="Calibri"/>
          <w:b/>
          <w:lang w:val="fr-FR"/>
        </w:rPr>
        <w:tab/>
        <w:t>Chapitre 9.3, 9.3.2.15.2, dernier paragraphe</w:t>
      </w:r>
    </w:p>
    <w:p w14:paraId="0FA3BC9C" w14:textId="77777777" w:rsidR="00C93CE5" w:rsidRPr="009F551D" w:rsidRDefault="00C93CE5" w:rsidP="00C93CE5">
      <w:pPr>
        <w:spacing w:after="120"/>
        <w:ind w:left="1134" w:right="1134"/>
        <w:jc w:val="both"/>
        <w:rPr>
          <w:rFonts w:eastAsia="Calibri"/>
          <w:lang w:val="fr-FR"/>
        </w:rPr>
      </w:pPr>
      <w:r w:rsidRPr="009F551D">
        <w:rPr>
          <w:rFonts w:eastAsia="Calibri"/>
          <w:i/>
          <w:iCs/>
          <w:lang w:val="fr-FR"/>
        </w:rPr>
        <w:t>Sans objet en français.</w:t>
      </w:r>
    </w:p>
    <w:p w14:paraId="178764CC" w14:textId="77777777" w:rsidR="00C93CE5" w:rsidRPr="009F551D" w:rsidRDefault="00C93CE5" w:rsidP="00C93CE5">
      <w:pPr>
        <w:spacing w:after="120"/>
        <w:ind w:left="1134" w:right="1134"/>
        <w:jc w:val="both"/>
        <w:rPr>
          <w:rFonts w:eastAsia="Calibri"/>
          <w:i/>
          <w:lang w:val="fr-FR"/>
        </w:rPr>
      </w:pPr>
      <w:r w:rsidRPr="009F551D">
        <w:rPr>
          <w:rFonts w:eastAsia="Calibri"/>
          <w:i/>
          <w:iCs/>
          <w:lang w:val="fr-FR"/>
        </w:rPr>
        <w:t>(Document de référence : document informel INF.8)</w:t>
      </w:r>
    </w:p>
    <w:p w14:paraId="40329B75" w14:textId="77777777" w:rsidR="00C93CE5" w:rsidRPr="009F551D" w:rsidRDefault="00C93CE5" w:rsidP="00C93CE5">
      <w:pPr>
        <w:keepNext/>
        <w:keepLines/>
        <w:tabs>
          <w:tab w:val="right" w:pos="851"/>
        </w:tabs>
        <w:spacing w:before="240" w:after="120" w:line="240" w:lineRule="exact"/>
        <w:ind w:left="1134" w:right="1134" w:hanging="1134"/>
        <w:outlineLvl w:val="3"/>
        <w:rPr>
          <w:rFonts w:eastAsia="Calibri"/>
          <w:b/>
          <w:lang w:val="fr-FR"/>
        </w:rPr>
      </w:pPr>
      <w:r w:rsidRPr="009F551D">
        <w:rPr>
          <w:rFonts w:eastAsia="Calibri"/>
          <w:b/>
          <w:lang w:val="fr-FR"/>
        </w:rPr>
        <w:tab/>
        <w:t>7.</w:t>
      </w:r>
      <w:r w:rsidRPr="009F551D">
        <w:rPr>
          <w:rFonts w:eastAsia="Calibri"/>
          <w:b/>
          <w:lang w:val="fr-FR"/>
        </w:rPr>
        <w:tab/>
        <w:t>Chapitre 9.3, 9.3.3.15.2, dernier paragraphe</w:t>
      </w:r>
    </w:p>
    <w:p w14:paraId="7082BDEE" w14:textId="77777777" w:rsidR="00C93CE5" w:rsidRPr="009F551D" w:rsidRDefault="00C93CE5" w:rsidP="00C93CE5">
      <w:pPr>
        <w:spacing w:after="120"/>
        <w:ind w:left="1134" w:right="1134"/>
        <w:jc w:val="both"/>
        <w:rPr>
          <w:rFonts w:eastAsia="Calibri"/>
          <w:lang w:val="fr-FR"/>
        </w:rPr>
      </w:pPr>
      <w:r w:rsidRPr="009F551D">
        <w:rPr>
          <w:rFonts w:eastAsia="Calibri"/>
          <w:i/>
          <w:iCs/>
          <w:lang w:val="fr-FR"/>
        </w:rPr>
        <w:t>Sans objet en français.</w:t>
      </w:r>
    </w:p>
    <w:p w14:paraId="62BD38E9" w14:textId="77777777" w:rsidR="00C93CE5" w:rsidRPr="009F551D" w:rsidRDefault="00C93CE5" w:rsidP="00C93CE5">
      <w:pPr>
        <w:spacing w:after="120"/>
        <w:ind w:left="1134" w:right="1134"/>
        <w:jc w:val="both"/>
        <w:rPr>
          <w:rFonts w:eastAsia="Calibri"/>
          <w:i/>
          <w:iCs/>
          <w:lang w:val="fr-FR"/>
        </w:rPr>
      </w:pPr>
      <w:r w:rsidRPr="009F551D">
        <w:rPr>
          <w:rFonts w:eastAsia="Calibri"/>
          <w:i/>
          <w:iCs/>
          <w:lang w:val="fr-FR"/>
        </w:rPr>
        <w:t>(Document de référence : document informel INF.8)</w:t>
      </w:r>
    </w:p>
    <w:p w14:paraId="103D40C1" w14:textId="77777777" w:rsidR="00C93CE5" w:rsidRDefault="00C93CE5" w:rsidP="00C93CE5">
      <w:pPr>
        <w:spacing w:before="240"/>
        <w:ind w:left="1134" w:right="1134"/>
        <w:jc w:val="center"/>
        <w:rPr>
          <w:rFonts w:eastAsia="Calibri"/>
          <w:u w:val="single"/>
          <w:lang w:val="fr-FR"/>
        </w:rPr>
      </w:pPr>
      <w:r w:rsidRPr="009F551D">
        <w:rPr>
          <w:rFonts w:eastAsia="Calibri"/>
          <w:u w:val="single"/>
          <w:lang w:val="fr-FR"/>
        </w:rPr>
        <w:tab/>
      </w:r>
      <w:r w:rsidRPr="009F551D">
        <w:rPr>
          <w:rFonts w:eastAsia="Calibri"/>
          <w:u w:val="single"/>
          <w:lang w:val="fr-FR"/>
        </w:rPr>
        <w:tab/>
      </w:r>
      <w:r w:rsidRPr="009F551D">
        <w:rPr>
          <w:rFonts w:eastAsia="Calibri"/>
          <w:u w:val="single"/>
          <w:lang w:val="fr-FR"/>
        </w:rPr>
        <w:tab/>
      </w:r>
      <w:r w:rsidRPr="009F551D">
        <w:rPr>
          <w:rFonts w:eastAsia="Calibri"/>
          <w:u w:val="single"/>
          <w:lang w:val="fr-FR"/>
        </w:rPr>
        <w:tab/>
      </w:r>
    </w:p>
    <w:sectPr w:rsidR="00C93CE5" w:rsidSect="00C93CE5">
      <w:headerReference w:type="even" r:id="rId26"/>
      <w:headerReference w:type="default" r:id="rId27"/>
      <w:footerReference w:type="even" r:id="rId28"/>
      <w:footerReference w:type="default" r:id="rId29"/>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C0ACF" w14:textId="77777777" w:rsidR="00C93CE5" w:rsidRDefault="00C93CE5" w:rsidP="00F95C08">
      <w:pPr>
        <w:spacing w:line="240" w:lineRule="auto"/>
      </w:pPr>
    </w:p>
  </w:endnote>
  <w:endnote w:type="continuationSeparator" w:id="0">
    <w:p w14:paraId="3708B508" w14:textId="77777777" w:rsidR="00C93CE5" w:rsidRPr="00AC3823" w:rsidRDefault="00C93CE5" w:rsidP="00AC3823">
      <w:pPr>
        <w:pStyle w:val="Pieddepage"/>
      </w:pPr>
    </w:p>
  </w:endnote>
  <w:endnote w:type="continuationNotice" w:id="1">
    <w:p w14:paraId="31104641" w14:textId="77777777" w:rsidR="00C93CE5" w:rsidRDefault="00C93C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6BA35" w14:textId="018072CB" w:rsidR="00C93CE5" w:rsidRPr="006408A6" w:rsidRDefault="00C93CE5" w:rsidP="006408A6">
    <w:pPr>
      <w:pStyle w:val="Pieddepage"/>
      <w:tabs>
        <w:tab w:val="right" w:pos="9638"/>
      </w:tabs>
    </w:pPr>
    <w:r w:rsidRPr="006408A6">
      <w:rPr>
        <w:b/>
        <w:sz w:val="18"/>
      </w:rPr>
      <w:fldChar w:fldCharType="begin"/>
    </w:r>
    <w:r w:rsidRPr="006408A6">
      <w:rPr>
        <w:b/>
        <w:sz w:val="18"/>
      </w:rPr>
      <w:instrText xml:space="preserve"> PAGE  \* MERGEFORMAT </w:instrText>
    </w:r>
    <w:r w:rsidRPr="006408A6">
      <w:rPr>
        <w:b/>
        <w:sz w:val="18"/>
      </w:rPr>
      <w:fldChar w:fldCharType="separate"/>
    </w:r>
    <w:r w:rsidRPr="006408A6">
      <w:rPr>
        <w:b/>
        <w:noProof/>
        <w:sz w:val="18"/>
      </w:rPr>
      <w:t>2</w:t>
    </w:r>
    <w:r w:rsidRPr="006408A6">
      <w:rPr>
        <w:b/>
        <w:sz w:val="18"/>
      </w:rPr>
      <w:fldChar w:fldCharType="end"/>
    </w:r>
    <w:r>
      <w:rPr>
        <w:b/>
        <w:sz w:val="18"/>
      </w:rPr>
      <w:tab/>
    </w:r>
    <w:r>
      <w:t>GE.21-13664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7A2A8" w14:textId="3CBEC4A4" w:rsidR="00C93CE5" w:rsidRPr="00C93CE5" w:rsidRDefault="00C93CE5" w:rsidP="00C93CE5">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24</w:t>
    </w:r>
    <w:r>
      <w:rPr>
        <w:b/>
        <w:sz w:val="18"/>
      </w:rPr>
      <w:fldChar w:fldCharType="end"/>
    </w:r>
    <w:r>
      <w:rPr>
        <w:b/>
        <w:sz w:val="18"/>
      </w:rPr>
      <w:tab/>
    </w:r>
    <w:r w:rsidRPr="00C93CE5">
      <w:t>GE.21-13664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25D7E" w14:textId="3D150859" w:rsidR="00C93CE5" w:rsidRPr="00C93CE5" w:rsidRDefault="00C93CE5" w:rsidP="00C93CE5">
    <w:pPr>
      <w:pStyle w:val="Pieddepage"/>
      <w:tabs>
        <w:tab w:val="right" w:pos="9638"/>
      </w:tabs>
      <w:rPr>
        <w:b/>
        <w:sz w:val="18"/>
      </w:rPr>
    </w:pPr>
    <w:r>
      <w:t>GE.</w:t>
    </w:r>
    <w:r w:rsidRPr="00C93CE5">
      <w:t>21</w:t>
    </w:r>
    <w:r>
      <w:t>-</w:t>
    </w:r>
    <w:r w:rsidRPr="00C93CE5">
      <w:t>13664</w:t>
    </w:r>
    <w:r>
      <w:tab/>
    </w:r>
    <w:r>
      <w:rPr>
        <w:b/>
        <w:sz w:val="18"/>
      </w:rPr>
      <w:fldChar w:fldCharType="begin"/>
    </w:r>
    <w:r>
      <w:rPr>
        <w:b/>
        <w:sz w:val="18"/>
      </w:rPr>
      <w:instrText xml:space="preserve"> PAGE  \* MERGEFORMAT </w:instrText>
    </w:r>
    <w:r>
      <w:rPr>
        <w:b/>
        <w:sz w:val="18"/>
      </w:rPr>
      <w:fldChar w:fldCharType="separate"/>
    </w:r>
    <w:r>
      <w:rPr>
        <w:b/>
        <w:noProof/>
        <w:sz w:val="18"/>
      </w:rPr>
      <w:t>23</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E03AB" w14:textId="7624C22E" w:rsidR="00C93CE5" w:rsidRPr="006408A6" w:rsidRDefault="00C93CE5" w:rsidP="006408A6">
    <w:pPr>
      <w:pStyle w:val="Pieddepage"/>
      <w:tabs>
        <w:tab w:val="right" w:pos="9638"/>
      </w:tabs>
      <w:rPr>
        <w:b/>
        <w:sz w:val="18"/>
      </w:rPr>
    </w:pPr>
    <w:r>
      <w:t>GE.21-13664</w:t>
    </w:r>
    <w:r>
      <w:tab/>
    </w:r>
    <w:r w:rsidRPr="006408A6">
      <w:rPr>
        <w:b/>
        <w:sz w:val="18"/>
      </w:rPr>
      <w:fldChar w:fldCharType="begin"/>
    </w:r>
    <w:r w:rsidRPr="006408A6">
      <w:rPr>
        <w:b/>
        <w:sz w:val="18"/>
      </w:rPr>
      <w:instrText xml:space="preserve"> PAGE  \* MERGEFORMAT </w:instrText>
    </w:r>
    <w:r w:rsidRPr="006408A6">
      <w:rPr>
        <w:b/>
        <w:sz w:val="18"/>
      </w:rPr>
      <w:fldChar w:fldCharType="separate"/>
    </w:r>
    <w:r w:rsidRPr="006408A6">
      <w:rPr>
        <w:b/>
        <w:noProof/>
        <w:sz w:val="18"/>
      </w:rPr>
      <w:t>3</w:t>
    </w:r>
    <w:r w:rsidRPr="006408A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82C22" w14:textId="327D1E53" w:rsidR="00C93CE5" w:rsidRPr="006408A6" w:rsidRDefault="00C93CE5" w:rsidP="006408A6">
    <w:pPr>
      <w:pStyle w:val="Pieddepage"/>
      <w:spacing w:before="120"/>
      <w:rPr>
        <w:sz w:val="20"/>
      </w:rPr>
    </w:pPr>
    <w:r>
      <w:rPr>
        <w:sz w:val="20"/>
      </w:rPr>
      <w:t>GE.</w:t>
    </w:r>
    <w:r>
      <w:rPr>
        <w:noProof/>
        <w:lang w:eastAsia="fr-CH"/>
      </w:rPr>
      <w:drawing>
        <wp:anchor distT="0" distB="0" distL="114300" distR="114300" simplePos="0" relativeHeight="251659264" behindDoc="0" locked="0" layoutInCell="1" allowOverlap="0" wp14:anchorId="71AEAE39" wp14:editId="2CCBC728">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21-13664  (F)</w:t>
    </w:r>
    <w:r>
      <w:rPr>
        <w:noProof/>
        <w:sz w:val="20"/>
      </w:rPr>
      <w:drawing>
        <wp:anchor distT="0" distB="0" distL="114300" distR="114300" simplePos="0" relativeHeight="251660288" behindDoc="0" locked="0" layoutInCell="1" allowOverlap="1" wp14:anchorId="0D8ED25F" wp14:editId="20F9B14C">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120122    130122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4FCB" w14:textId="0B1DBB29" w:rsidR="00C93CE5" w:rsidRPr="00E63FF9" w:rsidRDefault="00C93CE5" w:rsidP="00E63FF9">
    <w:pPr>
      <w:pStyle w:val="Pieddepage"/>
    </w:pPr>
    <w:r>
      <w:rPr>
        <w:noProof/>
      </w:rPr>
      <mc:AlternateContent>
        <mc:Choice Requires="wps">
          <w:drawing>
            <wp:anchor distT="0" distB="0" distL="114300" distR="114300" simplePos="0" relativeHeight="251664384" behindDoc="0" locked="0" layoutInCell="1" allowOverlap="1" wp14:anchorId="0EA1D263" wp14:editId="64AB4495">
              <wp:simplePos x="0" y="0"/>
              <wp:positionH relativeFrom="margin">
                <wp:posOffset>-431800</wp:posOffset>
              </wp:positionH>
              <wp:positionV relativeFrom="margin">
                <wp:posOffset>0</wp:posOffset>
              </wp:positionV>
              <wp:extent cx="215900" cy="612013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A3F04D6" w14:textId="77777777" w:rsidR="00C93CE5" w:rsidRPr="006408A6" w:rsidRDefault="00C93CE5" w:rsidP="00E63FF9">
                          <w:pPr>
                            <w:pStyle w:val="Pieddepage"/>
                            <w:tabs>
                              <w:tab w:val="right" w:pos="9638"/>
                            </w:tabs>
                          </w:pPr>
                          <w:r w:rsidRPr="006408A6">
                            <w:rPr>
                              <w:b/>
                              <w:sz w:val="18"/>
                            </w:rPr>
                            <w:fldChar w:fldCharType="begin"/>
                          </w:r>
                          <w:r w:rsidRPr="006408A6">
                            <w:rPr>
                              <w:b/>
                              <w:sz w:val="18"/>
                            </w:rPr>
                            <w:instrText xml:space="preserve"> PAGE  \* MERGEFORMAT </w:instrText>
                          </w:r>
                          <w:r w:rsidRPr="006408A6">
                            <w:rPr>
                              <w:b/>
                              <w:sz w:val="18"/>
                            </w:rPr>
                            <w:fldChar w:fldCharType="separate"/>
                          </w:r>
                          <w:r>
                            <w:rPr>
                              <w:b/>
                              <w:sz w:val="18"/>
                            </w:rPr>
                            <w:t>18</w:t>
                          </w:r>
                          <w:r w:rsidRPr="006408A6">
                            <w:rPr>
                              <w:b/>
                              <w:sz w:val="18"/>
                            </w:rPr>
                            <w:fldChar w:fldCharType="end"/>
                          </w:r>
                          <w:r>
                            <w:rPr>
                              <w:b/>
                              <w:sz w:val="18"/>
                            </w:rPr>
                            <w:tab/>
                          </w:r>
                          <w:r>
                            <w:t>GE.21-13664</w:t>
                          </w:r>
                        </w:p>
                        <w:p w14:paraId="2F376643" w14:textId="77777777" w:rsidR="00C93CE5" w:rsidRDefault="00C93CE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EA1D263" id="_x0000_t202" coordsize="21600,21600" o:spt="202" path="m,l,21600r21600,l21600,xe">
              <v:stroke joinstyle="miter"/>
              <v:path gradientshapeok="t" o:connecttype="rect"/>
            </v:shapetype>
            <v:shape id="Zone de texte 7" o:spid="_x0000_s1028" type="#_x0000_t202" style="position:absolute;margin-left:-34pt;margin-top:0;width:17pt;height:481.9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" fillcolor="#4f81bd [3204]" stroked="f" strokeweight=".5pt">
              <v:fill opacity="0"/>
              <v:stroke joinstyle="round"/>
              <v:textbox style="layout-flow:vertical" inset="0,0,0,0">
                <w:txbxContent>
                  <w:p w14:paraId="7A3F04D6" w14:textId="77777777" w:rsidR="00C93CE5" w:rsidRPr="006408A6" w:rsidRDefault="00C93CE5" w:rsidP="00E63FF9">
                    <w:pPr>
                      <w:pStyle w:val="Pieddepage"/>
                      <w:tabs>
                        <w:tab w:val="right" w:pos="9638"/>
                      </w:tabs>
                    </w:pPr>
                    <w:r w:rsidRPr="006408A6">
                      <w:rPr>
                        <w:b/>
                        <w:sz w:val="18"/>
                      </w:rPr>
                      <w:fldChar w:fldCharType="begin"/>
                    </w:r>
                    <w:r w:rsidRPr="006408A6">
                      <w:rPr>
                        <w:b/>
                        <w:sz w:val="18"/>
                      </w:rPr>
                      <w:instrText xml:space="preserve"> PAGE  \* MERGEFORMAT </w:instrText>
                    </w:r>
                    <w:r w:rsidRPr="006408A6">
                      <w:rPr>
                        <w:b/>
                        <w:sz w:val="18"/>
                      </w:rPr>
                      <w:fldChar w:fldCharType="separate"/>
                    </w:r>
                    <w:r>
                      <w:rPr>
                        <w:b/>
                        <w:sz w:val="18"/>
                      </w:rPr>
                      <w:t>18</w:t>
                    </w:r>
                    <w:r w:rsidRPr="006408A6">
                      <w:rPr>
                        <w:b/>
                        <w:sz w:val="18"/>
                      </w:rPr>
                      <w:fldChar w:fldCharType="end"/>
                    </w:r>
                    <w:r>
                      <w:rPr>
                        <w:b/>
                        <w:sz w:val="18"/>
                      </w:rPr>
                      <w:tab/>
                    </w:r>
                    <w:r>
                      <w:t>GE.21-13664</w:t>
                    </w:r>
                  </w:p>
                  <w:p w14:paraId="2F376643" w14:textId="77777777" w:rsidR="00C93CE5" w:rsidRDefault="00C93CE5"/>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07735" w14:textId="25470109" w:rsidR="00C93CE5" w:rsidRPr="00E63FF9" w:rsidRDefault="00C93CE5" w:rsidP="00E63FF9">
    <w:pPr>
      <w:pStyle w:val="Pieddepage"/>
    </w:pPr>
    <w:r>
      <w:rPr>
        <w:noProof/>
      </w:rPr>
      <mc:AlternateContent>
        <mc:Choice Requires="wps">
          <w:drawing>
            <wp:anchor distT="0" distB="0" distL="114300" distR="114300" simplePos="0" relativeHeight="251662336" behindDoc="0" locked="0" layoutInCell="1" allowOverlap="1" wp14:anchorId="2FFF8EFC" wp14:editId="5B8F7865">
              <wp:simplePos x="0" y="0"/>
              <wp:positionH relativeFrom="margin">
                <wp:posOffset>-431800</wp:posOffset>
              </wp:positionH>
              <wp:positionV relativeFrom="margin">
                <wp:posOffset>0</wp:posOffset>
              </wp:positionV>
              <wp:extent cx="215900" cy="612013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8B91077" w14:textId="77777777" w:rsidR="00C93CE5" w:rsidRPr="006408A6" w:rsidRDefault="00C93CE5" w:rsidP="00E63FF9">
                          <w:pPr>
                            <w:pStyle w:val="Pieddepage"/>
                            <w:tabs>
                              <w:tab w:val="right" w:pos="9638"/>
                            </w:tabs>
                            <w:rPr>
                              <w:b/>
                              <w:sz w:val="18"/>
                            </w:rPr>
                          </w:pPr>
                          <w:r>
                            <w:t>GE.21-13664</w:t>
                          </w:r>
                          <w:r>
                            <w:tab/>
                          </w:r>
                          <w:r w:rsidRPr="006408A6">
                            <w:rPr>
                              <w:b/>
                              <w:sz w:val="18"/>
                            </w:rPr>
                            <w:fldChar w:fldCharType="begin"/>
                          </w:r>
                          <w:r w:rsidRPr="006408A6">
                            <w:rPr>
                              <w:b/>
                              <w:sz w:val="18"/>
                            </w:rPr>
                            <w:instrText xml:space="preserve"> PAGE  \* MERGEFORMAT </w:instrText>
                          </w:r>
                          <w:r w:rsidRPr="006408A6">
                            <w:rPr>
                              <w:b/>
                              <w:sz w:val="18"/>
                            </w:rPr>
                            <w:fldChar w:fldCharType="separate"/>
                          </w:r>
                          <w:r>
                            <w:rPr>
                              <w:b/>
                              <w:sz w:val="18"/>
                            </w:rPr>
                            <w:t>17</w:t>
                          </w:r>
                          <w:r w:rsidRPr="006408A6">
                            <w:rPr>
                              <w:b/>
                              <w:sz w:val="18"/>
                            </w:rPr>
                            <w:fldChar w:fldCharType="end"/>
                          </w:r>
                        </w:p>
                        <w:p w14:paraId="545C3941" w14:textId="77777777" w:rsidR="00C93CE5" w:rsidRDefault="00C93CE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FFF8EFC" id="_x0000_t202" coordsize="21600,21600" o:spt="202" path="m,l,21600r21600,l21600,xe">
              <v:stroke joinstyle="miter"/>
              <v:path gradientshapeok="t" o:connecttype="rect"/>
            </v:shapetype>
            <v:shape id="Zone de texte 5" o:spid="_x0000_s1029"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" fillcolor="#4f81bd [3204]" stroked="f" strokeweight=".5pt">
              <v:fill opacity="0"/>
              <v:stroke joinstyle="round"/>
              <v:textbox style="layout-flow:vertical" inset="0,0,0,0">
                <w:txbxContent>
                  <w:p w14:paraId="58B91077" w14:textId="77777777" w:rsidR="00C93CE5" w:rsidRPr="006408A6" w:rsidRDefault="00C93CE5" w:rsidP="00E63FF9">
                    <w:pPr>
                      <w:pStyle w:val="Pieddepage"/>
                      <w:tabs>
                        <w:tab w:val="right" w:pos="9638"/>
                      </w:tabs>
                      <w:rPr>
                        <w:b/>
                        <w:sz w:val="18"/>
                      </w:rPr>
                    </w:pPr>
                    <w:r>
                      <w:t>GE.21-13664</w:t>
                    </w:r>
                    <w:r>
                      <w:tab/>
                    </w:r>
                    <w:r w:rsidRPr="006408A6">
                      <w:rPr>
                        <w:b/>
                        <w:sz w:val="18"/>
                      </w:rPr>
                      <w:fldChar w:fldCharType="begin"/>
                    </w:r>
                    <w:r w:rsidRPr="006408A6">
                      <w:rPr>
                        <w:b/>
                        <w:sz w:val="18"/>
                      </w:rPr>
                      <w:instrText xml:space="preserve"> PAGE  \* MERGEFORMAT </w:instrText>
                    </w:r>
                    <w:r w:rsidRPr="006408A6">
                      <w:rPr>
                        <w:b/>
                        <w:sz w:val="18"/>
                      </w:rPr>
                      <w:fldChar w:fldCharType="separate"/>
                    </w:r>
                    <w:r>
                      <w:rPr>
                        <w:b/>
                        <w:sz w:val="18"/>
                      </w:rPr>
                      <w:t>17</w:t>
                    </w:r>
                    <w:r w:rsidRPr="006408A6">
                      <w:rPr>
                        <w:b/>
                        <w:sz w:val="18"/>
                      </w:rPr>
                      <w:fldChar w:fldCharType="end"/>
                    </w:r>
                  </w:p>
                  <w:p w14:paraId="545C3941" w14:textId="77777777" w:rsidR="00C93CE5" w:rsidRDefault="00C93CE5"/>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025A8" w14:textId="3E0F50E9" w:rsidR="00C93CE5" w:rsidRPr="00776B62" w:rsidRDefault="00C93CE5" w:rsidP="00776B62">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18</w:t>
    </w:r>
    <w:r>
      <w:rPr>
        <w:b/>
        <w:sz w:val="18"/>
      </w:rPr>
      <w:fldChar w:fldCharType="end"/>
    </w:r>
    <w:r>
      <w:rPr>
        <w:b/>
        <w:sz w:val="18"/>
      </w:rPr>
      <w:tab/>
    </w:r>
    <w:r w:rsidRPr="00776B62">
      <w:t>GE.21-13664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F7F9" w14:textId="40DFCB42" w:rsidR="00C93CE5" w:rsidRPr="00776B62" w:rsidRDefault="00C93CE5" w:rsidP="00776B62">
    <w:pPr>
      <w:pStyle w:val="Pieddepage"/>
      <w:tabs>
        <w:tab w:val="right" w:pos="9638"/>
      </w:tabs>
      <w:rPr>
        <w:b/>
        <w:sz w:val="18"/>
      </w:rPr>
    </w:pPr>
    <w:r>
      <w:t>GE.</w:t>
    </w:r>
    <w:r w:rsidRPr="00776B62">
      <w:t>21</w:t>
    </w:r>
    <w:r>
      <w:t>-</w:t>
    </w:r>
    <w:r w:rsidRPr="00776B62">
      <w:t>13664</w:t>
    </w:r>
    <w:r>
      <w:tab/>
    </w:r>
    <w:r>
      <w:rPr>
        <w:b/>
        <w:sz w:val="18"/>
      </w:rPr>
      <w:fldChar w:fldCharType="begin"/>
    </w:r>
    <w:r>
      <w:rPr>
        <w:b/>
        <w:sz w:val="18"/>
      </w:rPr>
      <w:instrText xml:space="preserve"> PAGE  \* MERGEFORMAT </w:instrText>
    </w:r>
    <w:r>
      <w:rPr>
        <w:b/>
        <w:sz w:val="18"/>
      </w:rPr>
      <w:fldChar w:fldCharType="separate"/>
    </w:r>
    <w:r>
      <w:rPr>
        <w:b/>
        <w:noProof/>
        <w:sz w:val="18"/>
      </w:rPr>
      <w:t>17</w:t>
    </w:r>
    <w:r>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FF112" w14:textId="7E550BA1" w:rsidR="00C93CE5" w:rsidRPr="001517A0" w:rsidRDefault="00C93CE5" w:rsidP="001517A0">
    <w:pPr>
      <w:pStyle w:val="Pieddepage"/>
    </w:pPr>
    <w:r>
      <w:rPr>
        <w:noProof/>
      </w:rPr>
      <mc:AlternateContent>
        <mc:Choice Requires="wps">
          <w:drawing>
            <wp:anchor distT="0" distB="0" distL="114300" distR="114300" simplePos="0" relativeHeight="251666432" behindDoc="0" locked="0" layoutInCell="1" allowOverlap="1" wp14:anchorId="1FAC1EF2" wp14:editId="25F22E15">
              <wp:simplePos x="0" y="0"/>
              <wp:positionH relativeFrom="margin">
                <wp:posOffset>-431800</wp:posOffset>
              </wp:positionH>
              <wp:positionV relativeFrom="margin">
                <wp:posOffset>0</wp:posOffset>
              </wp:positionV>
              <wp:extent cx="215900" cy="612013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ECE64D9" w14:textId="77777777" w:rsidR="00C93CE5" w:rsidRPr="00776B62" w:rsidRDefault="00C93CE5" w:rsidP="001517A0">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sz w:val="18"/>
                            </w:rPr>
                            <w:t>20</w:t>
                          </w:r>
                          <w:r>
                            <w:rPr>
                              <w:b/>
                              <w:sz w:val="18"/>
                            </w:rPr>
                            <w:fldChar w:fldCharType="end"/>
                          </w:r>
                          <w:r>
                            <w:rPr>
                              <w:b/>
                              <w:sz w:val="18"/>
                            </w:rPr>
                            <w:tab/>
                          </w:r>
                          <w:r w:rsidRPr="00776B62">
                            <w:t>GE.21-13664</w:t>
                          </w:r>
                        </w:p>
                        <w:p w14:paraId="257A69EC" w14:textId="77777777" w:rsidR="00C93CE5" w:rsidRDefault="00C93CE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FAC1EF2" id="_x0000_t202" coordsize="21600,21600" o:spt="202" path="m,l,21600r21600,l21600,xe">
              <v:stroke joinstyle="miter"/>
              <v:path gradientshapeok="t" o:connecttype="rect"/>
            </v:shapetype>
            <v:shape id="Zone de texte 13" o:spid="_x0000_s1032" type="#_x0000_t202" style="position:absolute;margin-left:-34pt;margin-top:0;width:17pt;height:481.9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" fillcolor="#4f81bd [3204]" stroked="f" strokeweight=".5pt">
              <v:fill opacity="0"/>
              <v:stroke joinstyle="round"/>
              <v:textbox style="layout-flow:vertical" inset="0,0,0,0">
                <w:txbxContent>
                  <w:p w14:paraId="4ECE64D9" w14:textId="77777777" w:rsidR="00C93CE5" w:rsidRPr="00776B62" w:rsidRDefault="00C93CE5" w:rsidP="001517A0">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sz w:val="18"/>
                      </w:rPr>
                      <w:t>20</w:t>
                    </w:r>
                    <w:r>
                      <w:rPr>
                        <w:b/>
                        <w:sz w:val="18"/>
                      </w:rPr>
                      <w:fldChar w:fldCharType="end"/>
                    </w:r>
                    <w:r>
                      <w:rPr>
                        <w:b/>
                        <w:sz w:val="18"/>
                      </w:rPr>
                      <w:tab/>
                    </w:r>
                    <w:r w:rsidRPr="00776B62">
                      <w:t>GE.21-13664</w:t>
                    </w:r>
                  </w:p>
                  <w:p w14:paraId="257A69EC" w14:textId="77777777" w:rsidR="00C93CE5" w:rsidRDefault="00C93CE5"/>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09992" w14:textId="292F02A2" w:rsidR="00C93CE5" w:rsidRPr="001517A0" w:rsidRDefault="00C93CE5" w:rsidP="001517A0">
    <w:pPr>
      <w:pStyle w:val="Pieddepage"/>
    </w:pPr>
    <w:r>
      <w:rPr>
        <w:noProof/>
      </w:rPr>
      <mc:AlternateContent>
        <mc:Choice Requires="wps">
          <w:drawing>
            <wp:anchor distT="0" distB="0" distL="114300" distR="114300" simplePos="0" relativeHeight="251668480" behindDoc="0" locked="0" layoutInCell="1" allowOverlap="1" wp14:anchorId="0B84C052" wp14:editId="5D04C41E">
              <wp:simplePos x="0" y="0"/>
              <wp:positionH relativeFrom="margin">
                <wp:posOffset>-431800</wp:posOffset>
              </wp:positionH>
              <wp:positionV relativeFrom="margin">
                <wp:posOffset>0</wp:posOffset>
              </wp:positionV>
              <wp:extent cx="215900" cy="6120130"/>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1321F90" w14:textId="77777777" w:rsidR="00C93CE5" w:rsidRPr="00776B62" w:rsidRDefault="00C93CE5" w:rsidP="001517A0">
                          <w:pPr>
                            <w:pStyle w:val="Pieddepage"/>
                            <w:tabs>
                              <w:tab w:val="right" w:pos="9638"/>
                            </w:tabs>
                            <w:rPr>
                              <w:b/>
                              <w:sz w:val="18"/>
                            </w:rPr>
                          </w:pPr>
                          <w:r>
                            <w:t>GE.</w:t>
                          </w:r>
                          <w:r w:rsidRPr="00776B62">
                            <w:t>21</w:t>
                          </w:r>
                          <w:r>
                            <w:t>-</w:t>
                          </w:r>
                          <w:r w:rsidRPr="00776B62">
                            <w:t>13664</w:t>
                          </w:r>
                          <w:r>
                            <w:tab/>
                          </w:r>
                          <w:r>
                            <w:rPr>
                              <w:b/>
                              <w:sz w:val="18"/>
                            </w:rPr>
                            <w:fldChar w:fldCharType="begin"/>
                          </w:r>
                          <w:r>
                            <w:rPr>
                              <w:b/>
                              <w:sz w:val="18"/>
                            </w:rPr>
                            <w:instrText xml:space="preserve"> PAGE  \* MERGEFORMAT </w:instrText>
                          </w:r>
                          <w:r>
                            <w:rPr>
                              <w:b/>
                              <w:sz w:val="18"/>
                            </w:rPr>
                            <w:fldChar w:fldCharType="separate"/>
                          </w:r>
                          <w:r>
                            <w:rPr>
                              <w:b/>
                              <w:sz w:val="18"/>
                            </w:rPr>
                            <w:t>21</w:t>
                          </w:r>
                          <w:r>
                            <w:rPr>
                              <w:b/>
                              <w:sz w:val="18"/>
                            </w:rPr>
                            <w:fldChar w:fldCharType="end"/>
                          </w:r>
                        </w:p>
                        <w:p w14:paraId="5D9481C2" w14:textId="77777777" w:rsidR="00C93CE5" w:rsidRDefault="00C93CE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B84C052" id="_x0000_t202" coordsize="21600,21600" o:spt="202" path="m,l,21600r21600,l21600,xe">
              <v:stroke joinstyle="miter"/>
              <v:path gradientshapeok="t" o:connecttype="rect"/>
            </v:shapetype>
            <v:shape id="Zone de texte 15" o:spid="_x0000_s1033" type="#_x0000_t202" style="position:absolute;margin-left:-34pt;margin-top:0;width:17pt;height:481.9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" fillcolor="#4f81bd [3204]" stroked="f" strokeweight=".5pt">
              <v:fill opacity="0"/>
              <v:stroke joinstyle="round"/>
              <v:textbox style="layout-flow:vertical" inset="0,0,0,0">
                <w:txbxContent>
                  <w:p w14:paraId="51321F90" w14:textId="77777777" w:rsidR="00C93CE5" w:rsidRPr="00776B62" w:rsidRDefault="00C93CE5" w:rsidP="001517A0">
                    <w:pPr>
                      <w:pStyle w:val="Pieddepage"/>
                      <w:tabs>
                        <w:tab w:val="right" w:pos="9638"/>
                      </w:tabs>
                      <w:rPr>
                        <w:b/>
                        <w:sz w:val="18"/>
                      </w:rPr>
                    </w:pPr>
                    <w:r>
                      <w:t>GE.</w:t>
                    </w:r>
                    <w:r w:rsidRPr="00776B62">
                      <w:t>21</w:t>
                    </w:r>
                    <w:r>
                      <w:t>-</w:t>
                    </w:r>
                    <w:r w:rsidRPr="00776B62">
                      <w:t>13664</w:t>
                    </w:r>
                    <w:r>
                      <w:tab/>
                    </w:r>
                    <w:r>
                      <w:rPr>
                        <w:b/>
                        <w:sz w:val="18"/>
                      </w:rPr>
                      <w:fldChar w:fldCharType="begin"/>
                    </w:r>
                    <w:r>
                      <w:rPr>
                        <w:b/>
                        <w:sz w:val="18"/>
                      </w:rPr>
                      <w:instrText xml:space="preserve"> PAGE  \* MERGEFORMAT </w:instrText>
                    </w:r>
                    <w:r>
                      <w:rPr>
                        <w:b/>
                        <w:sz w:val="18"/>
                      </w:rPr>
                      <w:fldChar w:fldCharType="separate"/>
                    </w:r>
                    <w:r>
                      <w:rPr>
                        <w:b/>
                        <w:sz w:val="18"/>
                      </w:rPr>
                      <w:t>21</w:t>
                    </w:r>
                    <w:r>
                      <w:rPr>
                        <w:b/>
                        <w:sz w:val="18"/>
                      </w:rPr>
                      <w:fldChar w:fldCharType="end"/>
                    </w:r>
                  </w:p>
                  <w:p w14:paraId="5D9481C2" w14:textId="77777777" w:rsidR="00C93CE5" w:rsidRDefault="00C93CE5"/>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27E0F" w14:textId="77777777" w:rsidR="00C93CE5" w:rsidRPr="00AC3823" w:rsidRDefault="00C93CE5" w:rsidP="00AC3823">
      <w:pPr>
        <w:pStyle w:val="Pieddepage"/>
        <w:tabs>
          <w:tab w:val="right" w:pos="2155"/>
        </w:tabs>
        <w:spacing w:after="80" w:line="240" w:lineRule="atLeast"/>
        <w:ind w:left="680"/>
        <w:rPr>
          <w:u w:val="single"/>
        </w:rPr>
      </w:pPr>
      <w:r>
        <w:rPr>
          <w:u w:val="single"/>
        </w:rPr>
        <w:tab/>
      </w:r>
    </w:p>
  </w:footnote>
  <w:footnote w:type="continuationSeparator" w:id="0">
    <w:p w14:paraId="7D92A92B" w14:textId="77777777" w:rsidR="00C93CE5" w:rsidRPr="00AC3823" w:rsidRDefault="00C93CE5" w:rsidP="00AC3823">
      <w:pPr>
        <w:pStyle w:val="Pieddepage"/>
        <w:tabs>
          <w:tab w:val="right" w:pos="2155"/>
        </w:tabs>
        <w:spacing w:after="80" w:line="240" w:lineRule="atLeast"/>
        <w:ind w:left="680"/>
        <w:rPr>
          <w:u w:val="single"/>
        </w:rPr>
      </w:pPr>
      <w:r>
        <w:rPr>
          <w:u w:val="single"/>
        </w:rPr>
        <w:tab/>
      </w:r>
    </w:p>
  </w:footnote>
  <w:footnote w:type="continuationNotice" w:id="1">
    <w:p w14:paraId="478FA99D" w14:textId="77777777" w:rsidR="00C93CE5" w:rsidRPr="00AC3823" w:rsidRDefault="00C93CE5">
      <w:pPr>
        <w:spacing w:line="240" w:lineRule="auto"/>
        <w:rPr>
          <w:sz w:val="2"/>
          <w:szCs w:val="2"/>
        </w:rPr>
      </w:pPr>
    </w:p>
  </w:footnote>
  <w:footnote w:id="2">
    <w:p w14:paraId="7214743A" w14:textId="58F7F5BD" w:rsidR="00C93CE5" w:rsidRPr="006D2A73" w:rsidRDefault="00C93CE5" w:rsidP="006408A6">
      <w:pPr>
        <w:pStyle w:val="Notedebasdepage"/>
        <w:rPr>
          <w:lang w:val="fr-FR"/>
        </w:rPr>
      </w:pPr>
      <w:r>
        <w:rPr>
          <w:lang w:val="fr-FR"/>
        </w:rPr>
        <w:tab/>
      </w:r>
      <w:r w:rsidRPr="00506B22">
        <w:rPr>
          <w:sz w:val="20"/>
          <w:lang w:val="fr-FR"/>
        </w:rPr>
        <w:t>*</w:t>
      </w:r>
      <w:r>
        <w:rPr>
          <w:lang w:val="fr-FR"/>
        </w:rPr>
        <w:t xml:space="preserve"> </w:t>
      </w:r>
      <w:r>
        <w:rPr>
          <w:lang w:val="fr-FR"/>
        </w:rPr>
        <w:tab/>
        <w:t>Diffusé en allemand par la Commission centrale pour la navigation du Rhin sous la cote CCNR</w:t>
      </w:r>
      <w:r w:rsidR="00506B22">
        <w:rPr>
          <w:lang w:val="fr-FR"/>
        </w:rPr>
        <w:noBreakHyphen/>
      </w:r>
      <w:r>
        <w:rPr>
          <w:lang w:val="fr-FR"/>
        </w:rPr>
        <w:t>ZKR/ADN/WP.15/AC.2/78.</w:t>
      </w:r>
    </w:p>
  </w:footnote>
  <w:footnote w:id="3">
    <w:p w14:paraId="15BBD008" w14:textId="355B3F25" w:rsidR="00C93CE5" w:rsidRPr="006D2A73" w:rsidRDefault="00C93CE5" w:rsidP="006408A6">
      <w:pPr>
        <w:pStyle w:val="Notedebasdepage"/>
        <w:rPr>
          <w:lang w:val="fr-FR"/>
        </w:rPr>
      </w:pPr>
      <w:r>
        <w:rPr>
          <w:lang w:val="fr-FR"/>
        </w:rPr>
        <w:tab/>
      </w:r>
      <w:r>
        <w:rPr>
          <w:rStyle w:val="Appelnotedebasdep"/>
          <w:lang w:val="fr-FR"/>
        </w:rPr>
        <w:footnoteRef/>
      </w:r>
      <w:r>
        <w:rPr>
          <w:lang w:val="fr-FR"/>
        </w:rPr>
        <w:tab/>
        <w:t xml:space="preserve">Voir les rapports : </w:t>
      </w:r>
      <w:hyperlink r:id="rId1" w:history="1">
        <w:r w:rsidRPr="00F727AC">
          <w:rPr>
            <w:rStyle w:val="Lienhypertexte"/>
            <w:lang w:val="fr-FR"/>
          </w:rPr>
          <w:t>https://unece.org/DAM/trans/doc/2019/dgadn/ECE-ADN-51f.pdf</w:t>
        </w:r>
      </w:hyperlink>
      <w:r>
        <w:rPr>
          <w:lang w:val="fr-FR"/>
        </w:rPr>
        <w:t xml:space="preserve"> et </w:t>
      </w:r>
      <w:hyperlink r:id="rId2" w:history="1">
        <w:r w:rsidRPr="00F727AC">
          <w:rPr>
            <w:rStyle w:val="Lienhypertexte"/>
            <w:lang w:val="fr-FR"/>
          </w:rPr>
          <w:t>https://unece.org/DAM/trans/doc/2020/dgadn/ECE-ADN-53f.pdf</w:t>
        </w:r>
      </w:hyperlink>
      <w:r>
        <w:rPr>
          <w:lang w:val="fr-FR"/>
        </w:rPr>
        <w:t>.</w:t>
      </w:r>
    </w:p>
  </w:footnote>
  <w:footnote w:id="4">
    <w:p w14:paraId="6EFBB4A2" w14:textId="1A5476B8" w:rsidR="00C93CE5" w:rsidRPr="009D426C" w:rsidRDefault="00C93CE5" w:rsidP="001517A0">
      <w:pPr>
        <w:pStyle w:val="Notedebasdepage"/>
        <w:rPr>
          <w:lang w:val="fr-FR"/>
        </w:rPr>
      </w:pPr>
      <w:r>
        <w:rPr>
          <w:lang w:val="fr-FR"/>
        </w:rPr>
        <w:tab/>
      </w:r>
      <w:r w:rsidRPr="00AF4675">
        <w:rPr>
          <w:rStyle w:val="Appelnotedebasdep"/>
        </w:rPr>
        <w:footnoteRef/>
      </w:r>
      <w:r w:rsidRPr="00AF4675">
        <w:rPr>
          <w:lang w:val="fr-FR"/>
        </w:rPr>
        <w:tab/>
      </w:r>
      <w:r w:rsidRPr="00AF4675">
        <w:rPr>
          <w:lang w:val="fr-FR"/>
        </w:rPr>
        <w:tab/>
        <w:t>Attestation d</w:t>
      </w:r>
      <w:r>
        <w:rPr>
          <w:lang w:val="fr-FR"/>
        </w:rPr>
        <w:t>’</w:t>
      </w:r>
      <w:r w:rsidRPr="00AF4675">
        <w:rPr>
          <w:lang w:val="fr-FR"/>
        </w:rPr>
        <w:t>appartenance à la navigation du Rhin ou du Danube.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7EEA1" w14:textId="05850457" w:rsidR="00C93CE5" w:rsidRPr="006408A6" w:rsidRDefault="00C93CE5">
    <w:pPr>
      <w:pStyle w:val="En-tte"/>
    </w:pPr>
    <w:fldSimple w:instr=" TITLE  \* MERGEFORMAT ">
      <w:r>
        <w:t>ECE/TRANS/WP.15/AC.2/78</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F7F4" w14:textId="5AC20B5E" w:rsidR="00C93CE5" w:rsidRPr="00C93CE5" w:rsidRDefault="00C93CE5" w:rsidP="00C93CE5">
    <w:pPr>
      <w:pStyle w:val="En-tte"/>
      <w:jc w:val="right"/>
    </w:pPr>
    <w:fldSimple w:instr=" TITLE  \* MERGEFORMAT ">
      <w:r>
        <w:t>ECE/TRANS/WP.15/AC.2/78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347BD" w14:textId="21272323" w:rsidR="00C93CE5" w:rsidRPr="006408A6" w:rsidRDefault="00C93CE5" w:rsidP="006408A6">
    <w:pPr>
      <w:pStyle w:val="En-tte"/>
      <w:jc w:val="right"/>
    </w:pPr>
    <w:fldSimple w:instr=" TITLE  \* MERGEFORMAT ">
      <w:r>
        <w:t>ECE/TRANS/WP.15/AC.2/78</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7B566" w14:textId="280F0C05" w:rsidR="00C93CE5" w:rsidRPr="00E63FF9" w:rsidRDefault="00C93CE5" w:rsidP="00E63FF9">
    <w:r>
      <w:rPr>
        <w:noProof/>
      </w:rPr>
      <mc:AlternateContent>
        <mc:Choice Requires="wps">
          <w:drawing>
            <wp:anchor distT="0" distB="0" distL="114300" distR="114300" simplePos="0" relativeHeight="251663360" behindDoc="0" locked="0" layoutInCell="1" allowOverlap="1" wp14:anchorId="644CF222" wp14:editId="11A3F469">
              <wp:simplePos x="0" y="0"/>
              <wp:positionH relativeFrom="page">
                <wp:posOffset>9935845</wp:posOffset>
              </wp:positionH>
              <wp:positionV relativeFrom="margin">
                <wp:posOffset>0</wp:posOffset>
              </wp:positionV>
              <wp:extent cx="215900" cy="612013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55701B8A" w14:textId="77777777" w:rsidR="00C93CE5" w:rsidRPr="006408A6" w:rsidRDefault="00C93CE5" w:rsidP="00E63FF9">
                          <w:pPr>
                            <w:pStyle w:val="En-tte"/>
                          </w:pPr>
                          <w:fldSimple w:instr=" TITLE  \* MERGEFORMAT ">
                            <w:r>
                              <w:t>ECE/TRANS/WP.15/AC.2/78</w:t>
                            </w:r>
                          </w:fldSimple>
                        </w:p>
                        <w:p w14:paraId="2A0E8E81" w14:textId="77777777" w:rsidR="00C93CE5" w:rsidRDefault="00C93CE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44CF222" id="_x0000_t202" coordsize="21600,21600" o:spt="202" path="m,l,21600r21600,l21600,xe">
              <v:stroke joinstyle="miter"/>
              <v:path gradientshapeok="t" o:connecttype="rect"/>
            </v:shapetype>
            <v:shape id="Zone de texte 6" o:spid="_x0000_s1026" type="#_x0000_t202" style="position:absolute;margin-left:782.35pt;margin-top:0;width:17pt;height:481.9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" fillcolor="#4f81bd [3204]" stroked="f" strokeweight=".5pt">
              <v:fill opacity="0"/>
              <v:path arrowok="t"/>
              <v:textbox style="layout-flow:vertical" inset="0,0,0,0">
                <w:txbxContent>
                  <w:p w14:paraId="55701B8A" w14:textId="77777777" w:rsidR="00C93CE5" w:rsidRPr="006408A6" w:rsidRDefault="00C93CE5" w:rsidP="00E63FF9">
                    <w:pPr>
                      <w:pStyle w:val="En-tte"/>
                    </w:pPr>
                    <w:fldSimple w:instr=" TITLE  \* MERGEFORMAT ">
                      <w:r>
                        <w:t>ECE/TRANS/WP.15/AC.2/78</w:t>
                      </w:r>
                    </w:fldSimple>
                  </w:p>
                  <w:p w14:paraId="2A0E8E81" w14:textId="77777777" w:rsidR="00C93CE5" w:rsidRDefault="00C93CE5"/>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2D375" w14:textId="4D327A0F" w:rsidR="00C93CE5" w:rsidRPr="00E63FF9" w:rsidRDefault="00C93CE5" w:rsidP="00E63FF9">
    <w:r>
      <w:rPr>
        <w:noProof/>
      </w:rPr>
      <mc:AlternateContent>
        <mc:Choice Requires="wps">
          <w:drawing>
            <wp:anchor distT="0" distB="0" distL="114300" distR="114300" simplePos="0" relativeHeight="251661312" behindDoc="0" locked="0" layoutInCell="1" allowOverlap="1" wp14:anchorId="24817422" wp14:editId="400A97B8">
              <wp:simplePos x="0" y="0"/>
              <wp:positionH relativeFrom="page">
                <wp:posOffset>9935845</wp:posOffset>
              </wp:positionH>
              <wp:positionV relativeFrom="margin">
                <wp:posOffset>0</wp:posOffset>
              </wp:positionV>
              <wp:extent cx="215900" cy="612013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3819A1C" w14:textId="77777777" w:rsidR="00C93CE5" w:rsidRPr="006408A6" w:rsidRDefault="00C93CE5" w:rsidP="00E63FF9">
                          <w:pPr>
                            <w:pStyle w:val="En-tte"/>
                            <w:jc w:val="right"/>
                          </w:pPr>
                          <w:fldSimple w:instr=" TITLE  \* MERGEFORMAT ">
                            <w:r>
                              <w:t>ECE/TRANS/WP.15/AC.2/78</w:t>
                            </w:r>
                          </w:fldSimple>
                        </w:p>
                        <w:p w14:paraId="0C8AF1A8" w14:textId="77777777" w:rsidR="00C93CE5" w:rsidRDefault="00C93CE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4817422" id="_x0000_t202" coordsize="21600,21600" o:spt="202" path="m,l,21600r21600,l21600,xe">
              <v:stroke joinstyle="miter"/>
              <v:path gradientshapeok="t" o:connecttype="rect"/>
            </v:shapetype>
            <v:shape id="Zone de texte 4" o:spid="_x0000_s1027"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" fillcolor="#4f81bd [3204]" stroked="f" strokeweight=".5pt">
              <v:fill opacity="0"/>
              <v:stroke joinstyle="round"/>
              <v:textbox style="layout-flow:vertical" inset="0,0,0,0">
                <w:txbxContent>
                  <w:p w14:paraId="13819A1C" w14:textId="77777777" w:rsidR="00C93CE5" w:rsidRPr="006408A6" w:rsidRDefault="00C93CE5" w:rsidP="00E63FF9">
                    <w:pPr>
                      <w:pStyle w:val="En-tte"/>
                      <w:jc w:val="right"/>
                    </w:pPr>
                    <w:fldSimple w:instr=" TITLE  \* MERGEFORMAT ">
                      <w:r>
                        <w:t>ECE/TRANS/WP.15/AC.2/78</w:t>
                      </w:r>
                    </w:fldSimple>
                  </w:p>
                  <w:p w14:paraId="0C8AF1A8" w14:textId="77777777" w:rsidR="00C93CE5" w:rsidRDefault="00C93CE5"/>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3EA2A" w14:textId="1E522435" w:rsidR="00C93CE5" w:rsidRPr="00776B62" w:rsidRDefault="00C93CE5" w:rsidP="00776B62">
    <w:pPr>
      <w:pStyle w:val="En-tte"/>
    </w:pPr>
    <w:fldSimple w:instr=" TITLE  \* MERGEFORMAT ">
      <w:r>
        <w:t>ECE/TRANS/WP.15/AC.2/78</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13143" w14:textId="55CE9382" w:rsidR="00C93CE5" w:rsidRPr="00776B62" w:rsidRDefault="00C93CE5" w:rsidP="00776B62">
    <w:pPr>
      <w:pStyle w:val="En-tte"/>
      <w:jc w:val="right"/>
    </w:pPr>
    <w:fldSimple w:instr=" TITLE  \* MERGEFORMAT ">
      <w:r>
        <w:t>ECE/TRANS/WP.15/AC.2/78</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32F82" w14:textId="51A217A3" w:rsidR="00C93CE5" w:rsidRPr="001517A0" w:rsidRDefault="00C93CE5" w:rsidP="001517A0">
    <w:r>
      <w:rPr>
        <w:noProof/>
      </w:rPr>
      <mc:AlternateContent>
        <mc:Choice Requires="wps">
          <w:drawing>
            <wp:anchor distT="0" distB="0" distL="114300" distR="114300" simplePos="0" relativeHeight="251665408" behindDoc="0" locked="0" layoutInCell="1" allowOverlap="1" wp14:anchorId="52719A30" wp14:editId="2676298E">
              <wp:simplePos x="0" y="0"/>
              <wp:positionH relativeFrom="page">
                <wp:posOffset>9935845</wp:posOffset>
              </wp:positionH>
              <wp:positionV relativeFrom="margin">
                <wp:posOffset>0</wp:posOffset>
              </wp:positionV>
              <wp:extent cx="215900" cy="612013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A5A6B64" w14:textId="77777777" w:rsidR="00C93CE5" w:rsidRPr="00776B62" w:rsidRDefault="00C93CE5" w:rsidP="001517A0">
                          <w:pPr>
                            <w:pStyle w:val="En-tte"/>
                          </w:pPr>
                          <w:fldSimple w:instr=" TITLE  \* MERGEFORMAT ">
                            <w:r>
                              <w:t>ECE/TRANS/WP.15/AC.2/78</w:t>
                            </w:r>
                          </w:fldSimple>
                        </w:p>
                        <w:p w14:paraId="6941B158" w14:textId="77777777" w:rsidR="00C93CE5" w:rsidRDefault="00C93CE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2719A30" id="_x0000_t202" coordsize="21600,21600" o:spt="202" path="m,l,21600r21600,l21600,xe">
              <v:stroke joinstyle="miter"/>
              <v:path gradientshapeok="t" o:connecttype="rect"/>
            </v:shapetype>
            <v:shape id="Zone de texte 12" o:spid="_x0000_s1030" type="#_x0000_t202" style="position:absolute;margin-left:782.35pt;margin-top:0;width:17pt;height:481.9pt;z-index:25166540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" fillcolor="#4f81bd [3204]" stroked="f" strokeweight=".5pt">
              <v:fill opacity="0"/>
              <v:stroke joinstyle="round"/>
              <v:textbox style="layout-flow:vertical" inset="0,0,0,0">
                <w:txbxContent>
                  <w:p w14:paraId="6A5A6B64" w14:textId="77777777" w:rsidR="00C93CE5" w:rsidRPr="00776B62" w:rsidRDefault="00C93CE5" w:rsidP="001517A0">
                    <w:pPr>
                      <w:pStyle w:val="En-tte"/>
                    </w:pPr>
                    <w:fldSimple w:instr=" TITLE  \* MERGEFORMAT ">
                      <w:r>
                        <w:t>ECE/TRANS/WP.15/AC.2/78</w:t>
                      </w:r>
                    </w:fldSimple>
                  </w:p>
                  <w:p w14:paraId="6941B158" w14:textId="77777777" w:rsidR="00C93CE5" w:rsidRDefault="00C93CE5"/>
                </w:txbxContent>
              </v:textbox>
              <w10:wrap anchorx="page"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92886" w14:textId="2DDCA1CF" w:rsidR="00C93CE5" w:rsidRPr="001517A0" w:rsidRDefault="00C93CE5" w:rsidP="001517A0">
    <w:r>
      <w:rPr>
        <w:noProof/>
      </w:rPr>
      <mc:AlternateContent>
        <mc:Choice Requires="wps">
          <w:drawing>
            <wp:anchor distT="0" distB="0" distL="114300" distR="114300" simplePos="0" relativeHeight="251667456" behindDoc="0" locked="0" layoutInCell="1" allowOverlap="1" wp14:anchorId="04384736" wp14:editId="39685EED">
              <wp:simplePos x="0" y="0"/>
              <wp:positionH relativeFrom="page">
                <wp:posOffset>9935845</wp:posOffset>
              </wp:positionH>
              <wp:positionV relativeFrom="margin">
                <wp:posOffset>0</wp:posOffset>
              </wp:positionV>
              <wp:extent cx="215900" cy="6120130"/>
              <wp:effectExtent l="0" t="0"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3991F5FA" w14:textId="77777777" w:rsidR="00C93CE5" w:rsidRPr="00776B62" w:rsidRDefault="00C93CE5" w:rsidP="001517A0">
                          <w:pPr>
                            <w:pStyle w:val="En-tte"/>
                            <w:jc w:val="right"/>
                          </w:pPr>
                          <w:fldSimple w:instr=" TITLE  \* MERGEFORMAT ">
                            <w:r>
                              <w:t>ECE/TRANS/WP.15/AC.2/78</w:t>
                            </w:r>
                          </w:fldSimple>
                        </w:p>
                        <w:p w14:paraId="328DBF81" w14:textId="77777777" w:rsidR="00C93CE5" w:rsidRDefault="00C93CE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4384736" id="_x0000_t202" coordsize="21600,21600" o:spt="202" path="m,l,21600r21600,l21600,xe">
              <v:stroke joinstyle="miter"/>
              <v:path gradientshapeok="t" o:connecttype="rect"/>
            </v:shapetype>
            <v:shape id="Zone de texte 14" o:spid="_x0000_s1031" type="#_x0000_t202" style="position:absolute;margin-left:782.35pt;margin-top:0;width:17pt;height:481.9pt;z-index:25166745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" fillcolor="#4f81bd [3204]" stroked="f" strokeweight=".5pt">
              <v:fill opacity="0"/>
              <v:path arrowok="t"/>
              <v:textbox style="layout-flow:vertical" inset="0,0,0,0">
                <w:txbxContent>
                  <w:p w14:paraId="3991F5FA" w14:textId="77777777" w:rsidR="00C93CE5" w:rsidRPr="00776B62" w:rsidRDefault="00C93CE5" w:rsidP="001517A0">
                    <w:pPr>
                      <w:pStyle w:val="En-tte"/>
                      <w:jc w:val="right"/>
                    </w:pPr>
                    <w:fldSimple w:instr=" TITLE  \* MERGEFORMAT ">
                      <w:r>
                        <w:t>ECE/TRANS/WP.15/AC.2/78</w:t>
                      </w:r>
                    </w:fldSimple>
                  </w:p>
                  <w:p w14:paraId="328DBF81" w14:textId="77777777" w:rsidR="00C93CE5" w:rsidRDefault="00C93CE5"/>
                </w:txbxContent>
              </v:textbox>
              <w10:wrap anchorx="page"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08365" w14:textId="5C0364C5" w:rsidR="00C93CE5" w:rsidRPr="00C93CE5" w:rsidRDefault="00C93CE5" w:rsidP="00C93CE5">
    <w:pPr>
      <w:pStyle w:val="En-tte"/>
    </w:pPr>
    <w:fldSimple w:instr=" TITLE  \* MERGEFORMAT ">
      <w:r>
        <w:t>ECE/TRANS/WP.15/AC.2/78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65925DC1"/>
    <w:multiLevelType w:val="hybridMultilevel"/>
    <w:tmpl w:val="FAA66F24"/>
    <w:lvl w:ilvl="0" w:tplc="8C4849AC">
      <w:start w:val="1"/>
      <w:numFmt w:val="bullet"/>
      <w:pStyle w:val="SL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SS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7"/>
  </w:num>
  <w:num w:numId="16">
    <w:abstractNumId w:val="11"/>
  </w:num>
  <w:num w:numId="17">
    <w:abstractNumId w:val="15"/>
  </w:num>
  <w:num w:numId="18">
    <w:abstractNumId w:val="14"/>
  </w:num>
  <w:num w:numId="19">
    <w:abstractNumId w:val="10"/>
  </w:num>
  <w:num w:numId="20">
    <w:abstractNumId w:val="12"/>
  </w:num>
  <w:num w:numId="21">
    <w:abstractNumId w:val="16"/>
  </w:num>
  <w:num w:numId="22">
    <w:abstractNumId w:val="13"/>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C9"/>
    <w:rsid w:val="0001381D"/>
    <w:rsid w:val="00017F94"/>
    <w:rsid w:val="00023842"/>
    <w:rsid w:val="000249BE"/>
    <w:rsid w:val="000334F9"/>
    <w:rsid w:val="00045FEB"/>
    <w:rsid w:val="0007796D"/>
    <w:rsid w:val="000B7790"/>
    <w:rsid w:val="00111F2F"/>
    <w:rsid w:val="0014365E"/>
    <w:rsid w:val="00143C66"/>
    <w:rsid w:val="001517A0"/>
    <w:rsid w:val="00176178"/>
    <w:rsid w:val="001B56C9"/>
    <w:rsid w:val="001F525A"/>
    <w:rsid w:val="00201148"/>
    <w:rsid w:val="00223272"/>
    <w:rsid w:val="0023020D"/>
    <w:rsid w:val="0024779E"/>
    <w:rsid w:val="00257168"/>
    <w:rsid w:val="002744B8"/>
    <w:rsid w:val="002832AC"/>
    <w:rsid w:val="002D7C93"/>
    <w:rsid w:val="00305801"/>
    <w:rsid w:val="003916DE"/>
    <w:rsid w:val="00421996"/>
    <w:rsid w:val="00441C3B"/>
    <w:rsid w:val="00446FE5"/>
    <w:rsid w:val="00452396"/>
    <w:rsid w:val="00477EB2"/>
    <w:rsid w:val="004837D8"/>
    <w:rsid w:val="004D735E"/>
    <w:rsid w:val="004E2EED"/>
    <w:rsid w:val="004E468C"/>
    <w:rsid w:val="00506B22"/>
    <w:rsid w:val="005505B7"/>
    <w:rsid w:val="00573BE5"/>
    <w:rsid w:val="00586ED3"/>
    <w:rsid w:val="00596AA9"/>
    <w:rsid w:val="005B6BA8"/>
    <w:rsid w:val="005F58E9"/>
    <w:rsid w:val="006408A6"/>
    <w:rsid w:val="00671A89"/>
    <w:rsid w:val="0071601D"/>
    <w:rsid w:val="00776B62"/>
    <w:rsid w:val="007A62E6"/>
    <w:rsid w:val="007F20FA"/>
    <w:rsid w:val="0080684C"/>
    <w:rsid w:val="00815815"/>
    <w:rsid w:val="00871C75"/>
    <w:rsid w:val="008776DC"/>
    <w:rsid w:val="008D5EF9"/>
    <w:rsid w:val="009446C0"/>
    <w:rsid w:val="00967DC9"/>
    <w:rsid w:val="009705C8"/>
    <w:rsid w:val="009C1CF4"/>
    <w:rsid w:val="009F6B74"/>
    <w:rsid w:val="00A3029F"/>
    <w:rsid w:val="00A30353"/>
    <w:rsid w:val="00AB5A05"/>
    <w:rsid w:val="00AC3823"/>
    <w:rsid w:val="00AE323C"/>
    <w:rsid w:val="00AF0CB5"/>
    <w:rsid w:val="00B00181"/>
    <w:rsid w:val="00B00B0D"/>
    <w:rsid w:val="00B45F2E"/>
    <w:rsid w:val="00B765F7"/>
    <w:rsid w:val="00B77993"/>
    <w:rsid w:val="00BA0CA9"/>
    <w:rsid w:val="00C02897"/>
    <w:rsid w:val="00C93CE5"/>
    <w:rsid w:val="00C97039"/>
    <w:rsid w:val="00D3439C"/>
    <w:rsid w:val="00D7622E"/>
    <w:rsid w:val="00DB1831"/>
    <w:rsid w:val="00DD3BFD"/>
    <w:rsid w:val="00DF6678"/>
    <w:rsid w:val="00E0299A"/>
    <w:rsid w:val="00E63FF9"/>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3BD30B"/>
  <w15:docId w15:val="{15FEDA7B-2731-4CD9-AFFB-6F1A026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F35BAF"/>
    <w:rPr>
      <w:rFonts w:ascii="Tahoma" w:hAnsi="Tahoma" w:cs="Tahoma"/>
      <w:sz w:val="16"/>
      <w:szCs w:val="16"/>
      <w:lang w:eastAsia="en-US"/>
    </w:rPr>
  </w:style>
  <w:style w:type="character" w:customStyle="1" w:styleId="SingleTxtGChar">
    <w:name w:val="_ Single Txt_G Char"/>
    <w:link w:val="SingleTxtG"/>
    <w:qFormat/>
    <w:locked/>
    <w:rsid w:val="006408A6"/>
    <w:rPr>
      <w:rFonts w:ascii="Times New Roman" w:eastAsiaTheme="minorHAnsi" w:hAnsi="Times New Roman" w:cs="Times New Roman"/>
      <w:sz w:val="20"/>
      <w:szCs w:val="20"/>
      <w:lang w:eastAsia="en-US"/>
    </w:rPr>
  </w:style>
  <w:style w:type="character" w:customStyle="1" w:styleId="HChGChar">
    <w:name w:val="_ H _Ch_G Char"/>
    <w:link w:val="HChG"/>
    <w:rsid w:val="006408A6"/>
    <w:rPr>
      <w:rFonts w:ascii="Times New Roman" w:eastAsiaTheme="minorHAnsi" w:hAnsi="Times New Roman" w:cs="Times New Roman"/>
      <w:b/>
      <w:sz w:val="28"/>
      <w:szCs w:val="20"/>
      <w:lang w:eastAsia="en-US"/>
    </w:rPr>
  </w:style>
  <w:style w:type="character" w:customStyle="1" w:styleId="H1GChar">
    <w:name w:val="_ H_1_G Char"/>
    <w:link w:val="H1G"/>
    <w:rsid w:val="006408A6"/>
    <w:rPr>
      <w:rFonts w:ascii="Times New Roman" w:eastAsiaTheme="minorHAnsi" w:hAnsi="Times New Roman" w:cs="Times New Roman"/>
      <w:b/>
      <w:sz w:val="24"/>
      <w:szCs w:val="20"/>
      <w:lang w:eastAsia="en-US"/>
    </w:rPr>
  </w:style>
  <w:style w:type="character" w:customStyle="1" w:styleId="H23GChar">
    <w:name w:val="_ H_2/3_G Char"/>
    <w:link w:val="H23G"/>
    <w:rsid w:val="006408A6"/>
    <w:rPr>
      <w:rFonts w:ascii="Times New Roman" w:eastAsiaTheme="minorHAnsi" w:hAnsi="Times New Roman" w:cs="Times New Roman"/>
      <w:b/>
      <w:sz w:val="20"/>
      <w:szCs w:val="20"/>
      <w:lang w:eastAsia="en-US"/>
    </w:rPr>
  </w:style>
  <w:style w:type="character" w:styleId="Marquedecommentaire">
    <w:name w:val="annotation reference"/>
    <w:basedOn w:val="Policepardfaut"/>
    <w:uiPriority w:val="99"/>
    <w:semiHidden/>
    <w:unhideWhenUsed/>
    <w:rsid w:val="006408A6"/>
    <w:rPr>
      <w:sz w:val="16"/>
      <w:szCs w:val="16"/>
    </w:rPr>
  </w:style>
  <w:style w:type="paragraph" w:styleId="Commentaire">
    <w:name w:val="annotation text"/>
    <w:basedOn w:val="Normal"/>
    <w:link w:val="CommentaireCar"/>
    <w:uiPriority w:val="99"/>
    <w:unhideWhenUsed/>
    <w:rsid w:val="006408A6"/>
    <w:pPr>
      <w:kinsoku/>
      <w:overflowPunct/>
      <w:autoSpaceDE/>
      <w:autoSpaceDN/>
      <w:adjustRightInd/>
      <w:snapToGrid/>
      <w:spacing w:line="240" w:lineRule="auto"/>
    </w:pPr>
    <w:rPr>
      <w:rFonts w:eastAsia="Times New Roman"/>
      <w:lang w:val="en-GB"/>
    </w:rPr>
  </w:style>
  <w:style w:type="character" w:customStyle="1" w:styleId="CommentaireCar">
    <w:name w:val="Commentaire Car"/>
    <w:basedOn w:val="Policepardfaut"/>
    <w:link w:val="Commentaire"/>
    <w:uiPriority w:val="99"/>
    <w:rsid w:val="006408A6"/>
    <w:rPr>
      <w:rFonts w:ascii="Times New Roman" w:hAnsi="Times New Roman" w:cs="Times New Roman"/>
      <w:sz w:val="20"/>
      <w:szCs w:val="20"/>
      <w:lang w:val="en-GB" w:eastAsia="en-US"/>
    </w:rPr>
  </w:style>
  <w:style w:type="paragraph" w:styleId="Objetducommentaire">
    <w:name w:val="annotation subject"/>
    <w:basedOn w:val="Commentaire"/>
    <w:next w:val="Commentaire"/>
    <w:link w:val="ObjetducommentaireCar"/>
    <w:semiHidden/>
    <w:unhideWhenUsed/>
    <w:rsid w:val="006408A6"/>
    <w:rPr>
      <w:b/>
      <w:bCs/>
      <w:lang w:eastAsia="fr-FR"/>
    </w:rPr>
  </w:style>
  <w:style w:type="character" w:customStyle="1" w:styleId="ObjetducommentaireCar">
    <w:name w:val="Objet du commentaire Car"/>
    <w:basedOn w:val="CommentaireCar"/>
    <w:link w:val="Objetducommentaire"/>
    <w:semiHidden/>
    <w:rsid w:val="006408A6"/>
    <w:rPr>
      <w:rFonts w:ascii="Times New Roman" w:hAnsi="Times New Roman" w:cs="Times New Roman"/>
      <w:b/>
      <w:bCs/>
      <w:sz w:val="20"/>
      <w:szCs w:val="20"/>
      <w:lang w:val="en-GB" w:eastAsia="fr-FR"/>
    </w:rPr>
  </w:style>
  <w:style w:type="paragraph" w:styleId="TM1">
    <w:name w:val="toc 1"/>
    <w:basedOn w:val="Normal"/>
    <w:next w:val="Normal"/>
    <w:autoRedefine/>
    <w:uiPriority w:val="39"/>
    <w:unhideWhenUsed/>
    <w:rsid w:val="006408A6"/>
    <w:pPr>
      <w:kinsoku/>
      <w:overflowPunct/>
      <w:autoSpaceDE/>
      <w:autoSpaceDN/>
      <w:adjustRightInd/>
      <w:snapToGrid/>
      <w:spacing w:after="100"/>
    </w:pPr>
    <w:rPr>
      <w:rFonts w:eastAsia="Times New Roman"/>
      <w:lang w:val="en-GB" w:eastAsia="fr-FR"/>
    </w:rPr>
  </w:style>
  <w:style w:type="paragraph" w:styleId="TM2">
    <w:name w:val="toc 2"/>
    <w:basedOn w:val="Normal"/>
    <w:next w:val="Normal"/>
    <w:autoRedefine/>
    <w:uiPriority w:val="39"/>
    <w:unhideWhenUsed/>
    <w:rsid w:val="006408A6"/>
    <w:pPr>
      <w:kinsoku/>
      <w:overflowPunct/>
      <w:autoSpaceDE/>
      <w:autoSpaceDN/>
      <w:adjustRightInd/>
      <w:snapToGrid/>
      <w:spacing w:after="100"/>
      <w:ind w:left="200"/>
    </w:pPr>
    <w:rPr>
      <w:rFonts w:eastAsia="Times New Roman"/>
      <w:lang w:val="en-GB" w:eastAsia="fr-FR"/>
    </w:rPr>
  </w:style>
  <w:style w:type="paragraph" w:styleId="TM3">
    <w:name w:val="toc 3"/>
    <w:basedOn w:val="Normal"/>
    <w:next w:val="Normal"/>
    <w:autoRedefine/>
    <w:uiPriority w:val="39"/>
    <w:unhideWhenUsed/>
    <w:rsid w:val="006408A6"/>
    <w:pPr>
      <w:kinsoku/>
      <w:overflowPunct/>
      <w:autoSpaceDE/>
      <w:autoSpaceDN/>
      <w:adjustRightInd/>
      <w:snapToGrid/>
      <w:spacing w:after="100"/>
      <w:ind w:left="400"/>
    </w:pPr>
    <w:rPr>
      <w:rFonts w:eastAsia="Times New Roman"/>
      <w:lang w:val="en-GB" w:eastAsia="fr-FR"/>
    </w:rPr>
  </w:style>
  <w:style w:type="paragraph" w:styleId="TM4">
    <w:name w:val="toc 4"/>
    <w:basedOn w:val="Normal"/>
    <w:next w:val="Normal"/>
    <w:autoRedefine/>
    <w:uiPriority w:val="39"/>
    <w:unhideWhenUsed/>
    <w:rsid w:val="006408A6"/>
    <w:pPr>
      <w:suppressAutoHyphens w:val="0"/>
      <w:kinsoku/>
      <w:overflowPunct/>
      <w:autoSpaceDE/>
      <w:autoSpaceDN/>
      <w:adjustRightInd/>
      <w:snapToGrid/>
      <w:spacing w:after="100" w:line="259" w:lineRule="auto"/>
      <w:ind w:left="660"/>
    </w:pPr>
    <w:rPr>
      <w:rFonts w:asciiTheme="minorHAnsi" w:eastAsiaTheme="minorEastAsia" w:hAnsiTheme="minorHAnsi" w:cstheme="minorBidi"/>
      <w:sz w:val="22"/>
      <w:szCs w:val="22"/>
      <w:lang w:val="en-GB" w:eastAsia="zh-CN"/>
    </w:rPr>
  </w:style>
  <w:style w:type="paragraph" w:styleId="TM5">
    <w:name w:val="toc 5"/>
    <w:basedOn w:val="Normal"/>
    <w:next w:val="Normal"/>
    <w:autoRedefine/>
    <w:uiPriority w:val="39"/>
    <w:unhideWhenUsed/>
    <w:rsid w:val="006408A6"/>
    <w:pPr>
      <w:suppressAutoHyphens w:val="0"/>
      <w:kinsoku/>
      <w:overflowPunct/>
      <w:autoSpaceDE/>
      <w:autoSpaceDN/>
      <w:adjustRightInd/>
      <w:snapToGrid/>
      <w:spacing w:after="100" w:line="259" w:lineRule="auto"/>
      <w:ind w:left="880"/>
    </w:pPr>
    <w:rPr>
      <w:rFonts w:asciiTheme="minorHAnsi" w:eastAsiaTheme="minorEastAsia" w:hAnsiTheme="minorHAnsi" w:cstheme="minorBidi"/>
      <w:sz w:val="22"/>
      <w:szCs w:val="22"/>
      <w:lang w:val="en-GB" w:eastAsia="zh-CN"/>
    </w:rPr>
  </w:style>
  <w:style w:type="paragraph" w:styleId="TM6">
    <w:name w:val="toc 6"/>
    <w:basedOn w:val="Normal"/>
    <w:next w:val="Normal"/>
    <w:autoRedefine/>
    <w:uiPriority w:val="39"/>
    <w:unhideWhenUsed/>
    <w:rsid w:val="006408A6"/>
    <w:pPr>
      <w:suppressAutoHyphens w:val="0"/>
      <w:kinsoku/>
      <w:overflowPunct/>
      <w:autoSpaceDE/>
      <w:autoSpaceDN/>
      <w:adjustRightInd/>
      <w:snapToGrid/>
      <w:spacing w:after="100" w:line="259" w:lineRule="auto"/>
      <w:ind w:left="1100"/>
    </w:pPr>
    <w:rPr>
      <w:rFonts w:asciiTheme="minorHAnsi" w:eastAsiaTheme="minorEastAsia" w:hAnsiTheme="minorHAnsi" w:cstheme="minorBidi"/>
      <w:sz w:val="22"/>
      <w:szCs w:val="22"/>
      <w:lang w:val="en-GB" w:eastAsia="zh-CN"/>
    </w:rPr>
  </w:style>
  <w:style w:type="paragraph" w:styleId="TM7">
    <w:name w:val="toc 7"/>
    <w:basedOn w:val="Normal"/>
    <w:next w:val="Normal"/>
    <w:autoRedefine/>
    <w:uiPriority w:val="39"/>
    <w:unhideWhenUsed/>
    <w:rsid w:val="006408A6"/>
    <w:pPr>
      <w:suppressAutoHyphens w:val="0"/>
      <w:kinsoku/>
      <w:overflowPunct/>
      <w:autoSpaceDE/>
      <w:autoSpaceDN/>
      <w:adjustRightInd/>
      <w:snapToGrid/>
      <w:spacing w:after="100" w:line="259" w:lineRule="auto"/>
      <w:ind w:left="1320"/>
    </w:pPr>
    <w:rPr>
      <w:rFonts w:asciiTheme="minorHAnsi" w:eastAsiaTheme="minorEastAsia" w:hAnsiTheme="minorHAnsi" w:cstheme="minorBidi"/>
      <w:sz w:val="22"/>
      <w:szCs w:val="22"/>
      <w:lang w:val="en-GB" w:eastAsia="zh-CN"/>
    </w:rPr>
  </w:style>
  <w:style w:type="paragraph" w:styleId="TM8">
    <w:name w:val="toc 8"/>
    <w:basedOn w:val="Normal"/>
    <w:next w:val="Normal"/>
    <w:autoRedefine/>
    <w:uiPriority w:val="39"/>
    <w:unhideWhenUsed/>
    <w:rsid w:val="006408A6"/>
    <w:pPr>
      <w:suppressAutoHyphens w:val="0"/>
      <w:kinsoku/>
      <w:overflowPunct/>
      <w:autoSpaceDE/>
      <w:autoSpaceDN/>
      <w:adjustRightInd/>
      <w:snapToGrid/>
      <w:spacing w:after="100" w:line="259" w:lineRule="auto"/>
      <w:ind w:left="1540"/>
    </w:pPr>
    <w:rPr>
      <w:rFonts w:asciiTheme="minorHAnsi" w:eastAsiaTheme="minorEastAsia" w:hAnsiTheme="minorHAnsi" w:cstheme="minorBidi"/>
      <w:sz w:val="22"/>
      <w:szCs w:val="22"/>
      <w:lang w:val="en-GB" w:eastAsia="zh-CN"/>
    </w:rPr>
  </w:style>
  <w:style w:type="paragraph" w:styleId="TM9">
    <w:name w:val="toc 9"/>
    <w:basedOn w:val="Normal"/>
    <w:next w:val="Normal"/>
    <w:autoRedefine/>
    <w:uiPriority w:val="39"/>
    <w:unhideWhenUsed/>
    <w:rsid w:val="006408A6"/>
    <w:pPr>
      <w:suppressAutoHyphens w:val="0"/>
      <w:kinsoku/>
      <w:overflowPunct/>
      <w:autoSpaceDE/>
      <w:autoSpaceDN/>
      <w:adjustRightInd/>
      <w:snapToGrid/>
      <w:spacing w:after="100" w:line="259" w:lineRule="auto"/>
      <w:ind w:left="1760"/>
    </w:pPr>
    <w:rPr>
      <w:rFonts w:asciiTheme="minorHAnsi" w:eastAsiaTheme="minorEastAsia" w:hAnsiTheme="minorHAnsi" w:cstheme="minorBidi"/>
      <w:sz w:val="22"/>
      <w:szCs w:val="22"/>
      <w:lang w:val="en-GB" w:eastAsia="zh-CN"/>
    </w:rPr>
  </w:style>
  <w:style w:type="character" w:styleId="Mentionnonrsolue">
    <w:name w:val="Unresolved Mention"/>
    <w:basedOn w:val="Policepardfaut"/>
    <w:uiPriority w:val="99"/>
    <w:semiHidden/>
    <w:unhideWhenUsed/>
    <w:rsid w:val="006408A6"/>
    <w:rPr>
      <w:color w:val="605E5C"/>
      <w:shd w:val="clear" w:color="auto" w:fill="E1DFDD"/>
    </w:rPr>
  </w:style>
  <w:style w:type="character" w:styleId="Accentuation">
    <w:name w:val="Emphasis"/>
    <w:qFormat/>
    <w:rsid w:val="006408A6"/>
    <w:rPr>
      <w:i/>
      <w:iCs/>
    </w:rPr>
  </w:style>
  <w:style w:type="character" w:customStyle="1" w:styleId="sdfn">
    <w:name w:val="s_dfn"/>
    <w:basedOn w:val="Policepardfaut"/>
    <w:rsid w:val="006408A6"/>
  </w:style>
  <w:style w:type="character" w:customStyle="1" w:styleId="autoselectword">
    <w:name w:val="autoselectword"/>
    <w:basedOn w:val="Policepardfaut"/>
    <w:rsid w:val="006408A6"/>
  </w:style>
  <w:style w:type="character" w:customStyle="1" w:styleId="normaltextrun">
    <w:name w:val="normaltextrun"/>
    <w:basedOn w:val="Policepardfaut"/>
    <w:rsid w:val="0064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ntTable" Target="fontTable.xml"/><Relationship Id="rId8" Type="http://schemas.openxmlformats.org/officeDocument/2006/relationships/hyperlink" Target="https://www.transport-community.org/"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unece.org/DAM/trans/doc/2020/dgadn/ECE-ADN-53f.pdf" TargetMode="External"/><Relationship Id="rId1" Type="http://schemas.openxmlformats.org/officeDocument/2006/relationships/hyperlink" Target="https://unece.org/DAM/trans/doc/2019/dgadn/ECE-ADN-51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B81C6-D35E-4E62-9DA2-151D45989BB1}"/>
</file>

<file path=customXml/itemProps2.xml><?xml version="1.0" encoding="utf-8"?>
<ds:datastoreItem xmlns:ds="http://schemas.openxmlformats.org/officeDocument/2006/customXml" ds:itemID="{9C50157F-9807-4EFA-94F4-AE1C48C1D4B6}"/>
</file>

<file path=customXml/itemProps3.xml><?xml version="1.0" encoding="utf-8"?>
<ds:datastoreItem xmlns:ds="http://schemas.openxmlformats.org/officeDocument/2006/customXml" ds:itemID="{82C1290B-33C1-4219-9A88-2962378AE65A}"/>
</file>

<file path=docProps/app.xml><?xml version="1.0" encoding="utf-8"?>
<Properties xmlns="http://schemas.openxmlformats.org/officeDocument/2006/extended-properties" xmlns:vt="http://schemas.openxmlformats.org/officeDocument/2006/docPropsVTypes">
  <Template>ECE_TRANS.dotm</Template>
  <TotalTime>7</TotalTime>
  <Pages>24</Pages>
  <Words>8335</Words>
  <Characters>45928</Characters>
  <Application>Microsoft Office Word</Application>
  <DocSecurity>0</DocSecurity>
  <Lines>1148</Lines>
  <Paragraphs>589</Paragraphs>
  <ScaleCrop>false</ScaleCrop>
  <HeadingPairs>
    <vt:vector size="2" baseType="variant">
      <vt:variant>
        <vt:lpstr>Titre</vt:lpstr>
      </vt:variant>
      <vt:variant>
        <vt:i4>1</vt:i4>
      </vt:variant>
    </vt:vector>
  </HeadingPairs>
  <TitlesOfParts>
    <vt:vector size="1" baseType="lpstr">
      <vt:lpstr>ECE/TRANS/WP.15/AC.2/78</vt:lpstr>
    </vt:vector>
  </TitlesOfParts>
  <Company>DCM</Company>
  <LinksUpToDate>false</LinksUpToDate>
  <CharactersWithSpaces>53674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ECE/TRANS/WP.15/AC.2/78</dc:title>
  <dc:subject/>
  <dc:creator>Sandrine CLERE</dc:creator>
  <cp:keywords/>
  <cp:lastModifiedBy>Sandrine Clere</cp:lastModifiedBy>
  <cp:revision>2</cp:revision>
  <cp:lastPrinted>2014-05-14T10:59:00Z</cp:lastPrinted>
  <dcterms:created xsi:type="dcterms:W3CDTF">2022-01-13T09:24:00Z</dcterms:created>
  <dcterms:modified xsi:type="dcterms:W3CDTF">2022-01-13T09:24:00Z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