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5C79B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FD407E" w14:textId="77777777" w:rsidR="002D5AAC" w:rsidRDefault="002D5AAC" w:rsidP="00951C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29FF67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DBE30A2" w14:textId="77777777" w:rsidR="002D5AAC" w:rsidRDefault="00951C19" w:rsidP="00951C19">
            <w:pPr>
              <w:jc w:val="right"/>
            </w:pPr>
            <w:r w:rsidRPr="00951C19">
              <w:rPr>
                <w:sz w:val="40"/>
              </w:rPr>
              <w:t>ECE</w:t>
            </w:r>
            <w:r>
              <w:t>/TRANS/2022/3</w:t>
            </w:r>
          </w:p>
        </w:tc>
      </w:tr>
      <w:tr w:rsidR="002D5AAC" w14:paraId="1123FA4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B52FA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964365" wp14:editId="3AA4572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F2D86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6528F5" w14:textId="4CB7489D" w:rsidR="002D5AAC" w:rsidRDefault="00951C1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FF02F5">
              <w:t>General</w:t>
            </w:r>
          </w:p>
          <w:p w14:paraId="51E11FA9" w14:textId="032CC775" w:rsidR="00951C19" w:rsidRDefault="00951C19" w:rsidP="00951C19">
            <w:pPr>
              <w:spacing w:line="240" w:lineRule="exact"/>
              <w:rPr>
                <w:lang w:val="en-US"/>
              </w:rPr>
            </w:pPr>
            <w:r w:rsidRPr="00951C19">
              <w:rPr>
                <w:rFonts w:eastAsia="Times New Roman" w:cs="Times New Roman"/>
                <w:szCs w:val="20"/>
                <w:lang w:val="en-GB" w:eastAsia="fr-FR"/>
              </w:rPr>
              <w:t>9 December 2021</w:t>
            </w:r>
          </w:p>
          <w:p w14:paraId="44887C5F" w14:textId="77777777" w:rsidR="00951C19" w:rsidRDefault="00951C19" w:rsidP="00951C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182A85" w14:textId="428C6EAB" w:rsidR="00951C19" w:rsidRPr="008D53B6" w:rsidRDefault="00951C19" w:rsidP="00951C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="00916269" w:rsidRPr="00916269">
              <w:rPr>
                <w:rFonts w:eastAsia="Times New Roman" w:cs="Times New Roman"/>
                <w:szCs w:val="20"/>
                <w:lang w:val="en-GB" w:eastAsia="fr-FR"/>
              </w:rPr>
              <w:t xml:space="preserve"> English</w:t>
            </w:r>
          </w:p>
        </w:tc>
      </w:tr>
    </w:tbl>
    <w:p w14:paraId="2C450D9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4B7575A" w14:textId="77777777" w:rsidR="00951C19" w:rsidRPr="00951C19" w:rsidRDefault="00951C19" w:rsidP="00951C19">
      <w:pPr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951C19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3BED8F35" w14:textId="5C55FC9D" w:rsidR="00951C19" w:rsidRPr="00951C19" w:rsidRDefault="00951C19" w:rsidP="00951C19">
      <w:pPr>
        <w:spacing w:before="120"/>
        <w:rPr>
          <w:rFonts w:eastAsia="Times New Roman" w:cs="Times New Roman"/>
          <w:b/>
          <w:bCs/>
          <w:szCs w:val="20"/>
          <w:lang w:eastAsia="fr-FR"/>
        </w:rPr>
      </w:pPr>
      <w:r w:rsidRPr="00951C19">
        <w:rPr>
          <w:rFonts w:eastAsia="Times New Roman" w:cs="Times New Roman"/>
          <w:b/>
          <w:bCs/>
          <w:szCs w:val="20"/>
          <w:lang w:eastAsia="fr-FR"/>
        </w:rPr>
        <w:t>Восемьдесят четвертая сессия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951C19">
        <w:rPr>
          <w:rFonts w:eastAsia="Times New Roman" w:cs="Times New Roman"/>
          <w:szCs w:val="20"/>
          <w:lang w:eastAsia="fr-FR"/>
        </w:rPr>
        <w:t>Женева, 22–25 февраля 2022 года</w:t>
      </w:r>
      <w:r>
        <w:rPr>
          <w:rFonts w:eastAsia="Times New Roman" w:cs="Times New Roman"/>
          <w:szCs w:val="20"/>
          <w:lang w:eastAsia="fr-FR"/>
        </w:rPr>
        <w:br/>
      </w:r>
      <w:r w:rsidRPr="00951C19">
        <w:rPr>
          <w:rFonts w:eastAsia="Times New Roman" w:cs="Times New Roman"/>
          <w:szCs w:val="20"/>
          <w:lang w:eastAsia="fr-FR"/>
        </w:rPr>
        <w:t>Пункт 3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951C19">
        <w:rPr>
          <w:rFonts w:eastAsia="Times New Roman" w:cs="Times New Roman"/>
          <w:b/>
          <w:bCs/>
          <w:szCs w:val="20"/>
          <w:lang w:eastAsia="fr-FR"/>
        </w:rPr>
        <w:t>Совещание по осуществлению стратегии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951C19">
        <w:rPr>
          <w:rFonts w:eastAsia="Times New Roman" w:cs="Times New Roman"/>
          <w:b/>
          <w:bCs/>
          <w:szCs w:val="20"/>
          <w:lang w:eastAsia="fr-FR"/>
        </w:rPr>
        <w:t>Комитета по внутреннему транспорту</w:t>
      </w:r>
      <w:r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951C19">
        <w:rPr>
          <w:rFonts w:eastAsia="Times New Roman" w:cs="Times New Roman"/>
          <w:b/>
          <w:bCs/>
          <w:szCs w:val="20"/>
          <w:lang w:eastAsia="fr-FR"/>
        </w:rPr>
        <w:t>только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951C19">
        <w:rPr>
          <w:rFonts w:eastAsia="Times New Roman" w:cs="Times New Roman"/>
          <w:b/>
          <w:bCs/>
          <w:szCs w:val="20"/>
          <w:lang w:eastAsia="fr-FR"/>
        </w:rPr>
        <w:t>для правительственных делегатов</w:t>
      </w:r>
      <w:r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951C19">
        <w:rPr>
          <w:rFonts w:eastAsia="Times New Roman" w:cs="Times New Roman"/>
          <w:b/>
          <w:bCs/>
          <w:szCs w:val="20"/>
          <w:lang w:eastAsia="fr-FR"/>
        </w:rPr>
        <w:t>с участием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951C19">
        <w:rPr>
          <w:rFonts w:eastAsia="Times New Roman" w:cs="Times New Roman"/>
          <w:b/>
          <w:bCs/>
          <w:szCs w:val="20"/>
          <w:lang w:eastAsia="fr-FR"/>
        </w:rPr>
        <w:t>председателей</w:t>
      </w:r>
      <w:r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951C19">
        <w:rPr>
          <w:rFonts w:eastAsia="Times New Roman" w:cs="Times New Roman"/>
          <w:b/>
          <w:bCs/>
          <w:szCs w:val="20"/>
          <w:lang w:eastAsia="fr-FR"/>
        </w:rPr>
        <w:t>вспомогательных органов Комитета</w:t>
      </w:r>
    </w:p>
    <w:p w14:paraId="239BB075" w14:textId="08C75B95" w:rsidR="00951C19" w:rsidRPr="00951C19" w:rsidRDefault="00951C19" w:rsidP="00951C19">
      <w:pPr>
        <w:pStyle w:val="HChG"/>
      </w:pPr>
      <w:r w:rsidRPr="00951C19">
        <w:tab/>
      </w:r>
      <w:r w:rsidRPr="00951C19">
        <w:tab/>
        <w:t>Осуществление Стратегии КВТ на период до 2030 года</w:t>
      </w:r>
    </w:p>
    <w:p w14:paraId="26CD47EE" w14:textId="77777777" w:rsidR="00951C19" w:rsidRPr="00951C19" w:rsidRDefault="00951C19" w:rsidP="00951C19">
      <w:pPr>
        <w:pStyle w:val="H1G"/>
      </w:pPr>
      <w:r w:rsidRPr="00951C19">
        <w:tab/>
      </w:r>
      <w:r w:rsidRPr="00951C19">
        <w:tab/>
        <w:t>Записка секретариата</w:t>
      </w:r>
    </w:p>
    <w:p w14:paraId="2C4D3D9E" w14:textId="77777777" w:rsidR="00951C19" w:rsidRPr="00951C19" w:rsidRDefault="00951C19" w:rsidP="00951C19">
      <w:pPr>
        <w:pStyle w:val="HChG"/>
      </w:pPr>
      <w:r w:rsidRPr="00951C19">
        <w:tab/>
        <w:t>I.</w:t>
      </w:r>
      <w:r w:rsidRPr="00951C19">
        <w:tab/>
        <w:t>Введение</w:t>
      </w:r>
    </w:p>
    <w:p w14:paraId="2A41AD2B" w14:textId="77777777" w:rsidR="00951C19" w:rsidRPr="00951C19" w:rsidRDefault="00951C19" w:rsidP="00951C19">
      <w:pPr>
        <w:pStyle w:val="SingleTxtG"/>
        <w:rPr>
          <w:lang w:eastAsia="fr-FR"/>
        </w:rPr>
      </w:pPr>
      <w:r w:rsidRPr="00951C19">
        <w:rPr>
          <w:lang w:eastAsia="fr-FR"/>
        </w:rPr>
        <w:t>1.</w:t>
      </w:r>
      <w:r w:rsidRPr="00951C19">
        <w:rPr>
          <w:lang w:eastAsia="fr-FR"/>
        </w:rPr>
        <w:tab/>
        <w:t>Комитет по внутреннему транспорту (КВТ) на своей восемьдесят третьей сессии (Женева, 23–26 февраля 2021 года) рассмотрел документ ECE/TRANS/2021/3, в котором содержится информация о ходе осуществления Стратегии КВТ на период до 2030 года (</w:t>
      </w:r>
      <w:r w:rsidRPr="00951C19">
        <w:rPr>
          <w:rFonts w:eastAsia="SimSun"/>
          <w:lang w:eastAsia="zh-CN" w:bidi="ar-TN"/>
        </w:rPr>
        <w:t>«</w:t>
      </w:r>
      <w:r w:rsidRPr="00951C19">
        <w:rPr>
          <w:lang w:eastAsia="fr-FR"/>
        </w:rPr>
        <w:t>Стратегия») в 2020 году и сформулированы последующие шаги для продолжения процесса осуществления.</w:t>
      </w:r>
    </w:p>
    <w:p w14:paraId="349D0B23" w14:textId="77777777" w:rsidR="00951C19" w:rsidRPr="00951C19" w:rsidRDefault="00951C19" w:rsidP="00951C19">
      <w:pPr>
        <w:pStyle w:val="SingleTxtG"/>
        <w:rPr>
          <w:lang w:eastAsia="fr-FR"/>
        </w:rPr>
      </w:pPr>
      <w:r w:rsidRPr="00951C19">
        <w:rPr>
          <w:lang w:eastAsia="fr-FR"/>
        </w:rPr>
        <w:t>2.</w:t>
      </w:r>
      <w:r w:rsidRPr="00951C19">
        <w:rPr>
          <w:lang w:eastAsia="fr-FR"/>
        </w:rPr>
        <w:tab/>
        <w:t>КВТ положительно отметил усилия своих рабочих групп по согласованию деятельности со Стратегией КВТ. Комитет, в частности, предложил рабочим группам при поддержке секретариата осуществить рекомендованные дальнейшие шаги и тем самым способствовать реализации Стратегии. КВТ просил также секретариат следить за осуществлением последующих шагов и обновлять информацию о достигнутом прогрессе.</w:t>
      </w:r>
    </w:p>
    <w:p w14:paraId="07C10041" w14:textId="21DA6F12" w:rsidR="00951C19" w:rsidRPr="00951C19" w:rsidRDefault="00951C19" w:rsidP="00951C19">
      <w:pPr>
        <w:pStyle w:val="SingleTxtG"/>
        <w:rPr>
          <w:lang w:eastAsia="fr-FR"/>
        </w:rPr>
      </w:pPr>
      <w:r w:rsidRPr="00951C19">
        <w:rPr>
          <w:lang w:eastAsia="fr-FR"/>
        </w:rPr>
        <w:t>3.</w:t>
      </w:r>
      <w:r w:rsidRPr="00951C19">
        <w:rPr>
          <w:lang w:eastAsia="fr-FR"/>
        </w:rPr>
        <w:tab/>
        <w:t>В настоящем документе представлены обновленные сведения о деятельности рабочих групп и секретариата, чтобы проинформировать КВТ о прогрессе, достигнутом в течение 2021 года (до конца октября). Добавленная информация о наработках в 2021 году выделена жирным шрифтом, а устаревшая информация вычеркнута.</w:t>
      </w:r>
    </w:p>
    <w:p w14:paraId="70285D75" w14:textId="53E3BF3C" w:rsidR="00E12C5F" w:rsidRDefault="00951C19" w:rsidP="00951C19">
      <w:pPr>
        <w:pStyle w:val="SingleTxtG"/>
        <w:rPr>
          <w:lang w:eastAsia="fr-FR"/>
        </w:rPr>
      </w:pPr>
      <w:r w:rsidRPr="00951C19">
        <w:rPr>
          <w:lang w:eastAsia="fr-FR"/>
        </w:rPr>
        <w:t>4.</w:t>
      </w:r>
      <w:r w:rsidRPr="00951C19">
        <w:rPr>
          <w:lang w:eastAsia="fr-FR"/>
        </w:rPr>
        <w:tab/>
        <w:t xml:space="preserve">Проект данного документа был </w:t>
      </w:r>
      <w:r w:rsidRPr="00951C19">
        <w:t>согласован</w:t>
      </w:r>
      <w:r w:rsidRPr="00951C19">
        <w:rPr>
          <w:lang w:eastAsia="fr-FR"/>
        </w:rPr>
        <w:t xml:space="preserve"> с Бюро, которое просило секретариат представить информацию о прогрессе, достигнутом в осуществлении Стратегии, на сессии с ограниченным участием в рамках восемьдесят четвертой сессии КВТ. Бюро также рекомендовало рабочим группам по мере необходимости обсуждать возможности, риски или проблемы, указанные в отношении конкретных конвенций и соглашений в рамках задачи 5.4 в таблице ниже</w:t>
      </w:r>
      <w:r>
        <w:rPr>
          <w:lang w:eastAsia="fr-FR"/>
        </w:rPr>
        <w:t>.</w:t>
      </w:r>
    </w:p>
    <w:p w14:paraId="632C3564" w14:textId="08E00CAA" w:rsidR="00951C19" w:rsidRDefault="00951C19" w:rsidP="00951C19">
      <w:pPr>
        <w:pStyle w:val="HChG"/>
      </w:pPr>
      <w:r>
        <w:lastRenderedPageBreak/>
        <w:tab/>
      </w:r>
      <w:r w:rsidRPr="00951C19">
        <w:t>II.</w:t>
      </w:r>
      <w:r w:rsidRPr="00951C19">
        <w:tab/>
        <w:t>Состояние работы и последующие шаги</w:t>
      </w:r>
    </w:p>
    <w:tbl>
      <w:tblPr>
        <w:tblStyle w:val="1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89"/>
        <w:gridCol w:w="3279"/>
        <w:gridCol w:w="2536"/>
        <w:gridCol w:w="1559"/>
      </w:tblGrid>
      <w:tr w:rsidR="00951C19" w:rsidRPr="00951C19" w14:paraId="44887A58" w14:textId="77777777" w:rsidTr="002B2BCA">
        <w:trPr>
          <w:tblHeader/>
        </w:trPr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C5127A" w14:textId="77777777" w:rsidR="00951C19" w:rsidRPr="00951C19" w:rsidRDefault="00951C19" w:rsidP="00780808">
            <w:pPr>
              <w:spacing w:before="80" w:after="80" w:line="200" w:lineRule="exact"/>
              <w:ind w:left="28"/>
              <w:rPr>
                <w:rFonts w:eastAsia="Times New Roman" w:cs="Times New Roman"/>
                <w:i/>
                <w:sz w:val="16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62929D" w14:textId="77777777" w:rsidR="00951C19" w:rsidRPr="00951C19" w:rsidRDefault="00951C19" w:rsidP="00780808">
            <w:pPr>
              <w:spacing w:before="80" w:after="80" w:line="200" w:lineRule="exact"/>
              <w:ind w:left="28"/>
              <w:rPr>
                <w:rFonts w:eastAsia="Times New Roman" w:cs="Times New Roman"/>
                <w:i/>
                <w:sz w:val="16"/>
                <w:szCs w:val="16"/>
                <w:lang w:eastAsia="fr-FR"/>
              </w:rPr>
            </w:pPr>
            <w:r w:rsidRPr="00951C19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>Задачи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9F3EAB" w14:textId="77777777" w:rsidR="00951C19" w:rsidRPr="00951C19" w:rsidRDefault="00951C19" w:rsidP="00780808">
            <w:pPr>
              <w:spacing w:before="80" w:after="80" w:line="200" w:lineRule="exact"/>
              <w:ind w:left="28"/>
              <w:rPr>
                <w:rFonts w:eastAsia="Times New Roman" w:cs="Times New Roman"/>
                <w:i/>
                <w:sz w:val="16"/>
                <w:szCs w:val="16"/>
                <w:lang w:eastAsia="fr-FR"/>
              </w:rPr>
            </w:pPr>
            <w:r w:rsidRPr="00951C19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>Состояние работы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33F159" w14:textId="77777777" w:rsidR="00951C19" w:rsidRPr="00951C19" w:rsidRDefault="00951C19" w:rsidP="00780808">
            <w:pPr>
              <w:spacing w:before="80" w:after="80" w:line="200" w:lineRule="exact"/>
              <w:ind w:left="28"/>
              <w:rPr>
                <w:rFonts w:eastAsia="Times New Roman" w:cs="Times New Roman"/>
                <w:i/>
                <w:sz w:val="16"/>
                <w:szCs w:val="16"/>
                <w:lang w:eastAsia="fr-FR"/>
              </w:rPr>
            </w:pPr>
            <w:r w:rsidRPr="00951C19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>Последующие шаги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ECB42" w14:textId="75FB351D" w:rsidR="00951C19" w:rsidRPr="00951C19" w:rsidRDefault="00951C19" w:rsidP="00780808">
            <w:pPr>
              <w:spacing w:before="80" w:after="80" w:line="200" w:lineRule="exact"/>
              <w:ind w:left="28"/>
              <w:rPr>
                <w:rFonts w:eastAsia="Times New Roman" w:cs="Times New Roman"/>
                <w:i/>
                <w:sz w:val="16"/>
                <w:szCs w:val="16"/>
                <w:lang w:eastAsia="fr-FR"/>
              </w:rPr>
            </w:pPr>
            <w:r w:rsidRPr="00951C19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>Ответственное лицо или подразделение</w:t>
            </w:r>
            <w:r w:rsidR="00780808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br/>
            </w:r>
            <w:r w:rsidRPr="00951C19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>в Отделе</w:t>
            </w:r>
          </w:p>
        </w:tc>
      </w:tr>
      <w:tr w:rsidR="00951C19" w:rsidRPr="00951C19" w14:paraId="4979438F" w14:textId="77777777" w:rsidTr="002B2BCA">
        <w:trPr>
          <w:trHeight w:hRule="exact" w:val="113"/>
          <w:tblHeader/>
        </w:trPr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</w:tcPr>
          <w:p w14:paraId="42CA53DE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shd w:val="clear" w:color="auto" w:fill="auto"/>
          </w:tcPr>
          <w:p w14:paraId="67003394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3279" w:type="dxa"/>
            <w:tcBorders>
              <w:top w:val="single" w:sz="12" w:space="0" w:color="auto"/>
            </w:tcBorders>
            <w:shd w:val="clear" w:color="auto" w:fill="auto"/>
          </w:tcPr>
          <w:p w14:paraId="0DC79CFF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single" w:sz="12" w:space="0" w:color="auto"/>
            </w:tcBorders>
            <w:shd w:val="clear" w:color="auto" w:fill="auto"/>
          </w:tcPr>
          <w:p w14:paraId="3DDE8926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1D405E95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  <w:tr w:rsidR="00951C19" w:rsidRPr="00951C19" w14:paraId="5FC8049E" w14:textId="77777777" w:rsidTr="002B2BCA">
        <w:tc>
          <w:tcPr>
            <w:tcW w:w="476" w:type="dxa"/>
            <w:shd w:val="clear" w:color="auto" w:fill="auto"/>
          </w:tcPr>
          <w:p w14:paraId="4C219F16" w14:textId="3CADC744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14:paraId="40E0FC8A" w14:textId="1BAA03BB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Концепция: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Платформа ООН для внутреннего транспорта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целях содействия эффективному удовлетворению глобальных и региональных потребностей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во внутренних перевозках</w:t>
            </w:r>
          </w:p>
        </w:tc>
        <w:tc>
          <w:tcPr>
            <w:tcW w:w="3279" w:type="dxa"/>
            <w:vMerge w:val="restart"/>
            <w:shd w:val="clear" w:color="auto" w:fill="auto"/>
          </w:tcPr>
          <w:p w14:paraId="1245030B" w14:textId="2201F866" w:rsidR="00951C19" w:rsidRPr="00297BD5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Признанию КВТ в качестве платформы ООН для внутреннего транспорта способствовали подготовка и распространение листовок, посвященных Стратегии, роли и влиянию КВТ, проведение совещания в рамках диалога со Всемирной метеорологической организацией (ВМО), извлечение уроков из опыта Международной организации гражданской авиации (ИКАО) и Международной морской организации (ИМО)</w:t>
            </w:r>
            <w:r w:rsidR="006A2F0A">
              <w:rPr>
                <w:rFonts w:eastAsia="Times New Roman" w:cs="Times New Roman"/>
                <w:szCs w:val="20"/>
                <w:lang w:val="en-US"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сотрудничество с ними</w:t>
            </w:r>
            <w:r w:rsidR="00297BD5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7C92665A" w14:textId="40A32F0E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ЕЭК, выполняя роль платформы</w:t>
            </w:r>
            <w:r w:rsidR="006A2F0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для внутреннего транспорта, администрирует международные конвенции и соглашения, применяемые во всем мире (например, правила в области транспортных средств или опасных грузов) и отвечает за них, а также обслуживает органы ЭКОСОС, отвечающие за разработку рекомендаций, которые реализуется и соблюдаются</w:t>
            </w:r>
            <w:r w:rsidR="006A2F0A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во всем мире на всех видах транспорта</w:t>
            </w:r>
            <w:r w:rsidR="00297BD5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176D9517" w14:textId="4F51094C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ЕЭК приняла участие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министерском сегменте Конференции высокого уровня ИКАО по COVID-19 и тем самым содействовала более широкому признанию роли КВТ в качестве Платформы ООН для внутреннего транспорта</w:t>
            </w:r>
            <w:r w:rsidR="00297BD5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61FD59B6" w14:textId="72DE80F2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ЕЭК участвовала в качестве сопредседателя в тематическом совещании 6 «Устойчивый транспорт и устойчивые города» второй Глобальной конференции Генерального секретаря Организации Объединенных Наций по устойчивому транспорту (14–16 октября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2021 года, Пекин, Китай).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Кроме того, в межучрежденческом докладе для второй Глобальной конференции по устойчивому транспорту, который стал одним из главных итогов работы Конференции, признается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ведущая роль КВТ/ЕЭК в области внутреннего транспорта и соответствующих правовых документов, находящихся в ведении КВТ/ЕЭК, наряду с инструментами ИКАО и ИМО</w:t>
            </w:r>
            <w:r w:rsidR="0078080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области гражданской авиации</w:t>
            </w:r>
            <w:r w:rsidR="006A2F0A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и, соответственно, морского транспорта</w:t>
            </w:r>
            <w:r w:rsidR="00297BD5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4F678A76" w14:textId="5D05CA09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Была создана внутренняя целевая группа для </w:t>
            </w:r>
            <w:r w:rsidRPr="00951C19">
              <w:rPr>
                <w:rFonts w:eastAsia="SimSun" w:cs="Times New Roman"/>
                <w:b/>
                <w:bCs/>
                <w:szCs w:val="20"/>
                <w:lang w:eastAsia="zh-CN" w:bidi="ar-TN"/>
              </w:rPr>
              <w:t>осуществляемой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в настоящее время разработки специальной веб-страницы (страниц)</w:t>
            </w:r>
            <w:r w:rsidR="007121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брошюры (брошюр), посвященных концепции КВТ</w:t>
            </w:r>
            <w:r w:rsidR="0078080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транспортному профилю ЕЭК</w:t>
            </w:r>
            <w:r w:rsidR="00297BD5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</w:tcPr>
          <w:p w14:paraId="5237A78F" w14:textId="7C1F8849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Продолжать разработку</w:t>
            </w:r>
            <w:r w:rsidR="006A2F0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распространение информации о Стратегии</w:t>
            </w:r>
            <w:r w:rsidR="006A2F0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подготовку внутренней (внутри ООН) и внешней (договаривающиеся стороны) кампании, которая будет включать в себя стратегические мероприятия, направленные на укрепление роли КВТ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качестве органа ООН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внутреннему транспорту, и в частности:</w:t>
            </w:r>
          </w:p>
          <w:p w14:paraId="3C23F8DC" w14:textId="5286B722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‒ создать специальную</w:t>
            </w:r>
            <w:r w:rsidR="0075049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веб-страницу, которая будет продвигать концепцию КВТ;</w:t>
            </w:r>
          </w:p>
          <w:p w14:paraId="4B0ED694" w14:textId="77777777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‒ организовывать параллельные мероприятия на глобальных конференциях;</w:t>
            </w:r>
          </w:p>
          <w:p w14:paraId="134AD09F" w14:textId="0F754C2C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‒ создать брошюру, посвященную транспортному профилю ЕЭК, с инфографикой и статистическими данными, подтверждающими эту глобальную роль;</w:t>
            </w:r>
          </w:p>
          <w:p w14:paraId="383229F8" w14:textId="42249A81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‒ создать брошюру, посвященную внутреннему транспорту</w:t>
            </w:r>
            <w:r w:rsidR="006A2F0A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целям в области устойчивого развития (ЦУР), для распространения на важных глобальных конференциях</w:t>
            </w:r>
            <w:r w:rsidR="00297BD5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7780F07F" w14:textId="11481B89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Провести сопоставление Отдела транспорта ЕЭК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ИКАО и ИМО, с тем чтобы показать их равнозначные ведущие роли соответственно для внутреннего транспорта, гражданской авиации и морского транспорта,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и таким образом позиционировать КВТ в качестве ведущего органа ООН по внутреннему транспорту. Включить опыт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Отдела транспорта ЕЭК</w:t>
            </w:r>
            <w:r w:rsidR="006A2F0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обслуживании работы органов ЭКОСОС, занимающихся согласованием положений</w:t>
            </w:r>
            <w:r w:rsidR="006A2F0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о перевозке опасных грузов всеми видами транспорта,</w:t>
            </w:r>
            <w:r w:rsidR="006A2F0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то,</w:t>
            </w:r>
            <w:r w:rsidR="006A2F0A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как их рекомендации применяются ИКАО</w:t>
            </w:r>
            <w:r w:rsidR="006A2F0A">
              <w:rPr>
                <w:rFonts w:eastAsia="Times New Roman" w:cs="Times New Roman"/>
                <w:szCs w:val="20"/>
                <w:lang w:val="en-US"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ИМО</w:t>
            </w:r>
            <w:r w:rsidR="00297BD5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28973D70" w14:textId="165513FD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 Продвигать роль Отдела транспорта ЕЭК как хранителя правовых документов ООН в области транспорта,</w:t>
            </w:r>
            <w:r w:rsidR="006A2F0A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том числе</w:t>
            </w:r>
            <w:r w:rsidR="006A2F0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линии партнерств,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и, в соответствующих случаях, подписывать меморандумы о сотрудничестве</w:t>
            </w:r>
            <w:r w:rsidR="00297BD5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D1CAA8F" w14:textId="7383B5CA" w:rsidR="00951C19" w:rsidRPr="00951C19" w:rsidRDefault="00951C19" w:rsidP="0075049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750495">
              <w:rPr>
                <w:rFonts w:eastAsia="Times New Roman" w:cs="Times New Roman"/>
                <w:spacing w:val="-4"/>
                <w:szCs w:val="20"/>
                <w:lang w:eastAsia="fr-FR"/>
              </w:rPr>
              <w:lastRenderedPageBreak/>
              <w:t>1–3. Секретариат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КВТ с секретарями</w:t>
            </w:r>
            <w:r w:rsidR="0075049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всех РГ</w:t>
            </w:r>
          </w:p>
        </w:tc>
      </w:tr>
      <w:tr w:rsidR="00951C19" w:rsidRPr="00951C19" w14:paraId="6FAA5250" w14:textId="77777777" w:rsidTr="002B2BCA">
        <w:tc>
          <w:tcPr>
            <w:tcW w:w="476" w:type="dxa"/>
            <w:shd w:val="clear" w:color="auto" w:fill="auto"/>
          </w:tcPr>
          <w:p w14:paraId="176604FB" w14:textId="71C24461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14:paraId="3FD9D405" w14:textId="7941278D" w:rsidR="00951C19" w:rsidRPr="00951C19" w:rsidRDefault="00951C19" w:rsidP="0071217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Миссия: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Содействие развитию устойчивого внутреннего транспорта и мобильности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интересах достижения целей в области устойчивого развития в государствах — членах ЕЭК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ООН</w:t>
            </w:r>
          </w:p>
        </w:tc>
        <w:tc>
          <w:tcPr>
            <w:tcW w:w="3279" w:type="dxa"/>
            <w:vMerge/>
            <w:shd w:val="clear" w:color="auto" w:fill="auto"/>
          </w:tcPr>
          <w:p w14:paraId="22A79E8F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14:paraId="137A8627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795477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  <w:tr w:rsidR="00951C19" w:rsidRPr="00951C19" w14:paraId="4404CCFC" w14:textId="77777777" w:rsidTr="002B2BCA">
        <w:tc>
          <w:tcPr>
            <w:tcW w:w="476" w:type="dxa"/>
            <w:shd w:val="clear" w:color="auto" w:fill="auto"/>
          </w:tcPr>
          <w:p w14:paraId="7424B547" w14:textId="44C644C9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14:paraId="3F4B6C7D" w14:textId="7777777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Компоненты</w:t>
            </w:r>
          </w:p>
        </w:tc>
        <w:tc>
          <w:tcPr>
            <w:tcW w:w="3279" w:type="dxa"/>
            <w:shd w:val="clear" w:color="auto" w:fill="auto"/>
          </w:tcPr>
          <w:p w14:paraId="4B8DCF73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2536" w:type="dxa"/>
            <w:shd w:val="clear" w:color="auto" w:fill="auto"/>
          </w:tcPr>
          <w:p w14:paraId="1A5C5907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3D02ABF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  <w:tr w:rsidR="00951C19" w:rsidRPr="00951C19" w14:paraId="17C05585" w14:textId="77777777" w:rsidTr="002B2BCA">
        <w:tc>
          <w:tcPr>
            <w:tcW w:w="476" w:type="dxa"/>
            <w:shd w:val="clear" w:color="auto" w:fill="auto"/>
          </w:tcPr>
          <w:p w14:paraId="0738B319" w14:textId="7777777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3.1</w:t>
            </w:r>
          </w:p>
        </w:tc>
        <w:tc>
          <w:tcPr>
            <w:tcW w:w="1789" w:type="dxa"/>
            <w:shd w:val="clear" w:color="auto" w:fill="auto"/>
          </w:tcPr>
          <w:p w14:paraId="253B6781" w14:textId="77C6CCF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КВТ как платформа</w:t>
            </w:r>
            <w:r w:rsidR="006A2F0A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ООН для региональных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глобальных конвенций по внутреннему транспорту</w:t>
            </w:r>
          </w:p>
        </w:tc>
        <w:tc>
          <w:tcPr>
            <w:tcW w:w="3279" w:type="dxa"/>
            <w:shd w:val="clear" w:color="auto" w:fill="auto"/>
          </w:tcPr>
          <w:p w14:paraId="72FE73C9" w14:textId="3CD32A44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См. информацию, касающуюся задач 5.1</w:t>
            </w:r>
            <w:r w:rsidR="00450B22" w:rsidRPr="00450B22">
              <w:rPr>
                <w:rFonts w:eastAsia="Times New Roman" w:cs="Times New Roman"/>
                <w:szCs w:val="20"/>
                <w:lang w:eastAsia="fr-FR"/>
              </w:rPr>
              <w:t>‒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5.11</w:t>
            </w:r>
          </w:p>
        </w:tc>
        <w:tc>
          <w:tcPr>
            <w:tcW w:w="2536" w:type="dxa"/>
            <w:shd w:val="clear" w:color="auto" w:fill="auto"/>
          </w:tcPr>
          <w:p w14:paraId="26ACE181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153D287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  <w:tr w:rsidR="00951C19" w:rsidRPr="00951C19" w14:paraId="2658448F" w14:textId="77777777" w:rsidTr="002B2BCA">
        <w:tc>
          <w:tcPr>
            <w:tcW w:w="476" w:type="dxa"/>
            <w:shd w:val="clear" w:color="auto" w:fill="auto"/>
          </w:tcPr>
          <w:p w14:paraId="489D85F0" w14:textId="7777777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3.2</w:t>
            </w:r>
          </w:p>
        </w:tc>
        <w:tc>
          <w:tcPr>
            <w:tcW w:w="1789" w:type="dxa"/>
            <w:shd w:val="clear" w:color="auto" w:fill="auto"/>
          </w:tcPr>
          <w:p w14:paraId="47127CAB" w14:textId="0B439D7E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КВТ как платформа</w:t>
            </w:r>
            <w:r w:rsidR="006A2F0A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ООН для поддержки новых технологий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инноваций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во внутреннем транспорте</w:t>
            </w:r>
          </w:p>
        </w:tc>
        <w:tc>
          <w:tcPr>
            <w:tcW w:w="3279" w:type="dxa"/>
            <w:shd w:val="clear" w:color="auto" w:fill="auto"/>
          </w:tcPr>
          <w:p w14:paraId="2B458A15" w14:textId="687C303F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См. информацию, касающуюся задач 5.12–5.17</w:t>
            </w:r>
          </w:p>
        </w:tc>
        <w:tc>
          <w:tcPr>
            <w:tcW w:w="2536" w:type="dxa"/>
            <w:shd w:val="clear" w:color="auto" w:fill="auto"/>
          </w:tcPr>
          <w:p w14:paraId="25CF18EE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14FC1903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  <w:tr w:rsidR="00951C19" w:rsidRPr="00951C19" w14:paraId="58AE47F6" w14:textId="77777777" w:rsidTr="002B2BCA">
        <w:tc>
          <w:tcPr>
            <w:tcW w:w="476" w:type="dxa"/>
            <w:shd w:val="clear" w:color="auto" w:fill="auto"/>
          </w:tcPr>
          <w:p w14:paraId="234AEBD5" w14:textId="7777777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3.3</w:t>
            </w:r>
          </w:p>
        </w:tc>
        <w:tc>
          <w:tcPr>
            <w:tcW w:w="1789" w:type="dxa"/>
            <w:shd w:val="clear" w:color="auto" w:fill="auto"/>
          </w:tcPr>
          <w:p w14:paraId="74B845C3" w14:textId="5C9A3D6F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КВТ как платформа</w:t>
            </w:r>
            <w:r w:rsidR="006A2F0A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ООН</w:t>
            </w:r>
            <w:r w:rsidR="006A2F0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области регионального, межрегионального и глобального диалога</w:t>
            </w:r>
            <w:r w:rsidR="004F7BF6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вопросам политики</w:t>
            </w:r>
            <w:r w:rsidR="006A2F0A">
              <w:rPr>
                <w:rFonts w:eastAsia="Times New Roman" w:cs="Times New Roman"/>
                <w:szCs w:val="20"/>
                <w:lang w:val="en-US"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области внутреннего транспорта</w:t>
            </w:r>
          </w:p>
        </w:tc>
        <w:tc>
          <w:tcPr>
            <w:tcW w:w="3279" w:type="dxa"/>
            <w:shd w:val="clear" w:color="auto" w:fill="auto"/>
          </w:tcPr>
          <w:p w14:paraId="5C593B5B" w14:textId="3377A570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См. информацию, касающуюся задач 5.18–5.19</w:t>
            </w:r>
          </w:p>
        </w:tc>
        <w:tc>
          <w:tcPr>
            <w:tcW w:w="2536" w:type="dxa"/>
            <w:shd w:val="clear" w:color="auto" w:fill="auto"/>
          </w:tcPr>
          <w:p w14:paraId="6646F317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AE89BD0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  <w:tr w:rsidR="00951C19" w:rsidRPr="00951C19" w14:paraId="729EC19E" w14:textId="77777777" w:rsidTr="002B2BCA">
        <w:tc>
          <w:tcPr>
            <w:tcW w:w="476" w:type="dxa"/>
            <w:shd w:val="clear" w:color="auto" w:fill="auto"/>
          </w:tcPr>
          <w:p w14:paraId="310B9A8F" w14:textId="7777777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3.4</w:t>
            </w:r>
          </w:p>
        </w:tc>
        <w:tc>
          <w:tcPr>
            <w:tcW w:w="1789" w:type="dxa"/>
            <w:shd w:val="clear" w:color="auto" w:fill="auto"/>
          </w:tcPr>
          <w:p w14:paraId="04EE57F5" w14:textId="6176CAA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КВТ в качестве платформы ООН для содействия обеспечению устойчивой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региональной и межрегиональной связанности и мобильности на внутреннем транспорте</w:t>
            </w:r>
          </w:p>
        </w:tc>
        <w:tc>
          <w:tcPr>
            <w:tcW w:w="3279" w:type="dxa"/>
            <w:shd w:val="clear" w:color="auto" w:fill="auto"/>
          </w:tcPr>
          <w:p w14:paraId="46B10089" w14:textId="0BC4CAA3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См. информацию, касающуюся задач 5.20–5.24</w:t>
            </w:r>
          </w:p>
        </w:tc>
        <w:tc>
          <w:tcPr>
            <w:tcW w:w="2536" w:type="dxa"/>
            <w:shd w:val="clear" w:color="auto" w:fill="auto"/>
          </w:tcPr>
          <w:p w14:paraId="0F6E59E5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177B5CAB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  <w:tr w:rsidR="00951C19" w:rsidRPr="00951C19" w14:paraId="0920D6F0" w14:textId="77777777" w:rsidTr="002B2BCA">
        <w:tc>
          <w:tcPr>
            <w:tcW w:w="476" w:type="dxa"/>
            <w:shd w:val="clear" w:color="auto" w:fill="auto"/>
          </w:tcPr>
          <w:p w14:paraId="4F76BEC3" w14:textId="05499D21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4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19811C21" w14:textId="7777777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Действия, предусмотренные в решении о принятии Стратегии</w:t>
            </w:r>
          </w:p>
        </w:tc>
      </w:tr>
      <w:tr w:rsidR="00951C19" w:rsidRPr="00951C19" w14:paraId="24AE9E61" w14:textId="77777777" w:rsidTr="002B2BCA">
        <w:tc>
          <w:tcPr>
            <w:tcW w:w="476" w:type="dxa"/>
            <w:shd w:val="clear" w:color="auto" w:fill="auto"/>
          </w:tcPr>
          <w:p w14:paraId="4BE26A76" w14:textId="7777777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4.1</w:t>
            </w:r>
          </w:p>
        </w:tc>
        <w:tc>
          <w:tcPr>
            <w:tcW w:w="1789" w:type="dxa"/>
            <w:shd w:val="clear" w:color="auto" w:fill="auto"/>
          </w:tcPr>
          <w:p w14:paraId="481B1053" w14:textId="6D4523C5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Привести планы работы РГ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соответствие</w:t>
            </w:r>
            <w:r w:rsidR="006A2F0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со Стратегией</w:t>
            </w:r>
          </w:p>
        </w:tc>
        <w:tc>
          <w:tcPr>
            <w:tcW w:w="3279" w:type="dxa"/>
            <w:shd w:val="clear" w:color="auto" w:fill="auto"/>
          </w:tcPr>
          <w:p w14:paraId="514E29BA" w14:textId="705252FB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Председатель КВТ и Директор Отдела транспорта направили председателям всех РГ и АК письмо от 26 июня 2019 года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просьбой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о согласовании работы РГ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со Стратегией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3EA39BCA" w14:textId="21465242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Секретариат провел для РГ презентации по Стратегии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259C5858" w14:textId="21CE772F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РГ и АК должны были представить свои предложения по согласованию работы не позднее середины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2020 года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79F5F824" w14:textId="08BF0B50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bookmarkStart w:id="0" w:name="_Hlk42097977"/>
            <w:r w:rsidRPr="00951C19">
              <w:rPr>
                <w:rFonts w:eastAsia="Times New Roman" w:cs="Times New Roman"/>
                <w:szCs w:val="20"/>
                <w:lang w:eastAsia="fr-FR"/>
              </w:rPr>
              <w:t>‒ WP.1 провела обзор своей деятельности в связи со Стратегией КВТ. В результате этого обзора WP.1 приняла неофициальный документ № 4 (март 2020 года).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этом документе указаны запланированные меры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согласованию деятельности Рабочей группы со Стратегией</w:t>
            </w:r>
            <w:bookmarkEnd w:id="0"/>
            <w:r w:rsidR="00843FED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6C3D648D" w14:textId="7E94C145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‒ WP.5 привела свою программу работы в соответствие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со Стратегией (КВТ был проинформирован в ходе восемьдесят второй сессии,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пункт 47 документа ECE/TRANS/</w:t>
            </w:r>
            <w:r w:rsidR="00780808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294).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В соответствии с принятым на 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восемьдесят третьей </w:t>
            </w:r>
            <w:r w:rsidRP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сессии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КВТ решением WP.5 было поручено вести работу по интермодальным пассажирским перевозкам в черте города и за его пределами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0A476F96" w14:textId="6C3B9D20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‒ WP.6: план работы уже в целом соответствует Стратегии в том смысле, что он направлен на совершенствование процессов сбора, проверки и распространения информации в целях получения точных статистических данных, позволяющих принимать обоснованные решения по транспорту. Кроме того, WP.6 способствует реализации всех ЦУР,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в частности задач 3.6, 9.1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11.2, путем получения точных</w:t>
            </w:r>
            <w:r w:rsidR="0078080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сопоставимых данных по соответствующим задачам ЦУР, позволяя оценивать прогресс.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WP.6 утвердила в 2021 году обновленный круг ведения,</w:t>
            </w:r>
            <w:r w:rsidR="0078080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котором ее деятельность конкретно увязана со стратегией (ECE/TRANS/WP.6/2021/3 (подлежит утверждению КВТ),</w:t>
            </w:r>
            <w:r w:rsidR="0078080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а также включила стратегию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свою программу работы (ECE/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TRANS/WP.6/2021/6)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7190726E" w14:textId="4EEE31C3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‒ WP.11 рассмотрела Стратегию КВТ на период до 2030 года на своей 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 xml:space="preserve">семьдесят шестой </w:t>
            </w:r>
            <w:r w:rsidRPr="00843FED">
              <w:rPr>
                <w:rFonts w:eastAsia="Times New Roman" w:cs="Times New Roman"/>
                <w:szCs w:val="20"/>
                <w:lang w:eastAsia="fr-FR"/>
              </w:rPr>
              <w:t>сессии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(см. пункты 8–18 доклада ECE/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TRANS/WP.11/243), одобрила проект рекомендаций КВТ и сочла, что ее работа уже полностью соответствует Стратегии КВТ.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На своей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семьдесят седьмой </w:t>
            </w:r>
            <w:r w:rsidRP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сессии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WP.11 отметила работу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 осуществлению стратегии Комитета на период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до 2030 года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необходимые действия, перечисленные в документе ECE/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TRANS/2021/3, с учетом обсуждения, состоявшегося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на ее 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семьдесят шестой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Любая делегация, желающая представить дополнительную информацию по пункту «Состояние работы и последующие шаги», может направить свои материалы в бюро WP.11 и секретариат</w:t>
            </w:r>
            <w:r w:rsidR="003807EA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до 15 января 2022 года, с тем чтобы их можно было довести</w:t>
            </w:r>
            <w:r w:rsidR="003807EA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до сведения 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восемьдесят четвертой </w:t>
            </w:r>
            <w:r w:rsidRP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</w:t>
            </w:r>
            <w:r w:rsidR="003807EA" w:rsidRPr="00843FED">
              <w:rPr>
                <w:rFonts w:eastAsia="Times New Roman" w:cs="Times New Roman"/>
                <w:b/>
                <w:bCs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КВТ</w:t>
            </w:r>
            <w:r w:rsidR="003807EA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(22–25 февраля 2022 года)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4D82D4DB" w14:textId="0B404EF0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‒ WP.15 рассмотрела Стратегию КВТ на период до 2030 года на своей 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>сто седьмой</w:t>
            </w:r>
            <w:r w:rsidRPr="00843FED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сессии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(см. пункты 9–15 доклада ECE/TRANS/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WP.15/248), одобрила проект рекомендаций КВТ и сочла, что ее работа уже полностью соответствует Стратегии КВТ. Поскольку программа работы WP.15 охватывает программу работы WP.15/AC.1 и АС.2,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ссылка на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согласование ее работы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со Стратегией КВТ относится также к деятельности, осуществляемой АС.1 и АС.2.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На своей 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сто девятой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(май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="003807EA">
              <w:rPr>
                <w:rFonts w:eastAsia="Times New Roman" w:cs="Times New Roman"/>
                <w:b/>
                <w:bCs/>
                <w:szCs w:val="20"/>
                <w:lang w:val="en-US" w:eastAsia="fr-FR"/>
              </w:rPr>
              <w:t>2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021 года) WP.15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 интересом отметила работу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 осуществлению Стратегии Комитета на период до 2030 года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необходимые действия, перечисленные в документе ECE/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TRANS/2021/3.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Желающим делегациям было предложено направить Председателю свои замечания и предложения по дополнениям и поправкам к таблице «Состояние работы</w:t>
            </w:r>
            <w:r w:rsidR="003807EA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последующие шаги».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указанный срок замечаний</w:t>
            </w:r>
            <w:r w:rsidR="003807EA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 поступило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2F2CA8CE" w14:textId="0E7B6913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bookmarkStart w:id="1" w:name="_Hlk55374973"/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‒ WP.24 согласовала свою программу со Стратегией. WP.24 поддерживает комплексную интермодальную связанность для грузовых перевозок/мобильности. WP.24 подтвердила, что она не занимается вопросами интермодальной пассажирской мобильности.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WP.24 внесла</w:t>
            </w:r>
            <w:r w:rsidR="003807EA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на 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шестьдесят четвертой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(октябрь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2021 года) поправки в свой круг ведения (подлежат утверждению КВТ).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Измененный круг ведения непосредственно касается поддержки WP.24 в осуществлении Стратегии КВТ</w:t>
            </w:r>
            <w:r w:rsidR="003807EA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ее задач, относящихся к деятельности WP.24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bookmarkEnd w:id="1"/>
          <w:p w14:paraId="5F54B91B" w14:textId="2F7AAD42" w:rsidR="00951C19" w:rsidRPr="00843FED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‒ WP.29 согласо</w:t>
            </w:r>
            <w:r w:rsidRPr="007718B6">
              <w:rPr>
                <w:rFonts w:eastAsia="Times New Roman" w:cs="Times New Roman"/>
                <w:szCs w:val="20"/>
                <w:lang w:eastAsia="fr-FR"/>
              </w:rPr>
              <w:t>вал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свою программу со Стратегией и в настоящее время занимается определением приоритетов деятельности в рамках своих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шести вспомогательных рабочих групп (ECE/TRANS/WP.29/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2020/01 и Rev.1)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504E2B95" w14:textId="35E8531C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843FED">
              <w:rPr>
                <w:rFonts w:eastAsia="Times New Roman" w:cs="Times New Roman"/>
                <w:szCs w:val="20"/>
                <w:lang w:eastAsia="fr-FR"/>
              </w:rPr>
              <w:t xml:space="preserve">‒ WP.30 на своей </w:t>
            </w:r>
            <w:r w:rsidR="00843FED" w:rsidRPr="00843FED">
              <w:rPr>
                <w:rFonts w:eastAsia="Times New Roman" w:cs="Times New Roman"/>
                <w:szCs w:val="20"/>
                <w:lang w:eastAsia="fr-FR"/>
              </w:rPr>
              <w:t xml:space="preserve">сто пятьдесят третьей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сессии (октябрь 2019 года) рассмотрела документ ECE/TRANS/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WP.30/</w:t>
            </w:r>
            <w:r w:rsidR="003807EA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2019/8 и исправление Corr.1 к нему, содержащие перечень задач, которые надлежит выполнить для согласования ее работы со Стратегией. Рабочая группа выразила свою готовность в принципе поддержать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осуществление стратегии и поэтому в предварительном порядке согласилась с предлагаемым графиком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при условии проведения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любое время в будущем дальнейшей оценки (см. ECE/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TRANS/WP.30/306, пункт 5)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61EAC6BF" w14:textId="1FD4F694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‒ SC.1 привела свою программу работы в соответствие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со Стратегией, а также реструктурировала свою повестку дня начиная со своей </w:t>
            </w:r>
            <w:r w:rsidR="00843FED" w:rsidRPr="00843FED">
              <w:rPr>
                <w:rFonts w:eastAsia="Times New Roman" w:cs="Times New Roman"/>
                <w:szCs w:val="20"/>
                <w:lang w:eastAsia="fr-FR"/>
              </w:rPr>
              <w:t>сто пятнадцатой</w:t>
            </w:r>
            <w:r w:rsidRPr="003807EA">
              <w:rPr>
                <w:rFonts w:eastAsia="Times New Roman" w:cs="Times New Roman"/>
                <w:color w:val="FF0000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сессии,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тем чтобы лучше отразить ее соответствие Стратегии (КВТ был проинформирован в ходе его восемьдесят второй сессии)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06D78281" w14:textId="7AEF7D1B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‒ SC.2 привела свою программу работы в соответствие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со Стратегией (КВТ был проинформирован в ходе восемьдесят второй сессии).</w:t>
            </w:r>
            <w:r w:rsidR="003807E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качестве следующего шага SC.2 также обновила свой круг ведения для отражения согласования своей программы работы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со Стратегией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14B63EAC" w14:textId="7BCB21D5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‒ SC.3 привела свою программу работы в соответствие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со Стратегией (КВТ был проинформирован в ходе восемьдесят второй сессии,</w:t>
            </w:r>
            <w:r w:rsidR="003807E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см. пункт 112 документа ECE/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TRANS/294).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качестве следующего шага SC.3 предлагается обновить свой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круг ведения для отражения согласования своей программы работы со Стратегией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2E8EFB9E" w14:textId="3ADDF505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trike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Следует разработать последовательный план для согласования работы РГ</w:t>
            </w:r>
            <w:r w:rsidR="00843FED">
              <w:rPr>
                <w:rFonts w:eastAsia="Times New Roman" w:cs="Times New Roman"/>
                <w:strike/>
                <w:szCs w:val="20"/>
                <w:lang w:eastAsia="fr-FR"/>
              </w:rPr>
              <w:t>.</w:t>
            </w:r>
          </w:p>
          <w:p w14:paraId="3E57998A" w14:textId="7777777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trike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Несогласованные элементы:</w:t>
            </w:r>
          </w:p>
          <w:p w14:paraId="41AA255D" w14:textId="29E15C4B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trike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‒ работа над интермодальными пассажирскими перевозками и мобильностью ведется WP.5</w:t>
            </w:r>
            <w:r w:rsidR="003807EA">
              <w:rPr>
                <w:rFonts w:eastAsia="Times New Roman" w:cs="Times New Roman"/>
                <w:strike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в городском контексте.</w:t>
            </w:r>
            <w:r w:rsidR="003807E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 xml:space="preserve">КВТ, возможно, пожелает принять решение о том, чтобы просить WP.5 охватить интермодальные пассажирские перевозки за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lastRenderedPageBreak/>
              <w:t>пределами городского контекста.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WP.24 поддерживает такой подход</w:t>
            </w:r>
            <w:r w:rsidR="00C15A73">
              <w:rPr>
                <w:rFonts w:eastAsia="Times New Roman" w:cs="Times New Roman"/>
                <w:strike/>
                <w:szCs w:val="20"/>
                <w:lang w:eastAsia="fr-FR"/>
              </w:rPr>
              <w:t>;</w:t>
            </w:r>
          </w:p>
          <w:p w14:paraId="37683FA5" w14:textId="700D9868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‒ руководство деятельностью в области экологичного транспорта как таковое не было поручено ни одной из РГ</w:t>
            </w:r>
            <w:r w:rsidR="00843FED">
              <w:rPr>
                <w:rFonts w:eastAsia="Times New Roman" w:cs="Times New Roman"/>
                <w:strike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355E7522" w14:textId="7925B046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В соответствии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 решением 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восемьдесят третьей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КВТ «следующие шаги» определяют работу в поддержку осуществления Стратегии.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Эти этапы могут быть скорректированы</w:t>
            </w:r>
            <w:r w:rsidR="00461EFF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 решению КВТ на основе предложений, внесенных секретариатом</w:t>
            </w:r>
            <w:r w:rsidR="00461EFF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консультации с Бюро</w:t>
            </w:r>
            <w:r w:rsidR="00461EFF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РГ</w:t>
            </w:r>
            <w:r w:rsidR="00843F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03C06B2D" w14:textId="76373374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trike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Разработать последовательный план согласования для рассмотрения КВТ (через Бюро КВТ) с целью охвата следующих несогласованных элементов:</w:t>
            </w:r>
          </w:p>
          <w:p w14:paraId="07DC5E50" w14:textId="5BE73173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trike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‒ экологичного транспорта, работа над которым будет осуществляться под руководством/рассматриваться одной из РГ</w:t>
            </w:r>
            <w:r w:rsidR="00461EFF">
              <w:rPr>
                <w:rFonts w:eastAsia="Times New Roman" w:cs="Times New Roman"/>
                <w:strike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(см. также задачу 5.23, пункт 5)</w:t>
            </w:r>
            <w:r w:rsidR="006F3290">
              <w:rPr>
                <w:rFonts w:eastAsia="Times New Roman" w:cs="Times New Roman"/>
                <w:strike/>
                <w:szCs w:val="20"/>
                <w:lang w:eastAsia="fr-FR"/>
              </w:rPr>
              <w:t>;</w:t>
            </w:r>
          </w:p>
          <w:p w14:paraId="1F6B3DDD" w14:textId="78B5A9AF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‒ интермодальных пассажирских перевозок на других уровнях, помимо городского, работа над которыми будут осуществляться</w:t>
            </w:r>
            <w:r w:rsidR="00461EFF">
              <w:rPr>
                <w:rFonts w:eastAsia="Times New Roman" w:cs="Times New Roman"/>
                <w:strike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под руководством WP.5 вместе с работой по городским интермодальным пассажирским</w:t>
            </w:r>
            <w:r w:rsidR="00461EFF">
              <w:rPr>
                <w:rFonts w:eastAsia="Times New Roman" w:cs="Times New Roman"/>
                <w:strike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перевозкам</w:t>
            </w:r>
            <w:r w:rsidR="00843FED">
              <w:rPr>
                <w:rFonts w:eastAsia="Times New Roman" w:cs="Times New Roman"/>
                <w:strike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0310C37" w14:textId="79352368" w:rsidR="00951C19" w:rsidRPr="00951C19" w:rsidRDefault="00951C19" w:rsidP="0075049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Секретариат КВТ</w:t>
            </w:r>
            <w:r w:rsidR="00461EFF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секретари всех РГ</w:t>
            </w:r>
          </w:p>
        </w:tc>
      </w:tr>
      <w:tr w:rsidR="00461EFF" w:rsidRPr="00951C19" w14:paraId="42D9E81C" w14:textId="77777777" w:rsidTr="002B2BCA">
        <w:trPr>
          <w:trHeight w:val="1361"/>
        </w:trPr>
        <w:tc>
          <w:tcPr>
            <w:tcW w:w="476" w:type="dxa"/>
            <w:vMerge w:val="restart"/>
            <w:shd w:val="clear" w:color="auto" w:fill="auto"/>
          </w:tcPr>
          <w:p w14:paraId="59FEC794" w14:textId="77777777" w:rsidR="00461EFF" w:rsidRPr="00951C19" w:rsidRDefault="00461EFF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4.2</w:t>
            </w:r>
          </w:p>
        </w:tc>
        <w:tc>
          <w:tcPr>
            <w:tcW w:w="1789" w:type="dxa"/>
            <w:vMerge w:val="restart"/>
            <w:shd w:val="clear" w:color="auto" w:fill="auto"/>
          </w:tcPr>
          <w:p w14:paraId="1E3B5887" w14:textId="77777777" w:rsidR="00461EFF" w:rsidRPr="00951C19" w:rsidRDefault="00461EFF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При необходимости скорректировать Стратегию и ее приоритетные направления</w:t>
            </w:r>
          </w:p>
        </w:tc>
        <w:tc>
          <w:tcPr>
            <w:tcW w:w="3279" w:type="dxa"/>
            <w:shd w:val="clear" w:color="auto" w:fill="auto"/>
          </w:tcPr>
          <w:p w14:paraId="0EC484F0" w14:textId="6B77E94B" w:rsidR="00461EFF" w:rsidRPr="00951C19" w:rsidRDefault="00461EFF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Пандемия COVID-19 привела к возникновению многочисленных проблем в области международного внутреннего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городского транспорта, но на данный момент оценка ситуации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связи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COVID-19 не указывает на необходимость изменения Стратегии. Управление возможными мерами по ликвидации последствий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COVID-19 может осуществляться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рамках приоритетных задач 5.5, 5.6, 5.9, 5.14, 5.15, 5.20, 5.22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5.23</w:t>
            </w:r>
            <w:r w:rsidR="00843FED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</w:tcPr>
          <w:p w14:paraId="242CB0A6" w14:textId="3EC580F8" w:rsidR="00461EFF" w:rsidRPr="00951C19" w:rsidRDefault="00461EFF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Следить за развитием внутреннего транспорта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при необходимости предлагать корректировки Стратегии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1819264" w14:textId="77777777" w:rsidR="00461EFF" w:rsidRPr="00951C19" w:rsidRDefault="00461EFF" w:rsidP="0075049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Секретариат КВТ </w:t>
            </w:r>
            <w:r w:rsidRPr="00750495">
              <w:rPr>
                <w:rFonts w:eastAsia="Times New Roman" w:cs="Times New Roman"/>
                <w:szCs w:val="20"/>
                <w:lang w:eastAsia="fr-FR"/>
              </w:rPr>
              <w:t>в сотрудничестве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с секретарями </w:t>
            </w:r>
            <w:r w:rsidRPr="00750495">
              <w:rPr>
                <w:rFonts w:eastAsia="Times New Roman" w:cs="Times New Roman"/>
                <w:szCs w:val="20"/>
                <w:lang w:eastAsia="fr-FR"/>
              </w:rPr>
              <w:t>соответствующих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РГ</w:t>
            </w:r>
          </w:p>
        </w:tc>
      </w:tr>
      <w:tr w:rsidR="00461EFF" w:rsidRPr="00951C19" w14:paraId="0E35A1F6" w14:textId="77777777" w:rsidTr="002B2BCA">
        <w:trPr>
          <w:trHeight w:val="341"/>
        </w:trPr>
        <w:tc>
          <w:tcPr>
            <w:tcW w:w="476" w:type="dxa"/>
            <w:vMerge/>
            <w:shd w:val="clear" w:color="auto" w:fill="auto"/>
          </w:tcPr>
          <w:p w14:paraId="5E3E7AF1" w14:textId="77777777" w:rsidR="00461EFF" w:rsidRPr="00951C19" w:rsidRDefault="00461EFF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14:paraId="1DFF47E5" w14:textId="77777777" w:rsidR="00461EFF" w:rsidRPr="00951C19" w:rsidRDefault="00461EFF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auto"/>
          </w:tcPr>
          <w:p w14:paraId="6575D596" w14:textId="7862B28C" w:rsidR="00461EFF" w:rsidRPr="00951C19" w:rsidRDefault="00461EFF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В случае необходимости может быть предложена корректировка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vMerge/>
            <w:shd w:val="clear" w:color="auto" w:fill="auto"/>
          </w:tcPr>
          <w:p w14:paraId="748FBA93" w14:textId="77777777" w:rsidR="00461EFF" w:rsidRPr="00951C19" w:rsidRDefault="00461EFF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F5867F" w14:textId="77777777" w:rsidR="00461EFF" w:rsidRPr="00951C19" w:rsidRDefault="00461EFF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  <w:tr w:rsidR="00951C19" w:rsidRPr="00951C19" w14:paraId="671E70E6" w14:textId="77777777" w:rsidTr="002B2BCA">
        <w:tc>
          <w:tcPr>
            <w:tcW w:w="476" w:type="dxa"/>
            <w:shd w:val="clear" w:color="auto" w:fill="auto"/>
          </w:tcPr>
          <w:p w14:paraId="3CAA5596" w14:textId="7777777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4.3</w:t>
            </w:r>
          </w:p>
        </w:tc>
        <w:tc>
          <w:tcPr>
            <w:tcW w:w="1789" w:type="dxa"/>
            <w:shd w:val="clear" w:color="auto" w:fill="auto"/>
          </w:tcPr>
          <w:p w14:paraId="6DA2260B" w14:textId="416E3464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A45471">
              <w:rPr>
                <w:rFonts w:eastAsia="Times New Roman" w:cs="Times New Roman"/>
                <w:szCs w:val="20"/>
                <w:lang w:eastAsia="fr-FR"/>
              </w:rPr>
              <w:t>Скорректировать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правила процедуры КВТ</w:t>
            </w:r>
          </w:p>
        </w:tc>
        <w:tc>
          <w:tcPr>
            <w:tcW w:w="3279" w:type="dxa"/>
            <w:shd w:val="clear" w:color="auto" w:fill="auto"/>
          </w:tcPr>
          <w:p w14:paraId="009A69F0" w14:textId="39F172C6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Правила процедуры (ПП)</w:t>
            </w:r>
            <w:r w:rsidR="00BC2F6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пересмотренный круг ведения КВТ были приняты КВТ в феврале 2020 года и, соответственно, феврале 2019 года. Последний, после его одобрения ЕЭК в апреле 2019 года, ожидает теперь рассмотрения на уровне ЭКОСОС. Секретариат направил информационные записки ключевым членам ЭКОСОС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3EDECC11" w14:textId="7ECCF71C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Секретариат ЕЭК провел презентацию для членов ЭКОСОС, подготовил обновленные информационные записки и предоставлял государствам-членам общую поддержку в проведении обсуждений в рамках подготовки к сессии ЭКОСОС 2021 года,</w:t>
            </w:r>
            <w:r w:rsid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а в период после нее </w:t>
            </w:r>
            <w:r w:rsidR="00BC2F60" w:rsidRP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‒‒</w:t>
            </w:r>
            <w:r w:rsid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осуществлении соответствующих решений ЭКОСОС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044784A4" w14:textId="78D59ED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На своей 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сто девятой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(май</w:t>
            </w:r>
            <w:r w:rsid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2021 года) WP.15 изучила сравнение правил процедуры Рабочей группы и правил процедуры, принятых КВТ (ECE/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TRANS/WP.15/2021/2).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WP.15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пришла к выводу, что срочной необходимости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изменении ее правил процедуры нет.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См. доклад ECE/TRANS/WP.15/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253,</w:t>
            </w:r>
            <w:r w:rsid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пункт 58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46B84C10" w14:textId="363B97A4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WP.11 приняла к сведению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пункт 18 доклада Комитета по внутреннему транспорту (КВТ)</w:t>
            </w:r>
            <w:r w:rsid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документе ECE/TRANS/294</w:t>
            </w:r>
            <w:r w:rsid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о правилах процедуры рабочих групп.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Стремясь привести правила, регулирующие участие в сессиях и принятие поправок,</w:t>
            </w:r>
            <w:r w:rsid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соответствие с правилами, недавно принятыми для КВТ, WP.11 поручила секретариату подготовить к следующей сессии сравнение правил процедуры Комитета и Рабочей группы, регулирующих эти вопросы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274ADC67" w14:textId="448DE770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Поощрять и поддерживать положительное рассмотрение КВ</w:t>
            </w:r>
            <w:r w:rsidR="006F3290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на уровне ЭКОСОС</w:t>
            </w:r>
          </w:p>
        </w:tc>
        <w:tc>
          <w:tcPr>
            <w:tcW w:w="1559" w:type="dxa"/>
            <w:shd w:val="clear" w:color="auto" w:fill="auto"/>
          </w:tcPr>
          <w:p w14:paraId="7DF6260B" w14:textId="3FFDAF27" w:rsidR="00951C19" w:rsidRPr="00951C19" w:rsidRDefault="00951C19" w:rsidP="0075049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Секретариат</w:t>
            </w:r>
            <w:r w:rsidR="00CD67E1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КВТ</w:t>
            </w:r>
          </w:p>
        </w:tc>
      </w:tr>
      <w:tr w:rsidR="00951C19" w:rsidRPr="00951C19" w14:paraId="0E2E7A21" w14:textId="77777777" w:rsidTr="002B2BCA">
        <w:tc>
          <w:tcPr>
            <w:tcW w:w="476" w:type="dxa"/>
            <w:shd w:val="clear" w:color="auto" w:fill="auto"/>
          </w:tcPr>
          <w:p w14:paraId="15DE1FF8" w14:textId="7777777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4.4</w:t>
            </w:r>
          </w:p>
        </w:tc>
        <w:tc>
          <w:tcPr>
            <w:tcW w:w="1789" w:type="dxa"/>
            <w:shd w:val="clear" w:color="auto" w:fill="auto"/>
          </w:tcPr>
          <w:p w14:paraId="057D1C9A" w14:textId="7777777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Содействовать осуществлению Стратегии</w:t>
            </w:r>
          </w:p>
        </w:tc>
        <w:tc>
          <w:tcPr>
            <w:tcW w:w="3279" w:type="dxa"/>
            <w:shd w:val="clear" w:color="auto" w:fill="auto"/>
          </w:tcPr>
          <w:p w14:paraId="2BBEF991" w14:textId="27353A08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trike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РГ играют вместе с КВТ активную роль в осуществлении Стратегии.</w:t>
            </w:r>
            <w:r w:rsidR="00C15A7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В плане согласования (см. также задачу 4.1) будет указано, каким образом та или иная РГ может повысить свою роль в осуществлении Стратегии.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Это включено в годовые планы работы всех сотрудников Отдела</w:t>
            </w:r>
            <w:r w:rsidR="00995C5C">
              <w:rPr>
                <w:rFonts w:eastAsia="Times New Roman" w:cs="Times New Roman"/>
                <w:strike/>
                <w:szCs w:val="20"/>
                <w:lang w:eastAsia="fr-FR"/>
              </w:rPr>
              <w:t>.</w:t>
            </w:r>
          </w:p>
          <w:p w14:paraId="5878FD4D" w14:textId="08680E2D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РГ играют активную роль в осуществлении Стратегии.</w:t>
            </w:r>
            <w:r w:rsidR="00BC2F6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письме от 12 марта 2021 года председателям РГ было предложено активно осуществлять шаги, одобренные КВТ на его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восемьдесят третьей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сессии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2021 году для продвижения осуществления Стратегии.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представленной обновленной информации отражены меры, принятые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связи с этим письмом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349A53B5" w14:textId="506B6656" w:rsidR="00951C19" w:rsidRPr="001A5B6A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val="en-US" w:eastAsia="fr-FR"/>
              </w:rPr>
            </w:pP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Выполнять план согласования Стратегии</w:t>
            </w:r>
            <w:r w:rsidR="006F3290">
              <w:rPr>
                <w:rFonts w:eastAsia="Times New Roman" w:cs="Times New Roman"/>
                <w:strike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в рамках РГ после его принятия КВТ</w:t>
            </w:r>
            <w:r w:rsidR="00BC2F60">
              <w:rPr>
                <w:rFonts w:eastAsia="Times New Roman" w:cs="Times New Roman"/>
                <w:strike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в 2021 году. Это будет осуществляться посредством внутренней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 xml:space="preserve">координации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Координация и проведение регулярных совещаний продолжатся в целях обеспечения полной согласованности и осуществления Стратегии; это может включать в себя совещания (виртуальные)</w:t>
            </w:r>
            <w:r w:rsidR="006F329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председателями РГ и Председателем КВТ для согласования общих мероприятий или задач</w:t>
            </w:r>
          </w:p>
        </w:tc>
        <w:tc>
          <w:tcPr>
            <w:tcW w:w="1559" w:type="dxa"/>
            <w:shd w:val="clear" w:color="auto" w:fill="auto"/>
          </w:tcPr>
          <w:p w14:paraId="1F8A0D57" w14:textId="04949432" w:rsidR="00951C19" w:rsidRPr="00951C19" w:rsidRDefault="00951C19" w:rsidP="0075049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Секретариат КВТ</w:t>
            </w:r>
            <w:r w:rsidR="00BC2F6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секретари всех РГ</w:t>
            </w:r>
          </w:p>
        </w:tc>
      </w:tr>
      <w:tr w:rsidR="00951C19" w:rsidRPr="00951C19" w14:paraId="16FED20E" w14:textId="77777777" w:rsidTr="002B2BCA">
        <w:tc>
          <w:tcPr>
            <w:tcW w:w="476" w:type="dxa"/>
            <w:shd w:val="clear" w:color="auto" w:fill="auto"/>
          </w:tcPr>
          <w:p w14:paraId="28100E52" w14:textId="7777777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4.5</w:t>
            </w:r>
          </w:p>
        </w:tc>
        <w:tc>
          <w:tcPr>
            <w:tcW w:w="1789" w:type="dxa"/>
            <w:shd w:val="clear" w:color="auto" w:fill="auto"/>
          </w:tcPr>
          <w:p w14:paraId="0B021A76" w14:textId="6C076080" w:rsidR="00951C19" w:rsidRPr="00A45471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A45471">
              <w:rPr>
                <w:rFonts w:eastAsia="Times New Roman" w:cs="Times New Roman"/>
                <w:szCs w:val="20"/>
                <w:lang w:eastAsia="fr-FR"/>
              </w:rPr>
              <w:t>Скорректировать, при необходимости, организацию ежегодной</w:t>
            </w:r>
            <w:r w:rsidR="006A2F0A" w:rsidRPr="00A45471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A45471">
              <w:rPr>
                <w:rFonts w:eastAsia="Times New Roman" w:cs="Times New Roman"/>
                <w:szCs w:val="20"/>
                <w:lang w:eastAsia="fr-FR"/>
              </w:rPr>
              <w:t>сессии КВТ</w:t>
            </w:r>
          </w:p>
        </w:tc>
        <w:tc>
          <w:tcPr>
            <w:tcW w:w="3279" w:type="dxa"/>
            <w:shd w:val="clear" w:color="auto" w:fill="auto"/>
          </w:tcPr>
          <w:p w14:paraId="6ABDDCF5" w14:textId="1AF4794A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Повестка дня КВТ была скорректирована в соответствии с приоритетами Стратегии и планом действий. Существующие пункты повестки дня были переупорядочены, чтобы отразить приоритеты Стратегии, и были добавлены новые пункты повестки дня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10D296C5" w14:textId="20821F7B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См. также задачи 5.18 и 5.19</w:t>
            </w:r>
          </w:p>
        </w:tc>
        <w:tc>
          <w:tcPr>
            <w:tcW w:w="2536" w:type="dxa"/>
            <w:shd w:val="clear" w:color="auto" w:fill="auto"/>
          </w:tcPr>
          <w:p w14:paraId="79EECF64" w14:textId="178F7EDD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Продолжить вместе</w:t>
            </w:r>
            <w:r w:rsidR="006F3290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Бюро рассмотрение вопроса о последующих корректировках в организации сессии КВТ для дальнейшей поддержки осуществления Стратегии и принятия решений на уровне КВТ</w:t>
            </w:r>
          </w:p>
        </w:tc>
        <w:tc>
          <w:tcPr>
            <w:tcW w:w="1559" w:type="dxa"/>
            <w:shd w:val="clear" w:color="auto" w:fill="auto"/>
          </w:tcPr>
          <w:p w14:paraId="599728A3" w14:textId="0CA7E8B3" w:rsidR="00951C19" w:rsidRPr="00951C19" w:rsidRDefault="00951C19" w:rsidP="0075049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Секретариат КВТ</w:t>
            </w:r>
          </w:p>
        </w:tc>
      </w:tr>
      <w:tr w:rsidR="00951C19" w:rsidRPr="00951C19" w14:paraId="1BEBB188" w14:textId="77777777" w:rsidTr="002B2BCA">
        <w:tc>
          <w:tcPr>
            <w:tcW w:w="476" w:type="dxa"/>
            <w:shd w:val="clear" w:color="auto" w:fill="auto"/>
          </w:tcPr>
          <w:p w14:paraId="48CD1896" w14:textId="7777777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4.6</w:t>
            </w:r>
          </w:p>
        </w:tc>
        <w:tc>
          <w:tcPr>
            <w:tcW w:w="1789" w:type="dxa"/>
            <w:shd w:val="clear" w:color="auto" w:fill="auto"/>
          </w:tcPr>
          <w:p w14:paraId="7F35007D" w14:textId="79750626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Проводить консультации</w:t>
            </w:r>
            <w:r w:rsidR="00BC2F6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налаживать отношения сотрудничества</w:t>
            </w:r>
            <w:r w:rsidR="006F386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другими региональными комиссиями ООН</w:t>
            </w:r>
          </w:p>
        </w:tc>
        <w:tc>
          <w:tcPr>
            <w:tcW w:w="3279" w:type="dxa"/>
            <w:shd w:val="clear" w:color="auto" w:fill="auto"/>
          </w:tcPr>
          <w:p w14:paraId="2F60BEFC" w14:textId="2FDDD46A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Отдел транспорта активно сотрудничает с другими региональными комиссиями (РК) ООН. Директор Отдела транспорта проинформировал коллег из других РК о Стратегии и предлагаемом сотрудничестве. Отдел транспорта вовлекает другие РК в свои проекты/инициативы: проект СРООН по разработке показателей устойчивой связанности инфраструктуры внутреннего транспорта (ПУСИВТ) и меры реагирования/инициатива в связи</w:t>
            </w:r>
            <w:r w:rsidR="00BC2F6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COVID-19, включая разработку Платформы по мониторингу ситуации с пересечением границ</w:t>
            </w:r>
            <w:r w:rsidR="00BC2F6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связи с COVID-19, в которой участвуют все РК; а также такие мероприятия в области безопасности дорожного движения, как обследования состояния безопасности дорожного движения. ЕЭК и ЭСКАТО также сотрудничают в области развития евро-азиатских транспортных связей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2D8BA1E4" w14:textId="6C2AB9C0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Отдел транспорта ЕЭК и ЭСКЗА совместно работают над созданием Международной обсерватории для мониторинга транспортной инфраструктуры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60CE6139" w14:textId="3EAD647C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ЭКА, ЭСКАТО и ЭСКЗА приняли участие в 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восемьдесят третьей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КВТ.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ЭСКАТО представила КВТ обновленную информацию о деятельности в области внутреннего транспорта в регионе ЭСКАТО в рамках диалога КВТ с РК ООН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о текущей деятельности, связанной с внутренним транспортом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6874A6CA" w14:textId="0CD65FF9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Все РК ООН приняли участие</w:t>
            </w:r>
            <w:r w:rsid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в межрегиональных консультациях по устойчивой связанности транспортной инфраструктуры, для которых был выделен пункт повестки дня в рамках 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тридцать четвертой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ежегодной сессии WP.5, состоявшейся в сентябре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2021 года.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WP.5 приветствовала эти консультации, «которые содействовали осуществлению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 xml:space="preserve">стратегии КВТ и, в частности, ее компонента </w:t>
            </w:r>
            <w:r w:rsidR="00305805" w:rsidRPr="00305805">
              <w:rPr>
                <w:rFonts w:eastAsia="Times New Roman" w:cs="Times New Roman"/>
                <w:b/>
                <w:bCs/>
                <w:szCs w:val="20"/>
                <w:lang w:val="en-US" w:eastAsia="fr-FR"/>
              </w:rPr>
              <w:t>“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Межрегиональная транспортная связанность</w:t>
            </w:r>
            <w:r w:rsidR="00305805" w:rsidRPr="00305805">
              <w:rPr>
                <w:rFonts w:eastAsia="Times New Roman" w:cs="Times New Roman"/>
                <w:b/>
                <w:bCs/>
                <w:szCs w:val="20"/>
                <w:lang w:val="en-US" w:eastAsia="fr-FR"/>
              </w:rPr>
              <w:t>”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,</w:t>
            </w:r>
            <w:r w:rsid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предложила секретариату продолжать такие консультации по конкретным темам, представляющим интерес</w:t>
            </w:r>
            <w:r w:rsid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на межрегиональном уровне,</w:t>
            </w:r>
            <w:r w:rsid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содействовать их проведению</w:t>
            </w:r>
            <w:r w:rsid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сотрудничестве, насколько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это возможно, с другими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РК ООН,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а также другими региональными/</w:t>
            </w:r>
            <w:r w:rsidR="00BC2F6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межрегиональными организациями</w:t>
            </w:r>
            <w:r w:rsidR="008063B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соответствующими проектами»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5E2F807A" w14:textId="3F763F78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Продолжать и расширять сотрудничество с другими РК</w:t>
            </w:r>
          </w:p>
        </w:tc>
        <w:tc>
          <w:tcPr>
            <w:tcW w:w="1559" w:type="dxa"/>
            <w:shd w:val="clear" w:color="auto" w:fill="auto"/>
          </w:tcPr>
          <w:p w14:paraId="5F60B424" w14:textId="723CE8B0" w:rsidR="00951C19" w:rsidRPr="00750495" w:rsidRDefault="00951C19" w:rsidP="0075049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750495">
              <w:rPr>
                <w:rFonts w:eastAsia="Times New Roman" w:cs="Times New Roman"/>
                <w:szCs w:val="20"/>
                <w:lang w:eastAsia="fr-FR"/>
              </w:rPr>
              <w:t>Секретариат КВТ в сотрудничестве с секретариатами соответствующих РГ</w:t>
            </w:r>
          </w:p>
        </w:tc>
      </w:tr>
      <w:tr w:rsidR="00951C19" w:rsidRPr="00951C19" w14:paraId="47E119BB" w14:textId="77777777" w:rsidTr="002B2BCA">
        <w:tc>
          <w:tcPr>
            <w:tcW w:w="476" w:type="dxa"/>
            <w:shd w:val="clear" w:color="auto" w:fill="auto"/>
          </w:tcPr>
          <w:p w14:paraId="3C0669D3" w14:textId="741DA0C0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5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5D169F10" w14:textId="5CB07326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Действия, включенные в перечень приоритетов</w:t>
            </w:r>
          </w:p>
        </w:tc>
      </w:tr>
      <w:tr w:rsidR="00951C19" w:rsidRPr="00951C19" w14:paraId="66D92BE5" w14:textId="77777777" w:rsidTr="002B2BCA">
        <w:tc>
          <w:tcPr>
            <w:tcW w:w="476" w:type="dxa"/>
            <w:shd w:val="clear" w:color="auto" w:fill="auto"/>
          </w:tcPr>
          <w:p w14:paraId="21A4EA82" w14:textId="7777777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5.1</w:t>
            </w:r>
          </w:p>
        </w:tc>
        <w:tc>
          <w:tcPr>
            <w:tcW w:w="1789" w:type="dxa"/>
            <w:shd w:val="clear" w:color="auto" w:fill="auto"/>
          </w:tcPr>
          <w:p w14:paraId="4EC55352" w14:textId="39767236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Обслуживать правовые документы</w:t>
            </w:r>
            <w:r w:rsidR="005A1949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обеспечивать административное управление ими</w:t>
            </w:r>
          </w:p>
        </w:tc>
        <w:tc>
          <w:tcPr>
            <w:tcW w:w="3279" w:type="dxa"/>
            <w:shd w:val="clear" w:color="auto" w:fill="auto"/>
          </w:tcPr>
          <w:p w14:paraId="031A3F51" w14:textId="22CCB210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Соответствующие РГ/АК осуществляют административное управление правовыми документами, входящими в их сферу компетенции. В рамках этой работы РГ оценивают и/или рассматривают правовые документы, входящие в их сферу компетенции: например, WP.30</w:t>
            </w:r>
            <w:r w:rsidR="005A1949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на своей 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>сто пятьдесят четвертой</w:t>
            </w:r>
            <w:r w:rsidRPr="005A1949">
              <w:rPr>
                <w:rFonts w:eastAsia="Times New Roman" w:cs="Times New Roman"/>
                <w:color w:val="FF0000"/>
                <w:szCs w:val="20"/>
                <w:lang w:eastAsia="fr-FR"/>
              </w:rPr>
              <w:t xml:space="preserve"> </w:t>
            </w:r>
            <w:r w:rsidRPr="00995C5C">
              <w:rPr>
                <w:rFonts w:eastAsia="Times New Roman" w:cs="Times New Roman"/>
                <w:szCs w:val="20"/>
                <w:lang w:eastAsia="fr-FR"/>
              </w:rPr>
              <w:t>сессии приступи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ла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 оценке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17 относящихся к ее ведению правовых документов,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том числе,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частности,</w:t>
            </w:r>
            <w:r w:rsidR="006010D1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на предмет возможного внесения поправок в них (см. ECE/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TRANSWP.30/308, пункт 6, и ECE</w:t>
            </w:r>
            <w:r w:rsidR="00995C5C" w:rsidRPr="00951C19">
              <w:rPr>
                <w:rFonts w:eastAsia="Times New Roman" w:cs="Times New Roman"/>
                <w:szCs w:val="20"/>
                <w:lang w:eastAsia="fr-FR"/>
              </w:rPr>
              <w:t>/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TRANS/WP.30/</w:t>
            </w:r>
            <w:r w:rsidR="006010D1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2020/1)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20FBC7B1" w14:textId="196D5A40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SC.2 продолжает изменять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обновлять СМЖЛ, чтобы обеспечить его соответствие текущим требованиям.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Четвертый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пересмотренный вариант СМЖЛ был недавно выпущен и теперь сопровождается документом, объясняющим преимущества вступления в него в качестве договаривающейся стороны</w:t>
            </w:r>
            <w:r w:rsidR="008063B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порядок вступления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76288CCB" w14:textId="612B9FA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WP.24 приняла поправки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 СЛКП:</w:t>
            </w:r>
          </w:p>
          <w:p w14:paraId="0CAE4122" w14:textId="441C0F4A" w:rsidR="00951C19" w:rsidRPr="00951C19" w:rsidRDefault="006A2F0A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6A2F0A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в октябре 2020 года в соответствии с предложениями Австрии, Чехии, Германии, Греции и Хорватии; и</w:t>
            </w:r>
          </w:p>
          <w:p w14:paraId="140572B9" w14:textId="4D3CD64C" w:rsidR="00951C19" w:rsidRPr="00951C19" w:rsidRDefault="006A2F0A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6A2F0A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в октябре 2021 года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в соответствии с предложениями 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Хорватии, Грузии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(за исключением поправки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 C–E 99), Польши и Российской Федерации.</w:t>
            </w:r>
            <w:r w:rsidR="00951C19"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Поправки от Грузии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Польши обеспечат дальнейшее соответствие между СЛКП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СМЖЛ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300ECD9E" w14:textId="09A8B63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WP.24 учредила на своей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="00995C5C" w:rsidRP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шестьдесят четвертой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октябре 2021 года механизм мониторинга осуществления Конвенции.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 этой целью WP.24 решила,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что в ГИС будет включен перечень линий СЛКП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соответствующих объектов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для мониторинга достигнутых показателей в сравнении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 показателями, определенными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СЛКП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42F2F8E5" w14:textId="286304AB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WP.29/AC.4 способствов</w:t>
            </w:r>
            <w:r w:rsidRPr="007718B6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ал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принятию поправок к Соглашению о принятии единообразных условий для периодических технических осмотров колесных транспортных средств 1997 года, включающих различные определения и введение элементов для дальнейшего совершенствования процедур испытаний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7E434281" w14:textId="25600F4D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Начиная со своей 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сто пятьдесят четвертой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сессии (февраль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2020 года) WP.30 приступила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 рассмотрению каждого из семнадцати правовых документов, находящихся в сфере ее компетенции, оценивая их текущую актуальность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потенциал для расширения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(эта деятельность продолжается)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755B3C7B" w14:textId="22F966D6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На своей 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сто пятьдесят восьмой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(октябрь 2021 года) WP.30 подтвердила,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что это было полезное мероприятие, которое выявило проблемы в применении различных правовых документов, что привело к пересмотру их актуальности на национальном уровне, причем в некоторых случаях вплоть до денонсации.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Хотя было установлено, что некоторые правовые документы утратили свою актуальность или,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как представляется, уступили место более новым правовым актам, разработанным под эгидой Организации Объединенных Наций или других международных организаций, таких как, в частности, Всемирная таможенная организация (ВТамО), Рабочая группа полагала, что от этих правовых документов отказываться пока не следует, поскольку они послужили основой для недавно разработанных правовых документов и, следовательно, сохраняют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свою значимость</w:t>
            </w:r>
            <w:r w:rsidR="00C921D4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.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то же время и именно по этой</w:t>
            </w:r>
            <w:r w:rsidR="008E4694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же причине WP.30 сочла, что нет оснований или что может быть даже рискованно изменять или приводить эти документы в соответствие с нынешними реалиями, поскольку это может подорвать структуру более позднего законодательства, которое на них базируется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482C30FF" w14:textId="54EAED9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WP.30 полагала, что эту работу следует считать завершенной,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поручила секретариату сообщить об этом Комитету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 внутреннему транспорту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на его сессии в феврале 2022 года (проект документа ECE/TRANS/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WP.30/316, пункты 8</w:t>
            </w:r>
            <w:r w:rsidR="005A1949" w:rsidRP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9)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62607948" w14:textId="53A9AF7E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WP.29/AC.4 работает над рамочным документом для модели постоянного соответствия транспортных средств требованиям безопасности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экологичности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2A19A669" w14:textId="2FBE555B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SC.3 и SC.3/WP.3 продолжили сбор информации об осуществлении СМВП.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Последнее обновление было принято</w:t>
            </w:r>
            <w:r w:rsidR="006A2F0A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2017 году и вступило</w:t>
            </w:r>
            <w:r w:rsidR="006A2F0A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силу</w:t>
            </w:r>
            <w:r w:rsidR="006A2F0A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2018 году.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«Дорожные карты»</w:t>
            </w:r>
            <w:r w:rsidR="006A2F0A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 присоединению</w:t>
            </w:r>
            <w:r w:rsidR="006A2F0A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 СМВП</w:t>
            </w:r>
            <w:r w:rsidR="006A2F0A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по принятию</w:t>
            </w:r>
            <w:r w:rsidR="006A2F0A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осуществлению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резолюции № 40 были приняты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2018</w:t>
            </w:r>
            <w:r w:rsidR="005A1949" w:rsidRP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2019 годах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3511C929" w14:textId="33DD6312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В рамках мер по облегчению понимания и осуществления правовых документов РГ/АК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пытаются обеспечить наличие глобальных документов на всех шести официальных языках ООН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065EFA85" w14:textId="4F2E694D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Соответствующие РГ/АК ведут совместную работу по обеспечению необходимой согласованности между конкретными правовыми документами, например WP.15</w:t>
            </w:r>
            <w:r w:rsidR="005A1949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WP.29 в отношении</w:t>
            </w:r>
            <w:r w:rsidR="006F38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Правил №105, касающихся транспортных средств предназначенных для перевозки опасных грузов, или WP.15 и WP.1</w:t>
            </w:r>
            <w:r w:rsidR="006F386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отношении дорожных знаков, относящихся к опасным грузам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04BD84E1" w14:textId="428A9EEA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Соответствующие РГ издают рекомендации по усилению согласования национальных законов с правовыми документами (например, WP.15 рекомендовала согласовать национальные законы о перевозке опасных грузов с ДОПОГ в целях содействия эффективному осуществлению ДОПОГ и повышению безопасности дорожного движения. Она призвала КВТ принять эту рекомендацию)</w:t>
            </w:r>
            <w:r w:rsidR="00995C5C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759F66EE" w14:textId="5AFF5F15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Резолюция СР.6 была обновлена WP.29/AC.4 с включением технических положений о придорожных технических осмотрах, которые требуют постоянного поддержания транспортных средств неиндивидуального пользования в надлежащем рабочем состоянии, т. е. также в периоды между обязательными осмотрами.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WP.29/AC.4 </w:t>
            </w:r>
            <w:r w:rsidRP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ввел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систему оценки риска для операторов на основе данных, полученных в результате деятельности по проведению проверок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7F3CA554" w14:textId="5467B0D4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соответствии с решением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сто девятой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WP.15 (май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2021 года) секретариат подготовил пересмотренный вариант «дорожной карты»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для присоединения к ДОПОГ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его осуществления (ECE/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TRANS/WP.15/2021/15).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На своей 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сто десятой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сессии WP.15 внесет поправки в предложенный проект с соответствующими замечаниями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и доработает его, после чего запросит у КВТ мандат на его публикацию в электронном формате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549F84DF" w14:textId="28F78CE9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WP.15 продолжит свое сотрудничество с WP.1 и WP.29</w:t>
            </w:r>
            <w:r w:rsidR="005A194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целях обеспечения согласованности между конкретными правовыми документами</w:t>
            </w:r>
            <w:r w:rsidR="00995C5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06B93482" w14:textId="475F1BF2" w:rsidR="00951C19" w:rsidRPr="00305805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 xml:space="preserve">1. Продолжать обеспечивать административное управление правовыми документами и по мере необходимости вносить в них поправки, что также включает в себя обзор, оценку и </w:t>
            </w:r>
            <w:proofErr w:type="gramStart"/>
            <w:r w:rsidRPr="00951C19">
              <w:rPr>
                <w:rFonts w:eastAsia="Times New Roman" w:cs="Times New Roman"/>
                <w:szCs w:val="20"/>
                <w:lang w:eastAsia="fr-FR"/>
              </w:rPr>
              <w:t>предлагаемые обновления</w:t>
            </w:r>
            <w:proofErr w:type="gramEnd"/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и модернизацию, а также стратегию обеспечения присоединения новых договаривающихся сторон и повторного осуществления</w:t>
            </w:r>
            <w:r w:rsidR="00305805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0A201C5F" w14:textId="26BFEF14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Работать над обеспечением мандата Генеральной Ассамблеи и ЭКОСОС на перевод документации, касающейся правовых документов глобального значения, на все шесть официальных языков ООН</w:t>
            </w:r>
            <w:r w:rsidR="00305805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0CED2462" w14:textId="2C4395C7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 Продолжать сотрудничество в целях обеспечения согласованности между конкретными правовыми документами</w:t>
            </w:r>
            <w:r w:rsidR="00305805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00997C1A" w14:textId="37D5C005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4. Продолжать выносить рекомендации по осуществлению правовых документов и изучать пути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усиления контроля за их применением</w:t>
            </w:r>
            <w:r w:rsidR="00305805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B3AA346" w14:textId="2C7CD4A5" w:rsidR="00951C19" w:rsidRPr="00951C19" w:rsidRDefault="00951C19" w:rsidP="00363ABB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Секретари РГ/АК</w:t>
            </w:r>
          </w:p>
          <w:p w14:paraId="33968641" w14:textId="77777777" w:rsidR="00951C19" w:rsidRPr="00951C19" w:rsidRDefault="00951C19" w:rsidP="00363ABB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Секретариат КВТ</w:t>
            </w:r>
          </w:p>
          <w:p w14:paraId="30A93814" w14:textId="77777777" w:rsidR="00951C19" w:rsidRPr="00951C19" w:rsidRDefault="00951C19" w:rsidP="00363ABB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3–4. Секретари </w:t>
            </w:r>
            <w:r w:rsidRPr="00363ABB">
              <w:rPr>
                <w:rFonts w:eastAsia="Times New Roman" w:cs="Times New Roman"/>
                <w:szCs w:val="20"/>
                <w:lang w:eastAsia="fr-FR"/>
              </w:rPr>
              <w:t>соответствующих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РГ/АК</w:t>
            </w:r>
          </w:p>
        </w:tc>
      </w:tr>
      <w:tr w:rsidR="00951C19" w:rsidRPr="00951C19" w14:paraId="4F2404D5" w14:textId="77777777" w:rsidTr="002B2BCA">
        <w:tc>
          <w:tcPr>
            <w:tcW w:w="476" w:type="dxa"/>
            <w:shd w:val="clear" w:color="auto" w:fill="auto"/>
          </w:tcPr>
          <w:p w14:paraId="3475E378" w14:textId="7777777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5.2</w:t>
            </w:r>
          </w:p>
        </w:tc>
        <w:tc>
          <w:tcPr>
            <w:tcW w:w="1789" w:type="dxa"/>
            <w:shd w:val="clear" w:color="auto" w:fill="auto"/>
          </w:tcPr>
          <w:p w14:paraId="29A44AB6" w14:textId="611F6ABA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Внести изменения</w:t>
            </w:r>
            <w:r w:rsidR="00551D1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КВ КВТ</w:t>
            </w:r>
            <w:r w:rsidR="00551D1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(к 2020 году)</w:t>
            </w:r>
          </w:p>
        </w:tc>
        <w:tc>
          <w:tcPr>
            <w:tcW w:w="3279" w:type="dxa"/>
            <w:shd w:val="clear" w:color="auto" w:fill="auto"/>
          </w:tcPr>
          <w:p w14:paraId="1ED2F2F9" w14:textId="0D4E562A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См. информацию, касающуюся задачи 4.3</w:t>
            </w:r>
          </w:p>
        </w:tc>
        <w:tc>
          <w:tcPr>
            <w:tcW w:w="2536" w:type="dxa"/>
            <w:shd w:val="clear" w:color="auto" w:fill="auto"/>
          </w:tcPr>
          <w:p w14:paraId="1DBFFF8B" w14:textId="77777777" w:rsidR="00951C19" w:rsidRPr="00951C19" w:rsidRDefault="00951C19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9BB3D1A" w14:textId="71ADC462" w:rsidR="00951C19" w:rsidRPr="00951C19" w:rsidRDefault="00951C19" w:rsidP="00363ABB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Секретариат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КВТ</w:t>
            </w:r>
          </w:p>
        </w:tc>
      </w:tr>
      <w:tr w:rsidR="00951C19" w:rsidRPr="00951C19" w14:paraId="0529666D" w14:textId="77777777" w:rsidTr="002B2BCA">
        <w:tc>
          <w:tcPr>
            <w:tcW w:w="476" w:type="dxa"/>
            <w:shd w:val="clear" w:color="auto" w:fill="auto"/>
          </w:tcPr>
          <w:p w14:paraId="33DA38EB" w14:textId="7777777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5.3</w:t>
            </w:r>
          </w:p>
        </w:tc>
        <w:tc>
          <w:tcPr>
            <w:tcW w:w="1789" w:type="dxa"/>
            <w:shd w:val="clear" w:color="auto" w:fill="auto"/>
          </w:tcPr>
          <w:p w14:paraId="55C66B88" w14:textId="70D61E0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Внести поправки</w:t>
            </w:r>
            <w:r w:rsidR="00551D1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в правовые документы с </w:t>
            </w:r>
            <w:r w:rsidRPr="00551D18">
              <w:rPr>
                <w:rFonts w:eastAsia="Times New Roman" w:cs="Times New Roman"/>
                <w:spacing w:val="-4"/>
                <w:szCs w:val="20"/>
                <w:lang w:eastAsia="fr-FR"/>
              </w:rPr>
              <w:t>географическими</w:t>
            </w:r>
            <w:r w:rsidR="006F386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процедурными барьерами</w:t>
            </w:r>
            <w:r w:rsidR="00551D1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(к 2025 году)</w:t>
            </w:r>
          </w:p>
        </w:tc>
        <w:tc>
          <w:tcPr>
            <w:tcW w:w="3279" w:type="dxa"/>
            <w:shd w:val="clear" w:color="auto" w:fill="auto"/>
          </w:tcPr>
          <w:p w14:paraId="38182A48" w14:textId="23A701B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Соглашение ДОПОГ: слово «Европейское» исключено из названия соглашения. Хотя это соглашение уже было открыто для присоединения всех государств — членов ООН, предполагается, что эта поправка может облегчить присоединение к нему тех государств, для которых слово «европейское» может быть воспринято как препятствие. Эта поправка вступит в силу 1 января 2021 года</w:t>
            </w:r>
            <w:r w:rsidR="00A1387C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121AD8E3" w14:textId="58F98E30" w:rsidR="00951C19" w:rsidRPr="002A2AED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val="en-US"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Соглашение о принятии единообразных условий</w:t>
            </w:r>
            <w:r w:rsid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для периодических технических осмотров колесных транспортных средств 1997 года: из преамбулы Соглашения исключена ссылка на дорожное движение «в Европе» на основе поправки 2019 года, с тем чтобы подчеркнуть глобальный охват данного Соглашения</w:t>
            </w:r>
            <w:r w:rsidR="00A1387C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2AFF2FF1" w14:textId="11C7F624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WP.1 уже неофициально отклонила изменения к положениям о соответствии установленным требованиям в «Европейских соглашениях», дополняющих обе конвенции 1968 года. Тем не менее до 2025 года WP.1 проведет дальнейшее обсуждение вопроса</w:t>
            </w:r>
            <w:r w:rsidR="00551D1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о внесении поправок в заключительные положения этих</w:t>
            </w:r>
            <w:r w:rsidR="00551D1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других правовых документов</w:t>
            </w:r>
            <w:r w:rsidR="002A2AED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1ADF023A" w14:textId="74A200D3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color w:val="000000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На своей 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сто шестнадцатой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сессии SC.1 выразила поддержку относительно официального представления одной из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договаривающихся сторон Европейского соглашения, касающегося работы экипажей транспортных средств, производящих международные автомобильные перевозки (ЕСТР), предложения по поправкам к статье 14, с тем чтобы открыть возможность присоединения к этому соглашению на глобальном уровне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78651E18" w14:textId="1B8ACB5B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color w:val="000000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SC.1 начала обсуждение вопроса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о целесообразности открытия Европейского соглашения о международных автомагистралях (СМА) для присоединения государств,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 являющихся членами ЕЭК.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Для содействия дальнейшему обсуждению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на 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сто семнадцатой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SC.1 секретариат предложит представителям других региональных комиссий ООН предоставить информацию об их эквивалентных региональных соглашениях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5A40734E" w14:textId="7777777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color w:val="000000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Для рассмотрения правовых документов в контексте этой задачи была создана внутренняя целевая группа.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ходе проведенного обзора целевая группа не выявила ни одной дополнительной конвенции, географические или процедурные барьеры которой можно было бы устранить, чтобы открыть ее для глобального присоединения:</w:t>
            </w:r>
          </w:p>
          <w:p w14:paraId="75946973" w14:textId="307DB4C8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color w:val="000000"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соответствующие конвенции уже имеют глобальный охват, или</w:t>
            </w:r>
          </w:p>
          <w:p w14:paraId="599E531E" w14:textId="78524E5F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color w:val="000000"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они являются протоколами к конвенциям с глобальным охватом и поэтому вводят специальные региональные положения, основанные на глобальных положениях, или</w:t>
            </w:r>
          </w:p>
          <w:p w14:paraId="29E786EF" w14:textId="5247EAE9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color w:val="000000"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они были созданы для достижения конкретной региональной цели, как, например, инфраструктурные соглашения для определения 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плана развития региональной сети, или</w:t>
            </w:r>
          </w:p>
          <w:p w14:paraId="32303AEB" w14:textId="36A82D70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обсуждение процесса открытия соответствующего документа состоялось в рамках соответствующей рабочей группы (со ссылкой, например, на обсуждение в SC.1 относительно ЕСТР)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7F5116C5" w14:textId="7CCDD9E1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Определить правовые документы, чьи географические или процедурные барьеры могут быть устранены</w:t>
            </w:r>
            <w:r w:rsidR="00551D1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целях открытия соответствующего документа для глобального присоединения,</w:t>
            </w:r>
            <w:r w:rsidR="006F3290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включить их в планы действий</w:t>
            </w:r>
          </w:p>
        </w:tc>
        <w:tc>
          <w:tcPr>
            <w:tcW w:w="1559" w:type="dxa"/>
            <w:shd w:val="clear" w:color="auto" w:fill="auto"/>
          </w:tcPr>
          <w:p w14:paraId="64E375C1" w14:textId="56A20FA7" w:rsidR="00951C19" w:rsidRPr="00951C19" w:rsidRDefault="00951C19" w:rsidP="00363ABB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РГ/АК</w:t>
            </w:r>
          </w:p>
        </w:tc>
      </w:tr>
      <w:tr w:rsidR="00951C19" w:rsidRPr="00951C19" w14:paraId="50B45734" w14:textId="77777777" w:rsidTr="002B2BCA">
        <w:tc>
          <w:tcPr>
            <w:tcW w:w="476" w:type="dxa"/>
            <w:shd w:val="clear" w:color="auto" w:fill="auto"/>
          </w:tcPr>
          <w:p w14:paraId="204B19FF" w14:textId="7777777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5.4</w:t>
            </w:r>
          </w:p>
        </w:tc>
        <w:tc>
          <w:tcPr>
            <w:tcW w:w="1789" w:type="dxa"/>
            <w:shd w:val="clear" w:color="auto" w:fill="auto"/>
          </w:tcPr>
          <w:p w14:paraId="7C312087" w14:textId="7D7552A9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Провести обзор взаимосвязи существующих правовых документов</w:t>
            </w:r>
            <w:r w:rsidR="00551D1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вынести рекомендации</w:t>
            </w:r>
            <w:r w:rsidR="00551D1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(к 2022 году)</w:t>
            </w:r>
          </w:p>
        </w:tc>
        <w:tc>
          <w:tcPr>
            <w:tcW w:w="3279" w:type="dxa"/>
            <w:shd w:val="clear" w:color="auto" w:fill="auto"/>
          </w:tcPr>
          <w:p w14:paraId="03B9D388" w14:textId="6176F173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На своей 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шестьдесят четвертой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SC.3 обменялась информацией</w:t>
            </w:r>
            <w:r w:rsid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о воздействии вспышки</w:t>
            </w:r>
            <w:r w:rsid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COVID-19 на внутреннее судоходство и сочла желательным провести оценку конвенций и соглашений, находящихся в ведении ЕЭК,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а также резолюций ЕЭК в области внутреннего водного транспорта с точки зрения готовности к аналогичным ситуациям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0AF4BEE2" w14:textId="7777777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Для рассмотрения правовых документов в контексте этой задачи была создана внутренняя целевая группа.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Целевая группа определила ряд следующих возможностей, проблем или рисков в отношении конкретных конвенций:</w:t>
            </w:r>
          </w:p>
          <w:p w14:paraId="6A4B9999" w14:textId="372FCB26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color w:val="000000"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Международная конвенция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о согласовании условий проведения контроля грузов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на границах от 21 октября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1982 года: возможность </w:t>
            </w: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цифровизация;</w:t>
            </w:r>
          </w:p>
          <w:p w14:paraId="715076F1" w14:textId="2AD45F84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color w:val="000000"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Таможенная конвенция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о временном ввозе частных дорожных перевозочных средств (1954 год) и Таможенная конвенция, касающаяся временного ввоза дорожных перевозочных средств,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служащих для коммерческих целей (1956 год): возможность </w:t>
            </w: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цифровизация таможенных талонных книжек (Carnet de Passage en Douane (CPD));</w:t>
            </w:r>
          </w:p>
          <w:p w14:paraId="36EFFF20" w14:textId="40052971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color w:val="000000"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Европейское соглашение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о важнейших внутренних водных путях международного значения (СМВП) от 19 января 1996 года: 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 xml:space="preserve">риск </w:t>
            </w: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ПМАКС разрабатывает новые принципы классификации внутренних водных путей, что может иметь последствия в будущем;</w:t>
            </w:r>
          </w:p>
          <w:p w14:paraId="301B46F7" w14:textId="13255040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Конвенция об обмере судов внутреннего плавания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от 15 февраля 1966 года: возможность </w:t>
            </w: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цифровизация мерительного свидетельства;</w:t>
            </w:r>
          </w:p>
          <w:p w14:paraId="217E517E" w14:textId="78D597FD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Конвенция о регистрации судов внутреннего плавания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от 25 января 1965 года: возможность </w:t>
            </w: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цифровизация свидетельств о регистрации и судовых регистров;</w:t>
            </w:r>
          </w:p>
          <w:p w14:paraId="0609077F" w14:textId="11D97510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Соглашение о международных перевозках скоропортящихся пищевых продуктов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о специальных транспортных средствах, предназначенных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для этих перевозок (СПС): возможность </w:t>
            </w: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Конвенцией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 охвачены свежие фрукты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овощи;</w:t>
            </w:r>
            <w:r w:rsidR="00951C19"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другие важные скоропортящиеся товары, такие как вакцины и лекарственные препараты, в целом не охвачены;</w:t>
            </w:r>
          </w:p>
          <w:p w14:paraId="237159DF" w14:textId="1B0EBBBA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инфраструктурные соглашения: возможность </w:t>
            </w: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создание механизма мониторинга осуществления, если таковой еще не существует;</w:t>
            </w:r>
          </w:p>
          <w:p w14:paraId="4E918578" w14:textId="71D9B8D6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Конвенция о дорожном движении 1968 года: пробел </w:t>
            </w: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правила для автоматизированного вождения (обсуждение продолжается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рамках WP.1);</w:t>
            </w:r>
          </w:p>
          <w:p w14:paraId="3FBA350B" w14:textId="27A5B3DB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Конвенция о дорожных знаках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и сигналах 1968 года: возможность </w:t>
            </w:r>
            <w:r w:rsidR="002A2AED" w:rsidRP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компьютеризация Конвенции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отношении знаков, сигналов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разметки (компьютеризация для знаков разработана, но еще не завершена, предстоит доработка предложения по поправкам), компьютеризация сигналов и разметки еще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 началась;</w:t>
            </w:r>
          </w:p>
          <w:p w14:paraId="6591C8C7" w14:textId="477228E6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Протокол о разметке дорог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1973 года: возможность </w:t>
            </w: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компьютеризация Протокола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отношении разметки;</w:t>
            </w:r>
          </w:p>
          <w:p w14:paraId="24D055B5" w14:textId="29DC192E" w:rsidR="00951C19" w:rsidRPr="00951C19" w:rsidRDefault="00551D18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Европейское соглашение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o международных магистральных железнодорожных линиях (СМЖЛ) 1985 года: пробел </w:t>
            </w:r>
            <w:r w:rsidRPr="00551D1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 охвачены узлы пассажирских перевозок (эквивалент СЛКП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для пассажирских перевозок).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 охвачены технические параметры сигнализации/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безопасности (в 2021 году была создана Группа экспертов по международным узлам железнодорожных пассажирских перевозок)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6774CB4E" w14:textId="06F859D2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Учитывая, что возможности, риски или пробелы зависят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от конкретного документа,</w:t>
            </w:r>
            <w:r w:rsidR="00D048D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КВТ может предложить,</w:t>
            </w:r>
            <w:r w:rsidR="00D048D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при необходимости, своим отдельным РГ провести работу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 использованию возможностей или устранению пробелов или рисков, если такая работа еще</w:t>
            </w:r>
            <w:r w:rsidR="00D048D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 начата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06A86547" w14:textId="0790DCF5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Рассмотреть в тематических блоках вопросов по видам транспорта (автомобильный, железнодорожный, внутренний водный, интермодальный) взаимосвязь между существующими правовыми документами</w:t>
            </w:r>
            <w:r w:rsidR="00D048D9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вынести рекомендации. Если это необходимо и будет сочтено целесообразным для стратегических целей или</w:t>
            </w:r>
            <w:r w:rsidR="006F329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силу требований участников сектора, вынесение таких рекомендаций, их принятие и их возможное осуществление могут иметь место на более ранних этапах</w:t>
            </w:r>
          </w:p>
        </w:tc>
        <w:tc>
          <w:tcPr>
            <w:tcW w:w="1559" w:type="dxa"/>
            <w:shd w:val="clear" w:color="auto" w:fill="auto"/>
          </w:tcPr>
          <w:p w14:paraId="05420487" w14:textId="2DECD278" w:rsidR="00951C19" w:rsidRPr="00951C19" w:rsidRDefault="00951C19" w:rsidP="00363ABB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 РГ</w:t>
            </w:r>
          </w:p>
        </w:tc>
      </w:tr>
      <w:tr w:rsidR="00951C19" w:rsidRPr="00951C19" w14:paraId="1DEA127D" w14:textId="77777777" w:rsidTr="002B2BCA">
        <w:tc>
          <w:tcPr>
            <w:tcW w:w="476" w:type="dxa"/>
            <w:shd w:val="clear" w:color="auto" w:fill="auto"/>
          </w:tcPr>
          <w:p w14:paraId="31824D85" w14:textId="7777777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5.5</w:t>
            </w:r>
          </w:p>
        </w:tc>
        <w:tc>
          <w:tcPr>
            <w:tcW w:w="1789" w:type="dxa"/>
            <w:shd w:val="clear" w:color="auto" w:fill="auto"/>
          </w:tcPr>
          <w:p w14:paraId="6EE4A2CF" w14:textId="77777777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Определить дополнительные необходимые правовые документы</w:t>
            </w:r>
          </w:p>
        </w:tc>
        <w:tc>
          <w:tcPr>
            <w:tcW w:w="3279" w:type="dxa"/>
            <w:shd w:val="clear" w:color="auto" w:fill="auto"/>
          </w:tcPr>
          <w:p w14:paraId="5446C194" w14:textId="009A8B2F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В рамках этого приоритетного направления обсуждается потребность в инструментах, поддерживающих существующие правовые документы. Рассматриваются такие инструменты, как облегчение выдачи виз профессиональным водителям или облегчение процедур пересечения границы в чрезвычайных ситуациях, включая пандемии</w:t>
            </w:r>
            <w:r w:rsidR="002A2AED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397D37A3" w14:textId="43DA3EE6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SC.2 инициировала создание Группы экспертов по международным узлам железнодорожных пассажирских перевозок (одобрено КВТ</w:t>
            </w:r>
            <w:r w:rsidR="00D048D9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2021 году) с целью определения правового инструмента, который может быть разработан для дальнейшего содействия перераспределению пассажирских перевозок с других видов транспорта на железнодорожный транспорт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13CC3F22" w14:textId="73B0B763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В ответ на вспышку пандемии COVID-19 и ее воздействие на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международные перевозки в соответствии с поручением КВТ на его сессии в 2020 году «провести необходимые исследования по положениям</w:t>
            </w:r>
            <w:r w:rsidR="0022511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уже существующих рамках</w:t>
            </w:r>
            <w:r w:rsidR="0022511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новым необходимым областям работы для развития сотрудничества между транспортными ведомствами</w:t>
            </w:r>
            <w:r w:rsidR="0022511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области противодействия последствиям чрезвычайных ситуаций межстранового характера, включая эпидемии и пандемии» под эгидой WP.5 была создана неофициальная многопрофильная консультативная группа по мерам реагирования транспорта на кризис COVID-19.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2020 году были проведены две виртуальные сессии (9 июня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8 сентября),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которых приняли участие должностные лица, представлявшие министерства транспорта, экономики, здравоохранения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таможенные комитеты из более чем 40 стран региона ЕЭК.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Материалы соответствующих совещаний консультативной группы были включены во всеобъемлющий доклад, который был представлен КВТ на его 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восемьдесят третьей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(ECE/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TRANS/2021/4).</w:t>
            </w:r>
            <w:r w:rsidR="002A2AED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КВТ продлил работу консультативной группы еще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на один год до февраля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2022 года, высказав просьбу об активизации сотрудничество между рабочими сторонами,</w:t>
            </w:r>
            <w:r w:rsidR="002A2AED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а также между КВТ и другими специализированными учреждениями системы ООН.</w:t>
            </w:r>
            <w:r w:rsidR="0022511D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 этой целью в июне 2021 года была проведена третья виртуальная сессия с участием ИКАО и ИМО.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Основное внимание на обсуждениях было уделено выявлению общих черт</w:t>
            </w:r>
            <w:r w:rsidR="00C15A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извлеченных уроков в опыте преодоления последствий пандемии COVID-19 и многочисленных трудностей</w:t>
            </w:r>
            <w:r w:rsidR="0022511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в (под)секторах морского, воздушного и внутреннего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транспорта.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работе третьей сессии консультативной группы участвовали председатели и заместители председателей различных рабочих групп по конкретным видам транспорта, включая SC.3 и WP.24, что позволило провести широкий обмен мнениями между секторами.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Рекомендации и предложения были внесены</w:t>
            </w:r>
            <w:r w:rsidR="0022511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пересмотренный вариант документа ECE/TRANS/WP.5/</w:t>
            </w:r>
            <w:r w:rsidR="0022511D">
              <w:rPr>
                <w:rFonts w:eastAsia="Times New Roman" w:cs="Times New Roman"/>
                <w:b/>
                <w:bCs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2020/10 (Rev.1) для рассмотрения на </w:t>
            </w:r>
            <w:r w:rsidR="008346C8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тридцать четвертой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WP.5 в сентябре 2021 года.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WP.5 приняла к сведению рекомендации для возможных дальнейших действий и «поручила секретариату подготовить официальный документ, включающий разработанные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 настоящему времени рекомендации, а также предлагаемый план действий</w:t>
            </w:r>
            <w:r w:rsidR="0022511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 их реализации и разработать концептуальную записку для дальнейшего обмена информацией и возможного планирования действий в чрезвычайных ситуациях</w:t>
            </w:r>
            <w:r w:rsidR="0022511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для железнодорожного, а также автомобильного и внутреннего водного транспорта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 предстоящей сессии КВТ».</w:t>
            </w:r>
            <w:r w:rsidR="0022511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WP.5 поручила также секретариату повышать осведомленность о важной роли, которую работники транспорта играют в поддержании работоспособности цепей поставок во время пандемий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других чрезвычайных ситуаций, и необходимости обеспечивать их приоритетный доступ к системам здравоохранения</w:t>
            </w:r>
            <w:r w:rsidR="008346C8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1D9EC9CE" w14:textId="6F669E24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ДОПОГ уже предусматривает взаимное признание</w:t>
            </w:r>
            <w:r w:rsidR="0022511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соглашений и свидетельств,</w:t>
            </w:r>
            <w:r w:rsidR="0022511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а многосторонние соглашения доказали свою эффективность</w:t>
            </w:r>
            <w:r w:rsidR="0022511D">
              <w:rPr>
                <w:rFonts w:eastAsia="Times New Roman" w:cs="Times New Roman"/>
                <w:b/>
                <w:bCs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чрезвычайных обстоятельствах, таких как вспышка COVID-19</w:t>
            </w:r>
            <w:r w:rsidR="00322876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6FB09E21" w14:textId="5D78580F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Для рассмотрения правовых документов в контексте этой задачи была создана внутренняя целевая группа.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Будет организовано коллективное обсуждение для изучения областей или вопросов, помимо тех, которыми уже занимаются конкретные РГ, для которых могут быть разработаны правовые документы в интересах различных стран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для содействия устойчивому развитию транспортного сектора</w:t>
            </w:r>
            <w:r w:rsidR="008346C8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65AF3DF7" w14:textId="4D624645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Продолжать дискуссию на основе анализа, о котором идет речь в задаче 5.4</w:t>
            </w:r>
          </w:p>
        </w:tc>
        <w:tc>
          <w:tcPr>
            <w:tcW w:w="1559" w:type="dxa"/>
            <w:shd w:val="clear" w:color="auto" w:fill="auto"/>
          </w:tcPr>
          <w:p w14:paraId="0EE90ED1" w14:textId="77777777" w:rsidR="00951C19" w:rsidRPr="00951C19" w:rsidRDefault="00951C19" w:rsidP="00363ABB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Секретари </w:t>
            </w:r>
            <w:r w:rsidRPr="00363ABB">
              <w:rPr>
                <w:rFonts w:eastAsia="Times New Roman" w:cs="Times New Roman"/>
                <w:szCs w:val="20"/>
                <w:lang w:eastAsia="fr-FR"/>
              </w:rPr>
              <w:t>соответствующих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РГ</w:t>
            </w:r>
          </w:p>
        </w:tc>
      </w:tr>
      <w:tr w:rsidR="00951C19" w:rsidRPr="00951C19" w14:paraId="741D293B" w14:textId="77777777" w:rsidTr="002B2BCA">
        <w:tc>
          <w:tcPr>
            <w:tcW w:w="476" w:type="dxa"/>
            <w:shd w:val="clear" w:color="auto" w:fill="auto"/>
          </w:tcPr>
          <w:p w14:paraId="37D3FF7B" w14:textId="7777777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5.6</w:t>
            </w:r>
          </w:p>
        </w:tc>
        <w:tc>
          <w:tcPr>
            <w:tcW w:w="1789" w:type="dxa"/>
            <w:shd w:val="clear" w:color="auto" w:fill="auto"/>
          </w:tcPr>
          <w:p w14:paraId="2D63D6C6" w14:textId="77777777" w:rsidR="0022511D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Завершить разработку трех новых правовых документов</w:t>
            </w:r>
          </w:p>
          <w:p w14:paraId="5AFCE2C1" w14:textId="5E7C718E" w:rsidR="00951C19" w:rsidRPr="00951C19" w:rsidRDefault="00951C19" w:rsidP="006A2F0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Изучить возможности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для разработки новых правовых документов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(с 2020 года)</w:t>
            </w:r>
          </w:p>
        </w:tc>
        <w:tc>
          <w:tcPr>
            <w:tcW w:w="3279" w:type="dxa"/>
            <w:shd w:val="clear" w:color="auto" w:fill="auto"/>
          </w:tcPr>
          <w:p w14:paraId="3293F47C" w14:textId="22354682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Конвенция о пассажирах железнодорожного транспорта была принята КВТ в феврале</w:t>
            </w:r>
            <w:r w:rsidR="009221E0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2019 года; работа над ЕЖП была продлена</w:t>
            </w:r>
            <w:r w:rsidR="009221E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до конца 2020 года для выполнения мандата и, возможно, подготовки проекта конвенции о договоре международной железнодорожной перевозки грузов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711701E0" w14:textId="7AEE4761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Работа над ЕЖП продолжается: доклад о выполнении текущего мандата должен быть представлен SC.2 в ноябре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2021 года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1AAFDD7F" w14:textId="22DC5D26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SC.1 возобновила обсуждение проекта соглашения ОмниБУС на своей 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 xml:space="preserve">сто четырнадцатой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сессии в октябре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2019 года и добилась прогресса по ряду нерешенных вопросов.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связи с нарушениями обычных рабочих процессов, вызванных пандемией COVID-19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в 2020 году, запланированные неофициальные совещания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 xml:space="preserve">Председатель SC.1 продолжает работать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с Российской Федерацией, Турцией и Швейцарией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над решением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для решения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оставшихся вопросов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по проекту текста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 состоялись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.</w:t>
            </w:r>
            <w:r w:rsidR="009221E0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ноябре 2020 года Турция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Швейцария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отдельных сообщениях уведомили секретариат о том,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что они не будут продолжать обсуждение проекта соглашения.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свете этих событий, а также проблем, создаваемых пандемией</w:t>
            </w:r>
            <w:r w:rsidR="0022511D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COVID-19 для пассажирских перевозок, SC.1 (на своей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сто шестнадцатой</w:t>
            </w:r>
            <w:r w:rsidR="002D2ECE" w:rsidRP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сессии) решила сохранить этот пункт в своей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повестке дня, но приостановить дальнейшие обсуждения по этой теме до тех пор, пока транспортный сектор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 получит возможность более полного восстановления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(т. е. до 2023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или 2024 года)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67D112FF" w14:textId="46D1D968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В рамках WP.1 рассматривается новый правовой документ об автоматизированном вождении</w:t>
            </w:r>
            <w:r w:rsidR="009221E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(см. также задачу 5.17)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5AD2B3E0" w14:textId="23852B10" w:rsidR="00951C19" w:rsidRPr="00951C19" w:rsidRDefault="00951C19" w:rsidP="002D2ECE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Следует продолжать рассмотрение вопроса о новых правовых документах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604B8026" w14:textId="4ECDBA1F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Продолжать процессы доработки ЕЖП</w:t>
            </w:r>
            <w:r w:rsidR="0022511D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и соглашения </w:t>
            </w:r>
            <w:proofErr w:type="spellStart"/>
            <w:r w:rsidRPr="00951C19">
              <w:rPr>
                <w:rFonts w:eastAsia="Times New Roman" w:cs="Times New Roman"/>
                <w:szCs w:val="20"/>
                <w:lang w:eastAsia="fr-FR"/>
              </w:rPr>
              <w:t>ОмниБУС</w:t>
            </w:r>
            <w:proofErr w:type="spellEnd"/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4B802199" w14:textId="456A1898" w:rsidR="00951C19" w:rsidRPr="00951C19" w:rsidRDefault="00951C19" w:rsidP="006F329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Организовать коллективное обсуждение</w:t>
            </w:r>
            <w:r w:rsidR="00BD6DFD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целью изучения возможностей для разработки новых правовых документов для внутреннего транспорта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D95C4B9" w14:textId="77777777" w:rsidR="00951C19" w:rsidRPr="00951C19" w:rsidRDefault="00951C19" w:rsidP="00363ABB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1. Секретарь SC.1 </w:t>
            </w:r>
            <w:r w:rsidRPr="0022511D">
              <w:rPr>
                <w:rFonts w:eastAsia="Times New Roman" w:cs="Times New Roman"/>
                <w:spacing w:val="-20"/>
                <w:szCs w:val="20"/>
                <w:lang w:eastAsia="fr-FR"/>
              </w:rPr>
              <w:t>(</w:t>
            </w:r>
            <w:r w:rsidRPr="00363ABB">
              <w:rPr>
                <w:rFonts w:eastAsia="Times New Roman" w:cs="Times New Roman"/>
                <w:spacing w:val="-4"/>
                <w:szCs w:val="20"/>
                <w:lang w:eastAsia="fr-FR"/>
              </w:rPr>
              <w:t>сопровождающий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Председателя SC.1) и секретарь SC.2/EGURL</w:t>
            </w:r>
          </w:p>
          <w:p w14:paraId="45A8B464" w14:textId="77777777" w:rsidR="00951C19" w:rsidRPr="00951C19" w:rsidRDefault="00951C19" w:rsidP="00363ABB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2. Секретари </w:t>
            </w:r>
            <w:r w:rsidRPr="00363ABB">
              <w:rPr>
                <w:rFonts w:eastAsia="Times New Roman" w:cs="Times New Roman"/>
                <w:szCs w:val="20"/>
                <w:lang w:eastAsia="fr-FR"/>
              </w:rPr>
              <w:t>соответствующих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РГ при участии секретариата КВТ</w:t>
            </w:r>
          </w:p>
        </w:tc>
      </w:tr>
      <w:tr w:rsidR="00951C19" w:rsidRPr="00951C19" w14:paraId="7285B730" w14:textId="77777777" w:rsidTr="002B2BCA">
        <w:tc>
          <w:tcPr>
            <w:tcW w:w="476" w:type="dxa"/>
            <w:shd w:val="clear" w:color="auto" w:fill="auto"/>
          </w:tcPr>
          <w:p w14:paraId="1DC3B286" w14:textId="77777777" w:rsidR="00951C19" w:rsidRPr="00951C19" w:rsidRDefault="00951C19" w:rsidP="006F386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5.7</w:t>
            </w:r>
          </w:p>
        </w:tc>
        <w:tc>
          <w:tcPr>
            <w:tcW w:w="1789" w:type="dxa"/>
            <w:shd w:val="clear" w:color="auto" w:fill="auto"/>
          </w:tcPr>
          <w:p w14:paraId="77A47C58" w14:textId="524E26A7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Подготовить комплексный план по наращиванию потенциала</w:t>
            </w:r>
            <w:r w:rsidR="0022511D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A45471">
              <w:rPr>
                <w:rFonts w:eastAsia="Times New Roman" w:cs="Times New Roman"/>
                <w:szCs w:val="20"/>
                <w:lang w:eastAsia="fr-FR"/>
              </w:rPr>
              <w:t>(</w:t>
            </w:r>
            <w:r w:rsidR="004F7BF6" w:rsidRPr="00A45471">
              <w:rPr>
                <w:rFonts w:eastAsia="Times New Roman" w:cs="Times New Roman"/>
                <w:szCs w:val="20"/>
                <w:lang w:eastAsia="fr-FR"/>
              </w:rPr>
              <w:t>к</w:t>
            </w:r>
            <w:r w:rsidRPr="00A45471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2020 год</w:t>
            </w:r>
            <w:r w:rsidR="00A45471">
              <w:rPr>
                <w:rFonts w:eastAsia="Times New Roman" w:cs="Times New Roman"/>
                <w:szCs w:val="20"/>
                <w:lang w:eastAsia="fr-FR"/>
              </w:rPr>
              <w:t>у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)</w:t>
            </w:r>
          </w:p>
        </w:tc>
        <w:tc>
          <w:tcPr>
            <w:tcW w:w="3279" w:type="dxa"/>
            <w:shd w:val="clear" w:color="auto" w:fill="auto"/>
          </w:tcPr>
          <w:p w14:paraId="7C43289D" w14:textId="582E5342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План действий по развитию потенциала КВТ (2020–2025 годы), содержащийся в документе ECE/</w:t>
            </w:r>
            <w:r w:rsidR="00712173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TRANS/2020/18, был принят КВТ</w:t>
            </w:r>
            <w:r w:rsidR="0075049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на его восемьдесят второй сессии (февраль 2020 года)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3779F790" w14:textId="36327221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Осуществлять план действий по развитию потенциала при условии наличия ресурсов</w:t>
            </w:r>
          </w:p>
        </w:tc>
        <w:tc>
          <w:tcPr>
            <w:tcW w:w="1559" w:type="dxa"/>
            <w:shd w:val="clear" w:color="auto" w:fill="auto"/>
          </w:tcPr>
          <w:p w14:paraId="5D1B11C6" w14:textId="7775B1A0" w:rsidR="00951C19" w:rsidRPr="00951C19" w:rsidRDefault="00951C19" w:rsidP="0075049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Региональный советник</w:t>
            </w:r>
            <w:r w:rsidR="00DF06B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со всеми сотрудниками Отдела</w:t>
            </w:r>
          </w:p>
        </w:tc>
      </w:tr>
      <w:tr w:rsidR="00951C19" w:rsidRPr="00951C19" w14:paraId="297A63D7" w14:textId="77777777" w:rsidTr="002B2BCA">
        <w:tc>
          <w:tcPr>
            <w:tcW w:w="476" w:type="dxa"/>
            <w:shd w:val="clear" w:color="auto" w:fill="auto"/>
          </w:tcPr>
          <w:p w14:paraId="0ED1999D" w14:textId="77777777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bookmarkStart w:id="2" w:name="_Hlk71646795"/>
            <w:r w:rsidRPr="00951C19">
              <w:rPr>
                <w:rFonts w:eastAsia="Times New Roman" w:cs="Times New Roman"/>
                <w:szCs w:val="20"/>
                <w:lang w:eastAsia="fr-FR"/>
              </w:rPr>
              <w:t>5.8</w:t>
            </w:r>
          </w:p>
        </w:tc>
        <w:tc>
          <w:tcPr>
            <w:tcW w:w="1789" w:type="dxa"/>
            <w:shd w:val="clear" w:color="auto" w:fill="auto"/>
          </w:tcPr>
          <w:p w14:paraId="19FEC22D" w14:textId="01CBF36C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Корректировать/ обновлять существующие учебные материалы</w:t>
            </w:r>
            <w:r w:rsidR="0071217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(с 2020 года)</w:t>
            </w:r>
          </w:p>
        </w:tc>
        <w:tc>
          <w:tcPr>
            <w:tcW w:w="3279" w:type="dxa"/>
            <w:shd w:val="clear" w:color="auto" w:fill="auto"/>
          </w:tcPr>
          <w:p w14:paraId="5D6BFD48" w14:textId="028234C0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Утвержден проект СРООН</w:t>
            </w:r>
            <w:r w:rsidR="0075049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разработке платформы электронного обучения. Этот проект направлен на обзор, обновление</w:t>
            </w:r>
            <w:r w:rsidR="0075049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интеграцию,</w:t>
            </w:r>
            <w:r w:rsidR="0075049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при необходимости, доступных учебных материалов</w:t>
            </w:r>
            <w:r w:rsidR="0075049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правовым документам ООН</w:t>
            </w:r>
            <w:r w:rsidR="0075049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области внутреннего транспорта, разработку некоторых новых материалов для платформы электронного обучения, а также тестирование платформы</w:t>
            </w:r>
            <w:r w:rsidR="009221E0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странах-бенефициарах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12E09132" w14:textId="24C3B1A1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Работа над подготовкой платформы электронного обучения продолжается, дорабатывается ее структура</w:t>
            </w:r>
            <w:r w:rsidR="00712173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активно ведется подготовка стартовых учебных курсов.</w:t>
            </w:r>
            <w:r w:rsidR="0071217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настоящее время планируется открыть платформу на сессии КВТ в феврале 2022 года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4C2EDD11" w14:textId="123E5730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1. Вести осуществление проекта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в ожидании перечисления средств</w:t>
            </w:r>
            <w:r w:rsidR="00750495">
              <w:rPr>
                <w:rFonts w:eastAsia="Times New Roman" w:cs="Times New Roman"/>
                <w:strike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с привлечением консультантов</w:t>
            </w:r>
            <w:r w:rsidR="00322876">
              <w:rPr>
                <w:rFonts w:eastAsia="Times New Roman" w:cs="Times New Roman"/>
                <w:strike/>
                <w:szCs w:val="20"/>
                <w:lang w:eastAsia="fr-FR"/>
              </w:rPr>
              <w:t>.</w:t>
            </w:r>
          </w:p>
          <w:p w14:paraId="3CE3ADF7" w14:textId="7CA3895A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Корректировать/ обновлять существующие учебные материалы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595BFF0" w14:textId="77777777" w:rsidR="00951C19" w:rsidRPr="00750495" w:rsidRDefault="00951C19" w:rsidP="0075049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750495">
              <w:rPr>
                <w:rFonts w:eastAsia="Times New Roman" w:cs="Times New Roman"/>
                <w:szCs w:val="20"/>
                <w:lang w:eastAsia="fr-FR"/>
              </w:rPr>
              <w:t>1. Ответственный сотрудник при поддержке всего персонала Отдела</w:t>
            </w:r>
          </w:p>
          <w:p w14:paraId="5CF1208B" w14:textId="21F3B353" w:rsidR="00951C19" w:rsidRPr="00951C19" w:rsidRDefault="00951C19" w:rsidP="0075049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750495">
              <w:rPr>
                <w:rFonts w:eastAsia="Times New Roman" w:cs="Times New Roman"/>
                <w:szCs w:val="20"/>
                <w:lang w:eastAsia="fr-FR"/>
              </w:rPr>
              <w:t>2. Весь персонал Отдела при координации</w:t>
            </w:r>
            <w:r w:rsidR="0075049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750495">
              <w:rPr>
                <w:rFonts w:eastAsia="Times New Roman" w:cs="Times New Roman"/>
                <w:szCs w:val="20"/>
                <w:lang w:eastAsia="fr-FR"/>
              </w:rPr>
              <w:t>со стороны регионального советника</w:t>
            </w:r>
          </w:p>
        </w:tc>
      </w:tr>
      <w:tr w:rsidR="00951C19" w:rsidRPr="00951C19" w14:paraId="0B697EEB" w14:textId="77777777" w:rsidTr="002B2BCA">
        <w:tc>
          <w:tcPr>
            <w:tcW w:w="476" w:type="dxa"/>
            <w:shd w:val="clear" w:color="auto" w:fill="auto"/>
          </w:tcPr>
          <w:p w14:paraId="575505CC" w14:textId="77777777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5.9</w:t>
            </w:r>
          </w:p>
        </w:tc>
        <w:tc>
          <w:tcPr>
            <w:tcW w:w="1789" w:type="dxa"/>
            <w:shd w:val="clear" w:color="auto" w:fill="auto"/>
          </w:tcPr>
          <w:p w14:paraId="73CC4304" w14:textId="0FC02435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Подготовить новые учебные материалы, стандарты</w:t>
            </w:r>
            <w:r w:rsidR="0075049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критерии компетентности</w:t>
            </w:r>
            <w:r w:rsidR="006F386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(с 2022 года)</w:t>
            </w:r>
          </w:p>
        </w:tc>
        <w:tc>
          <w:tcPr>
            <w:tcW w:w="3279" w:type="dxa"/>
            <w:shd w:val="clear" w:color="auto" w:fill="auto"/>
          </w:tcPr>
          <w:p w14:paraId="7E33DD78" w14:textId="330A1490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При условии наличия внебюджетного финансирования будут разработаны новые учебные материалы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26C44FE3" w14:textId="2B59E745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Дополнительные стандарты и критерии компетентности должны быть также разработаны в рамках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РГ в форме руководств, поправок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к правовым документам или новых правовых документов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543984B7" w14:textId="75A7399B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WP.24 разработала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опубликовала Руководство</w:t>
            </w:r>
            <w:r w:rsidR="00750495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 подготовке национальных генеральных планов в области грузовых перевозок и логистики (дополнительная информация приведена в задаче 5.20)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3DA544BC" w14:textId="6265C79A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Информация о воздействии вспышки COVID-19 на внутреннее судоходство, собранная SC.3 и SC.3/WP.3,</w:t>
            </w:r>
            <w:r w:rsidR="00750495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была передана и отражена в публикации «Интермодальные перевозки в эпоху COVID-19 — практика, инициативы и меры реагирования»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084ABB7D" w14:textId="28D93563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Приступить к осуществлению проектов при условии наличия внебюджетного финансирования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3607600F" w14:textId="2FE1DBD3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Продолжить разработку руководств, стандартов и критериев компетентности в рамках РГ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3FCFB63" w14:textId="627C9E4D" w:rsidR="00951C19" w:rsidRPr="00951C19" w:rsidRDefault="00951C19" w:rsidP="0075049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1. Персонал отдела при поддержке регионального советника</w:t>
            </w:r>
          </w:p>
          <w:p w14:paraId="2B44D9EF" w14:textId="61D1E2E9" w:rsidR="00951C19" w:rsidRPr="00951C19" w:rsidRDefault="00951C19" w:rsidP="0075049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Секретари РГ</w:t>
            </w:r>
          </w:p>
        </w:tc>
      </w:tr>
      <w:tr w:rsidR="00951C19" w:rsidRPr="00951C19" w14:paraId="59E9F215" w14:textId="77777777" w:rsidTr="002B2BCA">
        <w:tc>
          <w:tcPr>
            <w:tcW w:w="476" w:type="dxa"/>
            <w:shd w:val="clear" w:color="auto" w:fill="auto"/>
          </w:tcPr>
          <w:p w14:paraId="6936AFB9" w14:textId="77777777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5.10</w:t>
            </w:r>
          </w:p>
        </w:tc>
        <w:tc>
          <w:tcPr>
            <w:tcW w:w="1789" w:type="dxa"/>
            <w:shd w:val="clear" w:color="auto" w:fill="auto"/>
          </w:tcPr>
          <w:p w14:paraId="72002871" w14:textId="44C69B31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Разработать учебные курсы</w:t>
            </w:r>
            <w:r w:rsidR="0075049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(с 2019 года)</w:t>
            </w:r>
          </w:p>
        </w:tc>
        <w:tc>
          <w:tcPr>
            <w:tcW w:w="3279" w:type="dxa"/>
            <w:shd w:val="clear" w:color="auto" w:fill="auto"/>
          </w:tcPr>
          <w:p w14:paraId="0B1C67E5" w14:textId="7B8E4764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Программы учебных курсов</w:t>
            </w:r>
            <w:r w:rsidR="0075049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должны быть разработаны</w:t>
            </w:r>
            <w:r w:rsidR="0075049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частично в рамках проекта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СРООН (см. задачу 5.8)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5BCA84F2" w14:textId="5116D77A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Обсудить соглашения о партнерстве в целях разработки/проведения курсов при условии наличия внебюджетного финансирования</w:t>
            </w:r>
          </w:p>
        </w:tc>
        <w:tc>
          <w:tcPr>
            <w:tcW w:w="1559" w:type="dxa"/>
            <w:shd w:val="clear" w:color="auto" w:fill="auto"/>
          </w:tcPr>
          <w:p w14:paraId="035B2012" w14:textId="77777777" w:rsidR="00951C19" w:rsidRPr="00951C19" w:rsidRDefault="00951C19" w:rsidP="00615DD8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Региональный советник при поддержке секретариата КВТ и секретарей соответствующих РГ</w:t>
            </w:r>
          </w:p>
        </w:tc>
      </w:tr>
      <w:bookmarkEnd w:id="2"/>
      <w:tr w:rsidR="00951C19" w:rsidRPr="00951C19" w14:paraId="2057F16E" w14:textId="77777777" w:rsidTr="002B2BCA">
        <w:tc>
          <w:tcPr>
            <w:tcW w:w="476" w:type="dxa"/>
            <w:shd w:val="clear" w:color="auto" w:fill="auto"/>
          </w:tcPr>
          <w:p w14:paraId="7EF8FB86" w14:textId="77777777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5.11</w:t>
            </w:r>
          </w:p>
        </w:tc>
        <w:tc>
          <w:tcPr>
            <w:tcW w:w="1789" w:type="dxa"/>
            <w:shd w:val="clear" w:color="auto" w:fill="auto"/>
          </w:tcPr>
          <w:p w14:paraId="30D63319" w14:textId="0025CB36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Разработать показатели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(с 2019 года)</w:t>
            </w:r>
          </w:p>
        </w:tc>
        <w:tc>
          <w:tcPr>
            <w:tcW w:w="3279" w:type="dxa"/>
            <w:shd w:val="clear" w:color="auto" w:fill="auto"/>
          </w:tcPr>
          <w:p w14:paraId="247323D2" w14:textId="0493ABFE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Осуществляется проект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Осуществление проекта</w:t>
            </w:r>
            <w:r w:rsidR="00615DD8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СРООН,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касающийся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касающегося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показателей устойчивой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связанности инфраструктуры внутреннего транспорта (ПУСИВТ)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,</w:t>
            </w:r>
            <w:r w:rsidR="00615DD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сотрудничестве с ЭСКЗА</w:t>
            </w:r>
            <w:r w:rsidR="00615DD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ЭКЛАК приближается</w:t>
            </w:r>
            <w:r w:rsidR="00615DD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 заключительному этапу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.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Эти показатели должны охватывать</w:t>
            </w:r>
            <w:r w:rsidR="00615DD8">
              <w:rPr>
                <w:rFonts w:eastAsia="Times New Roman" w:cs="Times New Roman"/>
                <w:strike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три основополагающие элемента устойчивого развития.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Они призваны измерять уровень связанности для автомобильного и железнодорожного транспорта, внутренних водных путей, а также интермодальных перевозок.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trike/>
                <w:szCs w:val="20"/>
                <w:lang w:eastAsia="fr-FR"/>
              </w:rPr>
              <w:t>Для содействия использованию показателей государствами-членами в стадии разработки находится онлайновый инструмент сбора данных.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рамках проекта был разработан набор из 215 показателей устойчивой связанности инфраструктуры внутреннего транспорта.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Этот набор служит для стран инструментом оценки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степени внешней связанности их инфраструктуры с точки зрения перевозок, логистики, эксплуатационной совместимости, процедур пересечения границ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торговых процессов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7031EBAE" w14:textId="438B6323" w:rsidR="00951C19" w:rsidRPr="00951C19" w:rsidRDefault="00951C19" w:rsidP="0075049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Для содействия использованию показателей государствами-членами идет разработка курса электронного обучения</w:t>
            </w:r>
            <w:r w:rsidR="00615DD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онлайнового инструмента</w:t>
            </w:r>
            <w:r w:rsidR="00615DD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сбора данных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462B5B7C" w14:textId="26409CE9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Завершить проект ПУСИВТ, а также способствовать популяризации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распространению показателей для широкого применения в координации с КВТ и в соответствии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его решениями</w:t>
            </w:r>
          </w:p>
        </w:tc>
        <w:tc>
          <w:tcPr>
            <w:tcW w:w="1559" w:type="dxa"/>
            <w:shd w:val="clear" w:color="auto" w:fill="auto"/>
          </w:tcPr>
          <w:p w14:paraId="086185D5" w14:textId="12A0C002" w:rsidR="00951C19" w:rsidRPr="00951C19" w:rsidRDefault="00951C19" w:rsidP="00615DD8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Секретарь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WP.5</w:t>
            </w:r>
          </w:p>
        </w:tc>
      </w:tr>
      <w:tr w:rsidR="00951C19" w:rsidRPr="00951C19" w14:paraId="661EF639" w14:textId="77777777" w:rsidTr="002B2BCA">
        <w:tc>
          <w:tcPr>
            <w:tcW w:w="476" w:type="dxa"/>
            <w:shd w:val="clear" w:color="auto" w:fill="auto"/>
          </w:tcPr>
          <w:p w14:paraId="68D5D383" w14:textId="77777777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5.12</w:t>
            </w:r>
          </w:p>
        </w:tc>
        <w:tc>
          <w:tcPr>
            <w:tcW w:w="1789" w:type="dxa"/>
            <w:shd w:val="clear" w:color="auto" w:fill="auto"/>
          </w:tcPr>
          <w:p w14:paraId="6E203E86" w14:textId="18C3B4D6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Расширять глобальное участие в работе WP.1</w:t>
            </w:r>
            <w:r w:rsidR="006F386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WP.29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сотрудничество между ними</w:t>
            </w:r>
          </w:p>
        </w:tc>
        <w:tc>
          <w:tcPr>
            <w:tcW w:w="3279" w:type="dxa"/>
            <w:shd w:val="clear" w:color="auto" w:fill="auto"/>
          </w:tcPr>
          <w:p w14:paraId="660B9722" w14:textId="7A590114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WP.1 и WP.29 постоянно сотрудничают и обмениваются мнениями посредством проведения регулярных совместных совещаний и подготовки совместных материалов, например общего набора терминов для автоматизированного вождения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65B1E850" w14:textId="3BB06D2C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Председатель Рабочей группы</w:t>
            </w:r>
            <w:r w:rsidR="00615DD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 автоматизированным/ автономным и подключенным транспортным средствам (GRVA) участвует в совещаниях WP.1 для обмена информацией о текущей деятельности и эволюции планируемого регулирования</w:t>
            </w:r>
            <w:r w:rsidR="00615DD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свете прогрессивного развития бортовых технологий транспортных средств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752A33A7" w14:textId="1D009DBF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WP.1 предложила председателю GRVA провести в 2022 году (совместно с GRVA и/или WP.29) совместное мероприятие,</w:t>
            </w:r>
            <w:r w:rsidR="00615DD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 тем чтобы специалисты по безопасности дорожного движения могли обменяться мнениями</w:t>
            </w:r>
            <w:r w:rsidR="00615DD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опытом в связи с последними достижениями, являющимися результатом стремительного технического прогресса.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Предложение подлежит принятию GRVA и/или WP.29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6F0C91C4" w14:textId="2337A802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Продолжать тесное сотрудничество</w:t>
            </w:r>
          </w:p>
        </w:tc>
        <w:tc>
          <w:tcPr>
            <w:tcW w:w="1559" w:type="dxa"/>
            <w:shd w:val="clear" w:color="auto" w:fill="auto"/>
          </w:tcPr>
          <w:p w14:paraId="5040EF08" w14:textId="2129BFC3" w:rsidR="00951C19" w:rsidRPr="00951C19" w:rsidRDefault="00951C19" w:rsidP="00615DD8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WP.1 и WP.29 </w:t>
            </w:r>
          </w:p>
        </w:tc>
      </w:tr>
      <w:tr w:rsidR="00951C19" w:rsidRPr="00951C19" w14:paraId="2E68DDD3" w14:textId="77777777" w:rsidTr="002B2BCA">
        <w:tc>
          <w:tcPr>
            <w:tcW w:w="476" w:type="dxa"/>
            <w:shd w:val="clear" w:color="auto" w:fill="auto"/>
          </w:tcPr>
          <w:p w14:paraId="4CD8CD43" w14:textId="77777777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5.13</w:t>
            </w:r>
          </w:p>
        </w:tc>
        <w:tc>
          <w:tcPr>
            <w:tcW w:w="1789" w:type="dxa"/>
            <w:shd w:val="clear" w:color="auto" w:fill="auto"/>
          </w:tcPr>
          <w:p w14:paraId="3447540A" w14:textId="58589A1F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Обновить ДЕТА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обеспечить ее хостинг в ЕЭК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(с 2022 года)</w:t>
            </w:r>
          </w:p>
        </w:tc>
        <w:tc>
          <w:tcPr>
            <w:tcW w:w="3279" w:type="dxa"/>
            <w:shd w:val="clear" w:color="auto" w:fill="auto"/>
          </w:tcPr>
          <w:p w14:paraId="2F6FCF29" w14:textId="1523E478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ДЕТА функционирует с начала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2020 года. В настоящее время ее хостинг обеспечивается Германией в качестве взноса в натуральной форме. Еще два модуля ДЕТА (Уникальный идентификатор (УИ)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Декларация о соответствии (ДоС)) находятся в стадии разработки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финансируются за счет взносов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в натуральной форме со стороны неправительственных заинтересованных сторон (МКТОТ, МОПАП, КСАОД)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6F6B3554" w14:textId="5207ED35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До настоящего времени Пятый комитет не утвердил финансирование хостинга</w:t>
            </w:r>
            <w:r w:rsidR="009221E0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ДЕТА</w:t>
            </w:r>
            <w:r w:rsidR="009221E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ЕЭК из РБ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7EE9C4C2" w14:textId="43BF6CC9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Продолжать усилия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обновлению ДЕТА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обеспечению ее хостинга в ЕЭК</w:t>
            </w:r>
          </w:p>
        </w:tc>
        <w:tc>
          <w:tcPr>
            <w:tcW w:w="1559" w:type="dxa"/>
            <w:shd w:val="clear" w:color="auto" w:fill="auto"/>
          </w:tcPr>
          <w:p w14:paraId="692E4062" w14:textId="3CA48479" w:rsidR="00951C19" w:rsidRPr="00951C19" w:rsidRDefault="00951C19" w:rsidP="00615DD8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Секретарь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WP.29</w:t>
            </w:r>
          </w:p>
        </w:tc>
      </w:tr>
      <w:tr w:rsidR="00951C19" w:rsidRPr="00951C19" w14:paraId="253245B4" w14:textId="77777777" w:rsidTr="002B2BCA">
        <w:tc>
          <w:tcPr>
            <w:tcW w:w="476" w:type="dxa"/>
            <w:shd w:val="clear" w:color="auto" w:fill="auto"/>
          </w:tcPr>
          <w:p w14:paraId="0812A28D" w14:textId="77777777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5.14</w:t>
            </w:r>
          </w:p>
        </w:tc>
        <w:tc>
          <w:tcPr>
            <w:tcW w:w="1789" w:type="dxa"/>
            <w:shd w:val="clear" w:color="auto" w:fill="auto"/>
          </w:tcPr>
          <w:p w14:paraId="4DF2A5DB" w14:textId="04D18B8A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Содействовать присоединению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 e-CMR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и обеспечению ее </w:t>
            </w:r>
            <w:r w:rsidRPr="00A45471">
              <w:rPr>
                <w:rFonts w:eastAsia="Times New Roman" w:cs="Times New Roman"/>
                <w:szCs w:val="20"/>
                <w:lang w:eastAsia="fr-FR"/>
              </w:rPr>
              <w:t>функционирования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(с 2019 года)</w:t>
            </w:r>
          </w:p>
        </w:tc>
        <w:tc>
          <w:tcPr>
            <w:tcW w:w="3279" w:type="dxa"/>
            <w:shd w:val="clear" w:color="auto" w:fill="auto"/>
          </w:tcPr>
          <w:p w14:paraId="70D1A9F5" w14:textId="064CF963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SC.1 на своей </w:t>
            </w:r>
            <w:r w:rsidR="002D2ECE">
              <w:rPr>
                <w:rFonts w:eastAsia="Times New Roman" w:cs="Times New Roman"/>
                <w:szCs w:val="20"/>
                <w:lang w:eastAsia="fr-FR"/>
              </w:rPr>
              <w:t xml:space="preserve">сто четырнадцатой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сессии (октябрь 2019 года) сформировала неофициальную группу экспертов по e-CMR для подготовки, при поддержке секретариата, документа с подробным описанием исследований и других мер, необходимых и/или рекомендованных для обеспечения функционирования e-CMR, который будет представлен на одной из будущих сессий КВТ.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Ожидается, что этот документ поможет повысить осведомленность об</w:t>
            </w:r>
            <w:r w:rsidR="00615DD8">
              <w:rPr>
                <w:rFonts w:eastAsia="Times New Roman" w:cs="Times New Roman"/>
                <w:strike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e-CMR и будет способствовать присоединению к ней.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Документ был завершен и представлен на 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сто шестнадцатой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SC.1.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SC.1 приняла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 сведению информацию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выводы, содержащиеся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документе,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представила его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на рассмотрение КВТ на его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восемьдесят четвертой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SC.1 решила также создать официальную группу экспертов по введению в действие процедуры e-CMR на двухлетний период (2022 и 2023 годы) для обсуждения и, по возможности, согласования требований статьи 5 Дополнительного протокола, касающегося e-CMR, и просит КВТ и Исполком одобрить создание такой группы экспертов</w:t>
            </w:r>
            <w:r w:rsid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36720F52" w14:textId="4C9643D6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trike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В марте 2020 года Исламский банк развития (ИБР) одобрил финансирование проекта, направленного на содействие присоединению Азербайджана, Афганистана, Ирана (Исламская Республика), Казахстана, Кыргызстана, Пакистана, Таджикистана, Туркменистана, Турции и Узбекистана к e-CMR.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lastRenderedPageBreak/>
              <w:t>Проект будет включать проведение двух рабочих совещаний по наращиванию потенциала и найм консультанта для разработки технических спецификаций, которые будут использоваться соответствующими странами для внедрения системы электронных накладных</w:t>
            </w:r>
            <w:r w:rsidR="002D2ECE">
              <w:rPr>
                <w:rFonts w:eastAsia="Times New Roman" w:cs="Times New Roman"/>
                <w:strike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50C2853E" w14:textId="06BB04B9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Продолжать внедрение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e-CMR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517E8E2A" w14:textId="4FB0E33B" w:rsidR="00951C19" w:rsidRPr="00951C19" w:rsidRDefault="00951C19" w:rsidP="00615DD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Вести осуществление проекта e-CMR для выбранных стран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при финансировании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со стороны ИБР</w:t>
            </w:r>
            <w:r w:rsidR="00615DD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способствовать присоединению этих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стран к e-CMR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F20B7A6" w14:textId="77777777" w:rsidR="00951C19" w:rsidRPr="00951C19" w:rsidRDefault="00951C19" w:rsidP="002B2BCA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1–2. Секретарь SC.1</w:t>
            </w:r>
          </w:p>
        </w:tc>
      </w:tr>
      <w:tr w:rsidR="00951C19" w:rsidRPr="00951C19" w14:paraId="7D49A4AD" w14:textId="77777777" w:rsidTr="002B2BCA">
        <w:tc>
          <w:tcPr>
            <w:tcW w:w="476" w:type="dxa"/>
            <w:shd w:val="clear" w:color="auto" w:fill="auto"/>
          </w:tcPr>
          <w:p w14:paraId="14A8E189" w14:textId="7777777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5.15</w:t>
            </w:r>
          </w:p>
        </w:tc>
        <w:tc>
          <w:tcPr>
            <w:tcW w:w="1789" w:type="dxa"/>
            <w:shd w:val="clear" w:color="auto" w:fill="auto"/>
          </w:tcPr>
          <w:p w14:paraId="2DE101C3" w14:textId="5D75C939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Обеспечивать постепенное развитие системы e-TIR, ведущее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 возможному полному внедрению системы e-TIR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 2023 году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при условии вступления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силу нового приложения 11</w:t>
            </w:r>
            <w:r w:rsidR="006F386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 Конвенции МДП</w:t>
            </w:r>
          </w:p>
        </w:tc>
        <w:tc>
          <w:tcPr>
            <w:tcW w:w="3279" w:type="dxa"/>
            <w:shd w:val="clear" w:color="auto" w:fill="auto"/>
          </w:tcPr>
          <w:p w14:paraId="2C0D6A23" w14:textId="41B675D3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Новое приложение 11 и соответствующие поправки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 Конвенции МДП, касающиеся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e-TIR, были приняты договаривающимися сторонами Конвенции МДП в ходе февральской сессии Административного комитета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в 2020 году.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Ожидается, что н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Новое приложение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вступит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вступило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в силу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в мае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25 мая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2021 года. Параллельно с этим секретариат разработал программное обеспечение, которое будет содействовать осуществлению нового приложения 11, — так называемую «международную систему e-TIR», основанную на последней версии спецификаций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e-TIR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, включая всю вспомогательную документацию, необходимую для осуществления проектов подключения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. Секретариат предложил договаривающимся сторонам приступить к подключению своих национальных таможенных систем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 международной системе e-TIR.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На данный </w:t>
            </w:r>
            <w:r w:rsidRPr="002D2ECE">
              <w:rPr>
                <w:rFonts w:eastAsia="Times New Roman" w:cs="Times New Roman"/>
                <w:szCs w:val="20"/>
                <w:lang w:eastAsia="fr-FR"/>
              </w:rPr>
              <w:t xml:space="preserve">момент двадцать </w:t>
            </w:r>
            <w:r w:rsidRPr="002D2ECE">
              <w:rPr>
                <w:rFonts w:eastAsia="Times New Roman" w:cs="Times New Roman"/>
                <w:strike/>
                <w:szCs w:val="20"/>
                <w:lang w:eastAsia="fr-FR"/>
              </w:rPr>
              <w:t>шесть</w:t>
            </w:r>
            <w:r w:rsidRPr="002D2ECE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договаривающихся сторон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2D2ECE">
              <w:rPr>
                <w:rFonts w:eastAsia="Times New Roman" w:cs="Times New Roman"/>
                <w:b/>
                <w:bCs/>
                <w:szCs w:val="20"/>
                <w:lang w:eastAsia="fr-FR"/>
              </w:rPr>
              <w:t>одна</w:t>
            </w:r>
            <w:r w:rsidRPr="002D2ECE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договаривающаяся сторона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положительно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ответили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ответила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на это предложение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, а семь договаривающихся сторон начали проект подключения своих таможенных информационных систем к международной системе e-TIR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. </w:t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Эти проекты подключения обеспечили возможность взаимодействия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Таким образом, взаимодействие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таможенных систем посредством ООН стало возможным задолго до целевого 2023 года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19AD8175" w14:textId="500A26D9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1. Обеспечить, чтобы новое приложение 11 вступило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в силу в 2021 году </w:t>
            </w:r>
            <w:r w:rsidR="002B2BCA" w:rsidRPr="002B2BCA">
              <w:rPr>
                <w:rFonts w:eastAsia="Times New Roman" w:cs="Times New Roman"/>
                <w:szCs w:val="20"/>
                <w:lang w:eastAsia="fr-FR"/>
              </w:rPr>
              <w:t>‒‒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выполнено (см. Состояние работы)</w:t>
            </w:r>
            <w:r w:rsidR="00322876" w:rsidRP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304C1695" w14:textId="3081398F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Поощрять договаривающиеся стороны МДП к подключению их национальных таможенных систем к международной системе e-TIR в течение 2020 и 2021 годов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720B2AFE" w14:textId="6889FDE9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 Содействовать наиболее эффективному и действенному подключению новой компьютеризированной транзитной системы (НКТС) к международной системе e-TIR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317D3C73" w14:textId="10DEC11E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4. Содействовать внедрению международной системы e-TIR для распространения системы МДП на такие транспортные операции, как интермодальные перевозки или перевозка посылок в рамках электронной торговли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C84CA17" w14:textId="63EA391B" w:rsidR="00951C19" w:rsidRPr="00951C19" w:rsidRDefault="00951C19" w:rsidP="002B2BCA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1–4. WP.30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секретариат МДП</w:t>
            </w:r>
          </w:p>
        </w:tc>
      </w:tr>
      <w:tr w:rsidR="00951C19" w:rsidRPr="00951C19" w14:paraId="13274F8C" w14:textId="77777777" w:rsidTr="002B2BCA">
        <w:tc>
          <w:tcPr>
            <w:tcW w:w="476" w:type="dxa"/>
            <w:shd w:val="clear" w:color="auto" w:fill="auto"/>
          </w:tcPr>
          <w:p w14:paraId="0D3F7644" w14:textId="7777777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5.16</w:t>
            </w:r>
          </w:p>
        </w:tc>
        <w:tc>
          <w:tcPr>
            <w:tcW w:w="1789" w:type="dxa"/>
            <w:shd w:val="clear" w:color="auto" w:fill="auto"/>
          </w:tcPr>
          <w:p w14:paraId="56A8B417" w14:textId="5F7498F1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Выявлять новые технологии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обеспечивать стимулирование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содействие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их внедрению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в области </w:t>
            </w:r>
            <w:r w:rsidRPr="002B2BCA">
              <w:rPr>
                <w:rFonts w:eastAsia="Times New Roman" w:cs="Times New Roman"/>
                <w:spacing w:val="-8"/>
                <w:szCs w:val="20"/>
                <w:lang w:eastAsia="fr-FR"/>
              </w:rPr>
              <w:t>железнодорожного,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автомобильного, внутреннего водного транспорта, дорожной мобильности, логистики и интермодальных перевозок</w:t>
            </w:r>
            <w:r w:rsidR="002B2BCA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период до 2030 года</w:t>
            </w:r>
          </w:p>
        </w:tc>
        <w:tc>
          <w:tcPr>
            <w:tcW w:w="3279" w:type="dxa"/>
            <w:shd w:val="clear" w:color="auto" w:fill="auto"/>
          </w:tcPr>
          <w:p w14:paraId="2111C8B3" w14:textId="4184AE44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В рамках WP.5 и проекта, финансируемого ИБР, была разработана Международная обсерватория для мониторинга транспортной инфраструктуры (МОМТИ)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, функционирующая</w:t>
            </w:r>
            <w:r w:rsidR="0002702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на базе ГИС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. Основные цели работы МОМТИ:</w:t>
            </w:r>
          </w:p>
          <w:p w14:paraId="424D358C" w14:textId="6B2AD441" w:rsidR="00951C19" w:rsidRPr="00027028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‒ обеспечивать размещение и интеграцию всей информации/ данных, касающихся транспортной инфраструктуры/коридоров/проектов и т. д., которые разрабатываются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создаются Отделом, включая все соглашения (СМА, СМЖЛ и т. д.) по проектам транспортной инфраструктуры (ЕАТС, ТЕА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ТЕЖ и т. д.) и доклады групп экспертов (адаптация к изменению климата, сравнительный анализ затрат на строительство транспортной инфраструктуры);</w:t>
            </w:r>
          </w:p>
          <w:p w14:paraId="270C1061" w14:textId="403FB081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‒ служить в качестве электронного регионального инструмента для обеспечения связанности всех инициатив в области транспортных коридоров/сетей, особенно вдоль евро-азиатских коридоров (ТРАСЕКА, ЦАРЭС)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и не только (ЭСКЗА);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</w:t>
            </w:r>
          </w:p>
          <w:p w14:paraId="14DD2EE2" w14:textId="110D2E50" w:rsidR="00951C19" w:rsidRPr="00951C19" w:rsidRDefault="00027028" w:rsidP="002B2BC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027028">
              <w:rPr>
                <w:rFonts w:eastAsia="Times New Roman" w:cs="Times New Roman"/>
                <w:b/>
                <w:bCs/>
                <w:szCs w:val="20"/>
                <w:lang w:eastAsia="fr-FR"/>
              </w:rPr>
              <w:t>‒</w:t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служить в качестве виртуального рынка для привлечения финансирования национальных, региональных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межрегиональных проектов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="00951C19"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услуг в области транспортной инфраструктуры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045C5F2F" w14:textId="5AFC0308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WP.5 на своей 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тридцать четвертой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предложила заинтересованным сторонам (включая национальные правительства и многосторонние банки развития) принять участие в процессе тестирования МОМТИ.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Она предложила секретариату оказать необходимую помощь национальным делегатам</w:t>
            </w:r>
            <w:r w:rsidR="0002702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представителям других заинтересованных сторон</w:t>
            </w:r>
            <w:r w:rsidR="0002702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проведении тестирования,</w:t>
            </w:r>
            <w:r w:rsidR="00027028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том числе путем предоставления специальных учетных записей</w:t>
            </w:r>
            <w:r w:rsidR="0002702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для тестирования.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Она также поручила секретариату информировать Бюро КВТ</w:t>
            </w:r>
            <w:r w:rsidR="0002702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Комитет о разработке МОМТИ и возможных результатах тестирования после его завершения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66BC41B3" w14:textId="5158148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SC.2 рассматривает возможность внедрения центра наблюдения за инновациями в железнодорожной отрасли для отслеживания ключевых инноваций в секторе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5F314FA2" w14:textId="285EA120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trike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‒ служить в качестве инновационного инструмента, облегчающего финансирование новых проектов в области транспортной инфраструктуры путем установления контактов между правительствами</w:t>
            </w:r>
            <w:r w:rsidRPr="00951C19">
              <w:rPr>
                <w:rFonts w:eastAsia="Times New Roman" w:cs="Times New Roman"/>
                <w:b/>
                <w:bCs/>
                <w:strike/>
                <w:szCs w:val="20"/>
                <w:lang w:eastAsia="fr-FR"/>
              </w:rPr>
              <w:t>, объявившими о потребности</w:t>
            </w:r>
            <w:r w:rsidR="00027028">
              <w:rPr>
                <w:rFonts w:eastAsia="Times New Roman" w:cs="Times New Roman"/>
                <w:b/>
                <w:bCs/>
                <w:strike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trike/>
                <w:szCs w:val="20"/>
                <w:lang w:eastAsia="fr-FR"/>
              </w:rPr>
              <w:t>в таких проектах,</w:t>
            </w:r>
            <w:r w:rsidR="00027028">
              <w:rPr>
                <w:rFonts w:eastAsia="Times New Roman" w:cs="Times New Roman"/>
                <w:strike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и международными финансовыми учреждениями (МФУ)</w:t>
            </w:r>
            <w:r w:rsidR="00363ABB">
              <w:rPr>
                <w:rFonts w:eastAsia="Times New Roman" w:cs="Times New Roman"/>
                <w:strike/>
                <w:szCs w:val="20"/>
                <w:lang w:eastAsia="fr-FR"/>
              </w:rPr>
              <w:t>.</w:t>
            </w:r>
          </w:p>
          <w:p w14:paraId="01C8F15E" w14:textId="16D945FC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Соответствующие РГ изучают возможности ускорения создания сетей категории Е и соответствующих объектов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в рамках инфраструктурных соглашений (например, WP.24 </w:t>
            </w:r>
            <w:r w:rsidR="00027028" w:rsidRPr="00027028">
              <w:rPr>
                <w:rFonts w:eastAsia="Times New Roman" w:cs="Times New Roman"/>
                <w:szCs w:val="20"/>
                <w:lang w:eastAsia="fr-FR"/>
              </w:rPr>
              <w:t>‒‒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отношении СЛКП) на платформе ГИС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14E04BC3" w14:textId="286070EF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SC.2 и WP.24 также рассматривают вопрос об обновлении и модернизации совместного инструмента СМЖЛ/СЛКП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по параметрам инфраструктуры.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WP.24 работает над созданием перечня линий СЛКП</w:t>
            </w:r>
            <w:r w:rsidR="0002702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соответствующих объектов</w:t>
            </w:r>
            <w:r w:rsidR="0002702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ГИС.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Такой перечень должен быть составлен, по возможности, к октябрю 2023 года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7BC73C8C" w14:textId="6B013523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WP.5 выпустила в рамках своей серии «Тенденции и экономика транспорта в 2018–2019 годах» публикацию «Мобильность как услуга»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256ACD5C" w14:textId="2D7134BE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WP.24 регулярно обсуждает технические/технологические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и организационные меры в области интермодальных грузовых перевозок и логистики в целях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содействия дальнейшей оптимизации в этой области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0D54F7B3" w14:textId="56A25A5B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WP.24 работает над переводом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цифровой формат Кодекса практики по укладке грузов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грузовые транспортные единицы (Кодекс ГТЕ), с тем чтобы практика безопасной и надежной упаковки грузов стала доступной с помощью мобильного приложения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0FAF4720" w14:textId="05ACF0E6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Работа в области телематики для перевозки опасных грузов ведется под эгидой Совместного совещания МПОГ/ДОПОГ/ВОПОГ. По просьбе Совместного совещания МПОГ/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ДОПОГ/ВОПОГ были утверждены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размещены на веб-сайте ЕЭК</w:t>
            </w:r>
            <w:r w:rsidRPr="00951C19">
              <w:rPr>
                <w:rFonts w:eastAsia="Times New Roman" w:cs="Times New Roman"/>
                <w:sz w:val="18"/>
                <w:szCs w:val="20"/>
                <w:vertAlign w:val="superscript"/>
                <w:lang w:eastAsia="fr-FR"/>
              </w:rPr>
              <w:footnoteReference w:id="1"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руководящие принципы, касающиеся использования электронного обмена данными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для выполнения требований МПОГ/ДОПОГ/ВОПОГ в отношении документации. Продолжается деятельность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разработке и внедрению соответствующих веб-сервисов, интерфейсов и коммуникационной архитектуры, поддерживающей обмен данными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524859D6" w14:textId="48CD43C0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WP.29 выявляет новые технологии для колесных транспортных средств и содействует их внедрению на основе своих рабочих групп путем согласования технических требований и управления своей экосистемой в отношении официального утверждения типа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взаимного признания свидетельств, а также обеспечивая поддержку нормативной деятельности стран, использующих самосертификацию. WP.29 также наблюдает за деятельностью неофициальной рабочей группы по интеллектуальным транспортным системам, уделяя особое внимание интеграции транспортных средств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их интеллектуальную среду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информируя WP.29 о технологических достижениях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в смежных с колесными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транспортными средствами</w:t>
            </w:r>
            <w:r w:rsidR="009221E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секторах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3CAB3DF6" w14:textId="0DC48FCC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Рабочая группа WP.29 по автоматизированным/автономным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подключенным транспортным средствам (GRVA) является основным органом, занимающимся вопросами внедрения передовых технологий и инноваций в области дорожных транспортных средств. GRVA активно занимается технологиями, которые, по всей вероятности, действительно выйдут на рынок, уделяя особое внимание тем из них, которые влияют на безопасность, надежность и связанность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1074CA55" w14:textId="599D975C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Другие РГ также занимаются инновациями, но менее системно. Так, GRSG, как ожидается, разработает технические требования, поддерживающие каршеринг, в целях содействия интеграции транспортных средств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стратегии мультимодальных перевозок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6B82C8B0" w14:textId="2238017B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В рамках своих ежегодных сессий SC.1 служит государствам-членам платформой для обмена информацией и представления инициатив по цифровизации дорожных систем или дорожной инфраструктуры в соответствующих странах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1359EF6B" w14:textId="2DBC2383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SC.3 включила вопросы автоматизации во внутреннем судоходстве и «умном» судоходстве в свою повестку дня в 2018 году.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2019 году она приняла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резолюцию № 95 «Укрепление международного сотрудничества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целях поддержки развития автоматизации во внутреннем судоходстве». В настоящее время SC.3 занимается пересмотром резолюций о речных информационных службах. База данных ГИС сети водных путей категории E, основанная на «Синей книге», и онлайн-база МУС, выданных различными странами, доступны на веб-странице SC.3.</w:t>
            </w:r>
          </w:p>
          <w:p w14:paraId="7C428980" w14:textId="238E3946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SC.3 и SC.3/WP.3 продолжают работу в области автоматизированного внутреннего судоходства, обмениваясь соответствующей информацией.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Принципы автономного внутреннего судоходства, применимые</w:t>
            </w:r>
            <w:r w:rsidR="00027028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на внутренних водных путях, могут в значительной мере способствовать развитию интеллектуальных транспортных систем в данном секторе и, таким образом, достижению ЦУР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1FA1E518" w14:textId="4CA35DD6" w:rsidR="00951C19" w:rsidRPr="00951C19" w:rsidRDefault="00951C19" w:rsidP="0002702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В соответствии с решением КВТ продолжать работу по превращению Обсерватории в инструмент, объединяющий работу Комитета по внутреннему транспорту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Отдела в области транспортной связанности и содействующий межрегиональной транспортной связанности и финансированию новых проектов в области транспортной инфраструктуры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20DE8B49" w14:textId="3253AE97" w:rsidR="00951C19" w:rsidRPr="00951C19" w:rsidRDefault="00951C19" w:rsidP="0002702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Обновлять инструмент СМЖЛ/СЛКП, касающийся параметров инфраструктуры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14922087" w14:textId="4F5D9425" w:rsidR="00951C19" w:rsidRPr="00951C19" w:rsidRDefault="00951C19" w:rsidP="0002702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 Продолжать рассматривать и поддерживать технические/ технологические разработки в области перевозок автомобильным, железнодорожным и внутренним водным транспортом, а также интермодальных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перевозок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44F68694" w14:textId="54093F9C" w:rsidR="00951C19" w:rsidRPr="00951C19" w:rsidRDefault="00951C19" w:rsidP="0002702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4. Работать над цифровизацией Кодекса ГТЕ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4095A3B2" w14:textId="49BC65A7" w:rsidR="00951C19" w:rsidRPr="00951C19" w:rsidRDefault="00951C19" w:rsidP="0002702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</w:t>
            </w:r>
            <w:r w:rsidR="00AA3130">
              <w:rPr>
                <w:rFonts w:eastAsia="Times New Roman" w:cs="Times New Roman"/>
                <w:szCs w:val="20"/>
                <w:lang w:eastAsia="fr-FR"/>
              </w:rPr>
              <w:t>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Продолжать работу в области телематики под эгидой Совместного совещания МПОГ/ДОПОГ/ ВОПОГ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7B5CBE4" w14:textId="77777777" w:rsidR="00951C19" w:rsidRPr="00951C19" w:rsidRDefault="00951C19" w:rsidP="00027028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1. Секретарь WP.5</w:t>
            </w:r>
          </w:p>
          <w:p w14:paraId="245BB6B5" w14:textId="54B90EC4" w:rsidR="00951C19" w:rsidRPr="00951C19" w:rsidRDefault="00951C19" w:rsidP="00027028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Секретарь</w:t>
            </w:r>
            <w:r w:rsidR="00027028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SC.2 и WP.24</w:t>
            </w:r>
          </w:p>
          <w:p w14:paraId="6D7CFF2A" w14:textId="77777777" w:rsidR="00951C19" w:rsidRPr="00951C19" w:rsidRDefault="00951C19" w:rsidP="00027028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 Секретари SC.1, SC.2, SC.3, WP.5 и WP.24</w:t>
            </w:r>
          </w:p>
          <w:p w14:paraId="6F55DE0C" w14:textId="40F6F629" w:rsidR="00951C19" w:rsidRPr="00951C19" w:rsidRDefault="00951C19" w:rsidP="00027028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4. Секретарь WP.24</w:t>
            </w:r>
          </w:p>
          <w:p w14:paraId="4C3472DC" w14:textId="77777777" w:rsidR="00951C19" w:rsidRPr="00951C19" w:rsidRDefault="00951C19" w:rsidP="00027028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 Секретарь WP.15/AC.1</w:t>
            </w:r>
          </w:p>
        </w:tc>
      </w:tr>
      <w:tr w:rsidR="00951C19" w:rsidRPr="00951C19" w14:paraId="1D0E2867" w14:textId="77777777" w:rsidTr="002B2BCA">
        <w:tc>
          <w:tcPr>
            <w:tcW w:w="476" w:type="dxa"/>
            <w:shd w:val="clear" w:color="auto" w:fill="auto"/>
          </w:tcPr>
          <w:p w14:paraId="6623575E" w14:textId="7777777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5.17</w:t>
            </w:r>
          </w:p>
        </w:tc>
        <w:tc>
          <w:tcPr>
            <w:tcW w:w="1789" w:type="dxa"/>
            <w:shd w:val="clear" w:color="auto" w:fill="auto"/>
          </w:tcPr>
          <w:p w14:paraId="74DBA31D" w14:textId="416E1437" w:rsidR="00951C19" w:rsidRPr="00951C19" w:rsidRDefault="00951C19" w:rsidP="00027028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Усилить поддержку автоматизированных транспортных средств</w:t>
            </w:r>
            <w:r w:rsidR="00A45471">
              <w:rPr>
                <w:rFonts w:eastAsia="Times New Roman" w:cs="Times New Roman"/>
                <w:szCs w:val="20"/>
                <w:lang w:val="fr-CH"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2019 года, включая дальнейшее внесение поправок в существующие правовые документы</w:t>
            </w:r>
            <w:r w:rsidR="00A464D6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стандарты,</w:t>
            </w:r>
            <w:r w:rsidR="00A464D6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а также возможную разработку нового(ых) соглашения(й)</w:t>
            </w:r>
          </w:p>
        </w:tc>
        <w:tc>
          <w:tcPr>
            <w:tcW w:w="3279" w:type="dxa"/>
            <w:shd w:val="clear" w:color="auto" w:fill="auto"/>
          </w:tcPr>
          <w:p w14:paraId="290D73F1" w14:textId="6206378E" w:rsidR="00951C19" w:rsidRPr="00951C19" w:rsidRDefault="00951C19" w:rsidP="00A464D6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bookmarkStart w:id="3" w:name="_Hlk42098085"/>
            <w:r w:rsidRPr="00951C19">
              <w:rPr>
                <w:rFonts w:eastAsia="Times New Roman" w:cs="Times New Roman"/>
                <w:szCs w:val="20"/>
                <w:lang w:eastAsia="fr-FR"/>
              </w:rPr>
              <w:t>WP.1 и WP.29 поддерживают эту приоритетную задачу. WP.1 обсуждает необходимость внесения поправок в Конвенцию о дорожном движении 1968 года и связанные</w:t>
            </w:r>
            <w:r w:rsidR="00A464D6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ней документы для обеспечения безопасного использования автоматизированных транспортных средств в условиях дорожного движения. Это включает также рассмотрение возможности разработки отдельного нового правового документа для регулирования использования автоматизированных транспортных средств в условиях международного дорожного движения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0425A751" w14:textId="4053984A" w:rsidR="00951C19" w:rsidRPr="00951C19" w:rsidRDefault="00951C19" w:rsidP="00A464D6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WP.29 работает над техническими правилами для автоматизированных транспортных средств. Рамочный документ по автоматизированным/ автономным транспортным средствам, разработанный WP.29, был одобрен КВТ на его восемьдесят второй сессии (февраль 2020 года). На 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 xml:space="preserve">сто восемьдесят первой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сессии WP.29 (июнь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2020 года) были вынесены на голосование новые Правила ООН, касающиеся автоматизированных транспортных средств более высокого уровня, включая требования к системам хранения данных для автоматизированного управления транспортными средствами, а также новые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Правила ООН, касающиеся кибербезопасности и обновления программного обеспечения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33907BD5" w14:textId="065F2E03" w:rsidR="00951C19" w:rsidRPr="00951C19" w:rsidRDefault="00951C19" w:rsidP="00A464D6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WP.1 и WP.29 еще более расширили сотрудничество по этому приоритетному направлению в рамках своей общей Исполнительной целевой группы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совместных мероприятий.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документе ECE/TRANS/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WP.1/2020/3 описываются рамки сотрудничества и общие подходы WP.1 и WP.29. Регулярный обмен информацией об автоматизации транспортных средств между двумя рабочими группами имеет важное значение и приносит пользу. Будущие диалоги должны включать участие председателей в сессиях соответствующих органов. Кроме того, обе рабочие группы выразили заинтересованность в ежегодном проведении совместного мероприятия</w:t>
            </w:r>
            <w:bookmarkEnd w:id="3"/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48EB7711" w14:textId="272F61D3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Продолжать работу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WP.1 и WP.29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0C43951B" w14:textId="5FC8A66E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Проводить одну совместную сессию ежегодно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7BBDCB1" w14:textId="17215C62" w:rsidR="00951C19" w:rsidRPr="00951C19" w:rsidRDefault="00951C19" w:rsidP="00564517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564517">
              <w:rPr>
                <w:rFonts w:eastAsia="Times New Roman" w:cs="Times New Roman"/>
                <w:spacing w:val="-4"/>
                <w:szCs w:val="20"/>
                <w:lang w:eastAsia="fr-FR"/>
              </w:rPr>
              <w:t>1–2. Секретариаты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WP.1 и WP.29</w:t>
            </w:r>
          </w:p>
        </w:tc>
      </w:tr>
      <w:tr w:rsidR="00951C19" w:rsidRPr="00951C19" w14:paraId="091FAE17" w14:textId="77777777" w:rsidTr="002B2BCA">
        <w:tc>
          <w:tcPr>
            <w:tcW w:w="476" w:type="dxa"/>
            <w:shd w:val="clear" w:color="auto" w:fill="auto"/>
          </w:tcPr>
          <w:p w14:paraId="4330B070" w14:textId="7777777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bookmarkStart w:id="4" w:name="_Hlk71645535"/>
            <w:r w:rsidRPr="00951C19">
              <w:rPr>
                <w:rFonts w:eastAsia="Times New Roman" w:cs="Times New Roman"/>
                <w:szCs w:val="20"/>
                <w:lang w:eastAsia="fr-FR"/>
              </w:rPr>
              <w:t>5.18</w:t>
            </w:r>
          </w:p>
        </w:tc>
        <w:tc>
          <w:tcPr>
            <w:tcW w:w="1789" w:type="dxa"/>
            <w:shd w:val="clear" w:color="auto" w:fill="auto"/>
          </w:tcPr>
          <w:p w14:paraId="3DED9B4B" w14:textId="72EA23BE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Проведение сегментов КВТ высокого уровня по различным темам устойчивого развития внутреннего транспорта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</w:t>
            </w:r>
            <w:r w:rsidRPr="00A45471">
              <w:rPr>
                <w:rFonts w:eastAsia="Times New Roman" w:cs="Times New Roman"/>
                <w:szCs w:val="20"/>
                <w:lang w:eastAsia="fr-FR"/>
              </w:rPr>
              <w:t>с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2019 года)</w:t>
            </w:r>
          </w:p>
        </w:tc>
        <w:tc>
          <w:tcPr>
            <w:tcW w:w="3279" w:type="dxa"/>
            <w:shd w:val="clear" w:color="auto" w:fill="auto"/>
          </w:tcPr>
          <w:p w14:paraId="5F6B6795" w14:textId="2FA5C572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Сегменты высокого уровня традиционно открывают ежегодные сессии КВТ. В 2020 году сегмент высокого уровня был посвящен экологическим вызовам для устойчивого внутреннего транспорта, и в нем приняли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участие министры транспорта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стран Африки, Азии, Европы и Ближнего Востока, а также почти 400 участников из 72 стран, в том числе 36 стран, не являющихся членами ЕЭК, и руководители и высокопоставленные представители межправительственных и неправительственных организаций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основных заинтересованных сторон сектора внутреннего транспорта. Сегмент высокого уровня 2021 года был посвящен теме «Назад к устойчивому будущему: достижение надежной связанности в интересах устойчивого восстановления и экономического роста в период после COVID-19». В нем приняли участие министры транспорта из Африки, Азии, Европы, Латинской Америки и Ближнего Востока.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основным докладом выступила Европейский комиссар по мобильности и транспорту.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В рамках сегмента высокого уровня собрались 440 участников из более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чем 83 стран, в том числе 40 стран, не являющихся членами ЕЭК, руководители и высокопоставленные представители межправительственных и неправительственных организаций, а также основные заинтересованные стороны сектора внутреннего транспорта. См. также задачу 4.5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3671A914" w14:textId="5C9D1868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Продолжать отслеживать возникающие вопросы и предлагать новые темы</w:t>
            </w:r>
          </w:p>
        </w:tc>
        <w:tc>
          <w:tcPr>
            <w:tcW w:w="1559" w:type="dxa"/>
            <w:shd w:val="clear" w:color="auto" w:fill="auto"/>
          </w:tcPr>
          <w:p w14:paraId="417037F6" w14:textId="6EF6F8B7" w:rsidR="00951C19" w:rsidRPr="00951C19" w:rsidRDefault="00951C19" w:rsidP="00564517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Секретариат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КВТ</w:t>
            </w:r>
          </w:p>
        </w:tc>
      </w:tr>
      <w:tr w:rsidR="00951C19" w:rsidRPr="00951C19" w14:paraId="0CCE30E1" w14:textId="77777777" w:rsidTr="002B2BCA">
        <w:tc>
          <w:tcPr>
            <w:tcW w:w="476" w:type="dxa"/>
            <w:shd w:val="clear" w:color="auto" w:fill="auto"/>
          </w:tcPr>
          <w:p w14:paraId="1F66540A" w14:textId="7777777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5.19</w:t>
            </w:r>
          </w:p>
        </w:tc>
        <w:tc>
          <w:tcPr>
            <w:tcW w:w="1789" w:type="dxa"/>
            <w:shd w:val="clear" w:color="auto" w:fill="auto"/>
          </w:tcPr>
          <w:p w14:paraId="33B2D980" w14:textId="60901622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Включить пункты повестки дня КВТ по проблемам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различных регионах</w:t>
            </w:r>
            <w:r w:rsidR="002713E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(с 2020 года)</w:t>
            </w:r>
          </w:p>
        </w:tc>
        <w:tc>
          <w:tcPr>
            <w:tcW w:w="3279" w:type="dxa"/>
            <w:shd w:val="clear" w:color="auto" w:fill="auto"/>
          </w:tcPr>
          <w:p w14:paraId="6F4EE37B" w14:textId="56514209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В повестку дня восемьдесят второй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восемьдесят третьей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сесси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й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были включены проблемы в области транспорта в различных регионах. По пункту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7 b) и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c) повестки дня был представлен доклад ЭСКАТО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4079D9AC" w14:textId="2F2FC2CF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strike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trike/>
                <w:szCs w:val="20"/>
                <w:lang w:eastAsia="fr-FR"/>
              </w:rPr>
              <w:t>В зависимости от изменений в организации сессии КВТ (задача 4.5) могут произойти дальнейшие изменения в том, как КВТ будет обсуждать транспортные проблемы других регионов</w:t>
            </w:r>
            <w:r w:rsidR="00363ABB">
              <w:rPr>
                <w:rFonts w:eastAsia="Times New Roman" w:cs="Times New Roman"/>
                <w:strike/>
                <w:szCs w:val="20"/>
                <w:lang w:eastAsia="fr-FR"/>
              </w:rPr>
              <w:t>.</w:t>
            </w:r>
          </w:p>
          <w:p w14:paraId="1DA07C38" w14:textId="600EB482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trike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 этим пунктам повестки дня были подготовлены обширные исследования, посвященные тенденциям и проблемам в других регионах, которые послужили основой для дискуссий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30CA36ED" w14:textId="1D50331B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Продолжать выявлять новые проблемы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включать их в повестку дня</w:t>
            </w:r>
          </w:p>
        </w:tc>
        <w:tc>
          <w:tcPr>
            <w:tcW w:w="1559" w:type="dxa"/>
            <w:shd w:val="clear" w:color="auto" w:fill="auto"/>
          </w:tcPr>
          <w:p w14:paraId="58A9FFFB" w14:textId="09D2A172" w:rsidR="00951C19" w:rsidRPr="00951C19" w:rsidRDefault="00951C19" w:rsidP="00564517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Секретариат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КВТ</w:t>
            </w:r>
          </w:p>
        </w:tc>
      </w:tr>
      <w:bookmarkEnd w:id="4"/>
      <w:tr w:rsidR="00951C19" w:rsidRPr="00951C19" w14:paraId="10ED17F2" w14:textId="77777777" w:rsidTr="002B2BCA">
        <w:tc>
          <w:tcPr>
            <w:tcW w:w="476" w:type="dxa"/>
            <w:shd w:val="clear" w:color="auto" w:fill="auto"/>
          </w:tcPr>
          <w:p w14:paraId="5D35E268" w14:textId="7777777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5.20</w:t>
            </w:r>
          </w:p>
        </w:tc>
        <w:tc>
          <w:tcPr>
            <w:tcW w:w="1789" w:type="dxa"/>
            <w:shd w:val="clear" w:color="auto" w:fill="auto"/>
          </w:tcPr>
          <w:p w14:paraId="773B923C" w14:textId="6A1D2B01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Обеспечивать поддержку комплексной интермодальной связанности и мобильности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</w:t>
            </w:r>
            <w:r w:rsidRPr="00A45471">
              <w:rPr>
                <w:rFonts w:eastAsia="Times New Roman" w:cs="Times New Roman"/>
                <w:szCs w:val="20"/>
                <w:lang w:eastAsia="fr-FR"/>
              </w:rPr>
              <w:t>с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2020 года), </w:t>
            </w:r>
            <w:r w:rsidRPr="00564517">
              <w:rPr>
                <w:rFonts w:eastAsia="Times New Roman" w:cs="Times New Roman"/>
                <w:spacing w:val="-4"/>
                <w:szCs w:val="20"/>
                <w:lang w:eastAsia="fr-FR"/>
              </w:rPr>
              <w:t>включая ТЕА, ТЕЖ,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интермодальные перевозки и логистику</w:t>
            </w:r>
          </w:p>
        </w:tc>
        <w:tc>
          <w:tcPr>
            <w:tcW w:w="3279" w:type="dxa"/>
            <w:shd w:val="clear" w:color="auto" w:fill="auto"/>
          </w:tcPr>
          <w:p w14:paraId="4365FB90" w14:textId="19FED3C4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WP.24 поддерживает работу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по интермодальным грузовым перевозкам и логистике в целях содействия расширению транспортной связанности.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WP.24 разработала и опубликовала Руководство по подготовке национальных генеральных планов в области грузовых перевозок и логистики.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Данное Руководство было создано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 целью оказания содействия национальным правительствам</w:t>
            </w:r>
            <w:r w:rsidR="00564517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их работе по устойчивому развитию сектора грузоперевозок и логистики.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WP.24 одобрила,</w:t>
            </w:r>
            <w:r w:rsidR="00564517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а КВТ принял резолюцию об укреплении сектора интермодальных грузовых перевозок.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Выполнение этой резолюции под руководством WP.24 должно содействовать повышению эффективности и устойчивости грузовых перевозок.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WP.24 на своей 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шестьдесят четвертой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приняла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важные решения, с тем чтобы начать выполнение задач, перечисленных в резолюции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отношении WP.24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3A708F37" w14:textId="3C2ADCBF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WP.5 занимается интермодальными пассажирскими перевозками на городском уровне в рамках тематического блока «Устойчивая городская мобильность» своей программы работы для поддержки связанности городских пассажирских перевозок.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сентябре 2020 года было представлено Руководство</w:t>
            </w:r>
            <w:r w:rsidR="00564517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 устойчивой городской мобильности и территориальному планированию, подготовленное</w:t>
            </w:r>
            <w:r w:rsidR="00564517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рамках ОПТОСОЗ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0B330AE6" w14:textId="5392A759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Проект ТЕА сосредоточен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на управлении инфраструктурой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поддерживает правительства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стран — участниц ТЕА в достижении соответствующих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ЦУР, касающихся дорожной инфраструктуры, путем реализации стратегических инициатив данного проекта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4035CBD5" w14:textId="3B0540C5" w:rsidR="00951C19" w:rsidRPr="00951C19" w:rsidRDefault="00951C19" w:rsidP="00564517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Проект ТЕЖ направлен на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развитие железнодорожной сети</w:t>
            </w:r>
            <w:r w:rsidR="00564517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соответствующих странах. Такие мероприятия, как оценка сети, реализация Генерального плана</w:t>
            </w:r>
            <w:r w:rsidR="0030363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для высокоскоростных поездов</w:t>
            </w:r>
            <w:r w:rsidR="0030363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т. д., способствуют развитию связанности, интеграции и гармонизации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6AD97FA5" w14:textId="05946715" w:rsidR="00951C19" w:rsidRPr="00951C19" w:rsidRDefault="00951C19" w:rsidP="0030363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Продолжать работу по интермодальным грузовым перевозкам и логистике в соответствии с программой работы WP.24, приведенной в соответствие со Стратегией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3502D1E8" w14:textId="29433ABE" w:rsidR="00951C19" w:rsidRPr="00951C19" w:rsidRDefault="00951C19" w:rsidP="0030363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Продолжать работу</w:t>
            </w:r>
            <w:r w:rsidR="0030363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интермодальным пассажирским перевозкам на городском уровне</w:t>
            </w:r>
            <w:r w:rsidR="0030363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охватом, по мере необходимости, интермодальных пассажирских перевозок</w:t>
            </w:r>
            <w:r w:rsidR="0030363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за пределами городского уровня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483B7996" w14:textId="133141A6" w:rsidR="00951C19" w:rsidRPr="00951C19" w:rsidRDefault="00951C19" w:rsidP="0030363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 Продолжать работу</w:t>
            </w:r>
            <w:r w:rsidR="0030363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стратегическим направлениям Стратегического плана</w:t>
            </w:r>
            <w:r w:rsidR="0030363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ТЕА на 2017–2021 годы: охрана окружающей</w:t>
            </w:r>
            <w:r w:rsidR="0030363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среды, организация</w:t>
            </w:r>
            <w:r w:rsidR="0030363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и финансирование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автомобильных дорог, управление дорожной инфраструктурой, инновации и безопасность дорожного движения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1D0EE0CD" w14:textId="63B040BD" w:rsidR="00951C19" w:rsidRPr="00951C19" w:rsidRDefault="00951C19" w:rsidP="00303630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4. Продолжать работу ТЕЖ по содействию интеграции сетей ТЕЖ в целях развития железнодорожного сектора в соответствующих странах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ED2DBC2" w14:textId="77777777" w:rsidR="00951C19" w:rsidRPr="00951C19" w:rsidRDefault="00951C19" w:rsidP="00303630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Секретарь WP.24</w:t>
            </w:r>
          </w:p>
          <w:p w14:paraId="5A457FA9" w14:textId="77777777" w:rsidR="00951C19" w:rsidRPr="00951C19" w:rsidRDefault="00951C19" w:rsidP="00303630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Секретарь WP.5</w:t>
            </w:r>
          </w:p>
          <w:p w14:paraId="373F5C99" w14:textId="77777777" w:rsidR="00951C19" w:rsidRPr="00951C19" w:rsidRDefault="00951C19" w:rsidP="00303630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3. Региональный советник </w:t>
            </w:r>
          </w:p>
          <w:p w14:paraId="14D02A22" w14:textId="253A0208" w:rsidR="00951C19" w:rsidRPr="00951C19" w:rsidRDefault="00951C19" w:rsidP="00303630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4. Секретарь</w:t>
            </w:r>
            <w:r w:rsidR="0030363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SC.2</w:t>
            </w:r>
          </w:p>
        </w:tc>
      </w:tr>
      <w:tr w:rsidR="00951C19" w:rsidRPr="00951C19" w14:paraId="7550B68A" w14:textId="77777777" w:rsidTr="002B2BCA">
        <w:tc>
          <w:tcPr>
            <w:tcW w:w="476" w:type="dxa"/>
            <w:shd w:val="clear" w:color="auto" w:fill="auto"/>
          </w:tcPr>
          <w:p w14:paraId="72BC5E3A" w14:textId="7777777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5.21</w:t>
            </w:r>
          </w:p>
        </w:tc>
        <w:tc>
          <w:tcPr>
            <w:tcW w:w="1789" w:type="dxa"/>
            <w:shd w:val="clear" w:color="auto" w:fill="auto"/>
          </w:tcPr>
          <w:p w14:paraId="3F77C391" w14:textId="7B4D2463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Продолжать совершенствовать процессы сбора, проверки и распространения информации в целях получения точных статистических данных, позволяющих принимать обоснованные решения, касающиеся сектора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транспорта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</w:t>
            </w:r>
            <w:r w:rsidRPr="00A45471">
              <w:rPr>
                <w:rFonts w:eastAsia="Times New Roman" w:cs="Times New Roman"/>
                <w:szCs w:val="20"/>
                <w:lang w:eastAsia="fr-FR"/>
              </w:rPr>
              <w:t>с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2019 года)</w:t>
            </w:r>
          </w:p>
        </w:tc>
        <w:tc>
          <w:tcPr>
            <w:tcW w:w="3279" w:type="dxa"/>
            <w:shd w:val="clear" w:color="auto" w:fill="auto"/>
          </w:tcPr>
          <w:p w14:paraId="70966C1D" w14:textId="32FD507B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Публикация пятого издания Глоссария статистики транспорта позволяет странам получить сопоставимые статистические данные по безопасности дорожного движения, распределению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перевозок по видам транспорта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и использованию общественного транспорта. WP.6 работала над подготовкой руководящих рамок для измерения показателя 9.1.2 ЦУР, касающегося объемов пассажирских и грузовых перевозок; опубликовала новые данные о трамваях и метро, которые измеряют использование городского общественного транспорта (что дает представление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о ЦУР 11.2.1), а повестка дня была преобразована с учетом структуры ЦУР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55BE7797" w14:textId="3B906685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Продолжать совершенствовать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процессы сбора, проверки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распространения информации в целях подготовки точных статистических данных</w:t>
            </w:r>
          </w:p>
        </w:tc>
        <w:tc>
          <w:tcPr>
            <w:tcW w:w="1559" w:type="dxa"/>
            <w:shd w:val="clear" w:color="auto" w:fill="auto"/>
          </w:tcPr>
          <w:p w14:paraId="06FEBACB" w14:textId="27C1F491" w:rsidR="00951C19" w:rsidRPr="00951C19" w:rsidRDefault="00951C19" w:rsidP="00B27FC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Секретарь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WP.6</w:t>
            </w:r>
          </w:p>
        </w:tc>
      </w:tr>
      <w:tr w:rsidR="00951C19" w:rsidRPr="00951C19" w14:paraId="0A0EC57E" w14:textId="77777777" w:rsidTr="002B2BCA">
        <w:tc>
          <w:tcPr>
            <w:tcW w:w="476" w:type="dxa"/>
            <w:shd w:val="clear" w:color="auto" w:fill="auto"/>
          </w:tcPr>
          <w:p w14:paraId="3477C033" w14:textId="7777777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5.22</w:t>
            </w:r>
          </w:p>
        </w:tc>
        <w:tc>
          <w:tcPr>
            <w:tcW w:w="1789" w:type="dxa"/>
            <w:shd w:val="clear" w:color="auto" w:fill="auto"/>
          </w:tcPr>
          <w:p w14:paraId="535D57FB" w14:textId="42A45AEF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Содействовать развитию межрегиональных и внутренних транспортных связей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коридоров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</w:t>
            </w:r>
            <w:r w:rsidRPr="00A45471">
              <w:rPr>
                <w:rFonts w:eastAsia="Times New Roman" w:cs="Times New Roman"/>
                <w:szCs w:val="20"/>
                <w:lang w:eastAsia="fr-FR"/>
              </w:rPr>
              <w:t>с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2019 года)</w:t>
            </w:r>
          </w:p>
        </w:tc>
        <w:tc>
          <w:tcPr>
            <w:tcW w:w="3279" w:type="dxa"/>
            <w:shd w:val="clear" w:color="auto" w:fill="auto"/>
          </w:tcPr>
          <w:p w14:paraId="3F051253" w14:textId="5114AAED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WP.5 поддерживает эту приоритетную задачу. Одним из ключевых тематических блоков работы WP.5 является развитие транспортных сетей и/или связей.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рамках этого тематического блока WP.5 рассматривает вопрос о том, каким образом оказывать дальнейшую поддержку введению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в действие евро-азиатских транспортных </w:t>
            </w:r>
            <w:r w:rsidR="008063BD">
              <w:rPr>
                <w:rFonts w:eastAsia="Times New Roman" w:cs="Times New Roman"/>
                <w:szCs w:val="20"/>
                <w:lang w:eastAsia="fr-FR"/>
              </w:rPr>
              <w:t>с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вязей.</w:t>
            </w:r>
            <w:r w:rsidR="008063BD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На протяжении более 15 лет WP.5 выступает в качестве головного органа проекта ЕАТС, а также ТЕА и ТЕЖ и других смежных проектов и инициатив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409CC156" w14:textId="0855D371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WP.5 проводила консультации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другими соответствующими РГ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этому направлению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58B1C925" w14:textId="56BF6A17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В рамках этой работы и во исполнение решений КВТ и Бюро КВТ секретариат WP.24 совместно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секретариатом ЭСКАТО организовали форум по устойчивой транспортной связанности между Европой и Азией в рамках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 xml:space="preserve"> шестьдесят второй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сессии WP.24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(28 октября —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1 ноября 2019 года)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377E8687" w14:textId="22ED4635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рамках WP.5 группа правительств пяти стран (Азербайджан, Грузия, Турция, Украина и Казахстан)</w:t>
            </w:r>
            <w:r w:rsidR="00B27FC5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согласилась разработать</w:t>
            </w:r>
            <w:r w:rsidR="00B27FC5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опробовать Механизм управления координацией коридоров (МУКК) и Механизм оценки результатов работы коридоров (МОРРК)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на маршруте № 3 ЕАТС.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На своей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тридцать четвертой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(сентябрь 2021 года) WP.5 приветствовала эту инициативу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просила секретариат продолжать поддерживать ее и представить доклад о прогрессе, достигнутом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рамках этой инициативы,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на своей следующей сессии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0BFBCD13" w14:textId="4759FF5C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WP.24 поддерживает работу</w:t>
            </w:r>
            <w:r w:rsidR="00B27FC5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по введению в действие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коридоров ЕАТС на основе процесса присоединения к СЛКП и укрепления его осуществления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55F7182F" w14:textId="66C24EE8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WP.5 на своей 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тридцать четвертой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сессии (сентябрь 2021 года) приветствовала проведенные межрегиональные консультации по устойчивой транспортной связанности.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WP.5 предложила секретариату продолжить проведение и содействие проведению таких консультаций по конкретным темам, представляющим межрегиональный интерес,</w:t>
            </w:r>
            <w:r w:rsidR="00B27FC5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сотрудничестве,</w:t>
            </w:r>
            <w:r w:rsidR="009221E0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 возможности, с другими</w:t>
            </w:r>
            <w:r w:rsidR="00B27FC5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РК ООН, а также другими региональными/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межрегиональными организациями и соответствующими проектами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0367AB74" w14:textId="36210755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WP.5 на своей 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тридцать четвертой </w:t>
            </w:r>
            <w:r w:rsidRP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сессии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также решила учредить новую Группу экспертов по разработке модуля велосипедной инфраструктуры</w:t>
            </w:r>
            <w:r w:rsidR="00B27FC5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приняла предложенный мандат и круг ведения Группы</w:t>
            </w:r>
            <w:r w:rsidR="00B27FC5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(при условии их утверждения КВТ).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Ожидается, что Группа экспертов предложит сеть велосипедной инфраструктуры для региона ЕЭК ООН и минимальные стандарты этой сети.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Эта работа призвана содействовать развитию целостной системы велосипедной мобильности в регионе ЕЭК ООН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3B293597" w14:textId="7BB07EC7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Продолжать и активизировать дискуссии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рамках «круглого стола» по вопросам межрегиональной транспортной связанности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рамках WP.5/WP.24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соответствии с руководящими указаниями КВТ в отношении дальнейших идей, касающихся развития межрегиональной связанности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36F9C164" w14:textId="3CFC9C9E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strike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Продолжать поддерживать введение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действие евро-азиатских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других транспортных коридоров на основе конкретных идей/ материалов, запрашиваемых у соответствующих стран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267CE382" w14:textId="42112AD8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 Продолжать подготовку публикаций и исследований и проведение целенаправленных мероприятий по наращиванию потенциала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поддержку работы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развитию транспортной связанности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030C553" w14:textId="0C2293B3" w:rsidR="00951C19" w:rsidRPr="00951C19" w:rsidRDefault="00951C19" w:rsidP="00B27FC5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1–3. Секретарь WP.5/WP.24 в сотрудничестве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секретарями соответствующих РГ</w:t>
            </w:r>
          </w:p>
        </w:tc>
      </w:tr>
      <w:tr w:rsidR="00951C19" w:rsidRPr="00951C19" w14:paraId="216CAE46" w14:textId="77777777" w:rsidTr="002B2BCA">
        <w:tc>
          <w:tcPr>
            <w:tcW w:w="476" w:type="dxa"/>
            <w:shd w:val="clear" w:color="auto" w:fill="auto"/>
          </w:tcPr>
          <w:p w14:paraId="73BB190F" w14:textId="7777777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5.23</w:t>
            </w:r>
          </w:p>
        </w:tc>
        <w:tc>
          <w:tcPr>
            <w:tcW w:w="1789" w:type="dxa"/>
            <w:shd w:val="clear" w:color="auto" w:fill="auto"/>
          </w:tcPr>
          <w:p w14:paraId="6BBD4DAE" w14:textId="0454230C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Стимулировать устойчивое развитие транспорта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городской мобильности с помощью новых инструментов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мероприятий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(</w:t>
            </w:r>
            <w:r w:rsidRPr="00A45471">
              <w:rPr>
                <w:rFonts w:eastAsia="Times New Roman" w:cs="Times New Roman"/>
                <w:szCs w:val="20"/>
                <w:lang w:eastAsia="fr-FR"/>
              </w:rPr>
              <w:t xml:space="preserve">с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2019 года) (ОПТОСОЗ; дальнейшая разработка локального модуля по загрязнителям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для инструмента ForFITS; обзоры</w:t>
            </w:r>
            <w:r w:rsidR="00B27FC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проблематике экологичного транспорта и мобильности)</w:t>
            </w:r>
          </w:p>
        </w:tc>
        <w:tc>
          <w:tcPr>
            <w:tcW w:w="3279" w:type="dxa"/>
            <w:shd w:val="clear" w:color="auto" w:fill="auto"/>
          </w:tcPr>
          <w:p w14:paraId="585A0884" w14:textId="456F5FA2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 xml:space="preserve">WP.5, согласовывая свою программу работы со Стратегией, включила в нее тематический блок вопросов по устойчивой городской мобильности. В рамках этого тематического блока WP.5 работает над вопросами устойчивого транспорта и городской мобильности. WP.5 подготовила Руководство по устойчивой городской мобильности и планированию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(см. также</w:t>
            </w:r>
            <w:r w:rsidR="00B27FC5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задачу 5.20)</w:t>
            </w:r>
            <w:r w:rsidR="00363ABB" w:rsidRPr="008063BD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110596FC" w14:textId="6F9BC206" w:rsidR="00951C19" w:rsidRPr="00951C19" w:rsidRDefault="00951C19" w:rsidP="00B27FC5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В рамках 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тридцать четвертой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сессии WP.5 было проведено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рабочее совещание, посвященное экологичному городскому транспорту.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ходе рабочего совещания была подчеркнута важность разработки надежной нормативной базы на национальном и местном уровнях, касающейся городской мобильности, и ее влияние на здоровье и окружающую среду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1E7DEBA9" w14:textId="11604328" w:rsidR="00951C19" w:rsidRPr="00951C19" w:rsidRDefault="00951C19" w:rsidP="004F574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Конкретным элементам городской мобильности посвящен мандат ОПТОСОЗ (не является вспомогательным органом КВТ)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5FC66904" w14:textId="5406510D" w:rsidR="00951C19" w:rsidRPr="00951C19" w:rsidRDefault="00951C19" w:rsidP="004F574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В настоящее время проводятся мероприятия по циклической экономике и экологичному транспорту с участием различных отделов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59B7A840" w14:textId="729EE00D" w:rsidR="00951C19" w:rsidRPr="00951C19" w:rsidRDefault="00951C19" w:rsidP="004F574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Секретариат осуществляет рекомендации для инструмента ForFITS после проведения его оценки в период 2014–2018 годов. Изыскиваются возможности взаимодействия с существующими группами и инструментами моделирования для расширения возможностей ForFITS в области моделирования с минимальными ресурсами при одновременном обеспечении согласованности результатов между различными инструментами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75BE8B5E" w14:textId="27A58B51" w:rsidR="00951C19" w:rsidRPr="00951C19" w:rsidRDefault="00951C19" w:rsidP="004F574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Продолжать работу</w:t>
            </w:r>
            <w:r w:rsidR="004F574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области устойчивого транспорта и городской мобильности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29F59979" w14:textId="14DE7D04" w:rsidR="00951C19" w:rsidRPr="00951C19" w:rsidRDefault="00951C19" w:rsidP="004F574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2. Продолжать применять инструмент </w:t>
            </w:r>
            <w:proofErr w:type="spellStart"/>
            <w:r w:rsidRPr="00951C19">
              <w:rPr>
                <w:rFonts w:eastAsia="Times New Roman" w:cs="Times New Roman"/>
                <w:szCs w:val="20"/>
                <w:lang w:eastAsia="fr-FR"/>
              </w:rPr>
              <w:t>ForFITS</w:t>
            </w:r>
            <w:proofErr w:type="spellEnd"/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4E0D8867" w14:textId="366ECD15" w:rsidR="00951C19" w:rsidRPr="00951C19" w:rsidRDefault="00951C19" w:rsidP="004F574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 Продолжать оказывать поддержку ОПТОСОЗ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7836C243" w14:textId="53BE752C" w:rsidR="00951C19" w:rsidRPr="00951C19" w:rsidRDefault="00951C19" w:rsidP="004F574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4. Ежегодно отчитываться перед КВТ по транспортным аспектам, связанным с циклической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экономикой и экологичным транспортом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67C7854A" w14:textId="4CA1EAF5" w:rsidR="00951C19" w:rsidRPr="00951C19" w:rsidRDefault="00951C19" w:rsidP="004F574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5. Рассмотреть инициативы, касающиеся экологичного транспорта, в рамках рабочей группы, объединяющей</w:t>
            </w:r>
            <w:r w:rsidR="004F574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инициативы Отдела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C5158F2" w14:textId="2F1928FD" w:rsidR="00951C19" w:rsidRPr="00951C19" w:rsidRDefault="00951C19" w:rsidP="004F5743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Секретарь WP.5</w:t>
            </w:r>
            <w:r w:rsidR="004F574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секретариат ОПТОСОЗ</w:t>
            </w:r>
          </w:p>
          <w:p w14:paraId="07CE3FCB" w14:textId="241C662D" w:rsidR="00951C19" w:rsidRPr="00951C19" w:rsidRDefault="00951C19" w:rsidP="004F5743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Секретариат WP.29</w:t>
            </w:r>
          </w:p>
          <w:p w14:paraId="0E71F63D" w14:textId="77777777" w:rsidR="00951C19" w:rsidRPr="00951C19" w:rsidRDefault="00951C19" w:rsidP="004F5743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3. Секретариат ОПТОСОЗ </w:t>
            </w:r>
          </w:p>
          <w:p w14:paraId="45002B12" w14:textId="77777777" w:rsidR="00951C19" w:rsidRPr="00951C19" w:rsidRDefault="00951C19" w:rsidP="004F5743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4. Секретари всех соответствующих РГ</w:t>
            </w:r>
          </w:p>
          <w:p w14:paraId="3281321F" w14:textId="344EBAF3" w:rsidR="00951C19" w:rsidRPr="00951C19" w:rsidRDefault="00951C19" w:rsidP="004F5743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5. Секретариат КВТ</w:t>
            </w:r>
          </w:p>
        </w:tc>
      </w:tr>
      <w:tr w:rsidR="00951C19" w:rsidRPr="00951C19" w14:paraId="77EE7670" w14:textId="77777777" w:rsidTr="002B2BCA">
        <w:tc>
          <w:tcPr>
            <w:tcW w:w="476" w:type="dxa"/>
            <w:shd w:val="clear" w:color="auto" w:fill="auto"/>
          </w:tcPr>
          <w:p w14:paraId="61667331" w14:textId="7777777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5.24</w:t>
            </w:r>
          </w:p>
        </w:tc>
        <w:tc>
          <w:tcPr>
            <w:tcW w:w="1789" w:type="dxa"/>
            <w:shd w:val="clear" w:color="auto" w:fill="auto"/>
          </w:tcPr>
          <w:p w14:paraId="325E0EBF" w14:textId="77777777" w:rsidR="00951C19" w:rsidRPr="00951C19" w:rsidRDefault="00951C19" w:rsidP="004F574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Проводить оценку влияния изменения климата на транспортную инфраструктуру</w:t>
            </w:r>
          </w:p>
        </w:tc>
        <w:tc>
          <w:tcPr>
            <w:tcW w:w="3279" w:type="dxa"/>
            <w:shd w:val="clear" w:color="auto" w:fill="auto"/>
          </w:tcPr>
          <w:p w14:paraId="5D687719" w14:textId="33377C0D" w:rsidR="00951C19" w:rsidRPr="00951C19" w:rsidRDefault="00951C19" w:rsidP="004F574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WP.5 поддерживает эту приоритетную задачу. В феврале 2020 года WP.5 опубликовала доклад «Последствия изменения климата для международных транспортных сетей и адаптация</w:t>
            </w:r>
            <w:r w:rsidR="004F574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 ним», подготовленный ее Группой экспертов по последствиям изменения климата для международных транспортных</w:t>
            </w:r>
            <w:r w:rsidR="004F574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сетей и узлов и адаптации к ним. Эта работа должна быть продолжена и расширена в 2020–2025 годах Группой экспертов по оценке последствий изменения климата для внутреннего транспорта и адаптации к ним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0BADDF63" w14:textId="2C01B6AB" w:rsidR="00951C19" w:rsidRPr="00951C19" w:rsidRDefault="00951C19" w:rsidP="004F5743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Продолжать и далее расширять работу по изучению последствий изменения климата для транспорта в течение мандата 2020–2025 годов Группы экспертов по оценке последствий изменения климата для внутреннего транспорта</w:t>
            </w:r>
            <w:r w:rsidR="004F574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адаптации к ним (ГЭПИКА)</w:t>
            </w:r>
          </w:p>
        </w:tc>
        <w:tc>
          <w:tcPr>
            <w:tcW w:w="1559" w:type="dxa"/>
            <w:shd w:val="clear" w:color="auto" w:fill="auto"/>
          </w:tcPr>
          <w:p w14:paraId="285FA29F" w14:textId="2B886C3C" w:rsidR="00951C19" w:rsidRPr="00951C19" w:rsidRDefault="00951C19" w:rsidP="004F5743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</w:t>
            </w:r>
            <w:r w:rsidR="004F574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WP.5 и ГЭПИКА</w:t>
            </w:r>
          </w:p>
        </w:tc>
      </w:tr>
      <w:tr w:rsidR="00951C19" w:rsidRPr="00951C19" w14:paraId="1073530C" w14:textId="77777777" w:rsidTr="002B2BCA">
        <w:tc>
          <w:tcPr>
            <w:tcW w:w="476" w:type="dxa"/>
            <w:shd w:val="clear" w:color="auto" w:fill="auto"/>
          </w:tcPr>
          <w:p w14:paraId="1242AE3C" w14:textId="370A597F" w:rsidR="00951C19" w:rsidRPr="00951C19" w:rsidRDefault="00951C19" w:rsidP="00A45471">
            <w:pPr>
              <w:pageBreakBefore/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6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2322FDE7" w14:textId="35B600C3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Действия, предусмотренные особым приоритетным направлением по безопасности</w:t>
            </w:r>
            <w:r w:rsidR="00D50044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дорожного движения</w:t>
            </w:r>
          </w:p>
        </w:tc>
      </w:tr>
      <w:tr w:rsidR="00951C19" w:rsidRPr="00951C19" w14:paraId="10A36E95" w14:textId="77777777" w:rsidTr="002B2BCA">
        <w:tc>
          <w:tcPr>
            <w:tcW w:w="476" w:type="dxa"/>
            <w:shd w:val="clear" w:color="auto" w:fill="auto"/>
          </w:tcPr>
          <w:p w14:paraId="3345BBD1" w14:textId="7777777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6.1</w:t>
            </w:r>
          </w:p>
        </w:tc>
        <w:tc>
          <w:tcPr>
            <w:tcW w:w="1789" w:type="dxa"/>
            <w:shd w:val="clear" w:color="auto" w:fill="auto"/>
          </w:tcPr>
          <w:p w14:paraId="15430D35" w14:textId="77777777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Оказывать мировому сообществу помощь в достижении глобальных целевых показателей безопасности дорожного движения посредством наращивания потенциала</w:t>
            </w:r>
          </w:p>
        </w:tc>
        <w:tc>
          <w:tcPr>
            <w:tcW w:w="3279" w:type="dxa"/>
            <w:shd w:val="clear" w:color="auto" w:fill="auto"/>
          </w:tcPr>
          <w:p w14:paraId="485E5A48" w14:textId="37898EC9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Секретариатом были проведены обзоры показателей безопасности дорожного движения и другие мероприятия по наращиванию потенциала, финансируемые по линии Специального посланника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ГС ООН по безопасности дорожного движения (СПБДД)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66BA668D" w14:textId="68FC710A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ЕЭК обслуживает Фонд по безопасности дорожного движения ООН (ФБДООН), который поддерживает реализацию проектов по наращиванию потенциала в области безопасности дорожного движения в странах с низким и средним уровнем дохода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17FD2CBB" w14:textId="37A5A6CA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Проекты по оказанию технической помощи (ТП) для продвижения правовых документов ООН, относящихся</w:t>
            </w:r>
            <w:r w:rsidR="00D50044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к компетенции КВТ, в частности, касающихся правил в области транспортных средств, были успешно представлены и утверждены в рамках первого</w:t>
            </w:r>
            <w:r w:rsidR="00D50044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второго конкурсов Фонда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66A9BEEC" w14:textId="2BF380EC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При поддержке Специального посланника организуются мероприятия по наращиванию потенциала за пределами региона ЕЭК, последнее из которых состоялось в ноябре 2021 года</w:t>
            </w:r>
            <w:r w:rsidR="00D50044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Ботсване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190E5E65" w14:textId="7ABF87E6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1. Продолжать проведение обзоров показателей безопасности дорожного движения (из них 2 — при поддержке СПБДД)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5748096E" w14:textId="20CD8D06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Продолжать, на основе имеющихся запросов, мероприятия по наращиванию потенциала (из них 3–5 — при поддержке СПБДД)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019E9868" w14:textId="08A7EC6F" w:rsidR="00951C19" w:rsidRPr="00C921D4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val="fr-CH"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 Вести разработку проектов ТП для подачи заявок на финансирование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рамках конкурсов ФБДООН в поддержку реализации правовых документов ООН/</w:t>
            </w:r>
            <w:r w:rsidR="00D50044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выполнения Рекомендаций КВТ по укреплению национальных систем безопасности дорожного движения (см. также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задачу 6.2)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C498049" w14:textId="2EB531DD" w:rsidR="00951C19" w:rsidRPr="00951C19" w:rsidRDefault="00951C19" w:rsidP="00D50044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1–2. Секретариат СПБДД в сотрудничестве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секретарями соответствующих РГ в соответствии с дальнейшими продлениями мандата СПБДД</w:t>
            </w:r>
          </w:p>
          <w:p w14:paraId="6ACB3454" w14:textId="0B8C4260" w:rsidR="00951C19" w:rsidRPr="00951C19" w:rsidRDefault="00951C19" w:rsidP="00D50044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 Секретари соответствующих РГ при координации секретариата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КВТ</w:t>
            </w:r>
          </w:p>
        </w:tc>
      </w:tr>
      <w:tr w:rsidR="00951C19" w:rsidRPr="00951C19" w14:paraId="30919B64" w14:textId="77777777" w:rsidTr="002B2BCA">
        <w:tc>
          <w:tcPr>
            <w:tcW w:w="476" w:type="dxa"/>
            <w:shd w:val="clear" w:color="auto" w:fill="auto"/>
          </w:tcPr>
          <w:p w14:paraId="68D60B8A" w14:textId="7777777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6.2</w:t>
            </w:r>
          </w:p>
        </w:tc>
        <w:tc>
          <w:tcPr>
            <w:tcW w:w="1789" w:type="dxa"/>
            <w:shd w:val="clear" w:color="auto" w:fill="auto"/>
          </w:tcPr>
          <w:p w14:paraId="76859CEC" w14:textId="0650B24C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Оказывать мировому сообществу помощь в достижении глобальных целевых показателей безопасности дорожного движения посредством аналитической работы/диалога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по вопросам политики/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использования инструментов</w:t>
            </w:r>
          </w:p>
        </w:tc>
        <w:tc>
          <w:tcPr>
            <w:tcW w:w="3279" w:type="dxa"/>
            <w:shd w:val="clear" w:color="auto" w:fill="auto"/>
          </w:tcPr>
          <w:p w14:paraId="7EE20A3C" w14:textId="2798CCBF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КВТ принял Рекомендации по укреплению национальных систем безопасности дорожного движения. Эти рекомендации образуют универсальную концепцию безопасности дорожного движения, которая может применяться в национальной системе обеспечения безопасности дорожного движения любой страны, помогая выявлять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устранять ключевые пробелы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помощью конкретных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взаимосвязанных действий различных субъектов, охватывающих различные области. За принятием рекомендаций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должно последовать их выполнение различными странами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40AF8D6B" w14:textId="6073E539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Рекомендации КВТ были включены в Глобальный план для Десятилетия действий</w:t>
            </w:r>
            <w:r w:rsidR="00D50044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по обеспечению безопасности дорожного движения</w:t>
            </w:r>
            <w:r w:rsidR="00D50044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на 2021–2030 годы, который был разработан для непосредственного осуществления резолюции 74/299 Генеральной Ассамблеи, что еще более повысило значимость Рекомендаций КВТ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29D111D2" w14:textId="2D261C37" w:rsidR="00951C19" w:rsidRPr="00951C19" w:rsidRDefault="00951C19" w:rsidP="002C5A4F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Вести информационно-просветительскую работу</w:t>
            </w:r>
            <w:r w:rsidR="002C5A4F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отношении Рекомендаций КВТ по укреплению национальных систем безопасности дорожного движения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54A577DC" w14:textId="2A15452B" w:rsidR="00951C19" w:rsidRPr="00951C19" w:rsidRDefault="00951C19" w:rsidP="002C5A4F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Периодически пересматривать и обновлять Рекомендации,</w:t>
            </w:r>
            <w:r w:rsidR="002C5A4F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с </w:t>
            </w:r>
            <w:proofErr w:type="gramStart"/>
            <w:r w:rsidRPr="00951C19">
              <w:rPr>
                <w:rFonts w:eastAsia="Times New Roman" w:cs="Times New Roman"/>
                <w:szCs w:val="20"/>
                <w:lang w:eastAsia="fr-FR"/>
              </w:rPr>
              <w:t>тем</w:t>
            </w:r>
            <w:proofErr w:type="gramEnd"/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чтобы учитывать изменения правовых документов ООН по безопасности дорожного движения и другие соответствующие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разработки и передовую практику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AF41334" w14:textId="24B4DD61" w:rsidR="00951C19" w:rsidRPr="00951C19" w:rsidRDefault="00951C19" w:rsidP="002C5A4F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1–2. Секретариат КВТ в сотрудничестве</w:t>
            </w:r>
            <w:r w:rsidR="002C5A4F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секретарями соответствующих РГ</w:t>
            </w:r>
          </w:p>
        </w:tc>
      </w:tr>
      <w:tr w:rsidR="00951C19" w:rsidRPr="00951C19" w14:paraId="36F60326" w14:textId="77777777" w:rsidTr="002B2BCA">
        <w:tc>
          <w:tcPr>
            <w:tcW w:w="476" w:type="dxa"/>
            <w:shd w:val="clear" w:color="auto" w:fill="auto"/>
          </w:tcPr>
          <w:p w14:paraId="5D031B93" w14:textId="77777777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7</w:t>
            </w:r>
          </w:p>
        </w:tc>
        <w:tc>
          <w:tcPr>
            <w:tcW w:w="1789" w:type="dxa"/>
            <w:shd w:val="clear" w:color="auto" w:fill="auto"/>
          </w:tcPr>
          <w:p w14:paraId="5B45C4D8" w14:textId="77777777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Мобилизация ресурсов</w:t>
            </w:r>
          </w:p>
        </w:tc>
        <w:tc>
          <w:tcPr>
            <w:tcW w:w="3279" w:type="dxa"/>
            <w:shd w:val="clear" w:color="auto" w:fill="auto"/>
          </w:tcPr>
          <w:p w14:paraId="1E9D88A2" w14:textId="22F65DA9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Документ о вариантах расширения возможностей подпрограммы по транспорту в плане привлечения ресурсов, связанных с персоналом, был подготовлен секретариатом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ожидает рассмотрения в рамках Бюро КВТ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1C8F737D" w14:textId="658463D2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Различные проекты, такие как проект показателей устойчивой связанности инфраструктуры внутреннего транспорта (ПУСИВТ) или проект платформы электронного обучения, финансируются по линии СРООН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464E4492" w14:textId="38DF31C0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Российская Федерация предоставила WP.5 внебюджетное финансирование для работы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области городской мобильности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территориального планирования</w:t>
            </w:r>
            <w:bookmarkStart w:id="5" w:name="_Hlk71646775"/>
            <w:bookmarkEnd w:id="5"/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43A97DCA" w14:textId="55ABBF85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Нидерланды оказали финансовую поддержку деятельности по оценке влияния изменения климата на транспортную инфраструктуру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рассматривают возможность дальнейшего финансирования этой работы (см. также задачу 5.24)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2020 и 2021 годах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584B85AC" w14:textId="1D8D6D6D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Исламский банк развития (ИБР) поддерживает разработку Обсерватории для мониторинга транспортной инфраструктуры на базе ГИС (см. также задачу 5.16)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645408C6" w14:textId="5DA85338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ОБСЕ уже более десяти лет оказывает финансовую поддержку работе по обеспечению безопасности ЕАТС и внутреннего транспорта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и предоставила финансирование для разработки </w:t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нового информационно-учебного онлайн-портала по eTIR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06E18659" w14:textId="2CB60346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Российская Федерация предоставила внебюджетное финансирование в поддержку дальнейшей работы по развитию Кодекса ГТЕ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  <w:p w14:paraId="14EBC5D3" w14:textId="39EF4EFD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Германия предоставила младшего сотрудника категории специалистов Секции правил</w:t>
            </w:r>
            <w:r w:rsidR="00D50044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области транспортных средств</w:t>
            </w:r>
            <w:r w:rsidR="00D50044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и транспортных инноваций Отдела устойчивого транспорта</w:t>
            </w:r>
            <w:r w:rsidR="00D50044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в поддержку работы по интеллектуальным транспортным системам и автоматизированному вождению на период с ноября</w:t>
            </w:r>
            <w:r w:rsidR="00D50044">
              <w:rPr>
                <w:rFonts w:eastAsia="Times New Roman" w:cs="Times New Roman"/>
                <w:b/>
                <w:bCs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b/>
                <w:bCs/>
                <w:szCs w:val="20"/>
                <w:lang w:eastAsia="fr-FR"/>
              </w:rPr>
              <w:t>2021 года по ноябрь 2023 года</w:t>
            </w:r>
            <w:r w:rsidR="00363ABB">
              <w:rPr>
                <w:rFonts w:eastAsia="Times New Roman" w:cs="Times New Roman"/>
                <w:b/>
                <w:bCs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3410D9B0" w14:textId="0D0B5EA3" w:rsidR="00951C19" w:rsidRPr="00951C19" w:rsidRDefault="00951C19" w:rsidP="002C5A4F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Принять и осуществлять план мобилизации</w:t>
            </w:r>
            <w:r w:rsidR="002C5A4F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ресурсов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057C0AF6" w14:textId="083A48CB" w:rsidR="00951C19" w:rsidRPr="00951C19" w:rsidRDefault="00951C19" w:rsidP="002C5A4F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Разработать конкретные проекты в поддержку реализации приоритетных задач Стратегии для финансирования со стороны государственных и/или частных доноров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2BD2091" w14:textId="7CB8251A" w:rsidR="00951C19" w:rsidRPr="00951C19" w:rsidRDefault="00951C19" w:rsidP="002C5A4F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1. Секретариат КВТ в сотрудничестве</w:t>
            </w:r>
            <w:r w:rsidR="002C5A4F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Бюро КВТ</w:t>
            </w:r>
          </w:p>
          <w:p w14:paraId="2C96F9B3" w14:textId="3046A582" w:rsidR="00951C19" w:rsidRPr="00951C19" w:rsidRDefault="00951C19" w:rsidP="002C5A4F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Секретариат КВТ в сотрудничестве</w:t>
            </w:r>
            <w:r w:rsidR="002C5A4F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секретарями соответствующих РГ</w:t>
            </w:r>
          </w:p>
        </w:tc>
      </w:tr>
      <w:tr w:rsidR="00951C19" w:rsidRPr="00951C19" w14:paraId="1B88533F" w14:textId="77777777" w:rsidTr="00D50044">
        <w:tc>
          <w:tcPr>
            <w:tcW w:w="476" w:type="dxa"/>
            <w:shd w:val="clear" w:color="auto" w:fill="auto"/>
          </w:tcPr>
          <w:p w14:paraId="16E39F5A" w14:textId="23183CF9" w:rsidR="00951C19" w:rsidRPr="00951C19" w:rsidRDefault="00951C19" w:rsidP="002B2BCA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14:paraId="3564EB4E" w14:textId="77777777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Партнерства</w:t>
            </w:r>
          </w:p>
        </w:tc>
        <w:tc>
          <w:tcPr>
            <w:tcW w:w="3279" w:type="dxa"/>
            <w:shd w:val="clear" w:color="auto" w:fill="auto"/>
          </w:tcPr>
          <w:p w14:paraId="7BA3DE3B" w14:textId="76CD3821" w:rsidR="00951C19" w:rsidRPr="00951C19" w:rsidRDefault="00951C19" w:rsidP="00D50044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Отдел транспорта сотрудничает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другими РК в области</w:t>
            </w:r>
            <w:r w:rsidR="005D749E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внутреннего транспорта. Отдел транспорта привлекает их к участию в ряде проектов, в которых он взял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на себя ведущую роль (см. также задачу 4.6)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6217762B" w14:textId="1229BD44" w:rsidR="00951C19" w:rsidRPr="00951C19" w:rsidRDefault="00951C19" w:rsidP="00D50044">
            <w:pPr>
              <w:spacing w:before="40" w:after="4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ЕЭК ведет работу по вопросам транспорта в сотрудничестве/</w:t>
            </w:r>
            <w:r w:rsidR="00D50044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партнерстве с различными международными организациями/</w:t>
            </w:r>
            <w:r w:rsidR="00D50044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ассоциациями/учреждениями,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это сотрудничество должно дополнительно расширяться при наличии такой возможности.</w:t>
            </w:r>
            <w:r w:rsidR="00CD67E1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К этим организациям/ассоциациям/</w:t>
            </w:r>
            <w:r w:rsidR="009221E0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учреждениям, в частности, относятся: АБР, ОЧЭС, ИКАО, ИМО, МОТ, ВОЗ, ВПС, МСЖД, ОБСЕ, ОСЖД, ВТамО, ВТО, ОТИФ, ЦКСР, МАГАТЭ, МКЖТ, МСАТ, МФУ, ОЭС, СЕТМО и др. Сотрудничество с ШОС началось</w:t>
            </w:r>
            <w:r w:rsidR="009221E0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в 2020 году.</w:t>
            </w:r>
            <w:r w:rsidR="009221E0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Отдел транспорта также тесно сотрудничает с другими подпрограммами секретариата.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Это осуществляется в рамках совместной работы по взаимосвязанным направлениям. Отдел транспорта возглавляет работу по взаимосвязанному направлению «Устойчивая мобильность» и </w:t>
            </w:r>
            <w:r w:rsidR="00D50044">
              <w:rPr>
                <w:rFonts w:eastAsia="Times New Roman" w:cs="Times New Roman"/>
                <w:szCs w:val="20"/>
                <w:lang w:eastAsia="fr-FR"/>
              </w:rPr>
              <w:t>«</w:t>
            </w:r>
            <w:r w:rsidR="00A82193">
              <w:rPr>
                <w:rFonts w:eastAsia="Times New Roman" w:cs="Times New Roman"/>
                <w:szCs w:val="20"/>
                <w:lang w:val="en-US" w:eastAsia="fr-FR"/>
              </w:rPr>
              <w:t>“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умная</w:t>
            </w:r>
            <w:r w:rsidR="00A82193">
              <w:rPr>
                <w:rFonts w:eastAsia="Times New Roman" w:cs="Times New Roman"/>
                <w:szCs w:val="20"/>
                <w:lang w:val="en-US" w:eastAsia="fr-FR"/>
              </w:rPr>
              <w:t>”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связанность», а также участвует</w:t>
            </w:r>
            <w:r w:rsidR="00CD67E1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в работе по трем другим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взаимосвязанным направлениям — «Устойчивое использование природных ресурсов», «</w:t>
            </w:r>
            <w:r w:rsidR="00A82193">
              <w:rPr>
                <w:rFonts w:eastAsia="Times New Roman" w:cs="Times New Roman"/>
                <w:szCs w:val="20"/>
                <w:lang w:val="en-US" w:eastAsia="fr-FR"/>
              </w:rPr>
              <w:t>“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Умные</w:t>
            </w:r>
            <w:r w:rsidR="00A82193">
              <w:rPr>
                <w:rFonts w:eastAsia="Times New Roman" w:cs="Times New Roman"/>
                <w:szCs w:val="20"/>
                <w:lang w:val="en-US" w:eastAsia="fr-FR"/>
              </w:rPr>
              <w:t>”</w:t>
            </w:r>
            <w:r w:rsidR="00A8219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и устойчивые города для населения всех возрастов» и «Оценка и мониторинг ЦУР»</w:t>
            </w:r>
            <w:r w:rsidR="00363ABB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14:paraId="391D33E0" w14:textId="3F07425A" w:rsidR="00951C19" w:rsidRPr="00951C19" w:rsidRDefault="00951C19" w:rsidP="005D749E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lastRenderedPageBreak/>
              <w:t>1. Продолжать и расширять сотрудничество с другими РК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305BF390" w14:textId="14894FCA" w:rsidR="00951C19" w:rsidRPr="00951C19" w:rsidRDefault="00951C19" w:rsidP="005D749E">
            <w:pPr>
              <w:spacing w:before="40" w:after="120"/>
              <w:ind w:right="57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2. Продолжать</w:t>
            </w:r>
            <w:r w:rsidR="005D749E">
              <w:rPr>
                <w:rFonts w:eastAsia="Times New Roman" w:cs="Times New Roman"/>
                <w:szCs w:val="20"/>
                <w:lang w:val="en-US" w:eastAsia="fr-FR"/>
              </w:rPr>
              <w:t xml:space="preserve"> 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и расширять </w:t>
            </w:r>
            <w:r w:rsidRPr="005D749E">
              <w:rPr>
                <w:rFonts w:eastAsia="Times New Roman" w:cs="Times New Roman"/>
                <w:spacing w:val="-6"/>
                <w:szCs w:val="20"/>
                <w:lang w:eastAsia="fr-FR"/>
              </w:rPr>
              <w:t>сотрудничество с различными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международными </w:t>
            </w:r>
            <w:r w:rsidRPr="005D749E">
              <w:rPr>
                <w:rFonts w:eastAsia="Times New Roman" w:cs="Times New Roman"/>
                <w:spacing w:val="-6"/>
                <w:szCs w:val="20"/>
                <w:lang w:eastAsia="fr-FR"/>
              </w:rPr>
              <w:t>организациями/ассоциациями/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учреждениями, в том числе в поддержку осуществления Стратегии, включая образовательные учреждения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529BB753" w14:textId="72C6AABB" w:rsidR="00951C19" w:rsidRPr="00951C19" w:rsidRDefault="00951C19" w:rsidP="005D749E">
            <w:pPr>
              <w:spacing w:before="40" w:after="120"/>
              <w:ind w:right="113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3. Продолжать работу</w:t>
            </w:r>
            <w:r w:rsidR="005D749E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по взаимосвязанным направлениям в рамках ЕЭК</w:t>
            </w:r>
            <w:r w:rsidR="00322876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AD4C717" w14:textId="174DCC08" w:rsidR="00951C19" w:rsidRPr="00951C19" w:rsidRDefault="00951C19" w:rsidP="005D749E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951C19">
              <w:rPr>
                <w:rFonts w:eastAsia="Times New Roman" w:cs="Times New Roman"/>
                <w:szCs w:val="20"/>
                <w:lang w:eastAsia="fr-FR"/>
              </w:rPr>
              <w:t>1–2. Секретариат КВТ в сотрудничестве</w:t>
            </w:r>
            <w:r w:rsidR="005D749E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>с секретариатами соответствующих РГ</w:t>
            </w:r>
          </w:p>
          <w:p w14:paraId="0FE69254" w14:textId="77777777" w:rsidR="00951C19" w:rsidRPr="00951C19" w:rsidRDefault="00951C19" w:rsidP="005D749E">
            <w:pPr>
              <w:spacing w:before="40" w:after="120"/>
              <w:rPr>
                <w:rFonts w:eastAsia="Times New Roman" w:cs="Times New Roman"/>
                <w:szCs w:val="20"/>
                <w:lang w:eastAsia="fr-FR"/>
              </w:rPr>
            </w:pPr>
            <w:r w:rsidRPr="005D749E">
              <w:rPr>
                <w:rFonts w:eastAsia="Times New Roman" w:cs="Times New Roman"/>
                <w:spacing w:val="-14"/>
                <w:szCs w:val="20"/>
                <w:lang w:eastAsia="fr-FR"/>
              </w:rPr>
              <w:t>3. Соответствующий</w:t>
            </w:r>
            <w:r w:rsidRPr="00951C19">
              <w:rPr>
                <w:rFonts w:eastAsia="Times New Roman" w:cs="Times New Roman"/>
                <w:szCs w:val="20"/>
                <w:lang w:eastAsia="fr-FR"/>
              </w:rPr>
              <w:t xml:space="preserve"> персонал Отдела</w:t>
            </w:r>
          </w:p>
        </w:tc>
      </w:tr>
      <w:tr w:rsidR="00D50044" w:rsidRPr="00951C19" w14:paraId="77700C94" w14:textId="77777777" w:rsidTr="00D50044">
        <w:trPr>
          <w:trHeight w:hRule="exact" w:val="113"/>
        </w:trPr>
        <w:tc>
          <w:tcPr>
            <w:tcW w:w="9639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3272C158" w14:textId="77777777" w:rsidR="00D50044" w:rsidRPr="00951C19" w:rsidRDefault="00D50044" w:rsidP="00780808">
            <w:pPr>
              <w:spacing w:before="40" w:after="120"/>
              <w:ind w:left="113" w:right="113"/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</w:tbl>
    <w:p w14:paraId="16529347" w14:textId="368FAE7D" w:rsidR="00951C19" w:rsidRDefault="00816B76" w:rsidP="00816B76">
      <w:pPr>
        <w:pStyle w:val="SingleTxtG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951C19" w:rsidSect="00951C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042DA" w14:textId="77777777" w:rsidR="00843FED" w:rsidRPr="00A312BC" w:rsidRDefault="00843FED" w:rsidP="00A312BC"/>
  </w:endnote>
  <w:endnote w:type="continuationSeparator" w:id="0">
    <w:p w14:paraId="2F1C9FD9" w14:textId="77777777" w:rsidR="00843FED" w:rsidRPr="00A312BC" w:rsidRDefault="00843F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BADB" w14:textId="77777777" w:rsidR="00843FED" w:rsidRPr="00951C19" w:rsidRDefault="00843FED">
    <w:pPr>
      <w:pStyle w:val="a8"/>
    </w:pPr>
    <w:r w:rsidRPr="00951C19">
      <w:rPr>
        <w:b/>
        <w:sz w:val="18"/>
      </w:rPr>
      <w:fldChar w:fldCharType="begin"/>
    </w:r>
    <w:r w:rsidRPr="00951C19">
      <w:rPr>
        <w:b/>
        <w:sz w:val="18"/>
      </w:rPr>
      <w:instrText xml:space="preserve"> PAGE  \* MERGEFORMAT </w:instrText>
    </w:r>
    <w:r w:rsidRPr="00951C19">
      <w:rPr>
        <w:b/>
        <w:sz w:val="18"/>
      </w:rPr>
      <w:fldChar w:fldCharType="separate"/>
    </w:r>
    <w:r w:rsidRPr="00951C19">
      <w:rPr>
        <w:b/>
        <w:noProof/>
        <w:sz w:val="18"/>
      </w:rPr>
      <w:t>2</w:t>
    </w:r>
    <w:r w:rsidRPr="00951C19">
      <w:rPr>
        <w:b/>
        <w:sz w:val="18"/>
      </w:rPr>
      <w:fldChar w:fldCharType="end"/>
    </w:r>
    <w:r>
      <w:rPr>
        <w:b/>
        <w:sz w:val="18"/>
      </w:rPr>
      <w:tab/>
    </w:r>
    <w:r>
      <w:t>GE.21-18482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6A1F" w14:textId="77777777" w:rsidR="00843FED" w:rsidRPr="00951C19" w:rsidRDefault="00843FED" w:rsidP="00951C19">
    <w:pPr>
      <w:pStyle w:val="a8"/>
      <w:tabs>
        <w:tab w:val="clear" w:pos="9639"/>
        <w:tab w:val="right" w:pos="9638"/>
      </w:tabs>
      <w:rPr>
        <w:b/>
        <w:sz w:val="18"/>
      </w:rPr>
    </w:pPr>
    <w:r>
      <w:t>GE.21-18482</w:t>
    </w:r>
    <w:r>
      <w:tab/>
    </w:r>
    <w:r w:rsidRPr="00951C19">
      <w:rPr>
        <w:b/>
        <w:sz w:val="18"/>
      </w:rPr>
      <w:fldChar w:fldCharType="begin"/>
    </w:r>
    <w:r w:rsidRPr="00951C19">
      <w:rPr>
        <w:b/>
        <w:sz w:val="18"/>
      </w:rPr>
      <w:instrText xml:space="preserve"> PAGE  \* MERGEFORMAT </w:instrText>
    </w:r>
    <w:r w:rsidRPr="00951C19">
      <w:rPr>
        <w:b/>
        <w:sz w:val="18"/>
      </w:rPr>
      <w:fldChar w:fldCharType="separate"/>
    </w:r>
    <w:r w:rsidRPr="00951C19">
      <w:rPr>
        <w:b/>
        <w:noProof/>
        <w:sz w:val="18"/>
      </w:rPr>
      <w:t>3</w:t>
    </w:r>
    <w:r w:rsidRPr="00951C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126BE" w14:textId="255E0DBE" w:rsidR="00843FED" w:rsidRPr="00951C19" w:rsidRDefault="00843FED" w:rsidP="00951C19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BF7F496" wp14:editId="326EF8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21-18482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A62DB2" wp14:editId="4F33C55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040122  060122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01837" w14:textId="77777777" w:rsidR="00843FED" w:rsidRPr="001075E9" w:rsidRDefault="00843F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195D18" w14:textId="77777777" w:rsidR="00843FED" w:rsidRDefault="00843F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EE4A3D" w14:textId="35D48F04" w:rsidR="00843FED" w:rsidRPr="00027028" w:rsidRDefault="00843FED" w:rsidP="00951C19">
      <w:pPr>
        <w:pStyle w:val="ad"/>
        <w:ind w:left="0" w:right="0" w:firstLine="170"/>
      </w:pPr>
      <w:r>
        <w:tab/>
      </w:r>
      <w:r>
        <w:rPr>
          <w:rStyle w:val="aa"/>
        </w:rPr>
        <w:footnoteRef/>
      </w:r>
      <w:r w:rsidRPr="00D64557">
        <w:rPr>
          <w:lang w:val="en-US"/>
        </w:rPr>
        <w:tab/>
      </w:r>
      <w:hyperlink r:id="rId1" w:history="1">
        <w:r w:rsidRPr="004E397B">
          <w:rPr>
            <w:rStyle w:val="af1"/>
            <w:lang w:val="en-US"/>
          </w:rPr>
          <w:t>http://www.unece.org/fileadmin/DAM/trans/danger/publi/adr/guidelines/ADR_Guidelines_Telematics_e.pdf</w:t>
        </w:r>
      </w:hyperlink>
      <w:r>
        <w:rPr>
          <w:rStyle w:val="af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E4E0" w14:textId="225FCBAF" w:rsidR="00843FED" w:rsidRPr="00951C19" w:rsidRDefault="002A2661">
    <w:pPr>
      <w:pStyle w:val="a5"/>
    </w:pPr>
    <w:fldSimple w:instr=" TITLE  \* MERGEFORMAT ">
      <w:r w:rsidR="00E14F2E">
        <w:t>ECE/TRANS/2022/3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8917" w14:textId="6DD49998" w:rsidR="00843FED" w:rsidRPr="00951C19" w:rsidRDefault="002A2661" w:rsidP="00951C19">
    <w:pPr>
      <w:pStyle w:val="a5"/>
      <w:jc w:val="right"/>
    </w:pPr>
    <w:fldSimple w:instr=" TITLE  \* MERGEFORMAT ">
      <w:r w:rsidR="00E14F2E">
        <w:t>ECE/TRANS/2022/3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25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9"/>
  </w:num>
  <w:num w:numId="18">
    <w:abstractNumId w:val="21"/>
  </w:num>
  <w:num w:numId="19">
    <w:abstractNumId w:val="23"/>
  </w:num>
  <w:num w:numId="20">
    <w:abstractNumId w:val="19"/>
  </w:num>
  <w:num w:numId="21">
    <w:abstractNumId w:val="21"/>
  </w:num>
  <w:num w:numId="22">
    <w:abstractNumId w:val="16"/>
  </w:num>
  <w:num w:numId="23">
    <w:abstractNumId w:val="15"/>
  </w:num>
  <w:num w:numId="24">
    <w:abstractNumId w:val="10"/>
  </w:num>
  <w:num w:numId="25">
    <w:abstractNumId w:val="12"/>
  </w:num>
  <w:num w:numId="26">
    <w:abstractNumId w:val="17"/>
  </w:num>
  <w:num w:numId="27">
    <w:abstractNumId w:val="14"/>
  </w:num>
  <w:num w:numId="28">
    <w:abstractNumId w:val="22"/>
  </w:num>
  <w:num w:numId="29">
    <w:abstractNumId w:val="26"/>
  </w:num>
  <w:num w:numId="3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03"/>
    <w:rsid w:val="0002702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5B6A"/>
    <w:rsid w:val="001B3EF6"/>
    <w:rsid w:val="001C7A89"/>
    <w:rsid w:val="0022511D"/>
    <w:rsid w:val="00255343"/>
    <w:rsid w:val="002707D6"/>
    <w:rsid w:val="002713E7"/>
    <w:rsid w:val="0027151D"/>
    <w:rsid w:val="00297BD5"/>
    <w:rsid w:val="002A2661"/>
    <w:rsid w:val="002A2AED"/>
    <w:rsid w:val="002A2EFC"/>
    <w:rsid w:val="002B0106"/>
    <w:rsid w:val="002B2BCA"/>
    <w:rsid w:val="002B74B1"/>
    <w:rsid w:val="002C0E18"/>
    <w:rsid w:val="002C5A4F"/>
    <w:rsid w:val="002D2ECE"/>
    <w:rsid w:val="002D5AAC"/>
    <w:rsid w:val="002E5067"/>
    <w:rsid w:val="002F249F"/>
    <w:rsid w:val="002F405F"/>
    <w:rsid w:val="002F7EEC"/>
    <w:rsid w:val="00301299"/>
    <w:rsid w:val="00303630"/>
    <w:rsid w:val="00305805"/>
    <w:rsid w:val="00305C08"/>
    <w:rsid w:val="00307FB6"/>
    <w:rsid w:val="00317339"/>
    <w:rsid w:val="00322004"/>
    <w:rsid w:val="00322876"/>
    <w:rsid w:val="003402C2"/>
    <w:rsid w:val="00351BC4"/>
    <w:rsid w:val="00363ABB"/>
    <w:rsid w:val="003807EA"/>
    <w:rsid w:val="00381C24"/>
    <w:rsid w:val="00387CD4"/>
    <w:rsid w:val="00393471"/>
    <w:rsid w:val="003958D0"/>
    <w:rsid w:val="003A0D43"/>
    <w:rsid w:val="003A48CE"/>
    <w:rsid w:val="003B00E5"/>
    <w:rsid w:val="003E0B46"/>
    <w:rsid w:val="00407B78"/>
    <w:rsid w:val="00424203"/>
    <w:rsid w:val="00450B22"/>
    <w:rsid w:val="00452493"/>
    <w:rsid w:val="00453318"/>
    <w:rsid w:val="00454AF2"/>
    <w:rsid w:val="00454E07"/>
    <w:rsid w:val="00461EFF"/>
    <w:rsid w:val="00472C5C"/>
    <w:rsid w:val="00485F8A"/>
    <w:rsid w:val="004B16F9"/>
    <w:rsid w:val="004E05B7"/>
    <w:rsid w:val="004E6131"/>
    <w:rsid w:val="004F5743"/>
    <w:rsid w:val="004F7BF6"/>
    <w:rsid w:val="0050108D"/>
    <w:rsid w:val="00513081"/>
    <w:rsid w:val="00517901"/>
    <w:rsid w:val="00526683"/>
    <w:rsid w:val="00526DB8"/>
    <w:rsid w:val="00551D18"/>
    <w:rsid w:val="005639C1"/>
    <w:rsid w:val="00564517"/>
    <w:rsid w:val="00567BE3"/>
    <w:rsid w:val="005709E0"/>
    <w:rsid w:val="00572E19"/>
    <w:rsid w:val="005961C8"/>
    <w:rsid w:val="005966F1"/>
    <w:rsid w:val="005A1949"/>
    <w:rsid w:val="005D749E"/>
    <w:rsid w:val="005D7914"/>
    <w:rsid w:val="005E2B41"/>
    <w:rsid w:val="005F0B42"/>
    <w:rsid w:val="006010D1"/>
    <w:rsid w:val="00615DD8"/>
    <w:rsid w:val="00617A43"/>
    <w:rsid w:val="006345DB"/>
    <w:rsid w:val="00640F49"/>
    <w:rsid w:val="00680D03"/>
    <w:rsid w:val="00681A10"/>
    <w:rsid w:val="006A1ED8"/>
    <w:rsid w:val="006A2F0A"/>
    <w:rsid w:val="006C2031"/>
    <w:rsid w:val="006D461A"/>
    <w:rsid w:val="006F3290"/>
    <w:rsid w:val="006F35EE"/>
    <w:rsid w:val="006F3865"/>
    <w:rsid w:val="007021FF"/>
    <w:rsid w:val="00712173"/>
    <w:rsid w:val="00712895"/>
    <w:rsid w:val="00734ACB"/>
    <w:rsid w:val="00750495"/>
    <w:rsid w:val="00757357"/>
    <w:rsid w:val="007718B6"/>
    <w:rsid w:val="00780808"/>
    <w:rsid w:val="00792497"/>
    <w:rsid w:val="008063BD"/>
    <w:rsid w:val="00806737"/>
    <w:rsid w:val="00816B76"/>
    <w:rsid w:val="00825F8D"/>
    <w:rsid w:val="00831BA4"/>
    <w:rsid w:val="008346C8"/>
    <w:rsid w:val="00834B71"/>
    <w:rsid w:val="00843FED"/>
    <w:rsid w:val="0086445C"/>
    <w:rsid w:val="00894693"/>
    <w:rsid w:val="008A08D7"/>
    <w:rsid w:val="008A37C8"/>
    <w:rsid w:val="008B670A"/>
    <w:rsid w:val="008B6909"/>
    <w:rsid w:val="008D53B6"/>
    <w:rsid w:val="008E2CBF"/>
    <w:rsid w:val="008E4694"/>
    <w:rsid w:val="008F7609"/>
    <w:rsid w:val="00906890"/>
    <w:rsid w:val="00911BE4"/>
    <w:rsid w:val="00916269"/>
    <w:rsid w:val="009221E0"/>
    <w:rsid w:val="00951972"/>
    <w:rsid w:val="00951C19"/>
    <w:rsid w:val="009608F3"/>
    <w:rsid w:val="00995C5C"/>
    <w:rsid w:val="009A24AC"/>
    <w:rsid w:val="009C59D7"/>
    <w:rsid w:val="009C6FE6"/>
    <w:rsid w:val="009D7E7D"/>
    <w:rsid w:val="009E41A7"/>
    <w:rsid w:val="00A1387C"/>
    <w:rsid w:val="00A14DA8"/>
    <w:rsid w:val="00A312BC"/>
    <w:rsid w:val="00A45471"/>
    <w:rsid w:val="00A464D6"/>
    <w:rsid w:val="00A82193"/>
    <w:rsid w:val="00A84021"/>
    <w:rsid w:val="00A84D35"/>
    <w:rsid w:val="00A917B3"/>
    <w:rsid w:val="00AA3130"/>
    <w:rsid w:val="00AA5E91"/>
    <w:rsid w:val="00AB4B51"/>
    <w:rsid w:val="00AD31E8"/>
    <w:rsid w:val="00B10CC7"/>
    <w:rsid w:val="00B27FC5"/>
    <w:rsid w:val="00B36DF7"/>
    <w:rsid w:val="00B539E7"/>
    <w:rsid w:val="00B62458"/>
    <w:rsid w:val="00BC18B2"/>
    <w:rsid w:val="00BC2F60"/>
    <w:rsid w:val="00BD33EE"/>
    <w:rsid w:val="00BD6DFD"/>
    <w:rsid w:val="00BE1CC7"/>
    <w:rsid w:val="00C106D6"/>
    <w:rsid w:val="00C119AE"/>
    <w:rsid w:val="00C15A73"/>
    <w:rsid w:val="00C60F0C"/>
    <w:rsid w:val="00C71E84"/>
    <w:rsid w:val="00C805C9"/>
    <w:rsid w:val="00C85403"/>
    <w:rsid w:val="00C921D4"/>
    <w:rsid w:val="00C92939"/>
    <w:rsid w:val="00CA1679"/>
    <w:rsid w:val="00CB151C"/>
    <w:rsid w:val="00CD67E1"/>
    <w:rsid w:val="00CE13D4"/>
    <w:rsid w:val="00CE5A1A"/>
    <w:rsid w:val="00CF55F6"/>
    <w:rsid w:val="00D048D9"/>
    <w:rsid w:val="00D33D63"/>
    <w:rsid w:val="00D50044"/>
    <w:rsid w:val="00D5253A"/>
    <w:rsid w:val="00D873A8"/>
    <w:rsid w:val="00D90028"/>
    <w:rsid w:val="00D90138"/>
    <w:rsid w:val="00D9145B"/>
    <w:rsid w:val="00DD78D1"/>
    <w:rsid w:val="00DE32CD"/>
    <w:rsid w:val="00DF06B3"/>
    <w:rsid w:val="00DF5767"/>
    <w:rsid w:val="00DF71B9"/>
    <w:rsid w:val="00E12C5F"/>
    <w:rsid w:val="00E14F2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39A68C"/>
  <w15:docId w15:val="{56665F79-9175-4A47-8889-946F5577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numbering" w:customStyle="1" w:styleId="11">
    <w:name w:val="Нет списка1"/>
    <w:next w:val="a2"/>
    <w:uiPriority w:val="99"/>
    <w:semiHidden/>
    <w:unhideWhenUsed/>
    <w:rsid w:val="00951C19"/>
  </w:style>
  <w:style w:type="table" w:customStyle="1" w:styleId="12">
    <w:name w:val="Сетка таблицы1"/>
    <w:basedOn w:val="a1"/>
    <w:next w:val="ac"/>
    <w:uiPriority w:val="39"/>
    <w:rsid w:val="00951C19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SingleTxtG"/>
    <w:qFormat/>
    <w:rsid w:val="00951C19"/>
    <w:pPr>
      <w:numPr>
        <w:numId w:val="30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951C19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951C19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rsid w:val="00951C19"/>
    <w:rPr>
      <w:lang w:val="ru-RU" w:eastAsia="en-US"/>
    </w:rPr>
  </w:style>
  <w:style w:type="character" w:customStyle="1" w:styleId="H1GChar">
    <w:name w:val="_ H_1_G Char"/>
    <w:link w:val="H1G"/>
    <w:rsid w:val="00951C19"/>
    <w:rPr>
      <w:b/>
      <w:sz w:val="24"/>
      <w:lang w:val="ru-RU" w:eastAsia="ru-RU"/>
    </w:rPr>
  </w:style>
  <w:style w:type="character" w:styleId="af4">
    <w:name w:val="annotation reference"/>
    <w:basedOn w:val="a0"/>
    <w:semiHidden/>
    <w:unhideWhenUsed/>
    <w:rsid w:val="00951C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951C19"/>
    <w:pPr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6">
    <w:name w:val="Текст примечания Знак"/>
    <w:basedOn w:val="a0"/>
    <w:link w:val="af5"/>
    <w:semiHidden/>
    <w:rsid w:val="00951C19"/>
    <w:rPr>
      <w:lang w:val="en-GB" w:eastAsia="fr-FR"/>
    </w:rPr>
  </w:style>
  <w:style w:type="paragraph" w:styleId="af7">
    <w:name w:val="annotation subject"/>
    <w:basedOn w:val="af5"/>
    <w:next w:val="af5"/>
    <w:link w:val="af8"/>
    <w:semiHidden/>
    <w:unhideWhenUsed/>
    <w:rsid w:val="00951C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51C19"/>
    <w:rPr>
      <w:b/>
      <w:bCs/>
      <w:lang w:val="en-GB" w:eastAsia="fr-FR"/>
    </w:rPr>
  </w:style>
  <w:style w:type="paragraph" w:styleId="af9">
    <w:name w:val="Revision"/>
    <w:hidden/>
    <w:uiPriority w:val="99"/>
    <w:semiHidden/>
    <w:rsid w:val="00951C19"/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fileadmin/DAM/trans/danger/publi/adr/guidelines/ADR_Guidelines_Telematics_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1C313-AA4C-4CD1-9279-A1D274E5E0C6}"/>
</file>

<file path=customXml/itemProps2.xml><?xml version="1.0" encoding="utf-8"?>
<ds:datastoreItem xmlns:ds="http://schemas.openxmlformats.org/officeDocument/2006/customXml" ds:itemID="{EA13A2DA-EBFA-48CD-9FFA-AA202C8F2B61}"/>
</file>

<file path=customXml/itemProps3.xml><?xml version="1.0" encoding="utf-8"?>
<ds:datastoreItem xmlns:ds="http://schemas.openxmlformats.org/officeDocument/2006/customXml" ds:itemID="{10A1ABF8-9340-4452-9A14-297915A92D7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42</Pages>
  <Words>9542</Words>
  <Characters>65756</Characters>
  <Application>Microsoft Office Word</Application>
  <DocSecurity>0</DocSecurity>
  <Lines>547</Lines>
  <Paragraphs>150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ECE/TRANS/2022/3</vt:lpstr>
      <vt:lpstr>A/</vt:lpstr>
      <vt:lpstr>A/</vt:lpstr>
    </vt:vector>
  </TitlesOfParts>
  <Company>DCM</Company>
  <LinksUpToDate>false</LinksUpToDate>
  <CharactersWithSpaces>75148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ECE/TRANS/2022/3</dc:title>
  <dc:subject/>
  <dc:creator>Anna KISSELEVA</dc:creator>
  <cp:keywords/>
  <cp:lastModifiedBy>Anna Kisseleva</cp:lastModifiedBy>
  <cp:revision>3</cp:revision>
  <cp:lastPrinted>2022-01-06T11:35:00Z</cp:lastPrinted>
  <dcterms:created xsi:type="dcterms:W3CDTF">2022-01-06T11:35:00Z</dcterms:created>
  <dcterms:modified xsi:type="dcterms:W3CDTF">2022-01-06T11:36:00Z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