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51202" w14:paraId="77A5F177" w14:textId="77777777" w:rsidTr="009E6CB7">
        <w:trPr>
          <w:cantSplit/>
          <w:trHeight w:hRule="exact" w:val="851"/>
        </w:trPr>
        <w:tc>
          <w:tcPr>
            <w:tcW w:w="1276" w:type="dxa"/>
            <w:tcBorders>
              <w:bottom w:val="single" w:sz="4" w:space="0" w:color="auto"/>
            </w:tcBorders>
            <w:vAlign w:val="bottom"/>
          </w:tcPr>
          <w:p w14:paraId="64D7FE38" w14:textId="77777777" w:rsidR="009E6CB7" w:rsidRPr="007856ED" w:rsidRDefault="009E6CB7" w:rsidP="009E6CB7">
            <w:pPr>
              <w:spacing w:after="80"/>
            </w:pPr>
          </w:p>
        </w:tc>
        <w:tc>
          <w:tcPr>
            <w:tcW w:w="2268" w:type="dxa"/>
            <w:tcBorders>
              <w:bottom w:val="single" w:sz="4" w:space="0" w:color="auto"/>
            </w:tcBorders>
            <w:vAlign w:val="bottom"/>
          </w:tcPr>
          <w:p w14:paraId="4D408EAC" w14:textId="77777777" w:rsidR="009E6CB7" w:rsidRPr="007856ED" w:rsidRDefault="009E6CB7" w:rsidP="009E6CB7">
            <w:pPr>
              <w:spacing w:after="80" w:line="300" w:lineRule="exact"/>
              <w:rPr>
                <w:b/>
                <w:sz w:val="24"/>
                <w:szCs w:val="24"/>
              </w:rPr>
            </w:pPr>
            <w:r w:rsidRPr="007856ED">
              <w:rPr>
                <w:sz w:val="28"/>
                <w:szCs w:val="28"/>
              </w:rPr>
              <w:t>United Nations</w:t>
            </w:r>
          </w:p>
        </w:tc>
        <w:tc>
          <w:tcPr>
            <w:tcW w:w="6095" w:type="dxa"/>
            <w:gridSpan w:val="2"/>
            <w:tcBorders>
              <w:bottom w:val="single" w:sz="4" w:space="0" w:color="auto"/>
            </w:tcBorders>
            <w:vAlign w:val="bottom"/>
          </w:tcPr>
          <w:p w14:paraId="40AE3EA4" w14:textId="5CF80997" w:rsidR="009E6CB7" w:rsidRPr="00A51202" w:rsidRDefault="00971335" w:rsidP="00F44221">
            <w:pPr>
              <w:jc w:val="right"/>
            </w:pPr>
            <w:r w:rsidRPr="00A51202">
              <w:rPr>
                <w:sz w:val="40"/>
              </w:rPr>
              <w:t>ECE</w:t>
            </w:r>
            <w:r w:rsidRPr="00A51202">
              <w:t>/TRANS/20</w:t>
            </w:r>
            <w:r w:rsidR="001158B7" w:rsidRPr="00A51202">
              <w:t>2</w:t>
            </w:r>
            <w:r w:rsidR="000C4FDF" w:rsidRPr="00A51202">
              <w:t>2</w:t>
            </w:r>
            <w:r w:rsidRPr="00A51202">
              <w:t>/</w:t>
            </w:r>
            <w:r w:rsidR="00D87CEE" w:rsidRPr="00A51202">
              <w:t>2</w:t>
            </w:r>
            <w:r w:rsidR="00FD6151">
              <w:t>6</w:t>
            </w:r>
          </w:p>
        </w:tc>
      </w:tr>
      <w:tr w:rsidR="009E6CB7" w:rsidRPr="007856ED" w14:paraId="19939A2F" w14:textId="77777777" w:rsidTr="009E6CB7">
        <w:trPr>
          <w:cantSplit/>
          <w:trHeight w:hRule="exact" w:val="2835"/>
        </w:trPr>
        <w:tc>
          <w:tcPr>
            <w:tcW w:w="1276" w:type="dxa"/>
            <w:tcBorders>
              <w:top w:val="single" w:sz="4" w:space="0" w:color="auto"/>
              <w:bottom w:val="single" w:sz="12" w:space="0" w:color="auto"/>
            </w:tcBorders>
          </w:tcPr>
          <w:p w14:paraId="342D64E8" w14:textId="77777777" w:rsidR="009E6CB7" w:rsidRPr="007856ED" w:rsidRDefault="00BC7F91" w:rsidP="009E6CB7">
            <w:pPr>
              <w:spacing w:before="120"/>
            </w:pPr>
            <w:r w:rsidRPr="007856ED">
              <w:rPr>
                <w:noProof/>
                <w:lang w:val="en-US"/>
              </w:rPr>
              <w:drawing>
                <wp:inline distT="0" distB="0" distL="0" distR="0" wp14:anchorId="23905051" wp14:editId="72660AC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84E9BA" w14:textId="77777777" w:rsidR="009E6CB7" w:rsidRPr="007856ED" w:rsidRDefault="009E6CB7" w:rsidP="009E6CB7">
            <w:pPr>
              <w:spacing w:before="120" w:line="420" w:lineRule="exact"/>
              <w:rPr>
                <w:sz w:val="40"/>
                <w:szCs w:val="40"/>
              </w:rPr>
            </w:pPr>
            <w:r w:rsidRPr="007856ED">
              <w:rPr>
                <w:b/>
                <w:sz w:val="40"/>
                <w:szCs w:val="40"/>
              </w:rPr>
              <w:t>Economic and Social Council</w:t>
            </w:r>
          </w:p>
        </w:tc>
        <w:tc>
          <w:tcPr>
            <w:tcW w:w="2835" w:type="dxa"/>
            <w:tcBorders>
              <w:top w:val="single" w:sz="4" w:space="0" w:color="auto"/>
              <w:bottom w:val="single" w:sz="12" w:space="0" w:color="auto"/>
            </w:tcBorders>
          </w:tcPr>
          <w:p w14:paraId="22076F6C" w14:textId="77777777" w:rsidR="009E6CB7" w:rsidRPr="007856ED" w:rsidRDefault="00971335" w:rsidP="00971335">
            <w:pPr>
              <w:spacing w:before="240" w:line="240" w:lineRule="exact"/>
            </w:pPr>
            <w:r w:rsidRPr="007856ED">
              <w:t>Distr.: General</w:t>
            </w:r>
          </w:p>
          <w:p w14:paraId="124A3676" w14:textId="71F5C4FB" w:rsidR="00971335" w:rsidRPr="007856ED" w:rsidRDefault="00A51202" w:rsidP="00971335">
            <w:pPr>
              <w:spacing w:line="240" w:lineRule="exact"/>
            </w:pPr>
            <w:r w:rsidRPr="002F46E2">
              <w:t>1</w:t>
            </w:r>
            <w:r w:rsidR="002F46E2" w:rsidRPr="002F46E2">
              <w:t>4</w:t>
            </w:r>
            <w:r w:rsidR="006074A8" w:rsidRPr="002F46E2">
              <w:t xml:space="preserve"> </w:t>
            </w:r>
            <w:r w:rsidR="00862615">
              <w:t>December</w:t>
            </w:r>
            <w:r w:rsidR="003B2FA2">
              <w:t xml:space="preserve"> </w:t>
            </w:r>
            <w:r w:rsidR="007E06CE">
              <w:t>20</w:t>
            </w:r>
            <w:r w:rsidR="00592139">
              <w:t>2</w:t>
            </w:r>
            <w:r w:rsidR="000C4FDF">
              <w:t>1</w:t>
            </w:r>
          </w:p>
          <w:p w14:paraId="4418177F" w14:textId="32A5C5F4" w:rsidR="00971335" w:rsidRPr="007856ED" w:rsidRDefault="00971335" w:rsidP="00971335">
            <w:pPr>
              <w:spacing w:line="240" w:lineRule="exact"/>
            </w:pPr>
          </w:p>
          <w:p w14:paraId="6B4A39AD" w14:textId="77777777" w:rsidR="00971335" w:rsidRPr="007856ED" w:rsidRDefault="00971335" w:rsidP="00104C9B">
            <w:pPr>
              <w:spacing w:line="240" w:lineRule="exact"/>
            </w:pPr>
            <w:r w:rsidRPr="007856ED">
              <w:t>Original: English</w:t>
            </w:r>
          </w:p>
        </w:tc>
      </w:tr>
    </w:tbl>
    <w:p w14:paraId="4E8ECC1F" w14:textId="77777777" w:rsidR="008E47AF" w:rsidRPr="007D68EB" w:rsidRDefault="008E47AF" w:rsidP="008E47AF">
      <w:pPr>
        <w:spacing w:before="120"/>
        <w:rPr>
          <w:b/>
          <w:bCs/>
          <w:sz w:val="28"/>
          <w:szCs w:val="28"/>
        </w:rPr>
      </w:pPr>
      <w:r w:rsidRPr="007D68EB">
        <w:rPr>
          <w:b/>
          <w:bCs/>
          <w:sz w:val="28"/>
          <w:szCs w:val="28"/>
        </w:rPr>
        <w:t>Economic Commission for Europe</w:t>
      </w:r>
    </w:p>
    <w:p w14:paraId="5739B34D" w14:textId="77777777" w:rsidR="008E47AF" w:rsidRPr="007D68EB" w:rsidRDefault="008E47AF" w:rsidP="008E47AF">
      <w:pPr>
        <w:spacing w:before="120"/>
        <w:rPr>
          <w:sz w:val="28"/>
          <w:szCs w:val="28"/>
        </w:rPr>
      </w:pPr>
      <w:r w:rsidRPr="007D68EB">
        <w:rPr>
          <w:sz w:val="28"/>
          <w:szCs w:val="28"/>
        </w:rPr>
        <w:t>Inland Transport Committee</w:t>
      </w:r>
    </w:p>
    <w:p w14:paraId="5BA07C58" w14:textId="1F9EAB89" w:rsidR="008E47AF" w:rsidRDefault="006E60DF" w:rsidP="008E47AF">
      <w:pPr>
        <w:spacing w:before="120"/>
        <w:rPr>
          <w:b/>
          <w:bCs/>
          <w:lang w:val="en-US"/>
        </w:rPr>
      </w:pPr>
      <w:r>
        <w:rPr>
          <w:b/>
          <w:bCs/>
          <w:lang w:val="en-US"/>
        </w:rPr>
        <w:t>Eight</w:t>
      </w:r>
      <w:r w:rsidR="00F97B81">
        <w:rPr>
          <w:b/>
          <w:bCs/>
          <w:lang w:val="en-US"/>
        </w:rPr>
        <w:t>y-</w:t>
      </w:r>
      <w:r w:rsidR="000C4FDF">
        <w:rPr>
          <w:b/>
          <w:bCs/>
          <w:lang w:val="en-US"/>
        </w:rPr>
        <w:t>fourth</w:t>
      </w:r>
      <w:r w:rsidR="00592139" w:rsidRPr="007D68EB">
        <w:rPr>
          <w:b/>
          <w:bCs/>
          <w:lang w:val="en-US"/>
        </w:rPr>
        <w:t xml:space="preserve"> </w:t>
      </w:r>
      <w:r w:rsidR="008E47AF" w:rsidRPr="007D68EB">
        <w:rPr>
          <w:b/>
          <w:bCs/>
          <w:lang w:val="en-US"/>
        </w:rPr>
        <w:t>session</w:t>
      </w:r>
    </w:p>
    <w:p w14:paraId="36CF20F9" w14:textId="601EFBAF" w:rsidR="00ED0D23" w:rsidRPr="005621CE" w:rsidRDefault="008E47AF" w:rsidP="00CF353D">
      <w:pPr>
        <w:rPr>
          <w:b/>
        </w:rPr>
      </w:pPr>
      <w:r w:rsidRPr="007D68EB">
        <w:t>Geneva</w:t>
      </w:r>
      <w:r>
        <w:t xml:space="preserve">, </w:t>
      </w:r>
      <w:r w:rsidR="00F97B81">
        <w:t>2</w:t>
      </w:r>
      <w:r w:rsidR="00A512C3">
        <w:t>2</w:t>
      </w:r>
      <w:r w:rsidR="00BD7091">
        <w:t>-</w:t>
      </w:r>
      <w:r w:rsidR="00F97B81">
        <w:t>2</w:t>
      </w:r>
      <w:r w:rsidR="00E022D5">
        <w:t>5</w:t>
      </w:r>
      <w:r>
        <w:t xml:space="preserve"> February 20</w:t>
      </w:r>
      <w:r w:rsidR="00F97B81">
        <w:t>2</w:t>
      </w:r>
      <w:r w:rsidR="00E022D5">
        <w:t>2</w:t>
      </w:r>
      <w:r>
        <w:br/>
      </w:r>
      <w:r w:rsidRPr="00937727">
        <w:t xml:space="preserve">Item </w:t>
      </w:r>
      <w:r w:rsidR="00DC58DC" w:rsidRPr="00FE47B7">
        <w:t>9</w:t>
      </w:r>
      <w:r w:rsidR="005621CE" w:rsidRPr="00FE47B7">
        <w:t xml:space="preserve"> (</w:t>
      </w:r>
      <w:r w:rsidR="00DC58DC" w:rsidRPr="00FE47B7">
        <w:t>v</w:t>
      </w:r>
      <w:r w:rsidR="005621CE" w:rsidRPr="00FE47B7">
        <w:t>)</w:t>
      </w:r>
      <w:r w:rsidR="005621CE" w:rsidRPr="00937727">
        <w:t xml:space="preserve"> </w:t>
      </w:r>
      <w:r w:rsidRPr="00937727">
        <w:t>of the</w:t>
      </w:r>
      <w:r w:rsidRPr="00457246">
        <w:t xml:space="preserve"> provisional agenda</w:t>
      </w:r>
      <w:r w:rsidRPr="00457246">
        <w:br/>
      </w:r>
      <w:r w:rsidR="00CF353D" w:rsidRPr="00CF353D">
        <w:rPr>
          <w:b/>
        </w:rPr>
        <w:t xml:space="preserve">Strategic questions of a horizontal and cross-sectoral </w:t>
      </w:r>
      <w:r w:rsidR="00CF353D">
        <w:rPr>
          <w:b/>
        </w:rPr>
        <w:br/>
      </w:r>
      <w:r w:rsidR="00CF353D" w:rsidRPr="00CF353D">
        <w:rPr>
          <w:b/>
        </w:rPr>
        <w:t>policy or regulatory nature:</w:t>
      </w:r>
      <w:r w:rsidR="005621CE" w:rsidRPr="005621CE">
        <w:rPr>
          <w:b/>
        </w:rPr>
        <w:br/>
        <w:t>Transport statistics and data</w:t>
      </w:r>
    </w:p>
    <w:p w14:paraId="4330C49A" w14:textId="1175ECD8" w:rsidR="00BF6D0F" w:rsidRDefault="00BF6D0F" w:rsidP="00FB441D">
      <w:pPr>
        <w:pStyle w:val="HChG"/>
      </w:pPr>
      <w:r>
        <w:tab/>
      </w:r>
      <w:r>
        <w:tab/>
      </w:r>
      <w:r w:rsidRPr="00FB441D">
        <w:t>Transport</w:t>
      </w:r>
      <w:r>
        <w:t xml:space="preserve"> </w:t>
      </w:r>
      <w:r w:rsidR="00193E12">
        <w:t>S</w:t>
      </w:r>
      <w:r>
        <w:t xml:space="preserve">tatistics </w:t>
      </w:r>
      <w:r w:rsidR="002B32EF">
        <w:t>Activities</w:t>
      </w:r>
    </w:p>
    <w:p w14:paraId="40F3211C" w14:textId="2A33284B" w:rsidR="008E47AF" w:rsidRDefault="008E47AF" w:rsidP="00FB441D">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B3CA1" w14:paraId="5079B451" w14:textId="77777777" w:rsidTr="00A24AC3">
        <w:trPr>
          <w:jc w:val="center"/>
        </w:trPr>
        <w:tc>
          <w:tcPr>
            <w:tcW w:w="9629" w:type="dxa"/>
            <w:shd w:val="clear" w:color="auto" w:fill="auto"/>
          </w:tcPr>
          <w:p w14:paraId="4499846A" w14:textId="77777777" w:rsidR="00AB3CA1" w:rsidRPr="00C6263E" w:rsidRDefault="00AB3CA1" w:rsidP="00923202">
            <w:pPr>
              <w:spacing w:before="240" w:after="120"/>
              <w:ind w:left="255"/>
              <w:rPr>
                <w:i/>
                <w:sz w:val="24"/>
              </w:rPr>
            </w:pPr>
            <w:r w:rsidRPr="00C6263E">
              <w:rPr>
                <w:i/>
                <w:sz w:val="24"/>
              </w:rPr>
              <w:t>Summary</w:t>
            </w:r>
          </w:p>
        </w:tc>
      </w:tr>
      <w:tr w:rsidR="00AB3CA1" w14:paraId="008CA3F6" w14:textId="77777777" w:rsidTr="00A24AC3">
        <w:trPr>
          <w:jc w:val="center"/>
        </w:trPr>
        <w:tc>
          <w:tcPr>
            <w:tcW w:w="9629" w:type="dxa"/>
            <w:shd w:val="clear" w:color="auto" w:fill="auto"/>
          </w:tcPr>
          <w:p w14:paraId="68077126" w14:textId="3E928ABE" w:rsidR="00AB3CA1" w:rsidRDefault="00FE47B7" w:rsidP="00923202">
            <w:pPr>
              <w:pStyle w:val="SingleTxtG"/>
            </w:pPr>
            <w:r>
              <w:tab/>
            </w:r>
            <w:r>
              <w:tab/>
            </w:r>
            <w:r w:rsidR="00AB3CA1">
              <w:t xml:space="preserve">This document highlights the </w:t>
            </w:r>
            <w:r w:rsidR="00FE7A6F">
              <w:t>efforts made by</w:t>
            </w:r>
            <w:r w:rsidR="00AB3CA1">
              <w:t xml:space="preserve"> the Working Party on </w:t>
            </w:r>
            <w:r w:rsidR="00E022D5">
              <w:t>T</w:t>
            </w:r>
            <w:r w:rsidR="00AB3CA1">
              <w:t>ransport Statistics</w:t>
            </w:r>
            <w:r w:rsidR="00FE7A6F">
              <w:t xml:space="preserve"> to modernise</w:t>
            </w:r>
            <w:r w:rsidR="00583E3F">
              <w:t xml:space="preserve"> transport statistics</w:t>
            </w:r>
            <w:r w:rsidR="00FE7A6F">
              <w:t xml:space="preserve"> data </w:t>
            </w:r>
            <w:r w:rsidR="003D5EF0">
              <w:t xml:space="preserve">dissemination, focussing on the new interactive </w:t>
            </w:r>
            <w:r w:rsidR="003D67B0">
              <w:t xml:space="preserve">version of the </w:t>
            </w:r>
            <w:r w:rsidR="003D5EF0">
              <w:t>Transport Statistics Infocards</w:t>
            </w:r>
            <w:r w:rsidR="008A06D0">
              <w:t>.</w:t>
            </w:r>
          </w:p>
        </w:tc>
      </w:tr>
      <w:tr w:rsidR="00AB3CA1" w14:paraId="388DACEB" w14:textId="77777777" w:rsidTr="00A24AC3">
        <w:trPr>
          <w:jc w:val="center"/>
        </w:trPr>
        <w:tc>
          <w:tcPr>
            <w:tcW w:w="9629" w:type="dxa"/>
            <w:shd w:val="clear" w:color="auto" w:fill="auto"/>
          </w:tcPr>
          <w:p w14:paraId="2E7AD016" w14:textId="77777777" w:rsidR="00AB3CA1" w:rsidRDefault="00AB3CA1" w:rsidP="00923202"/>
        </w:tc>
      </w:tr>
    </w:tbl>
    <w:p w14:paraId="4A4A0EDB" w14:textId="476D194A" w:rsidR="008E47AF" w:rsidRDefault="00FB441D" w:rsidP="00FB441D">
      <w:pPr>
        <w:pStyle w:val="HChG"/>
      </w:pPr>
      <w:r>
        <w:tab/>
        <w:t>I.</w:t>
      </w:r>
      <w:r>
        <w:tab/>
      </w:r>
      <w:r w:rsidR="001C3E11" w:rsidRPr="00FB441D">
        <w:t>Background</w:t>
      </w:r>
    </w:p>
    <w:p w14:paraId="2F82EC97" w14:textId="7D08A077" w:rsidR="005E4DA0" w:rsidRDefault="00FB441D" w:rsidP="00FB441D">
      <w:pPr>
        <w:pStyle w:val="SingleTxtG"/>
      </w:pPr>
      <w:r>
        <w:t>1.</w:t>
      </w:r>
      <w:r>
        <w:tab/>
      </w:r>
      <w:r w:rsidR="008E47AF">
        <w:t>The Working Party on Transport Statistics</w:t>
      </w:r>
      <w:r w:rsidR="00A104EB">
        <w:t xml:space="preserve"> (WP.6)</w:t>
      </w:r>
      <w:r w:rsidR="008E47AF">
        <w:t xml:space="preserve"> continues its activities in providing key data to </w:t>
      </w:r>
      <w:r w:rsidR="008E47AF" w:rsidRPr="00FB441D">
        <w:t>inform</w:t>
      </w:r>
      <w:r w:rsidR="008E47AF">
        <w:t xml:space="preserve"> the I</w:t>
      </w:r>
      <w:r w:rsidR="00B72C9C">
        <w:t xml:space="preserve">nland </w:t>
      </w:r>
      <w:r w:rsidR="008E47AF">
        <w:t>T</w:t>
      </w:r>
      <w:r w:rsidR="00B72C9C">
        <w:t xml:space="preserve">ransport </w:t>
      </w:r>
      <w:r w:rsidR="008E47AF">
        <w:t>C</w:t>
      </w:r>
      <w:r w:rsidR="00B72C9C">
        <w:t>ommittee (ITC)</w:t>
      </w:r>
      <w:r w:rsidR="008E47AF">
        <w:t xml:space="preserve"> on developments in the inland transport sector</w:t>
      </w:r>
      <w:r w:rsidR="00535A42">
        <w:t>,</w:t>
      </w:r>
      <w:r w:rsidR="008E47AF">
        <w:t xml:space="preserve"> as well as to facilitate the work of other Working Parties and individual member States</w:t>
      </w:r>
      <w:r w:rsidR="00957FE8">
        <w:t xml:space="preserve"> through evidence-based policy making</w:t>
      </w:r>
      <w:r w:rsidR="008E47AF" w:rsidRPr="008F5ED0">
        <w:t>.</w:t>
      </w:r>
      <w:r w:rsidR="001C3544">
        <w:t xml:space="preserve"> </w:t>
      </w:r>
      <w:r w:rsidR="001311FF">
        <w:t xml:space="preserve">In line with the Inland Transport Committee Strategy </w:t>
      </w:r>
      <w:r w:rsidR="006A63B4">
        <w:t>until</w:t>
      </w:r>
      <w:r w:rsidR="001311FF">
        <w:t xml:space="preserve"> 2030, part of this is to </w:t>
      </w:r>
      <w:r w:rsidR="008B5253">
        <w:t>modernize data dissemination activities.</w:t>
      </w:r>
      <w:r w:rsidR="000D7030">
        <w:t xml:space="preserve"> Transport Statistics Infocards have, since 2017, provided country </w:t>
      </w:r>
      <w:r w:rsidR="003D1DBE">
        <w:t xml:space="preserve">profiles </w:t>
      </w:r>
      <w:r w:rsidR="008D77AF">
        <w:t>containing main</w:t>
      </w:r>
      <w:r w:rsidR="003D1DBE" w:rsidRPr="003D1DBE">
        <w:t xml:space="preserve"> transport indicators for each member State</w:t>
      </w:r>
      <w:r w:rsidR="004927D8">
        <w:t>.</w:t>
      </w:r>
      <w:r w:rsidR="008B5253">
        <w:t xml:space="preserve"> </w:t>
      </w:r>
      <w:r w:rsidR="008B5253" w:rsidRPr="00161E0A">
        <w:t xml:space="preserve">This document describes </w:t>
      </w:r>
      <w:r w:rsidR="000F64E8" w:rsidRPr="00161E0A">
        <w:t xml:space="preserve">the </w:t>
      </w:r>
      <w:r w:rsidR="006B4FF0" w:rsidRPr="00161E0A">
        <w:t>new interactive version of the Transport Statistics Infocards</w:t>
      </w:r>
      <w:r w:rsidR="006B4FF0">
        <w:t>.</w:t>
      </w:r>
      <w:r w:rsidR="00161E0A">
        <w:t xml:space="preserve"> </w:t>
      </w:r>
    </w:p>
    <w:p w14:paraId="6D90F229" w14:textId="3F700E30" w:rsidR="008A1D68" w:rsidRDefault="00FB441D" w:rsidP="00FB441D">
      <w:pPr>
        <w:pStyle w:val="HChG"/>
      </w:pPr>
      <w:r>
        <w:tab/>
        <w:t>II.</w:t>
      </w:r>
      <w:r>
        <w:tab/>
      </w:r>
      <w:r w:rsidR="00161E0A" w:rsidRPr="00FB441D">
        <w:t>Previous</w:t>
      </w:r>
      <w:r w:rsidR="00161E0A">
        <w:t xml:space="preserve"> </w:t>
      </w:r>
      <w:r w:rsidR="008A1D68">
        <w:t xml:space="preserve">Transport Statistics </w:t>
      </w:r>
      <w:proofErr w:type="spellStart"/>
      <w:r w:rsidR="008A1D68">
        <w:t>Infocards</w:t>
      </w:r>
      <w:proofErr w:type="spellEnd"/>
    </w:p>
    <w:p w14:paraId="1DD100B1" w14:textId="2A97D1E1" w:rsidR="00F55CC9" w:rsidRPr="00F55CC9" w:rsidRDefault="00FB441D" w:rsidP="00FB441D">
      <w:pPr>
        <w:pStyle w:val="SingleTxtG"/>
      </w:pPr>
      <w:r w:rsidRPr="00F55CC9">
        <w:t>2.</w:t>
      </w:r>
      <w:r w:rsidRPr="00F55CC9">
        <w:tab/>
      </w:r>
      <w:r w:rsidR="00B0655D" w:rsidRPr="00B0655D">
        <w:t xml:space="preserve">A set of </w:t>
      </w:r>
      <w:r w:rsidR="00B0655D" w:rsidRPr="00FB441D">
        <w:t>transport</w:t>
      </w:r>
      <w:r w:rsidR="00B0655D" w:rsidRPr="00B0655D">
        <w:t xml:space="preserve"> statistics country profiles - Transport Statistics </w:t>
      </w:r>
      <w:proofErr w:type="spellStart"/>
      <w:r w:rsidR="00B0655D" w:rsidRPr="00B0655D">
        <w:t>Infocards</w:t>
      </w:r>
      <w:proofErr w:type="spellEnd"/>
      <w:r w:rsidR="00B0655D" w:rsidRPr="00B0655D">
        <w:t xml:space="preserve"> - have been prepared </w:t>
      </w:r>
      <w:r w:rsidR="00E1421A" w:rsidRPr="00B0655D">
        <w:t xml:space="preserve">since 2017 </w:t>
      </w:r>
      <w:r w:rsidR="00B0655D" w:rsidRPr="00B0655D">
        <w:t>by the secretariat, based on information available in the ECE transport statistics database</w:t>
      </w:r>
      <w:r w:rsidR="004927D8">
        <w:t xml:space="preserve"> (</w:t>
      </w:r>
      <w:r w:rsidR="004927D8" w:rsidRPr="004927D8">
        <w:t>http://w3.unece.org/PXWeb/en</w:t>
      </w:r>
      <w:r w:rsidR="004927D8">
        <w:t>)</w:t>
      </w:r>
      <w:r w:rsidR="00B0655D" w:rsidRPr="00B0655D">
        <w:t>, to provide annual country-by-country overviews of key transport indicators, including passenger and freight volumes, modal split and road safety related data for ECE member States.</w:t>
      </w:r>
      <w:r w:rsidR="00C679E1">
        <w:t xml:space="preserve"> </w:t>
      </w:r>
      <w:r w:rsidR="00282F7F">
        <w:t xml:space="preserve">The original idea behind the Infocards was to complement the </w:t>
      </w:r>
      <w:r w:rsidR="005D3428">
        <w:t xml:space="preserve">formal publications on transport and road safety statistics that were organized around themes, towards organizing the data around countries. </w:t>
      </w:r>
      <w:r w:rsidR="00E60CAE">
        <w:t xml:space="preserve">The </w:t>
      </w:r>
      <w:r w:rsidR="00CA4273">
        <w:t>In</w:t>
      </w:r>
      <w:r w:rsidR="00ED3F67">
        <w:t>focards produced between 2017 and 2021 are available a</w:t>
      </w:r>
      <w:r w:rsidR="00282F7F">
        <w:t>t</w:t>
      </w:r>
      <w:r w:rsidR="00ED3F67">
        <w:t xml:space="preserve"> </w:t>
      </w:r>
      <w:hyperlink r:id="rId12" w:history="1">
        <w:r w:rsidR="00ED3F67" w:rsidRPr="002D3B55">
          <w:rPr>
            <w:rStyle w:val="Hyperlink"/>
          </w:rPr>
          <w:t>https://unece.org/transport/transport-</w:t>
        </w:r>
        <w:r w:rsidR="00ED3F67" w:rsidRPr="002D3B55">
          <w:rPr>
            <w:rStyle w:val="Hyperlink"/>
          </w:rPr>
          <w:lastRenderedPageBreak/>
          <w:t>statistics/infocards</w:t>
        </w:r>
      </w:hyperlink>
      <w:r w:rsidR="00ED3F67">
        <w:t xml:space="preserve">. </w:t>
      </w:r>
      <w:r w:rsidR="00C679E1" w:rsidRPr="00C679E1">
        <w:t>Fr</w:t>
      </w:r>
      <w:r w:rsidR="003F20D2">
        <w:t>om</w:t>
      </w:r>
      <w:r w:rsidR="00C679E1" w:rsidRPr="00C679E1">
        <w:t xml:space="preserve"> September 2021 onwards, this product has been modernised from </w:t>
      </w:r>
      <w:r w:rsidR="00E1421A">
        <w:t xml:space="preserve">a </w:t>
      </w:r>
      <w:r w:rsidR="00C679E1" w:rsidRPr="00C679E1">
        <w:t>PDF format towards an interactive data dashboard.</w:t>
      </w:r>
    </w:p>
    <w:p w14:paraId="708422BA" w14:textId="48DD2D44" w:rsidR="00161E0A" w:rsidRDefault="00FB441D" w:rsidP="00FB441D">
      <w:pPr>
        <w:pStyle w:val="HChG"/>
      </w:pPr>
      <w:r>
        <w:tab/>
        <w:t>III.</w:t>
      </w:r>
      <w:r>
        <w:tab/>
      </w:r>
      <w:r w:rsidR="00161E0A">
        <w:t xml:space="preserve">New </w:t>
      </w:r>
      <w:r w:rsidR="00161E0A" w:rsidRPr="00FB441D">
        <w:t>Interactive</w:t>
      </w:r>
      <w:r w:rsidR="00161E0A">
        <w:t xml:space="preserve"> Version</w:t>
      </w:r>
    </w:p>
    <w:p w14:paraId="17133AF6" w14:textId="50A4C03F" w:rsidR="008E42AD" w:rsidRPr="00FB441D" w:rsidRDefault="00FB441D" w:rsidP="00FB441D">
      <w:pPr>
        <w:pStyle w:val="SingleTxtG"/>
      </w:pPr>
      <w:r>
        <w:t>3.</w:t>
      </w:r>
      <w:r>
        <w:tab/>
      </w:r>
      <w:r w:rsidR="004927D8" w:rsidRPr="004927D8">
        <w:t>The new</w:t>
      </w:r>
      <w:r w:rsidR="00BD5AAC">
        <w:t xml:space="preserve"> </w:t>
      </w:r>
      <w:r w:rsidR="003D1826">
        <w:t>version of the Transport Statistics Infocards</w:t>
      </w:r>
      <w:r w:rsidR="004927D8" w:rsidRPr="004927D8">
        <w:t xml:space="preserve"> </w:t>
      </w:r>
      <w:r w:rsidR="005F1FE8">
        <w:t>offer</w:t>
      </w:r>
      <w:r w:rsidR="00E557DB">
        <w:t>s</w:t>
      </w:r>
      <w:r w:rsidR="005F1FE8">
        <w:t xml:space="preserve"> dynamic and interactive </w:t>
      </w:r>
      <w:r w:rsidR="00004346">
        <w:t xml:space="preserve">country </w:t>
      </w:r>
      <w:r w:rsidR="005F1FE8" w:rsidRPr="00FB441D">
        <w:t>overview</w:t>
      </w:r>
      <w:r w:rsidR="00004346" w:rsidRPr="00FB441D">
        <w:t>s</w:t>
      </w:r>
      <w:r w:rsidR="005F1FE8" w:rsidRPr="00FB441D">
        <w:t xml:space="preserve"> of </w:t>
      </w:r>
      <w:r w:rsidR="00004346" w:rsidRPr="00FB441D">
        <w:t>key transport indicators</w:t>
      </w:r>
      <w:r w:rsidR="004927D8" w:rsidRPr="00FB441D">
        <w:t xml:space="preserve"> </w:t>
      </w:r>
      <w:r w:rsidR="00112C56" w:rsidRPr="00FB441D">
        <w:t xml:space="preserve">in the form of a data dashboard. </w:t>
      </w:r>
      <w:r w:rsidR="003A2A41" w:rsidRPr="00FB441D">
        <w:t>All individual Country profiles are available in the three ECE official languages</w:t>
      </w:r>
      <w:r w:rsidR="007D575A" w:rsidRPr="00FB441D">
        <w:t>, English, French and Russian</w:t>
      </w:r>
      <w:r w:rsidR="003A2A41" w:rsidRPr="00FB441D">
        <w:t xml:space="preserve">. </w:t>
      </w:r>
      <w:r w:rsidR="00112C56" w:rsidRPr="00FB441D">
        <w:t xml:space="preserve">They </w:t>
      </w:r>
      <w:r w:rsidR="004927D8" w:rsidRPr="00FB441D">
        <w:t xml:space="preserve">can be viewed at </w:t>
      </w:r>
      <w:hyperlink r:id="rId13" w:history="1">
        <w:r w:rsidR="00004346" w:rsidRPr="00FB441D">
          <w:rPr>
            <w:rStyle w:val="Hyperlink"/>
          </w:rPr>
          <w:t>https://stats.unece.org/infocard/</w:t>
        </w:r>
      </w:hyperlink>
      <w:r w:rsidR="004927D8" w:rsidRPr="00FB441D">
        <w:t>.</w:t>
      </w:r>
      <w:r w:rsidR="00004346" w:rsidRPr="00FB441D">
        <w:t xml:space="preserve"> </w:t>
      </w:r>
      <w:r w:rsidR="00532179" w:rsidRPr="00FB441D">
        <w:t xml:space="preserve">In contrast with the previously static PDF, users can hover over graphs to find out exact figures, can click through </w:t>
      </w:r>
      <w:r w:rsidR="00EA460C" w:rsidRPr="00FB441D">
        <w:t xml:space="preserve">to </w:t>
      </w:r>
      <w:r w:rsidR="00B431E8" w:rsidRPr="00FB441D">
        <w:t>maps for some of the indicators, and can toggle between countries and languages easily.</w:t>
      </w:r>
    </w:p>
    <w:p w14:paraId="3AFFCF11" w14:textId="783685A0" w:rsidR="00A634C3" w:rsidRDefault="00FB441D" w:rsidP="00FB441D">
      <w:pPr>
        <w:pStyle w:val="SingleTxtG"/>
      </w:pPr>
      <w:r w:rsidRPr="00FB441D">
        <w:t>4.</w:t>
      </w:r>
      <w:r w:rsidRPr="00FB441D">
        <w:tab/>
      </w:r>
      <w:r w:rsidR="00E557DB" w:rsidRPr="00FB441D">
        <w:t xml:space="preserve">The </w:t>
      </w:r>
      <w:proofErr w:type="spellStart"/>
      <w:r w:rsidR="00E557DB" w:rsidRPr="00FB441D">
        <w:t>Infocard</w:t>
      </w:r>
      <w:proofErr w:type="spellEnd"/>
      <w:r w:rsidR="00E557DB" w:rsidRPr="00FB441D">
        <w:t xml:space="preserve"> dashboard </w:t>
      </w:r>
      <w:r w:rsidR="007D575A" w:rsidRPr="00FB441D">
        <w:t xml:space="preserve">country </w:t>
      </w:r>
      <w:r w:rsidR="00E557DB" w:rsidRPr="00FB441D">
        <w:t>of choice is selected from the drop-menu on the top</w:t>
      </w:r>
      <w:r w:rsidR="007D575A" w:rsidRPr="00FB441D">
        <w:t>-right</w:t>
      </w:r>
      <w:r w:rsidR="00E557DB" w:rsidRPr="00FB441D">
        <w:t xml:space="preserve"> of the webpage. </w:t>
      </w:r>
      <w:r w:rsidR="00A634C3" w:rsidRPr="00FB441D">
        <w:t>The top section</w:t>
      </w:r>
      <w:r w:rsidR="00020155" w:rsidRPr="00FB441D">
        <w:t xml:space="preserve"> of </w:t>
      </w:r>
      <w:r w:rsidR="00552D1A" w:rsidRPr="00FB441D">
        <w:t>a</w:t>
      </w:r>
      <w:r w:rsidR="00020155" w:rsidRPr="00FB441D">
        <w:t xml:space="preserve"> country</w:t>
      </w:r>
      <w:r w:rsidR="00A062ED" w:rsidRPr="00FB441D">
        <w:t xml:space="preserve"> </w:t>
      </w:r>
      <w:proofErr w:type="spellStart"/>
      <w:r w:rsidR="004F07EC" w:rsidRPr="00FB441D">
        <w:t>Infocard</w:t>
      </w:r>
      <w:proofErr w:type="spellEnd"/>
      <w:r w:rsidR="004F07EC" w:rsidRPr="00FB441D">
        <w:t xml:space="preserve"> dashboard</w:t>
      </w:r>
      <w:r w:rsidR="00A062ED" w:rsidRPr="00FB441D">
        <w:t xml:space="preserve"> contains</w:t>
      </w:r>
      <w:r w:rsidR="00542E99" w:rsidRPr="00FB441D">
        <w:t xml:space="preserve"> information </w:t>
      </w:r>
      <w:r w:rsidR="000B7FDB" w:rsidRPr="00FB441D">
        <w:t>on its</w:t>
      </w:r>
      <w:r w:rsidR="000B7FDB">
        <w:t xml:space="preserve"> status as a Contracting Party to</w:t>
      </w:r>
      <w:r w:rsidR="005952E8">
        <w:t xml:space="preserve"> UN Transport Conventions and Agreements, as well as</w:t>
      </w:r>
      <w:r w:rsidR="000B7FDB">
        <w:t xml:space="preserve"> a set of</w:t>
      </w:r>
      <w:r w:rsidR="000E7040">
        <w:t xml:space="preserve"> more</w:t>
      </w:r>
      <w:r w:rsidR="005952E8">
        <w:t xml:space="preserve"> statistics </w:t>
      </w:r>
      <w:r w:rsidR="00DE3496">
        <w:t xml:space="preserve">of key importance for </w:t>
      </w:r>
      <w:r w:rsidR="00F97C0D">
        <w:t>inland transport</w:t>
      </w:r>
      <w:r w:rsidR="000E7040">
        <w:t xml:space="preserve">; the size and population of the country, as well as its </w:t>
      </w:r>
      <w:r w:rsidR="008D3C04">
        <w:t>number of passenger cars, motorization rate, and length of railway lines</w:t>
      </w:r>
      <w:r w:rsidR="00030ACD">
        <w:t>.</w:t>
      </w:r>
    </w:p>
    <w:p w14:paraId="0D1EB451" w14:textId="4C0D9A35" w:rsidR="00FB441D" w:rsidRDefault="00FB441D" w:rsidP="00FB441D">
      <w:pPr>
        <w:pStyle w:val="Heading1"/>
        <w:rPr>
          <w:lang w:val="en-US"/>
        </w:rPr>
      </w:pPr>
      <w:r>
        <w:t xml:space="preserve">Figure </w:t>
      </w:r>
      <w:fldSimple w:instr=" SEQ Figure \* ARABIC ">
        <w:r w:rsidR="008F6F8E">
          <w:rPr>
            <w:noProof/>
          </w:rPr>
          <w:t>1</w:t>
        </w:r>
      </w:fldSimple>
      <w:r>
        <w:rPr>
          <w:lang w:val="en-US"/>
        </w:rPr>
        <w:t xml:space="preserve"> </w:t>
      </w:r>
    </w:p>
    <w:p w14:paraId="5EB1330D" w14:textId="4A9B12C6" w:rsidR="00FB441D" w:rsidRPr="00FB441D" w:rsidRDefault="00FB441D" w:rsidP="00FB441D">
      <w:pPr>
        <w:pStyle w:val="Heading1"/>
        <w:rPr>
          <w:b/>
          <w:bCs/>
        </w:rPr>
      </w:pPr>
      <w:r w:rsidRPr="00FB441D">
        <w:rPr>
          <w:b/>
          <w:bCs/>
          <w:lang w:val="en-US"/>
        </w:rPr>
        <w:t xml:space="preserve">Top-level data shown in the </w:t>
      </w:r>
      <w:proofErr w:type="spellStart"/>
      <w:r w:rsidRPr="00FB441D">
        <w:rPr>
          <w:b/>
          <w:bCs/>
          <w:lang w:val="en-US"/>
        </w:rPr>
        <w:t>Infocards</w:t>
      </w:r>
      <w:proofErr w:type="spellEnd"/>
      <w:r w:rsidRPr="00FB441D">
        <w:rPr>
          <w:b/>
          <w:bCs/>
          <w:lang w:val="en-US"/>
        </w:rPr>
        <w:t xml:space="preserve"> dashboard</w:t>
      </w:r>
    </w:p>
    <w:p w14:paraId="71C52E96" w14:textId="77777777" w:rsidR="000E1507" w:rsidRDefault="00A528D5" w:rsidP="00FB441D">
      <w:pPr>
        <w:pStyle w:val="SingleTxtG"/>
        <w:keepNext/>
        <w:jc w:val="left"/>
      </w:pPr>
      <w:r>
        <w:rPr>
          <w:noProof/>
        </w:rPr>
        <w:drawing>
          <wp:inline distT="0" distB="0" distL="0" distR="0" wp14:anchorId="488C5810" wp14:editId="7556E7F9">
            <wp:extent cx="4239010" cy="2052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9010" cy="2052000"/>
                    </a:xfrm>
                    <a:prstGeom prst="rect">
                      <a:avLst/>
                    </a:prstGeom>
                  </pic:spPr>
                </pic:pic>
              </a:graphicData>
            </a:graphic>
          </wp:inline>
        </w:drawing>
      </w:r>
    </w:p>
    <w:p w14:paraId="021CAA69" w14:textId="11EE0DF8" w:rsidR="00BB1EE5" w:rsidRDefault="00FB441D" w:rsidP="00FB441D">
      <w:pPr>
        <w:pStyle w:val="SingleTxtG"/>
      </w:pPr>
      <w:r>
        <w:t>5.</w:t>
      </w:r>
      <w:r>
        <w:tab/>
      </w:r>
      <w:r w:rsidR="00CF037F">
        <w:t xml:space="preserve">When scrolling further down through the </w:t>
      </w:r>
      <w:r w:rsidR="004F07EC">
        <w:t xml:space="preserve">country </w:t>
      </w:r>
      <w:r w:rsidR="00CF037F">
        <w:t>dashboard the user can view a series of graphs</w:t>
      </w:r>
      <w:r w:rsidR="00617B22">
        <w:t>, charts</w:t>
      </w:r>
      <w:r w:rsidR="00CF037F">
        <w:t xml:space="preserve"> and maps</w:t>
      </w:r>
      <w:r w:rsidR="00617B22">
        <w:t xml:space="preserve"> for visualising key country transport statistics</w:t>
      </w:r>
      <w:r w:rsidR="007F5490">
        <w:t>.</w:t>
      </w:r>
      <w:r w:rsidR="001F6A07">
        <w:t xml:space="preserve"> In the first row, t</w:t>
      </w:r>
      <w:r w:rsidR="007F5490">
        <w:t>he “Road fatality score”</w:t>
      </w:r>
      <w:r w:rsidR="006F0374">
        <w:t>, visualised as a ECE region map,</w:t>
      </w:r>
      <w:r w:rsidR="007F5490">
        <w:t xml:space="preserve"> </w:t>
      </w:r>
      <w:r w:rsidR="007F5490" w:rsidRPr="007F5490">
        <w:t xml:space="preserve">assigns a score to each country </w:t>
      </w:r>
      <w:r w:rsidR="007F5490" w:rsidRPr="00FB441D">
        <w:t>based</w:t>
      </w:r>
      <w:r w:rsidR="007F5490" w:rsidRPr="007F5490">
        <w:t xml:space="preserve"> on their relative position </w:t>
      </w:r>
      <w:r w:rsidR="00E1421A">
        <w:t>in relation to</w:t>
      </w:r>
      <w:r w:rsidR="00E1421A" w:rsidRPr="007F5490">
        <w:t xml:space="preserve"> </w:t>
      </w:r>
      <w:r w:rsidR="007F5490" w:rsidRPr="007F5490">
        <w:t>all ECE member States in terms of road traffic</w:t>
      </w:r>
      <w:r w:rsidR="002F46E2">
        <w:t xml:space="preserve"> </w:t>
      </w:r>
      <w:r w:rsidR="007F5490" w:rsidRPr="007F5490">
        <w:t>fatalities per million inhabitants, with approximately the same number of countries assigned to each rating band. A low score indicates less road fatalities per million inhabitants relative to other countries.</w:t>
      </w:r>
      <w:r w:rsidR="001F6A07">
        <w:t xml:space="preserve"> The adjacent chart</w:t>
      </w:r>
      <w:r w:rsidR="00227E4B">
        <w:t xml:space="preserve"> can be toggled between</w:t>
      </w:r>
      <w:r w:rsidR="001F6A07">
        <w:t xml:space="preserve"> </w:t>
      </w:r>
      <w:r w:rsidR="00227E4B">
        <w:t xml:space="preserve">visualising a longitudinal </w:t>
      </w:r>
      <w:r w:rsidR="0025488E">
        <w:t>overview of</w:t>
      </w:r>
      <w:r w:rsidR="00227E4B">
        <w:t xml:space="preserve"> the total number of road traffic fatalities</w:t>
      </w:r>
      <w:r w:rsidR="007C0F1A">
        <w:t>,</w:t>
      </w:r>
      <w:r w:rsidR="00227E4B">
        <w:t xml:space="preserve"> </w:t>
      </w:r>
      <w:r w:rsidR="00193F9C">
        <w:t xml:space="preserve">and the road traffic fatality rate per 100 000 cars </w:t>
      </w:r>
      <w:r w:rsidR="00227E4B">
        <w:t>for the country</w:t>
      </w:r>
      <w:r w:rsidR="008D2E8C">
        <w:t xml:space="preserve">. Both charts can be </w:t>
      </w:r>
      <w:r w:rsidR="00644A2C">
        <w:t>switched to a</w:t>
      </w:r>
      <w:r w:rsidR="00250589">
        <w:t xml:space="preserve">n </w:t>
      </w:r>
      <w:r w:rsidR="0025488E">
        <w:t>ECE region</w:t>
      </w:r>
      <w:r w:rsidR="00644A2C">
        <w:t xml:space="preserve"> map </w:t>
      </w:r>
      <w:r w:rsidR="0025488E">
        <w:t xml:space="preserve">enabling </w:t>
      </w:r>
      <w:r w:rsidR="00250589">
        <w:t xml:space="preserve">quick </w:t>
      </w:r>
      <w:r w:rsidR="0025488E">
        <w:t xml:space="preserve">country comparisons </w:t>
      </w:r>
      <w:r w:rsidR="00250589">
        <w:t>for</w:t>
      </w:r>
      <w:r w:rsidR="0025488E">
        <w:t xml:space="preserve"> the two </w:t>
      </w:r>
      <w:r w:rsidR="00250589">
        <w:t>indicator</w:t>
      </w:r>
      <w:r w:rsidR="0025488E">
        <w:t>s.</w:t>
      </w:r>
      <w:r w:rsidR="00644A2C">
        <w:t xml:space="preserve"> </w:t>
      </w:r>
    </w:p>
    <w:p w14:paraId="37144A37" w14:textId="4180A1C0" w:rsidR="00FB441D" w:rsidRDefault="00FB441D" w:rsidP="00FB441D">
      <w:pPr>
        <w:pStyle w:val="Heading1"/>
        <w:keepNext/>
        <w:keepLines/>
        <w:rPr>
          <w:lang w:val="en-US"/>
        </w:rPr>
      </w:pPr>
      <w:r>
        <w:lastRenderedPageBreak/>
        <w:t xml:space="preserve">Figure </w:t>
      </w:r>
      <w:fldSimple w:instr=" SEQ Figure \* ARABIC ">
        <w:r w:rsidR="008F6F8E">
          <w:rPr>
            <w:noProof/>
          </w:rPr>
          <w:t>2</w:t>
        </w:r>
      </w:fldSimple>
    </w:p>
    <w:p w14:paraId="5C41A459" w14:textId="50B47C60" w:rsidR="00FB441D" w:rsidRPr="00FB441D" w:rsidRDefault="00FB441D" w:rsidP="00FB441D">
      <w:pPr>
        <w:pStyle w:val="Heading1"/>
        <w:keepNext/>
        <w:keepLines/>
        <w:rPr>
          <w:b/>
          <w:bCs/>
        </w:rPr>
      </w:pPr>
      <w:r w:rsidRPr="00FB441D">
        <w:rPr>
          <w:b/>
          <w:bCs/>
          <w:lang w:val="en-US"/>
        </w:rPr>
        <w:t>Road traffic fatality score, map and line graphs</w:t>
      </w:r>
    </w:p>
    <w:p w14:paraId="74ABD04C" w14:textId="77777777" w:rsidR="00250589" w:rsidRDefault="002D07DD" w:rsidP="00FB441D">
      <w:pPr>
        <w:pStyle w:val="SingleTxtG"/>
        <w:keepNext/>
        <w:keepLines/>
        <w:jc w:val="left"/>
      </w:pPr>
      <w:r>
        <w:rPr>
          <w:noProof/>
        </w:rPr>
        <w:drawing>
          <wp:inline distT="0" distB="0" distL="0" distR="0" wp14:anchorId="5E6D5322" wp14:editId="5A4CF301">
            <wp:extent cx="4450991" cy="2266824"/>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4113" cy="2298971"/>
                    </a:xfrm>
                    <a:prstGeom prst="rect">
                      <a:avLst/>
                    </a:prstGeom>
                  </pic:spPr>
                </pic:pic>
              </a:graphicData>
            </a:graphic>
          </wp:inline>
        </w:drawing>
      </w:r>
    </w:p>
    <w:p w14:paraId="015ADC32" w14:textId="16838822" w:rsidR="003E4A61" w:rsidRDefault="00FB441D" w:rsidP="00FB441D">
      <w:pPr>
        <w:pStyle w:val="SingleTxtG"/>
      </w:pPr>
      <w:r>
        <w:t>6.</w:t>
      </w:r>
      <w:r>
        <w:tab/>
      </w:r>
      <w:r w:rsidR="00064A2D">
        <w:t xml:space="preserve">The subsequent </w:t>
      </w:r>
      <w:r w:rsidR="00AC326A">
        <w:t>section</w:t>
      </w:r>
      <w:r w:rsidR="00064A2D">
        <w:t xml:space="preserve"> contains two </w:t>
      </w:r>
      <w:r w:rsidR="00F50EEB">
        <w:t>bar charts</w:t>
      </w:r>
      <w:r w:rsidR="00915829">
        <w:t xml:space="preserve"> showing ECE wide comparisons</w:t>
      </w:r>
      <w:r w:rsidR="00A44C87">
        <w:t xml:space="preserve">, in both of which the bar representing the country currently being viewed </w:t>
      </w:r>
      <w:r w:rsidR="00E4024C">
        <w:t xml:space="preserve">is </w:t>
      </w:r>
      <w:r w:rsidR="00A44C87">
        <w:t>highlighted in red</w:t>
      </w:r>
      <w:r w:rsidR="00891D06">
        <w:t xml:space="preserve">, and both of which can be </w:t>
      </w:r>
      <w:r w:rsidR="008D15E3">
        <w:t xml:space="preserve">converted to display the respective statistics </w:t>
      </w:r>
      <w:r w:rsidR="008D15E3" w:rsidRPr="008D15E3">
        <w:t>a</w:t>
      </w:r>
      <w:r w:rsidR="008D15E3">
        <w:t>s</w:t>
      </w:r>
      <w:r w:rsidR="008D15E3" w:rsidRPr="008D15E3">
        <w:t xml:space="preserve"> </w:t>
      </w:r>
      <w:r w:rsidR="008D15E3">
        <w:t xml:space="preserve">a </w:t>
      </w:r>
      <w:r w:rsidR="008D15E3" w:rsidRPr="008D15E3">
        <w:t>rating</w:t>
      </w:r>
      <w:r w:rsidR="00F329D1">
        <w:t xml:space="preserve">-based </w:t>
      </w:r>
      <w:r w:rsidR="008D15E3" w:rsidRPr="008D15E3">
        <w:t>ECE region map</w:t>
      </w:r>
      <w:r w:rsidR="000C6B49">
        <w:t>, further</w:t>
      </w:r>
      <w:r w:rsidR="008D15E3" w:rsidRPr="008D15E3">
        <w:t xml:space="preserve"> enabling country comparison</w:t>
      </w:r>
      <w:r w:rsidR="00A44C87">
        <w:t xml:space="preserve">. The left </w:t>
      </w:r>
      <w:r w:rsidR="00064A2D">
        <w:t>one</w:t>
      </w:r>
      <w:r w:rsidR="00A44C87">
        <w:t xml:space="preserve"> </w:t>
      </w:r>
      <w:r w:rsidR="000C6B49">
        <w:t>can be</w:t>
      </w:r>
      <w:r w:rsidR="00F50EEB">
        <w:t xml:space="preserve"> toggle</w:t>
      </w:r>
      <w:r w:rsidR="000C6B49">
        <w:t>d</w:t>
      </w:r>
      <w:r w:rsidR="00F50EEB">
        <w:t xml:space="preserve"> </w:t>
      </w:r>
      <w:r w:rsidR="00C629A4">
        <w:t>between</w:t>
      </w:r>
      <w:r w:rsidR="00F50EEB">
        <w:t xml:space="preserve"> </w:t>
      </w:r>
      <w:r w:rsidR="00064A2D">
        <w:t>roa</w:t>
      </w:r>
      <w:r w:rsidR="00F50EEB">
        <w:t xml:space="preserve">d traffic </w:t>
      </w:r>
      <w:r w:rsidR="00F50EEB" w:rsidRPr="00D8336E">
        <w:t xml:space="preserve">fatalities per million inhabitants </w:t>
      </w:r>
      <w:r w:rsidR="00D8336E">
        <w:t>(as shown b</w:t>
      </w:r>
      <w:r w:rsidR="00E4024C">
        <w:t>e</w:t>
      </w:r>
      <w:r w:rsidR="00D8336E">
        <w:t xml:space="preserve">low) </w:t>
      </w:r>
      <w:r w:rsidR="00F50EEB" w:rsidRPr="00D8336E">
        <w:t xml:space="preserve">and </w:t>
      </w:r>
      <w:r w:rsidR="000C6B49" w:rsidRPr="00D8336E">
        <w:t>the</w:t>
      </w:r>
      <w:r w:rsidR="00C629A4" w:rsidRPr="00D8336E">
        <w:t xml:space="preserve"> rate </w:t>
      </w:r>
      <w:r w:rsidR="00633723" w:rsidRPr="00D8336E">
        <w:t>per 100</w:t>
      </w:r>
      <w:r w:rsidR="00E1421A" w:rsidRPr="00D8336E">
        <w:t>,</w:t>
      </w:r>
      <w:r w:rsidR="00633723" w:rsidRPr="00D8336E">
        <w:t xml:space="preserve">000 </w:t>
      </w:r>
      <w:r w:rsidR="000C6B49" w:rsidRPr="00D8336E">
        <w:t xml:space="preserve">passenger </w:t>
      </w:r>
      <w:r w:rsidR="00633723" w:rsidRPr="00D8336E">
        <w:t>cars</w:t>
      </w:r>
      <w:r w:rsidR="00C629A4" w:rsidRPr="00D8336E">
        <w:t>.</w:t>
      </w:r>
      <w:r w:rsidR="0001276A">
        <w:t xml:space="preserve"> The </w:t>
      </w:r>
      <w:r w:rsidR="00C629A4">
        <w:t>right</w:t>
      </w:r>
      <w:r w:rsidR="0001276A">
        <w:t xml:space="preserve"> bar chart shows </w:t>
      </w:r>
      <w:r w:rsidR="00C629A4">
        <w:t>country</w:t>
      </w:r>
      <w:r w:rsidR="0001276A">
        <w:t xml:space="preserve"> percentage</w:t>
      </w:r>
      <w:r w:rsidR="00C629A4">
        <w:t>s</w:t>
      </w:r>
      <w:r w:rsidR="0001276A">
        <w:t xml:space="preserve"> of new passenger car registrations that are alternative fuel types</w:t>
      </w:r>
      <w:r w:rsidR="00DF6B27">
        <w:t xml:space="preserve">, </w:t>
      </w:r>
      <w:r w:rsidR="00DF6B27" w:rsidRPr="00DF6B27">
        <w:t xml:space="preserve">with a fuel type of either electricity, compressed natural gas, liquefied natural gas, </w:t>
      </w:r>
      <w:r w:rsidR="00441FB8" w:rsidRPr="00441FB8">
        <w:t>liquefied petroleum gas</w:t>
      </w:r>
      <w:r w:rsidR="00DF6B27" w:rsidRPr="00DF6B27">
        <w:t>, bioethanol, biodiesel, bi-fuel or hydrogen and fuel cells. This excludes hybrid and plug-in hybrid petrol and diesel cars.</w:t>
      </w:r>
    </w:p>
    <w:p w14:paraId="59A47E2C" w14:textId="28AC5EAE" w:rsidR="00FB441D" w:rsidRDefault="00FB441D" w:rsidP="00FB441D">
      <w:pPr>
        <w:pStyle w:val="Heading1"/>
        <w:rPr>
          <w:lang w:val="en-US"/>
        </w:rPr>
      </w:pPr>
      <w:r>
        <w:t xml:space="preserve">Figure </w:t>
      </w:r>
      <w:fldSimple w:instr=" SEQ Figure \* ARABIC ">
        <w:r w:rsidR="008F6F8E">
          <w:rPr>
            <w:noProof/>
          </w:rPr>
          <w:t>3</w:t>
        </w:r>
      </w:fldSimple>
    </w:p>
    <w:p w14:paraId="0A7DE272" w14:textId="4E8B43E0" w:rsidR="00FB441D" w:rsidRPr="00FB441D" w:rsidRDefault="00FB441D" w:rsidP="00FB441D">
      <w:pPr>
        <w:pStyle w:val="Heading1"/>
        <w:rPr>
          <w:b/>
          <w:bCs/>
        </w:rPr>
      </w:pPr>
      <w:r w:rsidRPr="00FB441D">
        <w:rPr>
          <w:b/>
          <w:bCs/>
          <w:lang w:val="en-US"/>
        </w:rPr>
        <w:t>Country comparison charts for road fatalities per million inhabitants, and new registrations of alternat</w:t>
      </w:r>
      <w:r w:rsidR="00DF1F41">
        <w:rPr>
          <w:b/>
          <w:bCs/>
          <w:lang w:val="en-US"/>
        </w:rPr>
        <w:t>iv</w:t>
      </w:r>
      <w:r w:rsidRPr="00FB441D">
        <w:rPr>
          <w:b/>
          <w:bCs/>
          <w:lang w:val="en-US"/>
        </w:rPr>
        <w:t xml:space="preserve">e </w:t>
      </w:r>
      <w:r w:rsidR="00DF1F41">
        <w:rPr>
          <w:b/>
          <w:bCs/>
          <w:lang w:val="en-US"/>
        </w:rPr>
        <w:t xml:space="preserve">fuel </w:t>
      </w:r>
      <w:r w:rsidRPr="00FB441D">
        <w:rPr>
          <w:b/>
          <w:bCs/>
          <w:lang w:val="en-US"/>
        </w:rPr>
        <w:t>passenger cars</w:t>
      </w:r>
    </w:p>
    <w:p w14:paraId="50858EB2" w14:textId="77777777" w:rsidR="00E52BE4" w:rsidRDefault="003E4A61" w:rsidP="00FB441D">
      <w:pPr>
        <w:pStyle w:val="SingleTxtG"/>
        <w:keepNext/>
        <w:jc w:val="left"/>
      </w:pPr>
      <w:r>
        <w:rPr>
          <w:noProof/>
        </w:rPr>
        <w:drawing>
          <wp:inline distT="0" distB="0" distL="0" distR="0" wp14:anchorId="721A3297" wp14:editId="1297B868">
            <wp:extent cx="4319591" cy="3702161"/>
            <wp:effectExtent l="19050" t="19050" r="2413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4290" cy="3706189"/>
                    </a:xfrm>
                    <a:prstGeom prst="rect">
                      <a:avLst/>
                    </a:prstGeom>
                    <a:ln>
                      <a:solidFill>
                        <a:schemeClr val="tx1"/>
                      </a:solidFill>
                    </a:ln>
                  </pic:spPr>
                </pic:pic>
              </a:graphicData>
            </a:graphic>
          </wp:inline>
        </w:drawing>
      </w:r>
    </w:p>
    <w:p w14:paraId="1A4148FA" w14:textId="474C0FA4" w:rsidR="003E4A61" w:rsidRDefault="00FB441D" w:rsidP="00FB441D">
      <w:pPr>
        <w:pStyle w:val="SingleTxtG"/>
      </w:pPr>
      <w:r>
        <w:t>7.</w:t>
      </w:r>
      <w:r>
        <w:tab/>
      </w:r>
      <w:r w:rsidR="00041431">
        <w:t>The next row</w:t>
      </w:r>
      <w:r w:rsidR="00BC700B">
        <w:t xml:space="preserve"> on </w:t>
      </w:r>
      <w:r w:rsidR="00E52BE4">
        <w:t>the</w:t>
      </w:r>
      <w:r w:rsidR="00BC700B">
        <w:t xml:space="preserve"> left</w:t>
      </w:r>
      <w:r w:rsidR="00041431">
        <w:t xml:space="preserve"> contains </w:t>
      </w:r>
      <w:r w:rsidR="00E52BE4">
        <w:t>t</w:t>
      </w:r>
      <w:r w:rsidR="00BC700B">
        <w:t xml:space="preserve">he </w:t>
      </w:r>
      <w:r w:rsidR="00BC700B" w:rsidRPr="00BC700B">
        <w:t xml:space="preserve">percentage of the country’s road fatalities that are pedestrians and cyclists, or motorcyclists respectively, and compares these figures with the ECE average. The </w:t>
      </w:r>
      <w:r w:rsidR="00BC700B" w:rsidRPr="00FB441D">
        <w:t>ECE</w:t>
      </w:r>
      <w:r w:rsidR="00BC700B" w:rsidRPr="00BC700B">
        <w:t xml:space="preserve"> average is calculated for countries with available data only.</w:t>
      </w:r>
      <w:r w:rsidR="00891D06">
        <w:t xml:space="preserve"> Th</w:t>
      </w:r>
      <w:r w:rsidR="00587EBE">
        <w:t>e</w:t>
      </w:r>
      <w:r w:rsidR="00891D06">
        <w:t>s</w:t>
      </w:r>
      <w:r w:rsidR="00587EBE">
        <w:t>e</w:t>
      </w:r>
      <w:r w:rsidR="00891D06">
        <w:t xml:space="preserve"> </w:t>
      </w:r>
      <w:r w:rsidR="00891D06">
        <w:lastRenderedPageBreak/>
        <w:t xml:space="preserve">data too can be visualised as </w:t>
      </w:r>
      <w:r w:rsidR="00891D06" w:rsidRPr="00891D06">
        <w:t>a region</w:t>
      </w:r>
      <w:r w:rsidR="00587EBE">
        <w:t>al</w:t>
      </w:r>
      <w:r w:rsidR="00891D06" w:rsidRPr="00891D06">
        <w:t xml:space="preserve"> map.</w:t>
      </w:r>
      <w:r w:rsidR="00956F4C">
        <w:t xml:space="preserve"> The </w:t>
      </w:r>
      <w:r w:rsidR="00717C38">
        <w:t xml:space="preserve">bar chart on the right side of this row </w:t>
      </w:r>
      <w:r w:rsidR="00F90838">
        <w:t>visualises</w:t>
      </w:r>
      <w:r w:rsidR="003A4C6C">
        <w:t xml:space="preserve"> country</w:t>
      </w:r>
      <w:r w:rsidR="00F90838">
        <w:t xml:space="preserve"> data on road traffic fatalities disaggregated by age </w:t>
      </w:r>
      <w:r w:rsidR="00087842">
        <w:t xml:space="preserve">group </w:t>
      </w:r>
      <w:r w:rsidR="00F90838">
        <w:t xml:space="preserve">and </w:t>
      </w:r>
      <w:r w:rsidR="00087842">
        <w:t>sex</w:t>
      </w:r>
      <w:r w:rsidR="00F04FD3">
        <w:t>.</w:t>
      </w:r>
    </w:p>
    <w:p w14:paraId="65BD1F57" w14:textId="373635D7" w:rsidR="00FB441D" w:rsidRDefault="00FB441D" w:rsidP="00FB441D">
      <w:pPr>
        <w:pStyle w:val="Heading1"/>
        <w:rPr>
          <w:lang w:val="en-US"/>
        </w:rPr>
      </w:pPr>
      <w:r>
        <w:t xml:space="preserve">Figure </w:t>
      </w:r>
      <w:fldSimple w:instr=" SEQ Figure \* ARABIC ">
        <w:r w:rsidR="008F6F8E">
          <w:rPr>
            <w:noProof/>
          </w:rPr>
          <w:t>4</w:t>
        </w:r>
      </w:fldSimple>
    </w:p>
    <w:p w14:paraId="6BC11576" w14:textId="5DA3889F" w:rsidR="00FB441D" w:rsidRPr="00FB441D" w:rsidRDefault="00FB441D" w:rsidP="00FB441D">
      <w:pPr>
        <w:pStyle w:val="Heading1"/>
        <w:rPr>
          <w:b/>
          <w:bCs/>
        </w:rPr>
      </w:pPr>
      <w:r w:rsidRPr="00FB441D">
        <w:rPr>
          <w:b/>
          <w:bCs/>
          <w:lang w:val="en-US"/>
        </w:rPr>
        <w:t>Road fatality victim breakdowns</w:t>
      </w:r>
    </w:p>
    <w:p w14:paraId="19901107" w14:textId="77777777" w:rsidR="00087842" w:rsidRDefault="003A4C6C" w:rsidP="00FB441D">
      <w:pPr>
        <w:pStyle w:val="SingleTxtG"/>
        <w:keepNext/>
      </w:pPr>
      <w:r>
        <w:rPr>
          <w:noProof/>
        </w:rPr>
        <w:drawing>
          <wp:inline distT="0" distB="0" distL="0" distR="0" wp14:anchorId="0089FEC6" wp14:editId="77148376">
            <wp:extent cx="4258589" cy="2160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8589" cy="2160000"/>
                    </a:xfrm>
                    <a:prstGeom prst="rect">
                      <a:avLst/>
                    </a:prstGeom>
                  </pic:spPr>
                </pic:pic>
              </a:graphicData>
            </a:graphic>
          </wp:inline>
        </w:drawing>
      </w:r>
    </w:p>
    <w:p w14:paraId="7751D3BD" w14:textId="56F66E54" w:rsidR="003A4C6C" w:rsidRDefault="00FB441D" w:rsidP="00FB441D">
      <w:pPr>
        <w:pStyle w:val="SingleTxtG"/>
      </w:pPr>
      <w:r>
        <w:t>8.</w:t>
      </w:r>
      <w:r>
        <w:tab/>
      </w:r>
      <w:r w:rsidR="003C02C9">
        <w:t xml:space="preserve">The final row of the country dashboard contains </w:t>
      </w:r>
      <w:r w:rsidR="0002057C">
        <w:t>two charts</w:t>
      </w:r>
      <w:r w:rsidR="00455363">
        <w:t xml:space="preserve">. </w:t>
      </w:r>
      <w:r w:rsidR="00E94983">
        <w:t xml:space="preserve">The left graphic </w:t>
      </w:r>
      <w:r w:rsidR="00455363">
        <w:t>shows</w:t>
      </w:r>
      <w:r w:rsidR="0002057C">
        <w:t xml:space="preserve"> </w:t>
      </w:r>
      <w:r w:rsidR="00AD704F">
        <w:t xml:space="preserve">a </w:t>
      </w:r>
      <w:r w:rsidR="00E1421A">
        <w:t>twenty-year</w:t>
      </w:r>
      <w:r w:rsidR="00AD704F">
        <w:t xml:space="preserve"> evolution of </w:t>
      </w:r>
      <w:r w:rsidR="0002057C">
        <w:t>freight transport</w:t>
      </w:r>
      <w:r w:rsidR="00087842">
        <w:t xml:space="preserve"> inland modal</w:t>
      </w:r>
      <w:r w:rsidR="0002057C">
        <w:t xml:space="preserve"> </w:t>
      </w:r>
      <w:r w:rsidR="003945B3">
        <w:t>sp</w:t>
      </w:r>
      <w:r w:rsidR="00E94983">
        <w:t xml:space="preserve">lit </w:t>
      </w:r>
      <w:r w:rsidR="00C002F6">
        <w:t>by rail, road and inland waterway</w:t>
      </w:r>
      <w:r w:rsidR="00E94983">
        <w:t>s</w:t>
      </w:r>
      <w:r w:rsidR="00C002F6">
        <w:t xml:space="preserve"> </w:t>
      </w:r>
      <w:r w:rsidR="00E94983">
        <w:t>in</w:t>
      </w:r>
      <w:r w:rsidR="0002057C">
        <w:t xml:space="preserve"> tonne </w:t>
      </w:r>
      <w:r w:rsidR="0002057C" w:rsidRPr="00FB441D">
        <w:t>kilometre</w:t>
      </w:r>
      <w:r w:rsidR="00E94983" w:rsidRPr="00FB441D">
        <w:t>s</w:t>
      </w:r>
      <w:r w:rsidR="0002057C">
        <w:t xml:space="preserve"> </w:t>
      </w:r>
      <w:r w:rsidR="00C002F6">
        <w:t>(left side)</w:t>
      </w:r>
      <w:r w:rsidR="00FF4DA3">
        <w:t>.</w:t>
      </w:r>
      <w:r w:rsidR="00C002F6">
        <w:t xml:space="preserve"> </w:t>
      </w:r>
      <w:r w:rsidR="007D0729">
        <w:t>An important methodological note is that</w:t>
      </w:r>
      <w:r w:rsidR="00455363">
        <w:t xml:space="preserve"> t</w:t>
      </w:r>
      <w:r w:rsidR="00455363" w:rsidRPr="00455363">
        <w:t xml:space="preserve">he rail and inland waterway freight data are </w:t>
      </w:r>
      <w:r w:rsidR="007D0729">
        <w:t xml:space="preserve">typically </w:t>
      </w:r>
      <w:r w:rsidR="00455363" w:rsidRPr="00455363">
        <w:t>compiled on a territorial basis, whereas the road freight data are based upon the residency of the vehicles</w:t>
      </w:r>
      <w:r w:rsidR="007D0729">
        <w:t>, which should be taken into account</w:t>
      </w:r>
      <w:r w:rsidR="00122378">
        <w:t xml:space="preserve"> for </w:t>
      </w:r>
      <w:r w:rsidR="00674EB4">
        <w:t>comparison purposes</w:t>
      </w:r>
      <w:r w:rsidR="00455363" w:rsidRPr="00455363">
        <w:t xml:space="preserve">. </w:t>
      </w:r>
      <w:r w:rsidR="00455363">
        <w:t>The second</w:t>
      </w:r>
      <w:r w:rsidR="00C002F6">
        <w:t xml:space="preserve"> </w:t>
      </w:r>
      <w:r w:rsidR="00ED5349">
        <w:t xml:space="preserve">shows </w:t>
      </w:r>
      <w:r w:rsidR="00674EB4">
        <w:t>modal split on the passenger side, but only covering public transport</w:t>
      </w:r>
      <w:r w:rsidR="00A9133E">
        <w:t xml:space="preserve">. Data for rail and bus and coaches come from the common questionnaire collected together with Eurostat and the International Transport Forum, whereas </w:t>
      </w:r>
      <w:r w:rsidR="00494DFA">
        <w:t xml:space="preserve">data for </w:t>
      </w:r>
      <w:r w:rsidR="00A2539A">
        <w:t xml:space="preserve">trams and metro systems come from the new ECE tram and metro </w:t>
      </w:r>
      <w:r w:rsidR="00150582">
        <w:t xml:space="preserve">data collection, where data are only </w:t>
      </w:r>
      <w:r w:rsidR="00263703">
        <w:t>available from 2010 onwards or later.</w:t>
      </w:r>
    </w:p>
    <w:p w14:paraId="63607C49" w14:textId="4CE7CB8B" w:rsidR="00FB441D" w:rsidRDefault="00FB441D" w:rsidP="00FB441D">
      <w:pPr>
        <w:pStyle w:val="Heading1"/>
        <w:rPr>
          <w:lang w:val="en-US"/>
        </w:rPr>
      </w:pPr>
      <w:r>
        <w:t xml:space="preserve">Figure </w:t>
      </w:r>
      <w:fldSimple w:instr=" SEQ Figure \* ARABIC ">
        <w:r w:rsidR="008F6F8E">
          <w:rPr>
            <w:noProof/>
          </w:rPr>
          <w:t>5</w:t>
        </w:r>
      </w:fldSimple>
    </w:p>
    <w:p w14:paraId="124B2DDB" w14:textId="674BC904" w:rsidR="00FB441D" w:rsidRPr="00FB441D" w:rsidRDefault="00FB441D" w:rsidP="00FB441D">
      <w:pPr>
        <w:pStyle w:val="Heading1"/>
        <w:rPr>
          <w:b/>
          <w:bCs/>
        </w:rPr>
      </w:pPr>
      <w:r w:rsidRPr="00FB441D">
        <w:rPr>
          <w:b/>
          <w:bCs/>
          <w:lang w:val="en-US"/>
        </w:rPr>
        <w:t>Freight and passenger modal split comparisons</w:t>
      </w:r>
    </w:p>
    <w:p w14:paraId="0C50CC14" w14:textId="77777777" w:rsidR="00263703" w:rsidRDefault="0008361A" w:rsidP="00FB441D">
      <w:pPr>
        <w:pStyle w:val="SingleTxtG"/>
        <w:keepNext/>
        <w:jc w:val="left"/>
      </w:pPr>
      <w:r>
        <w:rPr>
          <w:noProof/>
        </w:rPr>
        <w:drawing>
          <wp:inline distT="0" distB="0" distL="0" distR="0" wp14:anchorId="6EDEEB64" wp14:editId="342A8D99">
            <wp:extent cx="4378021" cy="2159635"/>
            <wp:effectExtent l="19050" t="19050" r="228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0487" cy="2160852"/>
                    </a:xfrm>
                    <a:prstGeom prst="rect">
                      <a:avLst/>
                    </a:prstGeom>
                    <a:ln>
                      <a:solidFill>
                        <a:schemeClr val="tx1"/>
                      </a:solidFill>
                    </a:ln>
                  </pic:spPr>
                </pic:pic>
              </a:graphicData>
            </a:graphic>
          </wp:inline>
        </w:drawing>
      </w:r>
    </w:p>
    <w:p w14:paraId="27D88D5F" w14:textId="47BE1668" w:rsidR="0008361A" w:rsidRDefault="00FB441D" w:rsidP="00FB441D">
      <w:pPr>
        <w:pStyle w:val="SingleTxtG"/>
      </w:pPr>
      <w:r>
        <w:t>9.</w:t>
      </w:r>
      <w:r>
        <w:tab/>
      </w:r>
      <w:r w:rsidR="00051C53">
        <w:t>Finally,</w:t>
      </w:r>
      <w:r w:rsidR="0008361A">
        <w:t xml:space="preserve"> the</w:t>
      </w:r>
      <w:r w:rsidR="00561646">
        <w:t xml:space="preserve"> country </w:t>
      </w:r>
      <w:proofErr w:type="spellStart"/>
      <w:r w:rsidR="00CE1BCC">
        <w:t>I</w:t>
      </w:r>
      <w:r w:rsidR="00561646">
        <w:t>nfocard</w:t>
      </w:r>
      <w:proofErr w:type="spellEnd"/>
      <w:r w:rsidR="0008361A">
        <w:t xml:space="preserve"> dashboard contains a series of footnotes </w:t>
      </w:r>
      <w:r w:rsidR="00332288">
        <w:t xml:space="preserve">referencing data sources and containing comments on </w:t>
      </w:r>
      <w:r w:rsidR="00E5430C">
        <w:t>the datasets</w:t>
      </w:r>
      <w:r w:rsidR="00561646">
        <w:t xml:space="preserve"> used to generate the charts and graphs</w:t>
      </w:r>
      <w:r w:rsidR="00E5430C">
        <w:t xml:space="preserve">, </w:t>
      </w:r>
      <w:r w:rsidR="008F34E3">
        <w:t xml:space="preserve">which provide guidance for the </w:t>
      </w:r>
      <w:r w:rsidR="008F34E3" w:rsidRPr="00FB441D">
        <w:t>user</w:t>
      </w:r>
      <w:r w:rsidR="008F34E3">
        <w:t xml:space="preserve"> on how to interpret and understand the data.</w:t>
      </w:r>
    </w:p>
    <w:p w14:paraId="7D50C050" w14:textId="749AA600" w:rsidR="002A78F4" w:rsidRDefault="00FB441D" w:rsidP="00FB441D">
      <w:pPr>
        <w:pStyle w:val="SingleTxtG"/>
      </w:pPr>
      <w:r>
        <w:t>10.</w:t>
      </w:r>
      <w:r>
        <w:tab/>
      </w:r>
      <w:r w:rsidR="00263703">
        <w:t xml:space="preserve">It should be noted that </w:t>
      </w:r>
      <w:r w:rsidR="00550FB1">
        <w:t xml:space="preserve">the </w:t>
      </w:r>
      <w:proofErr w:type="spellStart"/>
      <w:r w:rsidR="00CE1BCC">
        <w:t>I</w:t>
      </w:r>
      <w:r w:rsidR="00550FB1">
        <w:t>nfocard</w:t>
      </w:r>
      <w:proofErr w:type="spellEnd"/>
      <w:r w:rsidR="00550FB1">
        <w:t xml:space="preserve"> in some places highlights certain data gaps or breaks in time series </w:t>
      </w:r>
      <w:r w:rsidR="001C3F49">
        <w:t xml:space="preserve">for some countries and series. These gaps are </w:t>
      </w:r>
      <w:r w:rsidR="00E04AA3">
        <w:t xml:space="preserve">present in the underlying database, and so no additional efforts have been made to </w:t>
      </w:r>
      <w:r w:rsidR="00384DD4">
        <w:t>mask them. It is hoped that this dashboard can be used to highlight inconsistent or missing data with country contacts</w:t>
      </w:r>
      <w:r w:rsidR="00CB230D">
        <w:t xml:space="preserve"> to improve data availability and quality in the future.</w:t>
      </w:r>
    </w:p>
    <w:p w14:paraId="6AC8AC7B" w14:textId="681E5DC5" w:rsidR="002A78F4" w:rsidRDefault="00FB441D" w:rsidP="00FB441D">
      <w:pPr>
        <w:pStyle w:val="HChG"/>
      </w:pPr>
      <w:r>
        <w:lastRenderedPageBreak/>
        <w:tab/>
        <w:t>IV.</w:t>
      </w:r>
      <w:r>
        <w:tab/>
      </w:r>
      <w:r w:rsidR="002A78F4" w:rsidRPr="00FB441D">
        <w:t>Concluding</w:t>
      </w:r>
      <w:r w:rsidR="002A78F4">
        <w:t xml:space="preserve"> remarks</w:t>
      </w:r>
    </w:p>
    <w:p w14:paraId="0D287026" w14:textId="5C15DB98" w:rsidR="00CB230D" w:rsidRPr="00CB230D" w:rsidRDefault="00FB441D" w:rsidP="00FB441D">
      <w:pPr>
        <w:pStyle w:val="SingleTxtG"/>
      </w:pPr>
      <w:r w:rsidRPr="00CB230D">
        <w:t>11.</w:t>
      </w:r>
      <w:r w:rsidRPr="00CB230D">
        <w:tab/>
      </w:r>
      <w:r w:rsidR="00A922ED">
        <w:t>It is hoped that the new Infocards will improve access of member States and the general public to the transport statistics collected by WP.6. Member States are encouraged to provide any feedback on this data product</w:t>
      </w:r>
      <w:r w:rsidR="00E1421A">
        <w:t>.</w:t>
      </w:r>
      <w:r w:rsidR="003534F1">
        <w:t xml:space="preserve"> </w:t>
      </w:r>
      <w:r w:rsidR="00E1421A">
        <w:t>S</w:t>
      </w:r>
      <w:r w:rsidR="003534F1">
        <w:t xml:space="preserve">uggestions for improvements and additions are welcome. </w:t>
      </w:r>
      <w:r w:rsidR="0027402F">
        <w:t xml:space="preserve">With the guidance of member States, the secretariat will continue to </w:t>
      </w:r>
      <w:r w:rsidR="005D5D73">
        <w:t>modernise data dissemination practices.</w:t>
      </w:r>
    </w:p>
    <w:p w14:paraId="628247E6" w14:textId="70004720" w:rsidR="004337AD" w:rsidRPr="004337AD" w:rsidRDefault="004337AD" w:rsidP="004337AD">
      <w:pPr>
        <w:pStyle w:val="SingleTxtG"/>
        <w:spacing w:before="240" w:after="0"/>
        <w:jc w:val="center"/>
        <w:rPr>
          <w:u w:val="single"/>
        </w:rPr>
      </w:pPr>
      <w:r>
        <w:rPr>
          <w:u w:val="single"/>
        </w:rPr>
        <w:tab/>
      </w:r>
      <w:r>
        <w:rPr>
          <w:u w:val="single"/>
        </w:rPr>
        <w:tab/>
      </w:r>
      <w:r>
        <w:rPr>
          <w:u w:val="single"/>
        </w:rPr>
        <w:tab/>
      </w:r>
      <w:r w:rsidR="00FB441D">
        <w:rPr>
          <w:u w:val="single"/>
        </w:rPr>
        <w:tab/>
      </w:r>
    </w:p>
    <w:sectPr w:rsidR="004337AD" w:rsidRPr="004337AD" w:rsidSect="00FB441D">
      <w:headerReference w:type="even" r:id="rId19"/>
      <w:headerReference w:type="default" r:id="rId20"/>
      <w:footerReference w:type="even" r:id="rId21"/>
      <w:footerReference w:type="default" r:id="rId22"/>
      <w:footerReference w:type="first" r:id="rId23"/>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26EE" w14:textId="77777777" w:rsidR="004D521B" w:rsidRDefault="004D521B"/>
  </w:endnote>
  <w:endnote w:type="continuationSeparator" w:id="0">
    <w:p w14:paraId="13FCC111" w14:textId="77777777" w:rsidR="004D521B" w:rsidRDefault="004D521B"/>
  </w:endnote>
  <w:endnote w:type="continuationNotice" w:id="1">
    <w:p w14:paraId="7C9B941D" w14:textId="77777777" w:rsidR="004D521B" w:rsidRDefault="004D5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C9E5" w14:textId="3E7485CF" w:rsidR="00923202" w:rsidRPr="00971335" w:rsidRDefault="00923202" w:rsidP="00971335">
    <w:pPr>
      <w:pStyle w:val="Footer"/>
      <w:tabs>
        <w:tab w:val="right" w:pos="9638"/>
      </w:tabs>
      <w:rPr>
        <w:sz w:val="20"/>
      </w:rPr>
    </w:pPr>
    <w:r w:rsidRPr="00971335">
      <w:rPr>
        <w:b/>
        <w:sz w:val="18"/>
      </w:rPr>
      <w:fldChar w:fldCharType="begin"/>
    </w:r>
    <w:r w:rsidRPr="00971335">
      <w:rPr>
        <w:b/>
        <w:sz w:val="18"/>
      </w:rPr>
      <w:instrText xml:space="preserve"> PAGE  \* MERGEFORMAT </w:instrText>
    </w:r>
    <w:r w:rsidRPr="00971335">
      <w:rPr>
        <w:b/>
        <w:sz w:val="18"/>
      </w:rPr>
      <w:fldChar w:fldCharType="separate"/>
    </w:r>
    <w:r>
      <w:rPr>
        <w:b/>
        <w:noProof/>
        <w:sz w:val="18"/>
      </w:rPr>
      <w:t>38</w:t>
    </w:r>
    <w:r w:rsidRPr="0097133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B5ED" w14:textId="173E3596" w:rsidR="00923202" w:rsidRPr="00971335" w:rsidRDefault="00923202" w:rsidP="00FD6151">
    <w:pPr>
      <w:pStyle w:val="Footer"/>
      <w:tabs>
        <w:tab w:val="right" w:pos="9638"/>
      </w:tabs>
      <w:jc w:val="right"/>
      <w:rPr>
        <w:sz w:val="18"/>
      </w:rPr>
    </w:pPr>
    <w:r w:rsidRPr="00971335">
      <w:rPr>
        <w:b/>
        <w:sz w:val="18"/>
      </w:rPr>
      <w:fldChar w:fldCharType="begin"/>
    </w:r>
    <w:r w:rsidRPr="00971335">
      <w:rPr>
        <w:b/>
        <w:sz w:val="18"/>
      </w:rPr>
      <w:instrText xml:space="preserve"> PAGE  \* MERGEFORMAT </w:instrText>
    </w:r>
    <w:r w:rsidRPr="00971335">
      <w:rPr>
        <w:b/>
        <w:sz w:val="18"/>
      </w:rPr>
      <w:fldChar w:fldCharType="separate"/>
    </w:r>
    <w:r>
      <w:rPr>
        <w:b/>
        <w:noProof/>
        <w:sz w:val="18"/>
      </w:rPr>
      <w:t>37</w:t>
    </w:r>
    <w:r w:rsidRPr="009713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9191" w14:textId="62F58432" w:rsidR="00A440CE" w:rsidRDefault="00A440CE" w:rsidP="00A440CE">
    <w:pPr>
      <w:pStyle w:val="Footer"/>
    </w:pPr>
    <w:r w:rsidRPr="0027112F">
      <w:rPr>
        <w:noProof/>
        <w:lang w:val="en-US"/>
      </w:rPr>
      <w:drawing>
        <wp:anchor distT="0" distB="0" distL="114300" distR="114300" simplePos="0" relativeHeight="251659264" behindDoc="0" locked="1" layoutInCell="1" allowOverlap="1" wp14:anchorId="58F5C417" wp14:editId="677086F0">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DD584A" w14:textId="40A7A9FB" w:rsidR="00A440CE" w:rsidRPr="00A440CE" w:rsidRDefault="00A440CE" w:rsidP="00A440CE">
    <w:pPr>
      <w:pStyle w:val="Footer"/>
      <w:ind w:right="1134"/>
      <w:rPr>
        <w:sz w:val="20"/>
      </w:rPr>
    </w:pPr>
    <w:r>
      <w:rPr>
        <w:sz w:val="20"/>
      </w:rPr>
      <w:t>GE.21-18901(E)</w:t>
    </w:r>
    <w:r>
      <w:rPr>
        <w:noProof/>
        <w:sz w:val="20"/>
      </w:rPr>
      <w:drawing>
        <wp:anchor distT="0" distB="0" distL="114300" distR="114300" simplePos="0" relativeHeight="251660288" behindDoc="0" locked="0" layoutInCell="1" allowOverlap="1" wp14:anchorId="1FD2FDCC" wp14:editId="4B10B3EB">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3D6D" w14:textId="77777777" w:rsidR="004D521B" w:rsidRPr="000B175B" w:rsidRDefault="004D521B" w:rsidP="000B175B">
      <w:pPr>
        <w:tabs>
          <w:tab w:val="right" w:pos="2155"/>
        </w:tabs>
        <w:spacing w:after="80"/>
        <w:ind w:left="680"/>
        <w:rPr>
          <w:u w:val="single"/>
        </w:rPr>
      </w:pPr>
      <w:r>
        <w:rPr>
          <w:u w:val="single"/>
        </w:rPr>
        <w:tab/>
      </w:r>
    </w:p>
  </w:footnote>
  <w:footnote w:type="continuationSeparator" w:id="0">
    <w:p w14:paraId="7216E31D" w14:textId="77777777" w:rsidR="004D521B" w:rsidRPr="00FC68B7" w:rsidRDefault="004D521B" w:rsidP="00FC68B7">
      <w:pPr>
        <w:tabs>
          <w:tab w:val="left" w:pos="2155"/>
        </w:tabs>
        <w:spacing w:after="80"/>
        <w:ind w:left="680"/>
        <w:rPr>
          <w:u w:val="single"/>
        </w:rPr>
      </w:pPr>
      <w:r>
        <w:rPr>
          <w:u w:val="single"/>
        </w:rPr>
        <w:tab/>
      </w:r>
    </w:p>
  </w:footnote>
  <w:footnote w:type="continuationNotice" w:id="1">
    <w:p w14:paraId="5724394A" w14:textId="77777777" w:rsidR="004D521B" w:rsidRDefault="004D5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227E" w14:textId="5D238743" w:rsidR="00923202" w:rsidRPr="00971335" w:rsidRDefault="00923202" w:rsidP="00FD6151">
    <w:pPr>
      <w:pStyle w:val="Header"/>
    </w:pPr>
    <w:r>
      <w:t>ECE/TRANS/202</w:t>
    </w:r>
    <w:r w:rsidR="00954452">
      <w:t>2</w:t>
    </w:r>
    <w:r>
      <w:t>/2</w:t>
    </w:r>
    <w:r w:rsidR="00FD615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1069" w14:textId="6E75F63D" w:rsidR="00923202" w:rsidRPr="00971335" w:rsidRDefault="00923202" w:rsidP="00FD6151">
    <w:pPr>
      <w:pStyle w:val="Header"/>
      <w:jc w:val="right"/>
    </w:pPr>
    <w:r>
      <w:t>ECE/TRANS/202</w:t>
    </w:r>
    <w:r w:rsidR="00954452">
      <w:t>2</w:t>
    </w:r>
    <w:r>
      <w:t>/2</w:t>
    </w:r>
    <w:r w:rsidR="00FD615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" o:bullet="t">
        <v:imagedata r:id="rId1" o:title="" cropright="-2275f"/>
      </v:shape>
    </w:pict>
  </w:numPicBullet>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B31B5"/>
    <w:multiLevelType w:val="hybridMultilevel"/>
    <w:tmpl w:val="670A7D30"/>
    <w:lvl w:ilvl="0" w:tplc="6E005EA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20327"/>
    <w:multiLevelType w:val="hybridMultilevel"/>
    <w:tmpl w:val="DAE0686E"/>
    <w:lvl w:ilvl="0" w:tplc="71E60B8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A436A"/>
    <w:multiLevelType w:val="hybridMultilevel"/>
    <w:tmpl w:val="A086D33E"/>
    <w:lvl w:ilvl="0" w:tplc="936E836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15:restartNumberingAfterBreak="0">
    <w:nsid w:val="56C6254D"/>
    <w:multiLevelType w:val="hybridMultilevel"/>
    <w:tmpl w:val="4D506B2C"/>
    <w:lvl w:ilvl="0" w:tplc="46CEC5C2">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2AB1059"/>
    <w:multiLevelType w:val="hybridMultilevel"/>
    <w:tmpl w:val="8C4A7568"/>
    <w:lvl w:ilvl="0" w:tplc="FEA6C23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D3E6A"/>
    <w:multiLevelType w:val="hybridMultilevel"/>
    <w:tmpl w:val="75163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6F99"/>
    <w:multiLevelType w:val="hybridMultilevel"/>
    <w:tmpl w:val="05A29312"/>
    <w:lvl w:ilvl="0" w:tplc="52784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1"/>
  </w:num>
  <w:num w:numId="18">
    <w:abstractNumId w:val="24"/>
  </w:num>
  <w:num w:numId="19">
    <w:abstractNumId w:val="22"/>
  </w:num>
  <w:num w:numId="20">
    <w:abstractNumId w:val="18"/>
  </w:num>
  <w:num w:numId="21">
    <w:abstractNumId w:val="15"/>
  </w:num>
  <w:num w:numId="22">
    <w:abstractNumId w:val="23"/>
  </w:num>
  <w:num w:numId="23">
    <w:abstractNumId w:val="20"/>
  </w:num>
  <w:num w:numId="24">
    <w:abstractNumId w:val="19"/>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35"/>
    <w:rsid w:val="00002A7D"/>
    <w:rsid w:val="000038A8"/>
    <w:rsid w:val="00004346"/>
    <w:rsid w:val="00005E47"/>
    <w:rsid w:val="00006790"/>
    <w:rsid w:val="000071BF"/>
    <w:rsid w:val="0000777F"/>
    <w:rsid w:val="00007AE3"/>
    <w:rsid w:val="0001276A"/>
    <w:rsid w:val="00020155"/>
    <w:rsid w:val="00020280"/>
    <w:rsid w:val="0002044E"/>
    <w:rsid w:val="0002057C"/>
    <w:rsid w:val="00027286"/>
    <w:rsid w:val="00027624"/>
    <w:rsid w:val="00030ACD"/>
    <w:rsid w:val="000311B1"/>
    <w:rsid w:val="00033049"/>
    <w:rsid w:val="00033E3E"/>
    <w:rsid w:val="00035C2D"/>
    <w:rsid w:val="00035E62"/>
    <w:rsid w:val="00036160"/>
    <w:rsid w:val="00041431"/>
    <w:rsid w:val="00041868"/>
    <w:rsid w:val="000419DD"/>
    <w:rsid w:val="00041D4F"/>
    <w:rsid w:val="00045DB8"/>
    <w:rsid w:val="00050F6B"/>
    <w:rsid w:val="000512D3"/>
    <w:rsid w:val="00051C53"/>
    <w:rsid w:val="00053C96"/>
    <w:rsid w:val="00053DAD"/>
    <w:rsid w:val="00060965"/>
    <w:rsid w:val="00063FB3"/>
    <w:rsid w:val="00064A2D"/>
    <w:rsid w:val="000656D6"/>
    <w:rsid w:val="00066329"/>
    <w:rsid w:val="000664B0"/>
    <w:rsid w:val="000671D4"/>
    <w:rsid w:val="000678CD"/>
    <w:rsid w:val="00071413"/>
    <w:rsid w:val="00072C8C"/>
    <w:rsid w:val="00073A84"/>
    <w:rsid w:val="000741DB"/>
    <w:rsid w:val="0008056F"/>
    <w:rsid w:val="00081CE0"/>
    <w:rsid w:val="000822B9"/>
    <w:rsid w:val="0008361A"/>
    <w:rsid w:val="00084D30"/>
    <w:rsid w:val="000868CA"/>
    <w:rsid w:val="00087842"/>
    <w:rsid w:val="00090320"/>
    <w:rsid w:val="000908AE"/>
    <w:rsid w:val="00092F99"/>
    <w:rsid w:val="000931C0"/>
    <w:rsid w:val="00095DCD"/>
    <w:rsid w:val="00097EFB"/>
    <w:rsid w:val="000A2B77"/>
    <w:rsid w:val="000A2E09"/>
    <w:rsid w:val="000A5159"/>
    <w:rsid w:val="000B175B"/>
    <w:rsid w:val="000B3465"/>
    <w:rsid w:val="000B37BC"/>
    <w:rsid w:val="000B3A0F"/>
    <w:rsid w:val="000B6E59"/>
    <w:rsid w:val="000B7FDB"/>
    <w:rsid w:val="000C4A1B"/>
    <w:rsid w:val="000C4FDF"/>
    <w:rsid w:val="000C6B49"/>
    <w:rsid w:val="000C7084"/>
    <w:rsid w:val="000D051C"/>
    <w:rsid w:val="000D121C"/>
    <w:rsid w:val="000D4140"/>
    <w:rsid w:val="000D5F65"/>
    <w:rsid w:val="000D7030"/>
    <w:rsid w:val="000E0415"/>
    <w:rsid w:val="000E068B"/>
    <w:rsid w:val="000E1507"/>
    <w:rsid w:val="000E1C04"/>
    <w:rsid w:val="000E417C"/>
    <w:rsid w:val="000E4FBC"/>
    <w:rsid w:val="000E5417"/>
    <w:rsid w:val="000E7040"/>
    <w:rsid w:val="000F0A36"/>
    <w:rsid w:val="000F28A5"/>
    <w:rsid w:val="000F2D57"/>
    <w:rsid w:val="000F5244"/>
    <w:rsid w:val="000F64E8"/>
    <w:rsid w:val="000F7715"/>
    <w:rsid w:val="00100A07"/>
    <w:rsid w:val="001028A9"/>
    <w:rsid w:val="00103983"/>
    <w:rsid w:val="00104C9B"/>
    <w:rsid w:val="00104F1B"/>
    <w:rsid w:val="0011273C"/>
    <w:rsid w:val="00112C56"/>
    <w:rsid w:val="001158B7"/>
    <w:rsid w:val="001218C1"/>
    <w:rsid w:val="00122378"/>
    <w:rsid w:val="00127FF1"/>
    <w:rsid w:val="001311FF"/>
    <w:rsid w:val="00133AE1"/>
    <w:rsid w:val="00150582"/>
    <w:rsid w:val="0015085D"/>
    <w:rsid w:val="00152D15"/>
    <w:rsid w:val="001535E1"/>
    <w:rsid w:val="00155CB7"/>
    <w:rsid w:val="00156B99"/>
    <w:rsid w:val="00157A3D"/>
    <w:rsid w:val="00161D96"/>
    <w:rsid w:val="00161E0A"/>
    <w:rsid w:val="00164A40"/>
    <w:rsid w:val="00166124"/>
    <w:rsid w:val="00166C3A"/>
    <w:rsid w:val="0017332E"/>
    <w:rsid w:val="00174812"/>
    <w:rsid w:val="00175574"/>
    <w:rsid w:val="00184DDA"/>
    <w:rsid w:val="00185265"/>
    <w:rsid w:val="00185285"/>
    <w:rsid w:val="00187F1A"/>
    <w:rsid w:val="001900CD"/>
    <w:rsid w:val="00190F9B"/>
    <w:rsid w:val="00193E12"/>
    <w:rsid w:val="00193F9C"/>
    <w:rsid w:val="001A0452"/>
    <w:rsid w:val="001A5CF1"/>
    <w:rsid w:val="001B17D8"/>
    <w:rsid w:val="001B4785"/>
    <w:rsid w:val="001B4B04"/>
    <w:rsid w:val="001B5875"/>
    <w:rsid w:val="001C254D"/>
    <w:rsid w:val="001C3544"/>
    <w:rsid w:val="001C3E11"/>
    <w:rsid w:val="001C3F49"/>
    <w:rsid w:val="001C4B9C"/>
    <w:rsid w:val="001C6663"/>
    <w:rsid w:val="001C7895"/>
    <w:rsid w:val="001D000C"/>
    <w:rsid w:val="001D009E"/>
    <w:rsid w:val="001D104D"/>
    <w:rsid w:val="001D26DF"/>
    <w:rsid w:val="001E36A2"/>
    <w:rsid w:val="001F0D98"/>
    <w:rsid w:val="001F1599"/>
    <w:rsid w:val="001F19C4"/>
    <w:rsid w:val="001F61B9"/>
    <w:rsid w:val="001F62AF"/>
    <w:rsid w:val="001F6537"/>
    <w:rsid w:val="001F6A07"/>
    <w:rsid w:val="002033B9"/>
    <w:rsid w:val="002043F0"/>
    <w:rsid w:val="00205366"/>
    <w:rsid w:val="00206805"/>
    <w:rsid w:val="00206DCB"/>
    <w:rsid w:val="00207EA1"/>
    <w:rsid w:val="00211E0B"/>
    <w:rsid w:val="00216A2F"/>
    <w:rsid w:val="0021769A"/>
    <w:rsid w:val="002202D0"/>
    <w:rsid w:val="00221FC9"/>
    <w:rsid w:val="0022373A"/>
    <w:rsid w:val="00226928"/>
    <w:rsid w:val="00226B55"/>
    <w:rsid w:val="002272A3"/>
    <w:rsid w:val="00227E4B"/>
    <w:rsid w:val="00231B8D"/>
    <w:rsid w:val="00231D76"/>
    <w:rsid w:val="00232575"/>
    <w:rsid w:val="00233AB4"/>
    <w:rsid w:val="002349DA"/>
    <w:rsid w:val="002360C0"/>
    <w:rsid w:val="00236518"/>
    <w:rsid w:val="002368A8"/>
    <w:rsid w:val="00237734"/>
    <w:rsid w:val="00237F27"/>
    <w:rsid w:val="0024269F"/>
    <w:rsid w:val="00243719"/>
    <w:rsid w:val="00244C7C"/>
    <w:rsid w:val="00247258"/>
    <w:rsid w:val="00250589"/>
    <w:rsid w:val="0025059C"/>
    <w:rsid w:val="00250AA4"/>
    <w:rsid w:val="002510E5"/>
    <w:rsid w:val="00253139"/>
    <w:rsid w:val="0025488E"/>
    <w:rsid w:val="00257CAC"/>
    <w:rsid w:val="00260689"/>
    <w:rsid w:val="002634A0"/>
    <w:rsid w:val="002636A1"/>
    <w:rsid w:val="00263703"/>
    <w:rsid w:val="00264CE6"/>
    <w:rsid w:val="00266C14"/>
    <w:rsid w:val="002720E7"/>
    <w:rsid w:val="0027237A"/>
    <w:rsid w:val="00273F93"/>
    <w:rsid w:val="0027402F"/>
    <w:rsid w:val="00274444"/>
    <w:rsid w:val="002745FE"/>
    <w:rsid w:val="00276970"/>
    <w:rsid w:val="00277D29"/>
    <w:rsid w:val="00282F7F"/>
    <w:rsid w:val="00286E78"/>
    <w:rsid w:val="00292573"/>
    <w:rsid w:val="002974E9"/>
    <w:rsid w:val="002A16BD"/>
    <w:rsid w:val="002A410F"/>
    <w:rsid w:val="002A62A3"/>
    <w:rsid w:val="002A78F4"/>
    <w:rsid w:val="002A7F94"/>
    <w:rsid w:val="002B109A"/>
    <w:rsid w:val="002B32EF"/>
    <w:rsid w:val="002B43E0"/>
    <w:rsid w:val="002B4471"/>
    <w:rsid w:val="002C3A89"/>
    <w:rsid w:val="002C6D45"/>
    <w:rsid w:val="002D07DD"/>
    <w:rsid w:val="002D6E53"/>
    <w:rsid w:val="002E09FC"/>
    <w:rsid w:val="002E60BA"/>
    <w:rsid w:val="002E677E"/>
    <w:rsid w:val="002F046D"/>
    <w:rsid w:val="002F2D63"/>
    <w:rsid w:val="002F35C5"/>
    <w:rsid w:val="002F46E2"/>
    <w:rsid w:val="003007B7"/>
    <w:rsid w:val="00301764"/>
    <w:rsid w:val="003102BD"/>
    <w:rsid w:val="00312D43"/>
    <w:rsid w:val="00314597"/>
    <w:rsid w:val="00314D09"/>
    <w:rsid w:val="00315268"/>
    <w:rsid w:val="00315DE8"/>
    <w:rsid w:val="00321914"/>
    <w:rsid w:val="00321BB1"/>
    <w:rsid w:val="003229D8"/>
    <w:rsid w:val="00326732"/>
    <w:rsid w:val="00332288"/>
    <w:rsid w:val="0033502F"/>
    <w:rsid w:val="00336C97"/>
    <w:rsid w:val="00337F88"/>
    <w:rsid w:val="0034148C"/>
    <w:rsid w:val="00342432"/>
    <w:rsid w:val="00343718"/>
    <w:rsid w:val="00345820"/>
    <w:rsid w:val="0035223F"/>
    <w:rsid w:val="00352D4B"/>
    <w:rsid w:val="003534F1"/>
    <w:rsid w:val="00353A9C"/>
    <w:rsid w:val="00354EE0"/>
    <w:rsid w:val="003559D9"/>
    <w:rsid w:val="0035638C"/>
    <w:rsid w:val="0036099E"/>
    <w:rsid w:val="00361F72"/>
    <w:rsid w:val="00363B31"/>
    <w:rsid w:val="00366893"/>
    <w:rsid w:val="00367206"/>
    <w:rsid w:val="003672C4"/>
    <w:rsid w:val="00376177"/>
    <w:rsid w:val="00382847"/>
    <w:rsid w:val="00384DD4"/>
    <w:rsid w:val="003945B3"/>
    <w:rsid w:val="003973C0"/>
    <w:rsid w:val="003976D2"/>
    <w:rsid w:val="003A135F"/>
    <w:rsid w:val="003A13C0"/>
    <w:rsid w:val="003A2A41"/>
    <w:rsid w:val="003A40A3"/>
    <w:rsid w:val="003A4583"/>
    <w:rsid w:val="003A46BB"/>
    <w:rsid w:val="003A4C6C"/>
    <w:rsid w:val="003A4EC7"/>
    <w:rsid w:val="003A4ED2"/>
    <w:rsid w:val="003A5753"/>
    <w:rsid w:val="003A7295"/>
    <w:rsid w:val="003B053B"/>
    <w:rsid w:val="003B1F60"/>
    <w:rsid w:val="003B2FA2"/>
    <w:rsid w:val="003B4C7E"/>
    <w:rsid w:val="003B5DE1"/>
    <w:rsid w:val="003B6BE9"/>
    <w:rsid w:val="003C01F9"/>
    <w:rsid w:val="003C02C9"/>
    <w:rsid w:val="003C1A97"/>
    <w:rsid w:val="003C2CC4"/>
    <w:rsid w:val="003C38EF"/>
    <w:rsid w:val="003C4DC6"/>
    <w:rsid w:val="003C645A"/>
    <w:rsid w:val="003C7CDB"/>
    <w:rsid w:val="003D10F7"/>
    <w:rsid w:val="003D1826"/>
    <w:rsid w:val="003D1DBE"/>
    <w:rsid w:val="003D4B23"/>
    <w:rsid w:val="003D5EF0"/>
    <w:rsid w:val="003D67B0"/>
    <w:rsid w:val="003E278A"/>
    <w:rsid w:val="003E4A61"/>
    <w:rsid w:val="003E620B"/>
    <w:rsid w:val="003E7987"/>
    <w:rsid w:val="003F04DD"/>
    <w:rsid w:val="003F20D2"/>
    <w:rsid w:val="003F34BF"/>
    <w:rsid w:val="003F6E04"/>
    <w:rsid w:val="004027D1"/>
    <w:rsid w:val="00403F15"/>
    <w:rsid w:val="00410426"/>
    <w:rsid w:val="00410FB4"/>
    <w:rsid w:val="004118B4"/>
    <w:rsid w:val="00413520"/>
    <w:rsid w:val="00413F6D"/>
    <w:rsid w:val="00414E6D"/>
    <w:rsid w:val="00417B62"/>
    <w:rsid w:val="00422A6F"/>
    <w:rsid w:val="00423FF6"/>
    <w:rsid w:val="00427887"/>
    <w:rsid w:val="00430BA6"/>
    <w:rsid w:val="00432205"/>
    <w:rsid w:val="004325CB"/>
    <w:rsid w:val="004327B7"/>
    <w:rsid w:val="004337AD"/>
    <w:rsid w:val="00440A07"/>
    <w:rsid w:val="00440C16"/>
    <w:rsid w:val="00441FB8"/>
    <w:rsid w:val="0044344F"/>
    <w:rsid w:val="00443543"/>
    <w:rsid w:val="004439EA"/>
    <w:rsid w:val="00445345"/>
    <w:rsid w:val="004508A8"/>
    <w:rsid w:val="00450A81"/>
    <w:rsid w:val="00450FC9"/>
    <w:rsid w:val="00455363"/>
    <w:rsid w:val="00457B93"/>
    <w:rsid w:val="00462880"/>
    <w:rsid w:val="00464A47"/>
    <w:rsid w:val="00472DD0"/>
    <w:rsid w:val="00474891"/>
    <w:rsid w:val="00476F24"/>
    <w:rsid w:val="00481CAB"/>
    <w:rsid w:val="004914D8"/>
    <w:rsid w:val="00491D48"/>
    <w:rsid w:val="004927D8"/>
    <w:rsid w:val="00494C86"/>
    <w:rsid w:val="00494DFA"/>
    <w:rsid w:val="00495C47"/>
    <w:rsid w:val="004A3B48"/>
    <w:rsid w:val="004A5A42"/>
    <w:rsid w:val="004B7BD1"/>
    <w:rsid w:val="004C10F2"/>
    <w:rsid w:val="004C17A3"/>
    <w:rsid w:val="004C4F1B"/>
    <w:rsid w:val="004C55B0"/>
    <w:rsid w:val="004C6020"/>
    <w:rsid w:val="004C62A9"/>
    <w:rsid w:val="004C6699"/>
    <w:rsid w:val="004D05F2"/>
    <w:rsid w:val="004D104D"/>
    <w:rsid w:val="004D1200"/>
    <w:rsid w:val="004D521B"/>
    <w:rsid w:val="004E0225"/>
    <w:rsid w:val="004E3B38"/>
    <w:rsid w:val="004F07EC"/>
    <w:rsid w:val="004F2921"/>
    <w:rsid w:val="004F4666"/>
    <w:rsid w:val="004F6BA0"/>
    <w:rsid w:val="004F6F93"/>
    <w:rsid w:val="0050024A"/>
    <w:rsid w:val="0050032F"/>
    <w:rsid w:val="0050139C"/>
    <w:rsid w:val="00503502"/>
    <w:rsid w:val="00503BEA"/>
    <w:rsid w:val="0051082F"/>
    <w:rsid w:val="0051119E"/>
    <w:rsid w:val="00511975"/>
    <w:rsid w:val="00512AF3"/>
    <w:rsid w:val="0051321A"/>
    <w:rsid w:val="00513948"/>
    <w:rsid w:val="0052158B"/>
    <w:rsid w:val="0052388B"/>
    <w:rsid w:val="00525122"/>
    <w:rsid w:val="005313DA"/>
    <w:rsid w:val="00532179"/>
    <w:rsid w:val="005325A1"/>
    <w:rsid w:val="00533616"/>
    <w:rsid w:val="0053476B"/>
    <w:rsid w:val="00535A42"/>
    <w:rsid w:val="00535ABA"/>
    <w:rsid w:val="00537661"/>
    <w:rsid w:val="0053768B"/>
    <w:rsid w:val="00540922"/>
    <w:rsid w:val="00540CB3"/>
    <w:rsid w:val="005420F2"/>
    <w:rsid w:val="0054285C"/>
    <w:rsid w:val="00542E99"/>
    <w:rsid w:val="00544B2B"/>
    <w:rsid w:val="00544D1E"/>
    <w:rsid w:val="00546492"/>
    <w:rsid w:val="00547A69"/>
    <w:rsid w:val="00547AE1"/>
    <w:rsid w:val="00550FB1"/>
    <w:rsid w:val="00551E35"/>
    <w:rsid w:val="00552D1A"/>
    <w:rsid w:val="00555C94"/>
    <w:rsid w:val="00560430"/>
    <w:rsid w:val="0056099F"/>
    <w:rsid w:val="00560FF2"/>
    <w:rsid w:val="00561646"/>
    <w:rsid w:val="005621CE"/>
    <w:rsid w:val="00564231"/>
    <w:rsid w:val="00565524"/>
    <w:rsid w:val="00565FF5"/>
    <w:rsid w:val="0056714C"/>
    <w:rsid w:val="0057123D"/>
    <w:rsid w:val="00571784"/>
    <w:rsid w:val="00575E30"/>
    <w:rsid w:val="0057782B"/>
    <w:rsid w:val="00580140"/>
    <w:rsid w:val="00582E17"/>
    <w:rsid w:val="00583E3F"/>
    <w:rsid w:val="00584173"/>
    <w:rsid w:val="00585764"/>
    <w:rsid w:val="00585E33"/>
    <w:rsid w:val="0058684F"/>
    <w:rsid w:val="00587EBE"/>
    <w:rsid w:val="00592139"/>
    <w:rsid w:val="005952E8"/>
    <w:rsid w:val="005954A4"/>
    <w:rsid w:val="00595520"/>
    <w:rsid w:val="00595DF6"/>
    <w:rsid w:val="005967D1"/>
    <w:rsid w:val="00597EE4"/>
    <w:rsid w:val="005A1FF2"/>
    <w:rsid w:val="005A3431"/>
    <w:rsid w:val="005A44B9"/>
    <w:rsid w:val="005A5EF5"/>
    <w:rsid w:val="005B0543"/>
    <w:rsid w:val="005B11D1"/>
    <w:rsid w:val="005B1BA0"/>
    <w:rsid w:val="005B3743"/>
    <w:rsid w:val="005B3DB3"/>
    <w:rsid w:val="005B4519"/>
    <w:rsid w:val="005B5AE7"/>
    <w:rsid w:val="005D15CA"/>
    <w:rsid w:val="005D3082"/>
    <w:rsid w:val="005D3428"/>
    <w:rsid w:val="005D44DE"/>
    <w:rsid w:val="005D55FB"/>
    <w:rsid w:val="005D5D73"/>
    <w:rsid w:val="005D6941"/>
    <w:rsid w:val="005E17AB"/>
    <w:rsid w:val="005E1FAA"/>
    <w:rsid w:val="005E3CDB"/>
    <w:rsid w:val="005E4DA0"/>
    <w:rsid w:val="005E6463"/>
    <w:rsid w:val="005F17B1"/>
    <w:rsid w:val="005F1FE8"/>
    <w:rsid w:val="005F3066"/>
    <w:rsid w:val="005F3E61"/>
    <w:rsid w:val="00602793"/>
    <w:rsid w:val="00604DDD"/>
    <w:rsid w:val="0060687D"/>
    <w:rsid w:val="006074A8"/>
    <w:rsid w:val="006115CC"/>
    <w:rsid w:val="00611FC4"/>
    <w:rsid w:val="006157B3"/>
    <w:rsid w:val="00615DE7"/>
    <w:rsid w:val="00616669"/>
    <w:rsid w:val="006169A0"/>
    <w:rsid w:val="00617364"/>
    <w:rsid w:val="00617552"/>
    <w:rsid w:val="006176FB"/>
    <w:rsid w:val="00617B22"/>
    <w:rsid w:val="00623103"/>
    <w:rsid w:val="00626EF1"/>
    <w:rsid w:val="0062712E"/>
    <w:rsid w:val="00630884"/>
    <w:rsid w:val="00630FCB"/>
    <w:rsid w:val="006333E1"/>
    <w:rsid w:val="00633723"/>
    <w:rsid w:val="006401E3"/>
    <w:rsid w:val="00640B26"/>
    <w:rsid w:val="00644A2C"/>
    <w:rsid w:val="00645DEA"/>
    <w:rsid w:val="00646B90"/>
    <w:rsid w:val="00651BAD"/>
    <w:rsid w:val="006528FE"/>
    <w:rsid w:val="00654F06"/>
    <w:rsid w:val="00657AAB"/>
    <w:rsid w:val="00666163"/>
    <w:rsid w:val="0066740B"/>
    <w:rsid w:val="00670F9D"/>
    <w:rsid w:val="00673C3B"/>
    <w:rsid w:val="00673CE1"/>
    <w:rsid w:val="00674EB4"/>
    <w:rsid w:val="006770B2"/>
    <w:rsid w:val="00680F69"/>
    <w:rsid w:val="00683F34"/>
    <w:rsid w:val="00687D7F"/>
    <w:rsid w:val="00691003"/>
    <w:rsid w:val="00692979"/>
    <w:rsid w:val="00693948"/>
    <w:rsid w:val="006940E1"/>
    <w:rsid w:val="00694F10"/>
    <w:rsid w:val="006A3C72"/>
    <w:rsid w:val="006A5C4D"/>
    <w:rsid w:val="006A63B4"/>
    <w:rsid w:val="006A7392"/>
    <w:rsid w:val="006B03A1"/>
    <w:rsid w:val="006B203C"/>
    <w:rsid w:val="006B254C"/>
    <w:rsid w:val="006B4661"/>
    <w:rsid w:val="006B4FF0"/>
    <w:rsid w:val="006B602D"/>
    <w:rsid w:val="006B67D9"/>
    <w:rsid w:val="006B6890"/>
    <w:rsid w:val="006C2D82"/>
    <w:rsid w:val="006C3FCC"/>
    <w:rsid w:val="006C4490"/>
    <w:rsid w:val="006C5535"/>
    <w:rsid w:val="006C6D93"/>
    <w:rsid w:val="006D0589"/>
    <w:rsid w:val="006D08D5"/>
    <w:rsid w:val="006D1B3A"/>
    <w:rsid w:val="006E117C"/>
    <w:rsid w:val="006E3CAD"/>
    <w:rsid w:val="006E564B"/>
    <w:rsid w:val="006E60DF"/>
    <w:rsid w:val="006E7154"/>
    <w:rsid w:val="006F0374"/>
    <w:rsid w:val="006F0872"/>
    <w:rsid w:val="006F454C"/>
    <w:rsid w:val="006F72BE"/>
    <w:rsid w:val="007003CD"/>
    <w:rsid w:val="00706370"/>
    <w:rsid w:val="007069C9"/>
    <w:rsid w:val="0070701E"/>
    <w:rsid w:val="007134EC"/>
    <w:rsid w:val="007158DF"/>
    <w:rsid w:val="00715945"/>
    <w:rsid w:val="00716966"/>
    <w:rsid w:val="00717C38"/>
    <w:rsid w:val="0072086C"/>
    <w:rsid w:val="0072632A"/>
    <w:rsid w:val="007332CC"/>
    <w:rsid w:val="00734B4B"/>
    <w:rsid w:val="007358E8"/>
    <w:rsid w:val="00736ECE"/>
    <w:rsid w:val="007372B3"/>
    <w:rsid w:val="00742DE0"/>
    <w:rsid w:val="00743453"/>
    <w:rsid w:val="0074533B"/>
    <w:rsid w:val="00745C2A"/>
    <w:rsid w:val="00751600"/>
    <w:rsid w:val="0075196F"/>
    <w:rsid w:val="00754A36"/>
    <w:rsid w:val="00757F72"/>
    <w:rsid w:val="00760602"/>
    <w:rsid w:val="00763212"/>
    <w:rsid w:val="00764339"/>
    <w:rsid w:val="007643BC"/>
    <w:rsid w:val="00767DCD"/>
    <w:rsid w:val="00773492"/>
    <w:rsid w:val="00774AB0"/>
    <w:rsid w:val="007753EE"/>
    <w:rsid w:val="007768B9"/>
    <w:rsid w:val="00776BFB"/>
    <w:rsid w:val="00776CA2"/>
    <w:rsid w:val="0078259B"/>
    <w:rsid w:val="007856ED"/>
    <w:rsid w:val="0079466F"/>
    <w:rsid w:val="00794749"/>
    <w:rsid w:val="007959FE"/>
    <w:rsid w:val="007976B1"/>
    <w:rsid w:val="007979F6"/>
    <w:rsid w:val="007A0CF1"/>
    <w:rsid w:val="007A229D"/>
    <w:rsid w:val="007A44C2"/>
    <w:rsid w:val="007A72D5"/>
    <w:rsid w:val="007B1FEA"/>
    <w:rsid w:val="007B51FD"/>
    <w:rsid w:val="007B6BA5"/>
    <w:rsid w:val="007C031D"/>
    <w:rsid w:val="007C0F1A"/>
    <w:rsid w:val="007C1218"/>
    <w:rsid w:val="007C20E7"/>
    <w:rsid w:val="007C3390"/>
    <w:rsid w:val="007C42D8"/>
    <w:rsid w:val="007C4F4B"/>
    <w:rsid w:val="007C57ED"/>
    <w:rsid w:val="007D0729"/>
    <w:rsid w:val="007D4DC3"/>
    <w:rsid w:val="007D5003"/>
    <w:rsid w:val="007D575A"/>
    <w:rsid w:val="007D7362"/>
    <w:rsid w:val="007E06CE"/>
    <w:rsid w:val="007E187D"/>
    <w:rsid w:val="007E4DEC"/>
    <w:rsid w:val="007F0A0C"/>
    <w:rsid w:val="007F1CCE"/>
    <w:rsid w:val="007F5490"/>
    <w:rsid w:val="007F5CE2"/>
    <w:rsid w:val="007F6611"/>
    <w:rsid w:val="00800264"/>
    <w:rsid w:val="00810BAC"/>
    <w:rsid w:val="0081145D"/>
    <w:rsid w:val="008123B3"/>
    <w:rsid w:val="008126E7"/>
    <w:rsid w:val="008129FE"/>
    <w:rsid w:val="00812CB2"/>
    <w:rsid w:val="00813B0F"/>
    <w:rsid w:val="0081512A"/>
    <w:rsid w:val="00815254"/>
    <w:rsid w:val="008164E1"/>
    <w:rsid w:val="00817510"/>
    <w:rsid w:val="008175E9"/>
    <w:rsid w:val="00820F04"/>
    <w:rsid w:val="00821E39"/>
    <w:rsid w:val="008242D7"/>
    <w:rsid w:val="0082577B"/>
    <w:rsid w:val="00825B7D"/>
    <w:rsid w:val="00835274"/>
    <w:rsid w:val="0084069B"/>
    <w:rsid w:val="00840C1E"/>
    <w:rsid w:val="0084427E"/>
    <w:rsid w:val="0085005D"/>
    <w:rsid w:val="008500BD"/>
    <w:rsid w:val="00862615"/>
    <w:rsid w:val="0086512D"/>
    <w:rsid w:val="00865292"/>
    <w:rsid w:val="00866893"/>
    <w:rsid w:val="00866F02"/>
    <w:rsid w:val="00867118"/>
    <w:rsid w:val="00867D18"/>
    <w:rsid w:val="008718C8"/>
    <w:rsid w:val="00871F9A"/>
    <w:rsid w:val="00871FD5"/>
    <w:rsid w:val="00874CD9"/>
    <w:rsid w:val="0088172E"/>
    <w:rsid w:val="00881EFA"/>
    <w:rsid w:val="00883E28"/>
    <w:rsid w:val="0088482A"/>
    <w:rsid w:val="00884A2F"/>
    <w:rsid w:val="008879CB"/>
    <w:rsid w:val="00891D06"/>
    <w:rsid w:val="00892D01"/>
    <w:rsid w:val="0089462B"/>
    <w:rsid w:val="008957F7"/>
    <w:rsid w:val="00895867"/>
    <w:rsid w:val="00896E46"/>
    <w:rsid w:val="00896E8E"/>
    <w:rsid w:val="008979B1"/>
    <w:rsid w:val="008A06D0"/>
    <w:rsid w:val="008A0D9E"/>
    <w:rsid w:val="008A18AB"/>
    <w:rsid w:val="008A1D68"/>
    <w:rsid w:val="008A6B25"/>
    <w:rsid w:val="008A6C4F"/>
    <w:rsid w:val="008B389E"/>
    <w:rsid w:val="008B44BE"/>
    <w:rsid w:val="008B5253"/>
    <w:rsid w:val="008C517B"/>
    <w:rsid w:val="008C6585"/>
    <w:rsid w:val="008D045E"/>
    <w:rsid w:val="008D13F6"/>
    <w:rsid w:val="008D15E3"/>
    <w:rsid w:val="008D2E8C"/>
    <w:rsid w:val="008D3479"/>
    <w:rsid w:val="008D3C04"/>
    <w:rsid w:val="008D3F25"/>
    <w:rsid w:val="008D4D82"/>
    <w:rsid w:val="008D77AF"/>
    <w:rsid w:val="008E01FB"/>
    <w:rsid w:val="008E08C2"/>
    <w:rsid w:val="008E0E46"/>
    <w:rsid w:val="008E42AD"/>
    <w:rsid w:val="008E47AF"/>
    <w:rsid w:val="008E7116"/>
    <w:rsid w:val="008F067E"/>
    <w:rsid w:val="008F143B"/>
    <w:rsid w:val="008F1DD5"/>
    <w:rsid w:val="008F34E3"/>
    <w:rsid w:val="008F3882"/>
    <w:rsid w:val="008F3A96"/>
    <w:rsid w:val="008F4B7C"/>
    <w:rsid w:val="008F6533"/>
    <w:rsid w:val="008F6F8E"/>
    <w:rsid w:val="009017EB"/>
    <w:rsid w:val="00911891"/>
    <w:rsid w:val="00915735"/>
    <w:rsid w:val="00915829"/>
    <w:rsid w:val="00916281"/>
    <w:rsid w:val="0092087A"/>
    <w:rsid w:val="00922F35"/>
    <w:rsid w:val="00923202"/>
    <w:rsid w:val="0092351B"/>
    <w:rsid w:val="00925BDA"/>
    <w:rsid w:val="00926E47"/>
    <w:rsid w:val="009327C3"/>
    <w:rsid w:val="0093289C"/>
    <w:rsid w:val="0093326F"/>
    <w:rsid w:val="0093398A"/>
    <w:rsid w:val="009373F4"/>
    <w:rsid w:val="00937727"/>
    <w:rsid w:val="00937B75"/>
    <w:rsid w:val="00945E1C"/>
    <w:rsid w:val="00946E0F"/>
    <w:rsid w:val="00947162"/>
    <w:rsid w:val="0095042F"/>
    <w:rsid w:val="00954452"/>
    <w:rsid w:val="00955C22"/>
    <w:rsid w:val="00956935"/>
    <w:rsid w:val="00956F4C"/>
    <w:rsid w:val="00957FE8"/>
    <w:rsid w:val="009610D0"/>
    <w:rsid w:val="0096375C"/>
    <w:rsid w:val="00965475"/>
    <w:rsid w:val="009662E6"/>
    <w:rsid w:val="0096679C"/>
    <w:rsid w:val="009703F7"/>
    <w:rsid w:val="0097095E"/>
    <w:rsid w:val="00971335"/>
    <w:rsid w:val="00973AC1"/>
    <w:rsid w:val="009753CD"/>
    <w:rsid w:val="00980055"/>
    <w:rsid w:val="0098592B"/>
    <w:rsid w:val="00985FC4"/>
    <w:rsid w:val="00987CE1"/>
    <w:rsid w:val="00990766"/>
    <w:rsid w:val="00990DA7"/>
    <w:rsid w:val="00991003"/>
    <w:rsid w:val="00991261"/>
    <w:rsid w:val="009964C4"/>
    <w:rsid w:val="00996AFF"/>
    <w:rsid w:val="0099716C"/>
    <w:rsid w:val="00997A37"/>
    <w:rsid w:val="009A02C0"/>
    <w:rsid w:val="009A3FE7"/>
    <w:rsid w:val="009A409F"/>
    <w:rsid w:val="009A6013"/>
    <w:rsid w:val="009A7B81"/>
    <w:rsid w:val="009B2C15"/>
    <w:rsid w:val="009B7A53"/>
    <w:rsid w:val="009C1D1F"/>
    <w:rsid w:val="009C2DA3"/>
    <w:rsid w:val="009C6690"/>
    <w:rsid w:val="009C7256"/>
    <w:rsid w:val="009D01C0"/>
    <w:rsid w:val="009D17DD"/>
    <w:rsid w:val="009D1E9A"/>
    <w:rsid w:val="009D3CC4"/>
    <w:rsid w:val="009D648B"/>
    <w:rsid w:val="009D64A7"/>
    <w:rsid w:val="009D6A08"/>
    <w:rsid w:val="009E0A16"/>
    <w:rsid w:val="009E3A36"/>
    <w:rsid w:val="009E5FE6"/>
    <w:rsid w:val="009E635C"/>
    <w:rsid w:val="009E6CB7"/>
    <w:rsid w:val="009E7345"/>
    <w:rsid w:val="009E7970"/>
    <w:rsid w:val="009E7F76"/>
    <w:rsid w:val="009F02B1"/>
    <w:rsid w:val="009F0A4E"/>
    <w:rsid w:val="009F17B2"/>
    <w:rsid w:val="009F2EAC"/>
    <w:rsid w:val="009F49E9"/>
    <w:rsid w:val="009F57E3"/>
    <w:rsid w:val="00A02D36"/>
    <w:rsid w:val="00A060F6"/>
    <w:rsid w:val="00A062ED"/>
    <w:rsid w:val="00A067E0"/>
    <w:rsid w:val="00A104EB"/>
    <w:rsid w:val="00A10F4F"/>
    <w:rsid w:val="00A11067"/>
    <w:rsid w:val="00A12706"/>
    <w:rsid w:val="00A1494D"/>
    <w:rsid w:val="00A14B07"/>
    <w:rsid w:val="00A1520A"/>
    <w:rsid w:val="00A1704A"/>
    <w:rsid w:val="00A21115"/>
    <w:rsid w:val="00A22F12"/>
    <w:rsid w:val="00A236AB"/>
    <w:rsid w:val="00A24745"/>
    <w:rsid w:val="00A24AC3"/>
    <w:rsid w:val="00A2539A"/>
    <w:rsid w:val="00A275F3"/>
    <w:rsid w:val="00A31485"/>
    <w:rsid w:val="00A3184E"/>
    <w:rsid w:val="00A41449"/>
    <w:rsid w:val="00A425EB"/>
    <w:rsid w:val="00A431AB"/>
    <w:rsid w:val="00A4333A"/>
    <w:rsid w:val="00A43BC2"/>
    <w:rsid w:val="00A440CE"/>
    <w:rsid w:val="00A44C87"/>
    <w:rsid w:val="00A45950"/>
    <w:rsid w:val="00A50BCD"/>
    <w:rsid w:val="00A51202"/>
    <w:rsid w:val="00A512C3"/>
    <w:rsid w:val="00A528D5"/>
    <w:rsid w:val="00A53670"/>
    <w:rsid w:val="00A54505"/>
    <w:rsid w:val="00A549A0"/>
    <w:rsid w:val="00A574E2"/>
    <w:rsid w:val="00A610B5"/>
    <w:rsid w:val="00A6171D"/>
    <w:rsid w:val="00A634C3"/>
    <w:rsid w:val="00A64DF4"/>
    <w:rsid w:val="00A66B5F"/>
    <w:rsid w:val="00A67F90"/>
    <w:rsid w:val="00A72F22"/>
    <w:rsid w:val="00A73127"/>
    <w:rsid w:val="00A733BC"/>
    <w:rsid w:val="00A73ACA"/>
    <w:rsid w:val="00A748A6"/>
    <w:rsid w:val="00A74C81"/>
    <w:rsid w:val="00A76A69"/>
    <w:rsid w:val="00A80317"/>
    <w:rsid w:val="00A80B7D"/>
    <w:rsid w:val="00A83059"/>
    <w:rsid w:val="00A84440"/>
    <w:rsid w:val="00A879A4"/>
    <w:rsid w:val="00A87B74"/>
    <w:rsid w:val="00A9114F"/>
    <w:rsid w:val="00A9133E"/>
    <w:rsid w:val="00A91621"/>
    <w:rsid w:val="00A91E95"/>
    <w:rsid w:val="00A921F6"/>
    <w:rsid w:val="00A922ED"/>
    <w:rsid w:val="00A93E28"/>
    <w:rsid w:val="00A973DE"/>
    <w:rsid w:val="00AA0FF8"/>
    <w:rsid w:val="00AA3A93"/>
    <w:rsid w:val="00AA485B"/>
    <w:rsid w:val="00AA49D1"/>
    <w:rsid w:val="00AA4AFD"/>
    <w:rsid w:val="00AA6767"/>
    <w:rsid w:val="00AB212E"/>
    <w:rsid w:val="00AB3CA1"/>
    <w:rsid w:val="00AB752A"/>
    <w:rsid w:val="00AC0F2C"/>
    <w:rsid w:val="00AC326A"/>
    <w:rsid w:val="00AC502A"/>
    <w:rsid w:val="00AC51C6"/>
    <w:rsid w:val="00AC6531"/>
    <w:rsid w:val="00AC6FC1"/>
    <w:rsid w:val="00AD14B4"/>
    <w:rsid w:val="00AD3882"/>
    <w:rsid w:val="00AD4639"/>
    <w:rsid w:val="00AD502D"/>
    <w:rsid w:val="00AD704F"/>
    <w:rsid w:val="00AD72AE"/>
    <w:rsid w:val="00AE44B1"/>
    <w:rsid w:val="00AF17CF"/>
    <w:rsid w:val="00AF18FA"/>
    <w:rsid w:val="00AF452B"/>
    <w:rsid w:val="00AF4907"/>
    <w:rsid w:val="00AF50B9"/>
    <w:rsid w:val="00AF58C1"/>
    <w:rsid w:val="00AF6B2E"/>
    <w:rsid w:val="00B0116E"/>
    <w:rsid w:val="00B0215A"/>
    <w:rsid w:val="00B02339"/>
    <w:rsid w:val="00B04A3F"/>
    <w:rsid w:val="00B057A2"/>
    <w:rsid w:val="00B058A7"/>
    <w:rsid w:val="00B0655D"/>
    <w:rsid w:val="00B06643"/>
    <w:rsid w:val="00B077E4"/>
    <w:rsid w:val="00B15055"/>
    <w:rsid w:val="00B1646D"/>
    <w:rsid w:val="00B1679E"/>
    <w:rsid w:val="00B17834"/>
    <w:rsid w:val="00B24619"/>
    <w:rsid w:val="00B24B29"/>
    <w:rsid w:val="00B26C80"/>
    <w:rsid w:val="00B30179"/>
    <w:rsid w:val="00B31A96"/>
    <w:rsid w:val="00B31D9F"/>
    <w:rsid w:val="00B322AD"/>
    <w:rsid w:val="00B347FC"/>
    <w:rsid w:val="00B365DA"/>
    <w:rsid w:val="00B367DE"/>
    <w:rsid w:val="00B37B15"/>
    <w:rsid w:val="00B431E8"/>
    <w:rsid w:val="00B45C02"/>
    <w:rsid w:val="00B46BF8"/>
    <w:rsid w:val="00B46DAF"/>
    <w:rsid w:val="00B476A4"/>
    <w:rsid w:val="00B52FCF"/>
    <w:rsid w:val="00B55E23"/>
    <w:rsid w:val="00B62917"/>
    <w:rsid w:val="00B63FF8"/>
    <w:rsid w:val="00B72A1E"/>
    <w:rsid w:val="00B72C9C"/>
    <w:rsid w:val="00B76608"/>
    <w:rsid w:val="00B76D4A"/>
    <w:rsid w:val="00B81E12"/>
    <w:rsid w:val="00B84947"/>
    <w:rsid w:val="00B92F5E"/>
    <w:rsid w:val="00B93773"/>
    <w:rsid w:val="00B939AC"/>
    <w:rsid w:val="00B963BB"/>
    <w:rsid w:val="00BA11E0"/>
    <w:rsid w:val="00BA1912"/>
    <w:rsid w:val="00BA3151"/>
    <w:rsid w:val="00BA339B"/>
    <w:rsid w:val="00BA7239"/>
    <w:rsid w:val="00BB1CFC"/>
    <w:rsid w:val="00BB1EE5"/>
    <w:rsid w:val="00BC1E7E"/>
    <w:rsid w:val="00BC33D7"/>
    <w:rsid w:val="00BC45EB"/>
    <w:rsid w:val="00BC700B"/>
    <w:rsid w:val="00BC73A2"/>
    <w:rsid w:val="00BC74E9"/>
    <w:rsid w:val="00BC7B3D"/>
    <w:rsid w:val="00BC7B52"/>
    <w:rsid w:val="00BC7F91"/>
    <w:rsid w:val="00BD2D5F"/>
    <w:rsid w:val="00BD5AAC"/>
    <w:rsid w:val="00BD7091"/>
    <w:rsid w:val="00BE36A9"/>
    <w:rsid w:val="00BE4147"/>
    <w:rsid w:val="00BE5E89"/>
    <w:rsid w:val="00BE618E"/>
    <w:rsid w:val="00BE7BEC"/>
    <w:rsid w:val="00BF0A5A"/>
    <w:rsid w:val="00BF0E63"/>
    <w:rsid w:val="00BF12A3"/>
    <w:rsid w:val="00BF16D7"/>
    <w:rsid w:val="00BF227A"/>
    <w:rsid w:val="00BF2373"/>
    <w:rsid w:val="00BF4DFA"/>
    <w:rsid w:val="00BF6D0F"/>
    <w:rsid w:val="00BF7C93"/>
    <w:rsid w:val="00C002F6"/>
    <w:rsid w:val="00C044E2"/>
    <w:rsid w:val="00C048CB"/>
    <w:rsid w:val="00C066F3"/>
    <w:rsid w:val="00C10411"/>
    <w:rsid w:val="00C12128"/>
    <w:rsid w:val="00C14C5D"/>
    <w:rsid w:val="00C155D6"/>
    <w:rsid w:val="00C15669"/>
    <w:rsid w:val="00C21913"/>
    <w:rsid w:val="00C223EC"/>
    <w:rsid w:val="00C252BE"/>
    <w:rsid w:val="00C34EC5"/>
    <w:rsid w:val="00C35747"/>
    <w:rsid w:val="00C35F91"/>
    <w:rsid w:val="00C376DE"/>
    <w:rsid w:val="00C463DD"/>
    <w:rsid w:val="00C46D56"/>
    <w:rsid w:val="00C47F54"/>
    <w:rsid w:val="00C50C13"/>
    <w:rsid w:val="00C50EC5"/>
    <w:rsid w:val="00C51BC4"/>
    <w:rsid w:val="00C520D6"/>
    <w:rsid w:val="00C54967"/>
    <w:rsid w:val="00C56C5D"/>
    <w:rsid w:val="00C6157F"/>
    <w:rsid w:val="00C61943"/>
    <w:rsid w:val="00C6228D"/>
    <w:rsid w:val="00C629A4"/>
    <w:rsid w:val="00C62ECF"/>
    <w:rsid w:val="00C6389E"/>
    <w:rsid w:val="00C679E1"/>
    <w:rsid w:val="00C72D4A"/>
    <w:rsid w:val="00C73285"/>
    <w:rsid w:val="00C745C3"/>
    <w:rsid w:val="00C753FE"/>
    <w:rsid w:val="00C77F0D"/>
    <w:rsid w:val="00C80035"/>
    <w:rsid w:val="00C804FF"/>
    <w:rsid w:val="00C81A07"/>
    <w:rsid w:val="00C83BC3"/>
    <w:rsid w:val="00C85C8C"/>
    <w:rsid w:val="00C87AB0"/>
    <w:rsid w:val="00C919F9"/>
    <w:rsid w:val="00C92F82"/>
    <w:rsid w:val="00C94F15"/>
    <w:rsid w:val="00C961D6"/>
    <w:rsid w:val="00CA08F0"/>
    <w:rsid w:val="00CA1156"/>
    <w:rsid w:val="00CA2195"/>
    <w:rsid w:val="00CA24A4"/>
    <w:rsid w:val="00CA26C6"/>
    <w:rsid w:val="00CA3B30"/>
    <w:rsid w:val="00CA4273"/>
    <w:rsid w:val="00CB11E8"/>
    <w:rsid w:val="00CB230D"/>
    <w:rsid w:val="00CB348D"/>
    <w:rsid w:val="00CB500F"/>
    <w:rsid w:val="00CB681C"/>
    <w:rsid w:val="00CC0224"/>
    <w:rsid w:val="00CC2477"/>
    <w:rsid w:val="00CD46F5"/>
    <w:rsid w:val="00CE1BCC"/>
    <w:rsid w:val="00CE313F"/>
    <w:rsid w:val="00CE4868"/>
    <w:rsid w:val="00CE4A8F"/>
    <w:rsid w:val="00CE6BA0"/>
    <w:rsid w:val="00CF037F"/>
    <w:rsid w:val="00CF071D"/>
    <w:rsid w:val="00CF1007"/>
    <w:rsid w:val="00CF13B2"/>
    <w:rsid w:val="00CF1AC2"/>
    <w:rsid w:val="00CF2EA9"/>
    <w:rsid w:val="00CF353D"/>
    <w:rsid w:val="00CF68AB"/>
    <w:rsid w:val="00D03C0A"/>
    <w:rsid w:val="00D03F02"/>
    <w:rsid w:val="00D048B0"/>
    <w:rsid w:val="00D121FC"/>
    <w:rsid w:val="00D131E4"/>
    <w:rsid w:val="00D1585B"/>
    <w:rsid w:val="00D15B04"/>
    <w:rsid w:val="00D2031B"/>
    <w:rsid w:val="00D20733"/>
    <w:rsid w:val="00D21F66"/>
    <w:rsid w:val="00D23DDF"/>
    <w:rsid w:val="00D25189"/>
    <w:rsid w:val="00D25F17"/>
    <w:rsid w:val="00D25FE2"/>
    <w:rsid w:val="00D264DA"/>
    <w:rsid w:val="00D3048E"/>
    <w:rsid w:val="00D30675"/>
    <w:rsid w:val="00D323A4"/>
    <w:rsid w:val="00D35A92"/>
    <w:rsid w:val="00D3657E"/>
    <w:rsid w:val="00D37DA9"/>
    <w:rsid w:val="00D406A7"/>
    <w:rsid w:val="00D41193"/>
    <w:rsid w:val="00D41304"/>
    <w:rsid w:val="00D41664"/>
    <w:rsid w:val="00D43252"/>
    <w:rsid w:val="00D44D86"/>
    <w:rsid w:val="00D45173"/>
    <w:rsid w:val="00D47946"/>
    <w:rsid w:val="00D50A5C"/>
    <w:rsid w:val="00D50B7D"/>
    <w:rsid w:val="00D52012"/>
    <w:rsid w:val="00D545DF"/>
    <w:rsid w:val="00D6366C"/>
    <w:rsid w:val="00D6565E"/>
    <w:rsid w:val="00D65BED"/>
    <w:rsid w:val="00D65D57"/>
    <w:rsid w:val="00D676B5"/>
    <w:rsid w:val="00D67EA9"/>
    <w:rsid w:val="00D704E5"/>
    <w:rsid w:val="00D72727"/>
    <w:rsid w:val="00D7580D"/>
    <w:rsid w:val="00D8336E"/>
    <w:rsid w:val="00D83703"/>
    <w:rsid w:val="00D83AF4"/>
    <w:rsid w:val="00D86534"/>
    <w:rsid w:val="00D87CEE"/>
    <w:rsid w:val="00D91D6B"/>
    <w:rsid w:val="00D93925"/>
    <w:rsid w:val="00D978C6"/>
    <w:rsid w:val="00DA0956"/>
    <w:rsid w:val="00DA357F"/>
    <w:rsid w:val="00DA3E12"/>
    <w:rsid w:val="00DA62F2"/>
    <w:rsid w:val="00DA6E72"/>
    <w:rsid w:val="00DB09EB"/>
    <w:rsid w:val="00DB2CA5"/>
    <w:rsid w:val="00DB3259"/>
    <w:rsid w:val="00DB33DE"/>
    <w:rsid w:val="00DB5090"/>
    <w:rsid w:val="00DC1024"/>
    <w:rsid w:val="00DC18AD"/>
    <w:rsid w:val="00DC1F40"/>
    <w:rsid w:val="00DC23E5"/>
    <w:rsid w:val="00DC58DC"/>
    <w:rsid w:val="00DD10A8"/>
    <w:rsid w:val="00DD3B1A"/>
    <w:rsid w:val="00DD482F"/>
    <w:rsid w:val="00DE1795"/>
    <w:rsid w:val="00DE3496"/>
    <w:rsid w:val="00DE3C07"/>
    <w:rsid w:val="00DF1F41"/>
    <w:rsid w:val="00DF27C6"/>
    <w:rsid w:val="00DF3DB9"/>
    <w:rsid w:val="00DF511E"/>
    <w:rsid w:val="00DF6B27"/>
    <w:rsid w:val="00DF7CAE"/>
    <w:rsid w:val="00E022D5"/>
    <w:rsid w:val="00E02767"/>
    <w:rsid w:val="00E04AA3"/>
    <w:rsid w:val="00E06A8A"/>
    <w:rsid w:val="00E113CD"/>
    <w:rsid w:val="00E1421A"/>
    <w:rsid w:val="00E16B55"/>
    <w:rsid w:val="00E209EE"/>
    <w:rsid w:val="00E215D1"/>
    <w:rsid w:val="00E24BCE"/>
    <w:rsid w:val="00E31A98"/>
    <w:rsid w:val="00E33717"/>
    <w:rsid w:val="00E351B6"/>
    <w:rsid w:val="00E35C60"/>
    <w:rsid w:val="00E3771B"/>
    <w:rsid w:val="00E4024C"/>
    <w:rsid w:val="00E41F7B"/>
    <w:rsid w:val="00E423C0"/>
    <w:rsid w:val="00E4272F"/>
    <w:rsid w:val="00E4324C"/>
    <w:rsid w:val="00E45233"/>
    <w:rsid w:val="00E455DE"/>
    <w:rsid w:val="00E45A95"/>
    <w:rsid w:val="00E51C34"/>
    <w:rsid w:val="00E52BE4"/>
    <w:rsid w:val="00E52C92"/>
    <w:rsid w:val="00E5430C"/>
    <w:rsid w:val="00E557DB"/>
    <w:rsid w:val="00E57A44"/>
    <w:rsid w:val="00E60CAE"/>
    <w:rsid w:val="00E61599"/>
    <w:rsid w:val="00E62164"/>
    <w:rsid w:val="00E6414C"/>
    <w:rsid w:val="00E65ADB"/>
    <w:rsid w:val="00E706C1"/>
    <w:rsid w:val="00E71CA5"/>
    <w:rsid w:val="00E7260F"/>
    <w:rsid w:val="00E76DEC"/>
    <w:rsid w:val="00E817C1"/>
    <w:rsid w:val="00E81A94"/>
    <w:rsid w:val="00E83134"/>
    <w:rsid w:val="00E8702D"/>
    <w:rsid w:val="00E916A9"/>
    <w:rsid w:val="00E916DE"/>
    <w:rsid w:val="00E925AD"/>
    <w:rsid w:val="00E93AED"/>
    <w:rsid w:val="00E94983"/>
    <w:rsid w:val="00E950B1"/>
    <w:rsid w:val="00E96630"/>
    <w:rsid w:val="00E978B0"/>
    <w:rsid w:val="00E97FC0"/>
    <w:rsid w:val="00EA460C"/>
    <w:rsid w:val="00EB6FA1"/>
    <w:rsid w:val="00EB76E9"/>
    <w:rsid w:val="00ED0D23"/>
    <w:rsid w:val="00ED18DC"/>
    <w:rsid w:val="00ED3F67"/>
    <w:rsid w:val="00ED5349"/>
    <w:rsid w:val="00ED6201"/>
    <w:rsid w:val="00ED7A2A"/>
    <w:rsid w:val="00ED7DCD"/>
    <w:rsid w:val="00EE075C"/>
    <w:rsid w:val="00EE1060"/>
    <w:rsid w:val="00EE51CC"/>
    <w:rsid w:val="00EE6488"/>
    <w:rsid w:val="00EE6D92"/>
    <w:rsid w:val="00EF06BE"/>
    <w:rsid w:val="00EF1D7F"/>
    <w:rsid w:val="00EF520B"/>
    <w:rsid w:val="00F0137E"/>
    <w:rsid w:val="00F04FD3"/>
    <w:rsid w:val="00F05EFB"/>
    <w:rsid w:val="00F166A8"/>
    <w:rsid w:val="00F21786"/>
    <w:rsid w:val="00F233EA"/>
    <w:rsid w:val="00F2400D"/>
    <w:rsid w:val="00F31C36"/>
    <w:rsid w:val="00F329D1"/>
    <w:rsid w:val="00F32E62"/>
    <w:rsid w:val="00F3742B"/>
    <w:rsid w:val="00F41FDB"/>
    <w:rsid w:val="00F44221"/>
    <w:rsid w:val="00F474F1"/>
    <w:rsid w:val="00F507EC"/>
    <w:rsid w:val="00F50ABF"/>
    <w:rsid w:val="00F50EEB"/>
    <w:rsid w:val="00F54112"/>
    <w:rsid w:val="00F54347"/>
    <w:rsid w:val="00F54D16"/>
    <w:rsid w:val="00F55CC9"/>
    <w:rsid w:val="00F56D63"/>
    <w:rsid w:val="00F57A6A"/>
    <w:rsid w:val="00F57D5B"/>
    <w:rsid w:val="00F609A9"/>
    <w:rsid w:val="00F64334"/>
    <w:rsid w:val="00F6511E"/>
    <w:rsid w:val="00F712CC"/>
    <w:rsid w:val="00F72BCD"/>
    <w:rsid w:val="00F73D73"/>
    <w:rsid w:val="00F7757A"/>
    <w:rsid w:val="00F80283"/>
    <w:rsid w:val="00F8071E"/>
    <w:rsid w:val="00F80C99"/>
    <w:rsid w:val="00F852DB"/>
    <w:rsid w:val="00F867EC"/>
    <w:rsid w:val="00F872F0"/>
    <w:rsid w:val="00F87554"/>
    <w:rsid w:val="00F90838"/>
    <w:rsid w:val="00F91B2B"/>
    <w:rsid w:val="00F91C99"/>
    <w:rsid w:val="00F96AC9"/>
    <w:rsid w:val="00F97B37"/>
    <w:rsid w:val="00F97B81"/>
    <w:rsid w:val="00F97C0D"/>
    <w:rsid w:val="00FA0059"/>
    <w:rsid w:val="00FA2759"/>
    <w:rsid w:val="00FA5948"/>
    <w:rsid w:val="00FA6E80"/>
    <w:rsid w:val="00FA727F"/>
    <w:rsid w:val="00FB0280"/>
    <w:rsid w:val="00FB441D"/>
    <w:rsid w:val="00FC03CD"/>
    <w:rsid w:val="00FC0646"/>
    <w:rsid w:val="00FC14CD"/>
    <w:rsid w:val="00FC273F"/>
    <w:rsid w:val="00FC3494"/>
    <w:rsid w:val="00FC3E7D"/>
    <w:rsid w:val="00FC68B7"/>
    <w:rsid w:val="00FC6ED5"/>
    <w:rsid w:val="00FD25F8"/>
    <w:rsid w:val="00FD2DD0"/>
    <w:rsid w:val="00FD6151"/>
    <w:rsid w:val="00FE0C58"/>
    <w:rsid w:val="00FE47B7"/>
    <w:rsid w:val="00FE6936"/>
    <w:rsid w:val="00FE6985"/>
    <w:rsid w:val="00FE6CBB"/>
    <w:rsid w:val="00FE6E06"/>
    <w:rsid w:val="00FE7307"/>
    <w:rsid w:val="00FE7A6F"/>
    <w:rsid w:val="00FF42DE"/>
    <w:rsid w:val="00FF4DA3"/>
    <w:rsid w:val="00FF5F7A"/>
    <w:rsid w:val="00FF6B17"/>
    <w:rsid w:val="00FF75A3"/>
    <w:rsid w:val="00FF79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8D4F2"/>
  <w15:docId w15:val="{B494F485-E738-4B9B-A2B1-93CC5A60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NormalWeb">
    <w:name w:val="Normal (Web)"/>
    <w:basedOn w:val="Normal"/>
    <w:uiPriority w:val="99"/>
    <w:semiHidden/>
    <w:unhideWhenUsed/>
    <w:rsid w:val="007753EE"/>
    <w:pPr>
      <w:suppressAutoHyphens w:val="0"/>
      <w:spacing w:before="100" w:beforeAutospacing="1" w:after="100" w:afterAutospacing="1" w:line="240" w:lineRule="auto"/>
    </w:pPr>
    <w:rPr>
      <w:rFonts w:eastAsiaTheme="minorEastAsia"/>
      <w:sz w:val="24"/>
      <w:szCs w:val="24"/>
      <w:lang w:val="en-US"/>
    </w:rPr>
  </w:style>
  <w:style w:type="character" w:customStyle="1" w:styleId="HeaderChar">
    <w:name w:val="Header Char"/>
    <w:aliases w:val="6_G Char"/>
    <w:basedOn w:val="DefaultParagraphFont"/>
    <w:link w:val="Header"/>
    <w:uiPriority w:val="99"/>
    <w:rsid w:val="007753EE"/>
    <w:rPr>
      <w:b/>
      <w:sz w:val="18"/>
      <w:lang w:eastAsia="en-US"/>
    </w:rPr>
  </w:style>
  <w:style w:type="paragraph" w:styleId="ListParagraph">
    <w:name w:val="List Paragraph"/>
    <w:basedOn w:val="Normal"/>
    <w:uiPriority w:val="34"/>
    <w:qFormat/>
    <w:rsid w:val="00AF17CF"/>
    <w:pPr>
      <w:ind w:left="720"/>
      <w:contextualSpacing/>
    </w:pPr>
  </w:style>
  <w:style w:type="character" w:customStyle="1" w:styleId="SingleTxtGChar">
    <w:name w:val="_ Single Txt_G Char"/>
    <w:link w:val="SingleTxtG"/>
    <w:rsid w:val="008E47AF"/>
    <w:rPr>
      <w:lang w:eastAsia="en-US"/>
    </w:rPr>
  </w:style>
  <w:style w:type="paragraph" w:styleId="BalloonText">
    <w:name w:val="Balloon Text"/>
    <w:basedOn w:val="Normal"/>
    <w:link w:val="BalloonTextChar"/>
    <w:semiHidden/>
    <w:unhideWhenUsed/>
    <w:rsid w:val="00BB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CFC"/>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rsid w:val="00A1494D"/>
    <w:rPr>
      <w:sz w:val="18"/>
      <w:lang w:eastAsia="en-US"/>
    </w:rPr>
  </w:style>
  <w:style w:type="paragraph" w:styleId="Caption">
    <w:name w:val="caption"/>
    <w:basedOn w:val="Normal"/>
    <w:next w:val="Normal"/>
    <w:unhideWhenUsed/>
    <w:qFormat/>
    <w:rsid w:val="004F292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ED3F67"/>
    <w:rPr>
      <w:color w:val="605E5C"/>
      <w:shd w:val="clear" w:color="auto" w:fill="E1DFDD"/>
    </w:rPr>
  </w:style>
  <w:style w:type="character" w:styleId="CommentReference">
    <w:name w:val="annotation reference"/>
    <w:basedOn w:val="DefaultParagraphFont"/>
    <w:semiHidden/>
    <w:unhideWhenUsed/>
    <w:rsid w:val="00E1421A"/>
    <w:rPr>
      <w:sz w:val="16"/>
      <w:szCs w:val="16"/>
    </w:rPr>
  </w:style>
  <w:style w:type="paragraph" w:styleId="CommentText">
    <w:name w:val="annotation text"/>
    <w:basedOn w:val="Normal"/>
    <w:link w:val="CommentTextChar"/>
    <w:semiHidden/>
    <w:unhideWhenUsed/>
    <w:rsid w:val="00E1421A"/>
    <w:pPr>
      <w:spacing w:line="240" w:lineRule="auto"/>
    </w:pPr>
  </w:style>
  <w:style w:type="character" w:customStyle="1" w:styleId="CommentTextChar">
    <w:name w:val="Comment Text Char"/>
    <w:basedOn w:val="DefaultParagraphFont"/>
    <w:link w:val="CommentText"/>
    <w:semiHidden/>
    <w:rsid w:val="00E1421A"/>
    <w:rPr>
      <w:lang w:eastAsia="en-US"/>
    </w:rPr>
  </w:style>
  <w:style w:type="paragraph" w:styleId="CommentSubject">
    <w:name w:val="annotation subject"/>
    <w:basedOn w:val="CommentText"/>
    <w:next w:val="CommentText"/>
    <w:link w:val="CommentSubjectChar"/>
    <w:semiHidden/>
    <w:unhideWhenUsed/>
    <w:rsid w:val="00E1421A"/>
    <w:rPr>
      <w:b/>
      <w:bCs/>
    </w:rPr>
  </w:style>
  <w:style w:type="character" w:customStyle="1" w:styleId="CommentSubjectChar">
    <w:name w:val="Comment Subject Char"/>
    <w:basedOn w:val="CommentTextChar"/>
    <w:link w:val="CommentSubject"/>
    <w:semiHidden/>
    <w:rsid w:val="00E142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s.unece.org/infocard/"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ece.org/transport/transport-statistics/infocard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Nikola Sahovic</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F65E-4DAF-4307-8F6A-90F8815543D2}">
  <ds:schemaRefs>
    <ds:schemaRef ds:uri="http://schemas.microsoft.com/sharepoint/v3/contenttype/forms"/>
  </ds:schemaRefs>
</ds:datastoreItem>
</file>

<file path=customXml/itemProps2.xml><?xml version="1.0" encoding="utf-8"?>
<ds:datastoreItem xmlns:ds="http://schemas.openxmlformats.org/officeDocument/2006/customXml" ds:itemID="{0CA3496A-B5ED-4D2D-917C-008F8D0D6618}">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D7991F14-BE14-4116-94B4-6E062A411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CB42B-2036-428B-9586-AE621F6D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5</Pages>
  <Words>1221</Words>
  <Characters>6794</Characters>
  <Application>Microsoft Office Word</Application>
  <DocSecurity>0</DocSecurity>
  <Lines>128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ECE/TRANS/2022/26</dc:title>
  <dc:subject>2118901</dc:subject>
  <dc:creator>Carole Marilley</dc:creator>
  <cp:keywords/>
  <dc:description/>
  <cp:lastModifiedBy>Cristina BRIGOLI</cp:lastModifiedBy>
  <cp:revision>3</cp:revision>
  <cp:lastPrinted>2021-12-14T16:04:00Z</cp:lastPrinted>
  <dcterms:created xsi:type="dcterms:W3CDTF">2021-12-14T16:04:00Z</dcterms:created>
  <dcterms:modified xsi:type="dcterms:W3CDTF">2021-12-14T16:04:00Z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6453400</vt:r8>
  </property>
</Properties>
</file>