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B2E681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D4680A5" w14:textId="77777777" w:rsidR="002D5AAC" w:rsidRDefault="002D5AAC" w:rsidP="00BB7CA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4C1EC9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E9E54F6" w14:textId="416F760A" w:rsidR="002D5AAC" w:rsidRDefault="00BB7CA7" w:rsidP="00BB7CA7">
            <w:pPr>
              <w:jc w:val="right"/>
            </w:pPr>
            <w:r w:rsidRPr="00BB7CA7">
              <w:rPr>
                <w:sz w:val="40"/>
              </w:rPr>
              <w:t>ECE</w:t>
            </w:r>
            <w:r>
              <w:t>/TRANS/2022/15</w:t>
            </w:r>
          </w:p>
        </w:tc>
      </w:tr>
      <w:tr w:rsidR="002D5AAC" w:rsidRPr="00817D3C" w14:paraId="6CF5866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5C049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85A60E0" wp14:editId="0E432D8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29AEB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A6EA8EE" w14:textId="77777777" w:rsidR="002D5AAC" w:rsidRDefault="00BB7CA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8157E29" w14:textId="77777777" w:rsidR="00BB7CA7" w:rsidRDefault="00BB7CA7" w:rsidP="00BB7C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December 2021</w:t>
            </w:r>
          </w:p>
          <w:p w14:paraId="4BBB82A3" w14:textId="77777777" w:rsidR="00BB7CA7" w:rsidRDefault="00BB7CA7" w:rsidP="00BB7C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92148DF" w14:textId="6390452B" w:rsidR="00BB7CA7" w:rsidRPr="008D53B6" w:rsidRDefault="00BB7CA7" w:rsidP="00BB7C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231ECC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71DA773" w14:textId="77777777" w:rsidR="00BB7CA7" w:rsidRPr="00BB7CA7" w:rsidRDefault="00BB7CA7" w:rsidP="00BB7CA7">
      <w:pPr>
        <w:spacing w:before="120"/>
        <w:rPr>
          <w:sz w:val="28"/>
          <w:szCs w:val="28"/>
        </w:rPr>
      </w:pPr>
      <w:r w:rsidRPr="00BB7CA7">
        <w:rPr>
          <w:sz w:val="28"/>
          <w:szCs w:val="28"/>
        </w:rPr>
        <w:t>Комитет по внутреннему транспорту</w:t>
      </w:r>
    </w:p>
    <w:p w14:paraId="67ADB0F4" w14:textId="77777777" w:rsidR="00BB7CA7" w:rsidRPr="00DE1603" w:rsidRDefault="00BB7CA7" w:rsidP="00BB7CA7">
      <w:pPr>
        <w:spacing w:before="120"/>
        <w:rPr>
          <w:b/>
          <w:bCs/>
        </w:rPr>
      </w:pPr>
      <w:r>
        <w:rPr>
          <w:b/>
          <w:bCs/>
        </w:rPr>
        <w:t>Восемьдесят четвертая сессия</w:t>
      </w:r>
    </w:p>
    <w:p w14:paraId="0D6A7A1A" w14:textId="77777777" w:rsidR="00BB7CA7" w:rsidRDefault="00BB7CA7" w:rsidP="00BB7CA7">
      <w:r>
        <w:t>Женева, 22–25 февраля 2022 года</w:t>
      </w:r>
    </w:p>
    <w:p w14:paraId="48DAFBC8" w14:textId="77777777" w:rsidR="00BB7CA7" w:rsidRDefault="00BB7CA7" w:rsidP="00BB7CA7">
      <w:r>
        <w:t>Пункт 9 d) предварительной повестки дня</w:t>
      </w:r>
    </w:p>
    <w:p w14:paraId="72205965" w14:textId="18F843D6" w:rsidR="00E12C5F" w:rsidRDefault="00BB7CA7" w:rsidP="00BB7CA7">
      <w:r w:rsidRPr="00C55C36">
        <w:rPr>
          <w:b/>
          <w:bCs/>
        </w:rPr>
        <w:t xml:space="preserve">Стратегические вопросы горизонтальной </w:t>
      </w:r>
      <w:r>
        <w:rPr>
          <w:b/>
          <w:bCs/>
        </w:rPr>
        <w:br/>
      </w:r>
      <w:r w:rsidRPr="00C55C36">
        <w:rPr>
          <w:b/>
          <w:bCs/>
        </w:rPr>
        <w:t>и межсекторальной политики или нормативного характера:</w:t>
      </w:r>
      <w:r>
        <w:t xml:space="preserve"> </w:t>
      </w:r>
      <w:r>
        <w:br/>
      </w:r>
      <w:r>
        <w:rPr>
          <w:b/>
          <w:bCs/>
        </w:rPr>
        <w:t>Интеллектуальные транспортные системы</w:t>
      </w:r>
    </w:p>
    <w:p w14:paraId="300B7CF1" w14:textId="51D2A9B5" w:rsidR="00BB7CA7" w:rsidRPr="00C55C36" w:rsidRDefault="00BB7CA7" w:rsidP="00BB7CA7">
      <w:pPr>
        <w:pStyle w:val="HChG"/>
      </w:pPr>
      <w:r>
        <w:tab/>
      </w:r>
      <w:r>
        <w:tab/>
        <w:t>Ход осуществления дорожной карты ЕЭК по</w:t>
      </w:r>
      <w:r>
        <w:rPr>
          <w:lang w:val="en-US"/>
        </w:rPr>
        <w:t> </w:t>
      </w:r>
      <w:r>
        <w:t>интеллектуальным транспортным системам</w:t>
      </w:r>
    </w:p>
    <w:p w14:paraId="433985D3" w14:textId="43C509AF" w:rsidR="00BB7CA7" w:rsidRDefault="00BB7CA7" w:rsidP="00BB7CA7">
      <w:pPr>
        <w:pStyle w:val="H1G"/>
      </w:pPr>
      <w:r>
        <w:tab/>
      </w:r>
      <w:r>
        <w:tab/>
        <w:t>Записка секретариата</w:t>
      </w:r>
      <w:r w:rsidRPr="00BB7CA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BB7CA7" w:rsidRPr="00BB7CA7" w14:paraId="20843CEB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5B4927AF" w14:textId="77777777" w:rsidR="00BB7CA7" w:rsidRPr="00BB7CA7" w:rsidRDefault="00BB7CA7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BB7CA7">
              <w:rPr>
                <w:rFonts w:cs="Times New Roman"/>
              </w:rPr>
              <w:tab/>
            </w:r>
            <w:r w:rsidRPr="00BB7CA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B7CA7" w:rsidRPr="00BB7CA7" w14:paraId="05538A4B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548A024" w14:textId="5E347731" w:rsidR="00BB7CA7" w:rsidRDefault="00BB7CA7" w:rsidP="00D6488B">
            <w:pPr>
              <w:pStyle w:val="SingleTxtG"/>
            </w:pPr>
            <w:r>
              <w:tab/>
            </w:r>
            <w:r w:rsidRPr="00BB7CA7">
              <w:t>В настоящем документе содержится обзор деятельности, осуществленной в 2021 году в соответствии с направлениями действий, указанными в пересмотренной дорожной карте ЕЭК на 2021–2025 годы по интеллектуальным транспортным системам (ИТС), начало которой было положено на восемьдесят третьей сессии Комитета по внутреннему транспорту (КВТ).</w:t>
            </w:r>
          </w:p>
          <w:p w14:paraId="1C48B5AE" w14:textId="77777777" w:rsidR="00BB7CA7" w:rsidRDefault="00BB7CA7" w:rsidP="00D6488B">
            <w:pPr>
              <w:pStyle w:val="SingleTxtG"/>
            </w:pPr>
            <w:r w:rsidRPr="00BB7CA7">
              <w:tab/>
              <w:t xml:space="preserve">Комитету предлагается </w:t>
            </w:r>
            <w:r w:rsidRPr="00A75533">
              <w:rPr>
                <w:b/>
                <w:bCs/>
              </w:rPr>
              <w:t>отметить</w:t>
            </w:r>
            <w:r w:rsidRPr="00BB7CA7">
              <w:t xml:space="preserve"> важные изменения в области ИТС, связанные с автоматизированным вождением, «умным» судоходством и кибербезопасностью.</w:t>
            </w:r>
          </w:p>
          <w:p w14:paraId="0C21BCC5" w14:textId="02677198" w:rsidR="00BB7CA7" w:rsidRPr="00BB7CA7" w:rsidRDefault="00BB7CA7" w:rsidP="00D6488B">
            <w:pPr>
              <w:pStyle w:val="SingleTxtG"/>
            </w:pPr>
            <w:r w:rsidRPr="00BB7CA7">
              <w:tab/>
              <w:t xml:space="preserve">Комитету предлагается </w:t>
            </w:r>
            <w:r w:rsidRPr="00A75533">
              <w:rPr>
                <w:b/>
                <w:bCs/>
              </w:rPr>
              <w:t>стимулировать</w:t>
            </w:r>
            <w:r w:rsidRPr="00BB7CA7">
              <w:t xml:space="preserve"> деятельность, осуществляемую в соответствии со всеми направлениями действий, определенными в пересмотренной дорожной карте ЕЭК на 2021–2025 годы по ИТС.</w:t>
            </w:r>
          </w:p>
        </w:tc>
      </w:tr>
      <w:tr w:rsidR="00BB7CA7" w:rsidRPr="00BB7CA7" w14:paraId="4F1715DB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70ECFF9D" w14:textId="77777777" w:rsidR="00BB7CA7" w:rsidRPr="00BB7CA7" w:rsidRDefault="00BB7CA7" w:rsidP="00850215">
            <w:pPr>
              <w:rPr>
                <w:rFonts w:cs="Times New Roman"/>
              </w:rPr>
            </w:pPr>
          </w:p>
        </w:tc>
      </w:tr>
    </w:tbl>
    <w:p w14:paraId="45F50A56" w14:textId="5A4F22E0" w:rsidR="00BB7CA7" w:rsidRDefault="00BB7CA7" w:rsidP="00BB7CA7">
      <w:pPr>
        <w:pStyle w:val="SingleTxtG"/>
      </w:pPr>
    </w:p>
    <w:p w14:paraId="28F9E3A3" w14:textId="77777777" w:rsidR="00BB7CA7" w:rsidRDefault="00BB7CA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36E9844" w14:textId="77777777" w:rsidR="00BB7CA7" w:rsidRPr="00C55C36" w:rsidRDefault="00BB7CA7" w:rsidP="00BB7CA7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Справочная информация</w:t>
      </w:r>
    </w:p>
    <w:p w14:paraId="24D45666" w14:textId="19163F5D" w:rsidR="00BB7CA7" w:rsidRPr="00C55C36" w:rsidRDefault="00BB7CA7" w:rsidP="00BB7CA7">
      <w:pPr>
        <w:pStyle w:val="SingleTxtG"/>
      </w:pPr>
      <w:r>
        <w:t>1.</w:t>
      </w:r>
      <w:r>
        <w:tab/>
        <w:t>В настоящей записке представлена деятельность, осуществляемая КВТ и его вспомогательными органами, по реализации задач, определенных пересмотренной дорожной картой ЕЭК на 2021</w:t>
      </w:r>
      <w:r w:rsidRPr="00BB7CA7">
        <w:t>–</w:t>
      </w:r>
      <w:r>
        <w:t>2025 годы по ИТС, принятой КВТ на его сессии в феврале 2021 года. Несмотря на ограничения, связанные с COVID-19, из-за которых уменьшились возможности для личных встреч, все же удалось провести несколько важных мероприятий в соответствии с недавно принятыми в рамках дорожной карты новыми 18 направлениями действий, указанными в приложении.</w:t>
      </w:r>
    </w:p>
    <w:p w14:paraId="01035DE7" w14:textId="77777777" w:rsidR="00BB7CA7" w:rsidRPr="00C55C36" w:rsidRDefault="00BB7CA7" w:rsidP="00BB7CA7">
      <w:pPr>
        <w:pStyle w:val="HChG"/>
      </w:pPr>
      <w:r>
        <w:tab/>
        <w:t>II.</w:t>
      </w:r>
      <w:r>
        <w:tab/>
        <w:t>Деятельность в 2021 году</w:t>
      </w:r>
    </w:p>
    <w:p w14:paraId="79360808" w14:textId="08C26093" w:rsidR="00BB7CA7" w:rsidRPr="00C55C36" w:rsidRDefault="00BB7CA7" w:rsidP="00BB7CA7">
      <w:pPr>
        <w:pStyle w:val="H1G"/>
      </w:pPr>
      <w:r>
        <w:tab/>
        <w:t>A.</w:t>
      </w:r>
      <w:r>
        <w:tab/>
        <w:t>Комитет по внутреннему транспорту: выводы, сделанные на</w:t>
      </w:r>
      <w:r>
        <w:rPr>
          <w:lang w:val="en-US"/>
        </w:rPr>
        <w:t> </w:t>
      </w:r>
      <w:r>
        <w:t xml:space="preserve">восемьдесят третьей сессии Комитета относительно ИТС </w:t>
      </w:r>
    </w:p>
    <w:p w14:paraId="28DF260D" w14:textId="77777777" w:rsidR="00BB7CA7" w:rsidRPr="00C55C36" w:rsidRDefault="00BB7CA7" w:rsidP="00BB7CA7">
      <w:pPr>
        <w:spacing w:after="120"/>
        <w:ind w:left="2835" w:right="1134" w:hanging="1701"/>
        <w:jc w:val="both"/>
      </w:pPr>
      <w:r>
        <w:rPr>
          <w:i/>
          <w:iCs/>
        </w:rPr>
        <w:t>Документация:</w:t>
      </w:r>
      <w:r>
        <w:tab/>
        <w:t>ECE/TRANS/304</w:t>
      </w:r>
    </w:p>
    <w:p w14:paraId="13C38B94" w14:textId="7FAD0CC9" w:rsidR="00BB7CA7" w:rsidRPr="00C55C36" w:rsidRDefault="00BB7CA7" w:rsidP="00BB7CA7">
      <w:pPr>
        <w:pStyle w:val="SingleTxtG"/>
      </w:pPr>
      <w:r>
        <w:t>2.</w:t>
      </w:r>
      <w:r>
        <w:tab/>
        <w:t xml:space="preserve">Восемьдесят третья сессия КВТ (проведенная в смешанном формате </w:t>
      </w:r>
      <w:r>
        <w:br/>
        <w:t>23–26 февраля 2021 года) была открыта сегментом высокого уровня по вопросам политики на тему: «Назад к устойчивому будущему: достижение надежной связанности в интересах устойчивого восстановления и экономического роста в период после COVID-19». В этом сегменте высокого уровня приняли участие министры транспорта из Африки, Азии, Европы, Латинской Америки и Ближнего Востока, причем с основным докладом выступила Европейский комиссар по мобильности и транспорту. В нем приняли участие 440 делегатов из более чем 83</w:t>
      </w:r>
      <w:r w:rsidR="00094F49">
        <w:t> </w:t>
      </w:r>
      <w:r>
        <w:t>стран, включая 40 стран, не входящих в ЕЭК, а также руководители и высокопоставленные представители межправительственных и неправительственных организаций и основные заинтересованные стороны в области внутреннего транспорта.</w:t>
      </w:r>
    </w:p>
    <w:p w14:paraId="4FCE71D9" w14:textId="564A7D7C" w:rsidR="00BB7CA7" w:rsidRPr="00C55C36" w:rsidRDefault="00BB7CA7" w:rsidP="00BB7CA7">
      <w:pPr>
        <w:pStyle w:val="SingleTxtG"/>
      </w:pPr>
      <w:r>
        <w:t>3.</w:t>
      </w:r>
      <w:r>
        <w:tab/>
        <w:t>В конце совещания министры и главы делегаций договаривающихся сторон из Африки, Азии, Европы, Латинской Америки и Ближнего Востока приняли министерскую резолюцию «Повышение устойчивости внутреннего транспортного сообщения в чрезвычайных ситуациях: срочный призыв к согласованным действиям», которая впоследствии была одобрена Комитетом (ECE/TRANS/304, приложения I и</w:t>
      </w:r>
      <w:r w:rsidR="00094F49">
        <w:t> </w:t>
      </w:r>
      <w:r>
        <w:t>II).</w:t>
      </w:r>
    </w:p>
    <w:p w14:paraId="3DF27DCE" w14:textId="77777777" w:rsidR="00BB7CA7" w:rsidRPr="00DE1603" w:rsidRDefault="00BB7CA7" w:rsidP="00BB7CA7">
      <w:pPr>
        <w:pStyle w:val="SingleTxtG"/>
      </w:pPr>
      <w:r>
        <w:t>4.</w:t>
      </w:r>
      <w:r>
        <w:tab/>
        <w:t>Комитет принял несколько важнейших решений в отношении будущего устойчивого транспорта и мобильности, которые содержатся в документе ECE/TRANS/304. К наиболее актуальным для КВТ относятся:</w:t>
      </w:r>
    </w:p>
    <w:p w14:paraId="1AD117DD" w14:textId="24F76B81" w:rsidR="00BB7CA7" w:rsidRPr="00CD5315" w:rsidRDefault="00094F49" w:rsidP="00BB7CA7">
      <w:pPr>
        <w:pStyle w:val="SingleTxtG"/>
      </w:pPr>
      <w:r>
        <w:tab/>
      </w:r>
      <w:r w:rsidR="00BB7CA7">
        <w:t>a)</w:t>
      </w:r>
      <w:r w:rsidR="00BB7CA7">
        <w:tab/>
        <w:t>решение 27, в котором с удовлетворением отмечается, что дорожная карта по ИТС на 2011–2020 годы, реализация которой завершилось в 2020 году, стимулировала деятельность в области ИТС, связанную с инфраструктурой и всеми видами транспорта, и способствовала применению комплексного подхода к ИТС;</w:t>
      </w:r>
    </w:p>
    <w:p w14:paraId="628D2C76" w14:textId="19842CB3" w:rsidR="00BB7CA7" w:rsidRDefault="00094F49" w:rsidP="00BB7CA7">
      <w:pPr>
        <w:pStyle w:val="SingleTxtG"/>
      </w:pPr>
      <w:r>
        <w:tab/>
      </w:r>
      <w:r w:rsidR="00BB7CA7">
        <w:t>b)</w:t>
      </w:r>
      <w:r w:rsidR="00BB7CA7">
        <w:tab/>
        <w:t>решение 28 о принятии обновленной дорожной карты по ИТС на период 2021</w:t>
      </w:r>
      <w:r>
        <w:t>–</w:t>
      </w:r>
      <w:r w:rsidR="00BB7CA7">
        <w:t>2025 годов (ECE/TRANS/2021/15), которая была разработана в соответствии с решением Комитета, принятым на его восемьдесят второй сессии;</w:t>
      </w:r>
    </w:p>
    <w:p w14:paraId="5CEF8707" w14:textId="7EB3905C" w:rsidR="00BB7CA7" w:rsidRPr="00C55C36" w:rsidRDefault="00094F49" w:rsidP="00BB7CA7">
      <w:pPr>
        <w:pStyle w:val="SingleTxtG"/>
      </w:pPr>
      <w:r>
        <w:tab/>
      </w:r>
      <w:r w:rsidR="00BB7CA7">
        <w:t>c)</w:t>
      </w:r>
      <w:r w:rsidR="00BB7CA7">
        <w:tab/>
        <w:t>решение 47, в котором одобрено создание Всемирным форумом для согласования правил в области транспортных средств (WP.29) первого свода правил ООН, касающихся высокоавтоматизированных транспортных средств, подготовленного Рабочей группой по автоматизированным/автономным и подключенным транспортным средствам (GRVA).</w:t>
      </w:r>
    </w:p>
    <w:p w14:paraId="6C1C016A" w14:textId="77777777" w:rsidR="00BB7CA7" w:rsidRPr="00C55C36" w:rsidRDefault="00BB7CA7" w:rsidP="00BB7CA7">
      <w:pPr>
        <w:spacing w:after="120"/>
        <w:ind w:left="1134" w:right="1134"/>
        <w:jc w:val="both"/>
      </w:pPr>
      <w:r>
        <w:rPr>
          <w:i/>
          <w:iCs/>
        </w:rPr>
        <w:t>Затронутые направления действий дорожной карты</w:t>
      </w:r>
      <w:r>
        <w:t xml:space="preserve"> (области первостепенного внимания выделены </w:t>
      </w:r>
      <w:r>
        <w:rPr>
          <w:b/>
          <w:bCs/>
        </w:rPr>
        <w:t>жирным шрифтом</w:t>
      </w:r>
      <w:r>
        <w:t xml:space="preserve">): </w:t>
      </w:r>
      <w:r w:rsidRPr="00CC3E5B">
        <w:rPr>
          <w:i/>
          <w:iCs/>
        </w:rPr>
        <w:t xml:space="preserve">2, 3, 4, 5, </w:t>
      </w:r>
      <w:r w:rsidRPr="00CC3E5B">
        <w:rPr>
          <w:b/>
          <w:bCs/>
          <w:i/>
          <w:iCs/>
        </w:rPr>
        <w:t>8</w:t>
      </w:r>
      <w:r w:rsidRPr="00CC3E5B">
        <w:rPr>
          <w:i/>
          <w:iCs/>
        </w:rPr>
        <w:t xml:space="preserve">, </w:t>
      </w:r>
      <w:r w:rsidRPr="00CC3E5B">
        <w:rPr>
          <w:b/>
          <w:bCs/>
          <w:i/>
          <w:iCs/>
        </w:rPr>
        <w:t>12</w:t>
      </w:r>
      <w:r w:rsidRPr="00CC3E5B">
        <w:rPr>
          <w:i/>
          <w:iCs/>
        </w:rPr>
        <w:t xml:space="preserve">, 13, </w:t>
      </w:r>
      <w:r w:rsidRPr="00CC3E5B">
        <w:rPr>
          <w:b/>
          <w:bCs/>
          <w:i/>
          <w:iCs/>
        </w:rPr>
        <w:t>14</w:t>
      </w:r>
      <w:r w:rsidRPr="00CC3E5B">
        <w:rPr>
          <w:i/>
          <w:iCs/>
        </w:rPr>
        <w:t xml:space="preserve">, </w:t>
      </w:r>
      <w:r w:rsidRPr="00CC3E5B">
        <w:rPr>
          <w:b/>
          <w:bCs/>
          <w:i/>
          <w:iCs/>
        </w:rPr>
        <w:t>15</w:t>
      </w:r>
      <w:r w:rsidRPr="00CC3E5B">
        <w:rPr>
          <w:i/>
          <w:iCs/>
        </w:rPr>
        <w:t xml:space="preserve">, </w:t>
      </w:r>
      <w:r w:rsidRPr="00CC3E5B">
        <w:rPr>
          <w:b/>
          <w:bCs/>
          <w:i/>
          <w:iCs/>
        </w:rPr>
        <w:t>16</w:t>
      </w:r>
      <w:r w:rsidRPr="00CC3E5B">
        <w:rPr>
          <w:i/>
          <w:iCs/>
        </w:rPr>
        <w:t xml:space="preserve"> и </w:t>
      </w:r>
      <w:r w:rsidRPr="00CC3E5B">
        <w:rPr>
          <w:b/>
          <w:bCs/>
          <w:i/>
          <w:iCs/>
        </w:rPr>
        <w:t>18</w:t>
      </w:r>
      <w:r>
        <w:t>.</w:t>
      </w:r>
    </w:p>
    <w:p w14:paraId="096F329A" w14:textId="77777777" w:rsidR="00BB7CA7" w:rsidRPr="00C55C36" w:rsidRDefault="00BB7CA7" w:rsidP="00094F49">
      <w:pPr>
        <w:pStyle w:val="H1G"/>
      </w:pPr>
      <w:r>
        <w:lastRenderedPageBreak/>
        <w:tab/>
        <w:t>B.</w:t>
      </w:r>
      <w:r>
        <w:tab/>
        <w:t>Рабочие группы</w:t>
      </w:r>
    </w:p>
    <w:p w14:paraId="09F4F16D" w14:textId="77777777" w:rsidR="00BB7CA7" w:rsidRPr="00C55C36" w:rsidRDefault="00BB7CA7" w:rsidP="00094F49">
      <w:pPr>
        <w:pStyle w:val="H23G"/>
      </w:pPr>
      <w:r>
        <w:tab/>
        <w:t>1.</w:t>
      </w:r>
      <w:r>
        <w:tab/>
        <w:t>Рабочая группа по внутреннему водному транспорту</w:t>
      </w:r>
    </w:p>
    <w:p w14:paraId="14DE8DE9" w14:textId="423F1C1E" w:rsidR="00BB7CA7" w:rsidRPr="00C55C36" w:rsidRDefault="00BB7CA7" w:rsidP="00BB7CA7">
      <w:pPr>
        <w:pStyle w:val="SingleTxtG"/>
      </w:pPr>
      <w:r>
        <w:t>5.</w:t>
      </w:r>
      <w:r>
        <w:tab/>
        <w:t>Ключевыми темами в повестке дня Рабочей группы по внутреннему водному транспорту (SC.3) и ее вспомогательного органа — Рабочей группы по унификации технических предписаний и правил безопасности на внутренних водных путях (SC.3/WP.3) — в 2021 году</w:t>
      </w:r>
      <w:r w:rsidRPr="00D33730">
        <w:t xml:space="preserve"> </w:t>
      </w:r>
      <w:r>
        <w:t>являлись</w:t>
      </w:r>
      <w:r w:rsidRPr="00D33730">
        <w:t xml:space="preserve"> </w:t>
      </w:r>
      <w:r>
        <w:t>«Развитие речных информационных служб (РИС)», «Автоматизированная и автономная навигация», а также «</w:t>
      </w:r>
      <w:r w:rsidR="00970B8B" w:rsidRPr="00970B8B">
        <w:t>“</w:t>
      </w:r>
      <w:r>
        <w:t>Умное</w:t>
      </w:r>
      <w:r w:rsidR="00970B8B" w:rsidRPr="00970B8B">
        <w:t>”</w:t>
      </w:r>
      <w:r>
        <w:t xml:space="preserve"> судоходство».</w:t>
      </w:r>
    </w:p>
    <w:p w14:paraId="38F6D6AC" w14:textId="77777777" w:rsidR="00BB7CA7" w:rsidRPr="00C55C36" w:rsidRDefault="00BB7CA7" w:rsidP="00BB7CA7">
      <w:pPr>
        <w:pStyle w:val="H4G"/>
      </w:pPr>
      <w:r>
        <w:rPr>
          <w:iCs/>
        </w:rPr>
        <w:tab/>
        <w:t>a)</w:t>
      </w:r>
      <w:r>
        <w:tab/>
      </w:r>
      <w:r>
        <w:rPr>
          <w:iCs/>
        </w:rPr>
        <w:t>Речные информационные службы</w:t>
      </w:r>
    </w:p>
    <w:p w14:paraId="709652B5" w14:textId="407676C4" w:rsidR="00BB7CA7" w:rsidRPr="00C55C36" w:rsidRDefault="00BB7CA7" w:rsidP="00BB7CA7">
      <w:pPr>
        <w:pStyle w:val="SingleTxtG"/>
      </w:pPr>
      <w:r>
        <w:t>6.</w:t>
      </w:r>
      <w:r>
        <w:tab/>
        <w:t xml:space="preserve">В 2021 году SC.3 и SC.3/WP.3 обсудили вопрос о возможном обновлении резолюции № 57 «Руководящие принципы и рекомендации для речных информационных служб» и резолюции № 58 «Руководство и критерии для служб движения судов на внутренних водных путях» на основе, соответственно, Руководящих принципов РИС Всемирной ассоциации инфраструктуры водного транспорта (ПМАКС) издания 2019 года и Рекомендации V-120 «Службы движения судов на внутренних водных путях» Международной ассоциации морских средств навигации и маячных служб (МАМС). Что касается резолюции № 57, то SC.3 подтвердила принятое SC.3/WP.3 на ее пятьдесят восьмой сессии решение о том, чтобы дождаться утверждения Руководящих принципов ПМАКС для РИС издания 2022 года. С марта по ноябрь 2021 года эксперты SC.3 из Российской Федерации и Украины, а также сотрудники секретариата от имени ЕЭК принимали участие в работе МАСМ по подготовке нового Руководства МАСМ </w:t>
      </w:r>
      <w:r w:rsidR="00970B8B">
        <w:t>«</w:t>
      </w:r>
      <w:r>
        <w:t>Службы движения судов во внутренних водах</w:t>
      </w:r>
      <w:r w:rsidR="00970B8B">
        <w:t>»</w:t>
      </w:r>
      <w:r>
        <w:t>, которое должно заменить V-120, и SC.3 решила приступить к пересмотру резолюции № 58 после принятия этого Руководства МАСМ.</w:t>
      </w:r>
    </w:p>
    <w:p w14:paraId="51EFDBDE" w14:textId="77777777" w:rsidR="00BB7CA7" w:rsidRPr="00C55C36" w:rsidRDefault="00BB7CA7" w:rsidP="00BB7CA7">
      <w:pPr>
        <w:pStyle w:val="SingleTxtG"/>
      </w:pPr>
      <w:r>
        <w:t>7.</w:t>
      </w:r>
      <w:r>
        <w:tab/>
        <w:t>В главе 4 шестого пересмотренного варианта Европейских правил судоходства по внутренним водным путям (ЕПСВВП), принятой SC.3 на ее шестьдесят пятой сессии, были обновлены положения, касающиеся автоматической идентификационной системы (АИС) и системы отображения электронных карт и информации для внутреннего водного транспорта, на основе пересмотренных резолюций № 48 и 63.</w:t>
      </w:r>
    </w:p>
    <w:p w14:paraId="79D2C610" w14:textId="58F91E4E" w:rsidR="00BB7CA7" w:rsidRPr="00C55C36" w:rsidRDefault="00BB7CA7" w:rsidP="00BB7CA7">
      <w:pPr>
        <w:pStyle w:val="SingleTxtG"/>
      </w:pPr>
      <w:r>
        <w:t>8.</w:t>
      </w:r>
      <w:r>
        <w:tab/>
        <w:t>С целью стимулирования развития РИС в регионе ЕЭК и после существенного пересмотра резолюций SC.3 по РИС в 2019</w:t>
      </w:r>
      <w:r w:rsidR="00970B8B">
        <w:t>–</w:t>
      </w:r>
      <w:r>
        <w:t>2020 годах в 2021 году была подготовлена брошюра «Речные информационные службы в регионе Европейской экономической комиссии», которая была одобрена SC.3 на ее шестьдесят пятой сессии. Она будет доступна в начале 2022 года в виде печатного и электронного издания на всех трех официальных языках.</w:t>
      </w:r>
    </w:p>
    <w:p w14:paraId="26053BAA" w14:textId="77777777" w:rsidR="00BB7CA7" w:rsidRPr="00C55C36" w:rsidRDefault="00BB7CA7" w:rsidP="00BB7CA7">
      <w:pPr>
        <w:pStyle w:val="SingleTxtG"/>
      </w:pPr>
      <w:r>
        <w:t>9.</w:t>
      </w:r>
      <w:r>
        <w:tab/>
        <w:t>В 2021 году различные аспекты РИС рассматривались на следующих мероприятиях:</w:t>
      </w:r>
    </w:p>
    <w:p w14:paraId="31CEB94F" w14:textId="70EC578C" w:rsidR="00BB7CA7" w:rsidRPr="00C55C36" w:rsidRDefault="00970B8B" w:rsidP="00BB7CA7">
      <w:pPr>
        <w:pStyle w:val="SingleTxtG"/>
        <w:rPr>
          <w:shd w:val="clear" w:color="auto" w:fill="FFFFFF"/>
        </w:rPr>
      </w:pPr>
      <w:r>
        <w:tab/>
      </w:r>
      <w:r w:rsidR="00BB7CA7">
        <w:t>a)</w:t>
      </w:r>
      <w:r w:rsidR="00BB7CA7">
        <w:tab/>
        <w:t xml:space="preserve">Дискуссия по вопросу о дополняющих системах для навигационных спутниковых систем определения местоположения и их применении на внутренних водных путях, состоявшаяся на пятьдесят девятой сессии SC.3/WP.3. В качестве основных докладчиков выступили представители Управления Организации Объединенных Наций по вопросам космического пространства, Федеральной администрации водных путей и судоходства Германии, Агентства Европейского союза по космической программе, Администрации Волго-Балтийского бассейна внутренних водных путей (Российская Федерация), Института геопространственных исследований Национальной земельной службы Финляндии, компании «Альбердинг ГмбХ», компании «Аргонай ГмбХ», Администрации реки Нижний Дунай (Румыния) и Технического университета гражданского строительства Бухареста. Участники обсудили проблемы, касающиеся i) глобальных навигационных спутниковых систем (ГНСС) и дополняющих систем спутникового базирования для ГНСС, применяемых в Европе, ii) наземных и локальных дополняющих систем на внутренних водных путях, iii) использования приемников ГНСС на судах внутреннего плавания, iv) перспектив использования ГНСС с дифференциальным режимом (ДГНСС) и Интернета для </w:t>
      </w:r>
      <w:r w:rsidR="00BB7CA7">
        <w:lastRenderedPageBreak/>
        <w:t>повышения точности определения местоположения на внутренних водных путях, и</w:t>
      </w:r>
      <w:r w:rsidR="008274A0">
        <w:t> </w:t>
      </w:r>
      <w:r w:rsidR="00BB7CA7">
        <w:t>связанные с этим вопросы.</w:t>
      </w:r>
    </w:p>
    <w:p w14:paraId="62A7C94A" w14:textId="66D1CA39" w:rsidR="00BB7CA7" w:rsidRPr="00C55C36" w:rsidRDefault="008274A0" w:rsidP="00BB7CA7">
      <w:pPr>
        <w:pStyle w:val="SingleTxtG"/>
      </w:pPr>
      <w:r>
        <w:tab/>
      </w:r>
      <w:r w:rsidR="00BB7CA7">
        <w:t>b)</w:t>
      </w:r>
      <w:r w:rsidR="00BB7CA7">
        <w:tab/>
        <w:t>Рабочее совещание на тему: «Кибербезопасность на внутреннем водном транспорте», состоявшееся 3 ноября 2021 года в ходе шестьдесят пятой сессии SC.3. В</w:t>
      </w:r>
      <w:r>
        <w:t> </w:t>
      </w:r>
      <w:r w:rsidR="00BB7CA7">
        <w:t>качестве основных докладчиков выступили представители компании «Альзик НВ», Центральной комиссии судоходства по Рейну (ЦКСР), Университета Аалто (Финляндия), компании «Вяртсиля», фирмы «Нортон роуз фалбрайт (ПОО)», Российского морского регистра судоходства и GRVA. В ходе выступлений, а также последующего обсуждения были рассмотрены вопросы, связанные с i) существующей нормативной базой, включая информационный документ ПМАКС по кибербезопасности во внутреннем судоходстве, ii) киберугрозами и кибератаками и их воздействием на внутреннее судоходство, iii) оборудованием и технологиями, которые в наибольшей степени подвержены киберрискам, включая основные технологии РИС, эксплуатационные службы РИС и навигационные средства поддержки АИС, iv)</w:t>
      </w:r>
      <w:r w:rsidR="007C2781">
        <w:t> </w:t>
      </w:r>
      <w:r w:rsidR="00BB7CA7">
        <w:t>мерами защиты от киберинцидентов и v) вызовами и возможностями с точки зрения кибербезопасности в индустрии судоходства.</w:t>
      </w:r>
    </w:p>
    <w:p w14:paraId="59E2018F" w14:textId="77777777" w:rsidR="00BB7CA7" w:rsidRPr="00C55C36" w:rsidRDefault="00BB7CA7" w:rsidP="00BB7CA7">
      <w:pPr>
        <w:pStyle w:val="H4G"/>
      </w:pPr>
      <w:r>
        <w:rPr>
          <w:iCs/>
        </w:rPr>
        <w:tab/>
        <w:t>b)</w:t>
      </w:r>
      <w:r>
        <w:tab/>
      </w:r>
      <w:r>
        <w:rPr>
          <w:iCs/>
        </w:rPr>
        <w:t>Автоматизация и «умное» судоходство</w:t>
      </w:r>
    </w:p>
    <w:p w14:paraId="4E62B772" w14:textId="75E5A8FF" w:rsidR="00BB7CA7" w:rsidRPr="00C55C36" w:rsidRDefault="00BB7CA7" w:rsidP="00BB7CA7">
      <w:pPr>
        <w:pStyle w:val="SingleTxtG"/>
      </w:pPr>
      <w:r>
        <w:t>10.</w:t>
      </w:r>
      <w:r>
        <w:tab/>
        <w:t>На своей шестьдесят пятой сессии SC.3 продолжила обсуждение проблем, касающихся автоматизированных и автономных судов, а также «умного» внутреннего судоходства. SC.3 приняла к сведению информацию о: i) деятельности Комитета ЦКСР по малому судоходству в области автономного судоходства, ii) деятельности и задачах группы добровольцев ЦКСР, занимавшейся пересмотром определений уровней автоматизации ЦКСР; iii) пилотных проектах по автономному и «умному» судоходству во Фландрии, подготовленных компанией «Фламандские водные пути</w:t>
      </w:r>
      <w:r w:rsidR="007C2781">
        <w:t> </w:t>
      </w:r>
      <w:r>
        <w:t xml:space="preserve">н.в.» (Бельгия) и предусматривающих реализацию совместных проектов с компанией «Сифар», проекта «Инициатива в области автономного судоходства на европейских водных путях» (AУТОШИП) и проведение испытаний автономного судна </w:t>
      </w:r>
      <w:r>
        <w:rPr>
          <w:i/>
          <w:iCs/>
        </w:rPr>
        <w:t>«Мерин литтер хантер»</w:t>
      </w:r>
      <w:r>
        <w:t xml:space="preserve"> в рамках эксплуатации установки для сбора мусора, принадлежащей компании ДЕМЕ («Землечерпательные работы, охрана окружающей среды и гидротехническая инженерия НВ»), а также iv) исследованиях в контексте разработки положений, касающихся автономных (беспилотных) судов, запланированных Российской Федерацией на 2022 год.</w:t>
      </w:r>
    </w:p>
    <w:p w14:paraId="3C246ADA" w14:textId="77777777" w:rsidR="00BB7CA7" w:rsidRPr="00C55C36" w:rsidRDefault="00BB7CA7" w:rsidP="00BB7CA7">
      <w:pPr>
        <w:pStyle w:val="SingleTxtG"/>
      </w:pPr>
      <w:r>
        <w:t>11.</w:t>
      </w:r>
      <w:r>
        <w:tab/>
        <w:t>SC.3 продолжила обсуждение терминов и определений, касающихся автоматизации и «умного» судоходства. По предложению Бельгии SC.3 решила отложить дальнейшее обсуждение до получения информации об итогах работы ЦКСР.</w:t>
      </w:r>
    </w:p>
    <w:p w14:paraId="5C241040" w14:textId="77777777" w:rsidR="00BB7CA7" w:rsidRPr="00C55C36" w:rsidRDefault="00BB7CA7" w:rsidP="00BB7CA7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 xml:space="preserve">Затронутые направления действий дорожной карты: 1, 2, </w:t>
      </w:r>
      <w:r>
        <w:rPr>
          <w:b/>
          <w:bCs/>
          <w:i/>
          <w:iCs/>
        </w:rPr>
        <w:t>3</w:t>
      </w:r>
      <w:r>
        <w:rPr>
          <w:i/>
          <w:iCs/>
        </w:rPr>
        <w:t xml:space="preserve">, 4, </w:t>
      </w:r>
      <w:r>
        <w:rPr>
          <w:b/>
          <w:bCs/>
          <w:i/>
          <w:iCs/>
        </w:rPr>
        <w:t>5</w:t>
      </w:r>
      <w:r>
        <w:rPr>
          <w:i/>
          <w:iCs/>
        </w:rPr>
        <w:t xml:space="preserve">, 6, 7, 9, </w:t>
      </w:r>
      <w:r>
        <w:rPr>
          <w:b/>
          <w:bCs/>
          <w:i/>
          <w:iCs/>
        </w:rPr>
        <w:t>11</w:t>
      </w:r>
      <w:r>
        <w:rPr>
          <w:i/>
          <w:iCs/>
        </w:rPr>
        <w:t>, 12, 13, 14, 15, 16, 17, 18.</w:t>
      </w:r>
    </w:p>
    <w:p w14:paraId="6E904608" w14:textId="77777777" w:rsidR="00BB7CA7" w:rsidRPr="00C55C36" w:rsidRDefault="00BB7CA7" w:rsidP="00BB7CA7">
      <w:pPr>
        <w:pStyle w:val="H23G"/>
      </w:pPr>
      <w:r>
        <w:rPr>
          <w:bCs/>
        </w:rPr>
        <w:tab/>
        <w:t>2.</w:t>
      </w:r>
      <w:r>
        <w:tab/>
      </w:r>
      <w:r>
        <w:rPr>
          <w:bCs/>
        </w:rPr>
        <w:t>Рабочая группа по перевозкам опасных грузов</w:t>
      </w:r>
    </w:p>
    <w:p w14:paraId="2FDB987E" w14:textId="77777777" w:rsidR="00BB7CA7" w:rsidRPr="00CD5315" w:rsidRDefault="00BB7CA7" w:rsidP="00BB7CA7">
      <w:pPr>
        <w:spacing w:after="120"/>
        <w:ind w:left="1134" w:right="1134"/>
        <w:jc w:val="both"/>
      </w:pPr>
      <w:r>
        <w:t>12.</w:t>
      </w:r>
      <w:r>
        <w:tab/>
        <w:t xml:space="preserve">Совместное совещание Комиссии экспертов по Правилам международной перевозки опасных грузов по железной дороге (МПОГ) и Рабочей группы по перевозкам опасных грузов (WP.15), в частности его неофициальная рабочая группа по телематике применительно к опасным грузам, продолжило свою работу в сотрудничестве с Европейским союзом в рамках процесса имплементации Регламента (ЕС) 2020/1056, касающегося электронной информации о грузовых перевозках (eFTI). Таким образом, в рамках Форума по цифровым технологиям в области перевозок и логистики (ФЦПЛ) были созданы группы экспертов для обеспечения надлежащей координации на техническом и политическом уровнях. </w:t>
      </w:r>
    </w:p>
    <w:p w14:paraId="1675EFB8" w14:textId="77777777" w:rsidR="00BB7CA7" w:rsidRPr="00C55C36" w:rsidRDefault="00BB7CA7" w:rsidP="00BB7CA7">
      <w:pPr>
        <w:spacing w:after="120"/>
        <w:ind w:left="1134" w:right="1134"/>
        <w:jc w:val="both"/>
      </w:pPr>
      <w:r>
        <w:t>13.</w:t>
      </w:r>
      <w:r>
        <w:tab/>
        <w:t>Совместное совещание согласилось с необходимостью адаптации два раза в год модели данных для перевозки опасных грузов. Будущая модель данных будет состоять, скорее всего, из первой части, содержащей более общие данные, и второй части, охватывающей данные о перевозках опасных грузов. Для удобства во вторую часть будут включены ссылки на модель данных об опасных грузах.</w:t>
      </w:r>
    </w:p>
    <w:p w14:paraId="457A266F" w14:textId="77777777" w:rsidR="00BB7CA7" w:rsidRPr="00C55C36" w:rsidRDefault="00BB7CA7" w:rsidP="00BB7CA7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 xml:space="preserve">Затронутые направления действий дорожной карты </w:t>
      </w:r>
      <w:r w:rsidRPr="00C61ADE">
        <w:t xml:space="preserve">(области первостепенного внимания выделены </w:t>
      </w:r>
      <w:r w:rsidRPr="00C61ADE">
        <w:rPr>
          <w:b/>
          <w:bCs/>
        </w:rPr>
        <w:t>жирным шрифтом</w:t>
      </w:r>
      <w:r w:rsidRPr="00C61ADE">
        <w:t>):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2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3</w:t>
      </w:r>
      <w:r>
        <w:rPr>
          <w:i/>
          <w:iCs/>
        </w:rPr>
        <w:t xml:space="preserve">, 4, 5, </w:t>
      </w:r>
      <w:r>
        <w:rPr>
          <w:b/>
          <w:bCs/>
          <w:i/>
          <w:iCs/>
        </w:rPr>
        <w:t>9</w:t>
      </w:r>
      <w:r>
        <w:rPr>
          <w:i/>
          <w:iCs/>
        </w:rPr>
        <w:t>, 12, 14, 15.</w:t>
      </w:r>
    </w:p>
    <w:p w14:paraId="7A2139D3" w14:textId="77777777" w:rsidR="00BB7CA7" w:rsidRPr="00C55C36" w:rsidRDefault="00BB7CA7" w:rsidP="007C2781">
      <w:pPr>
        <w:pStyle w:val="H23G"/>
      </w:pPr>
      <w:r>
        <w:lastRenderedPageBreak/>
        <w:tab/>
        <w:t>3.</w:t>
      </w:r>
      <w:r>
        <w:tab/>
        <w:t>Глобальный форум по безопасности дорожного движения</w:t>
      </w:r>
    </w:p>
    <w:p w14:paraId="67B45B1F" w14:textId="77777777" w:rsidR="00BB7CA7" w:rsidRPr="00CD5315" w:rsidRDefault="00BB7CA7" w:rsidP="00BB7CA7">
      <w:pPr>
        <w:pStyle w:val="SingleTxtG"/>
      </w:pPr>
      <w:r>
        <w:t>14.</w:t>
      </w:r>
      <w:r>
        <w:tab/>
        <w:t>Глобальный форум по безопасности дорожного движения (WP.1) остается единственным постоянным органом в системе Организации Объединенных Наций, который занимается вопросами повышения уровня безопасности дорожного движения. Его главная функция заключается в том, чтобы служить хранителем правовых документов Организации Объединенных Наций, направленных на согласование правил дорожного движения. Конвенции о дорожном движении и о дорожных знаках и сигналах 1968 года и другие правовые документы ЕЭК, касающиеся основных факторов дорожно-транспортных происшествий, вносят ощутимый вклад в повышение безопасности дорожного движения. Следовательно, многие страны во всем мире стали сторонами этих правовых документов и получают выгоду от их осуществления. Эти договаривающиеся стороны являются также ключевыми движущими силами, обеспечивающими актуальность этих международных конвенций по безопасности дорожного движения путем участия в сессиях WP.1. С учетом этих обстоятельств Глобальный форум продолжает играть важную роль в содействии и укреплении международного сотрудничества в целях повышения безопасности дорожного движения.</w:t>
      </w:r>
    </w:p>
    <w:p w14:paraId="0D189DB0" w14:textId="77777777" w:rsidR="00BB7CA7" w:rsidRPr="00C55C36" w:rsidRDefault="00BB7CA7" w:rsidP="00BB7CA7">
      <w:pPr>
        <w:pStyle w:val="SingleTxtG"/>
      </w:pPr>
      <w:r>
        <w:t>15.</w:t>
      </w:r>
      <w:r>
        <w:tab/>
        <w:t xml:space="preserve">В 2021 году WP.1 продолжил свою деятельность по обеспечению того, чтобы новые автомобильные технологии, при необходимости, сопровождались новыми правилами дорожного движения. Например, WP.1 осуществлял обмен информацией с WP.29 и его вспомогательными органами, в частности, пригласив Председателя GRVA принять участие в его сессиях, запланировав и организовав совместные мероприятия для обмена мнениями и опытом в контексте происходящего в последнее время стремительного технического прогресса, а также своевременно предложив надлежащие руководящие принципы для условий дорожного движения в будущем. WP.1 всегда подчеркивал важное значение тесного сотрудничества со вспомогательными органами, занимающимися разработкой правил в области транспортных средств. </w:t>
      </w:r>
    </w:p>
    <w:p w14:paraId="04663239" w14:textId="0C4179FF" w:rsidR="00BB7CA7" w:rsidRPr="00CD5315" w:rsidRDefault="00BB7CA7" w:rsidP="00BB7CA7">
      <w:pPr>
        <w:pStyle w:val="SingleTxtG"/>
      </w:pPr>
      <w:r>
        <w:t>16.</w:t>
      </w:r>
      <w:r>
        <w:tab/>
        <w:t>Кроме того, WP.1 продолжил изучение аспектов, связанных с определением и ролью водителя, обучением и профессиональной подготовкой водителя, дистанционным управлением транспортным средством, а также с возможностью участия в разработке глоссария терминов, касающихся автоматизированных транспортных средств. Одним из важных элементов плана работы WP.1 в 2022 году могла бы стать подготовка основных принципов безопасности автоматизированных транспортных средств и удовлетворения потребностей человека. Кроме того, в 2022</w:t>
      </w:r>
      <w:r w:rsidR="007C2781">
        <w:t> </w:t>
      </w:r>
      <w:r>
        <w:t xml:space="preserve">году в контексте ИТС будет продолжен обмен мнениями, в котором, как ожидается, примут участие видные ученые и эксперты в таких областях, как будущие перспективные исследования и упреждающие средства, человеко-компьютерное взаимодействие при обучении в контексте искусственного интеллекта, автоматизация, сочетание человеческого фактора и этики, а также коллективный иммунитет применительно к эксплуатации автоматизированных транспортных средств в условиях дорожного движения. </w:t>
      </w:r>
    </w:p>
    <w:p w14:paraId="5FA15A8B" w14:textId="77777777" w:rsidR="00BB7CA7" w:rsidRPr="00C55C36" w:rsidRDefault="00BB7CA7" w:rsidP="00BB7CA7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 xml:space="preserve">Затронутые направления действий дорожной карты </w:t>
      </w:r>
      <w:r>
        <w:t xml:space="preserve">(области первостепенного внимания выделены </w:t>
      </w:r>
      <w:r w:rsidRPr="00554AFD">
        <w:rPr>
          <w:b/>
          <w:bCs/>
        </w:rPr>
        <w:t>жирным шрифтом</w:t>
      </w:r>
      <w:r>
        <w:t>):</w:t>
      </w:r>
      <w:r>
        <w:rPr>
          <w:i/>
          <w:iCs/>
        </w:rPr>
        <w:t xml:space="preserve"> 1, 2, </w:t>
      </w:r>
      <w:r>
        <w:rPr>
          <w:b/>
          <w:bCs/>
          <w:i/>
          <w:iCs/>
        </w:rPr>
        <w:t>3</w:t>
      </w:r>
      <w:r>
        <w:rPr>
          <w:i/>
          <w:iCs/>
        </w:rPr>
        <w:t xml:space="preserve">, 4, 5, 6, 7, </w:t>
      </w:r>
      <w:r>
        <w:rPr>
          <w:b/>
          <w:bCs/>
          <w:i/>
          <w:iCs/>
        </w:rPr>
        <w:t>8</w:t>
      </w:r>
      <w:r>
        <w:rPr>
          <w:i/>
          <w:iCs/>
        </w:rPr>
        <w:t>, 9, 10, 11, 12, 13, 14, 15, 16, 17, 18</w:t>
      </w:r>
      <w:r>
        <w:t xml:space="preserve">. </w:t>
      </w:r>
    </w:p>
    <w:p w14:paraId="4C1B7C48" w14:textId="4AC3ADC8" w:rsidR="00BB7CA7" w:rsidRPr="00C55C36" w:rsidRDefault="00BB7CA7" w:rsidP="007C2781">
      <w:pPr>
        <w:pStyle w:val="H23G"/>
      </w:pPr>
      <w:r>
        <w:tab/>
        <w:t>4.</w:t>
      </w:r>
      <w:r>
        <w:tab/>
        <w:t>Всемирный форум для согласования правил в области транспортных средств и</w:t>
      </w:r>
      <w:r w:rsidR="007C2781">
        <w:t> </w:t>
      </w:r>
      <w:r>
        <w:t>его неофициальная рабочая группа по интеллектуальным транспортным системам</w:t>
      </w:r>
    </w:p>
    <w:p w14:paraId="557BC4AD" w14:textId="77777777" w:rsidR="00BB7CA7" w:rsidRPr="00C55C36" w:rsidRDefault="00BB7CA7" w:rsidP="00BB7CA7">
      <w:pPr>
        <w:pStyle w:val="H4G"/>
      </w:pPr>
      <w:r>
        <w:rPr>
          <w:iCs/>
        </w:rPr>
        <w:tab/>
        <w:t>a)</w:t>
      </w:r>
      <w:r>
        <w:tab/>
      </w:r>
      <w:r>
        <w:rPr>
          <w:iCs/>
        </w:rPr>
        <w:t>Всемирный форум для согласования правил в области транспортных средств</w:t>
      </w:r>
    </w:p>
    <w:p w14:paraId="0834F79E" w14:textId="797CC79C" w:rsidR="00BB7CA7" w:rsidRPr="00CD5315" w:rsidRDefault="00BB7CA7" w:rsidP="00BB7CA7">
      <w:pPr>
        <w:spacing w:after="120"/>
        <w:ind w:left="1134" w:right="1134"/>
        <w:jc w:val="both"/>
        <w:rPr>
          <w:iCs/>
        </w:rPr>
      </w:pPr>
      <w:r>
        <w:t>17.</w:t>
      </w:r>
      <w:r>
        <w:tab/>
        <w:t>Всемирный форум продолжил свою работу по ИТС, в частности по автоматизированным системам вождения, обеспечивая осуществление деятельности соответствующих рабочих групп на основе рамочного документа по автоматизированным транспортным средствам (РДАТС). В этот документ были внесены поправки для отражения новых изменений и направления деятельности на достижение ожидаемых результатов в период 2022</w:t>
      </w:r>
      <w:r w:rsidR="007C2781">
        <w:t>–</w:t>
      </w:r>
      <w:r>
        <w:t xml:space="preserve">2024 годов. WP.29 принял первый </w:t>
      </w:r>
      <w:r>
        <w:lastRenderedPageBreak/>
        <w:t>вариант нового метода оценки/испытаний (базовый документ), в котором подробно описаны различные элементы оценки эффективности автоматизированных систем вождения. Он также принял поправки к Правилам № 157 ООН (автоматизированные системы удержания в пределах полосы движения) с целью распространения их действия на большегрузные транспортные средства (например, на грузовые автомобили и междугородные автобусы) и к Правилам № 160 ООН (регистратор данных о событиях). WP.29 ознакомился с докладом о работе неофициальной рабочей группы (НРГ) по ИТС и принял указанные ниже решения.</w:t>
      </w:r>
    </w:p>
    <w:p w14:paraId="730C28E9" w14:textId="77777777" w:rsidR="00BB7CA7" w:rsidRPr="00C55C36" w:rsidRDefault="00BB7CA7" w:rsidP="00BB7CA7">
      <w:pPr>
        <w:spacing w:after="120"/>
        <w:ind w:left="1134" w:right="1134"/>
        <w:jc w:val="both"/>
        <w:rPr>
          <w:iCs/>
        </w:rPr>
      </w:pPr>
      <w:r>
        <w:t>18.</w:t>
      </w:r>
      <w:r>
        <w:tab/>
        <w:t xml:space="preserve">Председатель GRVA сообщил Всемирному форуму, что WP.1 просил его ответить на вопросы, связанные с Правилами № 157 ООН. Он пояснил, что Председатель WP.1 предложил GRVA рассмотреть возможность организации совместного мероприятия с WP.1 в 2022 году, с тем чтобы специалисты по безопасности дорожного движения могли обменяться мнениями и опытом в контексте происходящего в последнее время стремительного технического прогресса. Он также сообщил, что WP.1 отметил весьма высокую результативность работы GRVA. Некоторые эксперты предложили вначале уточнить цель и ожидаемые итоги проведения совместной сессии. Один из экспертов предложил обменяться мнениями с WP.1 по техническим вопросам; он отметил несогласованность терминологии, используемой обеими группами, и необходимость ее устранения. WP.29 одобрил совместную деятельность GRVA и WP.1. </w:t>
      </w:r>
    </w:p>
    <w:p w14:paraId="348A5B8C" w14:textId="77777777" w:rsidR="00BB7CA7" w:rsidRPr="00C55C36" w:rsidRDefault="00BB7CA7" w:rsidP="00BB7CA7">
      <w:pPr>
        <w:pStyle w:val="H4G"/>
      </w:pPr>
      <w:r>
        <w:rPr>
          <w:iCs/>
        </w:rPr>
        <w:tab/>
        <w:t>b)</w:t>
      </w:r>
      <w:r>
        <w:tab/>
      </w:r>
      <w:r>
        <w:rPr>
          <w:iCs/>
        </w:rPr>
        <w:t>Деятельность неофициальной рабочей группы по интеллектуальным транспортным системам</w:t>
      </w:r>
    </w:p>
    <w:p w14:paraId="3AE6C8BA" w14:textId="77777777" w:rsidR="00BB7CA7" w:rsidRPr="00C55C36" w:rsidRDefault="00BB7CA7" w:rsidP="00BB7CA7">
      <w:pPr>
        <w:pStyle w:val="SingleTxtG"/>
        <w:rPr>
          <w:rStyle w:val="normaltextrun"/>
          <w:color w:val="000000"/>
          <w:shd w:val="clear" w:color="auto" w:fill="FFFFFF"/>
        </w:rPr>
      </w:pPr>
      <w:r>
        <w:t>19.</w:t>
      </w:r>
      <w:r>
        <w:tab/>
        <w:t xml:space="preserve">НРГ по ИТС провела свою третью сессию 19 ноября 2021 года. На ней присутствовали многочисленные представители, и делегации продемонстрировали весьма значительную активность, проявив интерес к таким вопросам, как инфраструктура, в рамках которой будут эксплуатироваться интеллектуальные транспортные средства. Группа ознакомилась с докладом эксперта от Соединенных Штатов Америки г-на Марка де ла Верня, являющегося вице-президентом компании «Кэвнюэ» по вопросам развития, на тему: «Будущее дорог». В ходе обмена информацией группа также ознакомилась с материалами, представленными Китаем, Францией и Соединенным Королевством Великобритании и Северной Ирландии и содержавшими обновленные сведения об изменениях в их странах в области автоматизации транспортных средств и ИТС. </w:t>
      </w:r>
    </w:p>
    <w:p w14:paraId="42AF4A42" w14:textId="77777777" w:rsidR="00BB7CA7" w:rsidRPr="00C55C36" w:rsidRDefault="00BB7CA7" w:rsidP="00BB7CA7">
      <w:pPr>
        <w:pStyle w:val="SingleTxtG"/>
        <w:rPr>
          <w:color w:val="000000"/>
          <w:shd w:val="clear" w:color="auto" w:fill="FFFFFF"/>
        </w:rPr>
      </w:pPr>
      <w:r>
        <w:t>20.</w:t>
      </w:r>
      <w:r>
        <w:tab/>
        <w:t xml:space="preserve">Группа произвела обзор деятельности, осуществлявшейся в 2021 году в соответствии с пересмотренной дорожной картой ЕЭК ООН по ИТС, принятой КВТ на его сессии в феврале 2021 года. Делегация Международной организации предприятий автомобильной промышленности (МОПАП) представила термины и определения, касающиеся ИТС, в контексте направления действий 1 дорожной карты. Группа рассмотрела этот текст и решила возобновить рассмотрение на следующих сессиях. </w:t>
      </w:r>
    </w:p>
    <w:p w14:paraId="59C092C7" w14:textId="77777777" w:rsidR="00BB7CA7" w:rsidRPr="00C55C36" w:rsidRDefault="00BB7CA7" w:rsidP="00BB7CA7">
      <w:pPr>
        <w:pStyle w:val="SingleTxtG"/>
        <w:rPr>
          <w:color w:val="000000"/>
          <w:shd w:val="clear" w:color="auto" w:fill="FFFFFF"/>
        </w:rPr>
      </w:pPr>
      <w:r>
        <w:t>21.</w:t>
      </w:r>
      <w:r>
        <w:tab/>
        <w:t>НРГ по ИТС обсудила возможность проведения более интенсивных совещаний группы и решила, что следующее совещание будет запланировано на июнь 2022 года.</w:t>
      </w:r>
    </w:p>
    <w:p w14:paraId="4BCBBD1A" w14:textId="2DE2DCAE" w:rsidR="00BB7CA7" w:rsidRPr="00C55C36" w:rsidRDefault="00BB7CA7" w:rsidP="00BB7CA7">
      <w:pPr>
        <w:pStyle w:val="SingleTxtG"/>
        <w:rPr>
          <w:color w:val="000000"/>
          <w:shd w:val="clear" w:color="auto" w:fill="FFFFFF"/>
        </w:rPr>
      </w:pPr>
      <w:r>
        <w:t>22.</w:t>
      </w:r>
      <w:r>
        <w:tab/>
        <w:t xml:space="preserve">Итоги работы НРГ по ИТС были представлены на </w:t>
      </w:r>
      <w:r w:rsidR="00817D3C">
        <w:t>сто восемьдесят пято</w:t>
      </w:r>
      <w:r>
        <w:t xml:space="preserve">й сессии WP.29. WP.29 решил, что сопредседатели НРГ по ИТС и секретариат проведут небольшую серию вебинаров по направлениям действий, указанным в пересмотренной дорожной карте ЕЭК по ИТС, в частности по направлениям 5, 6 и 7, в первом квартале 2022 года. </w:t>
      </w:r>
    </w:p>
    <w:p w14:paraId="62225BFF" w14:textId="77777777" w:rsidR="00BB7CA7" w:rsidRPr="00C55C36" w:rsidRDefault="00BB7CA7" w:rsidP="00BB7CA7">
      <w:pPr>
        <w:pStyle w:val="SingleTxtG"/>
        <w:rPr>
          <w:color w:val="000000"/>
          <w:shd w:val="clear" w:color="auto" w:fill="FFFFFF"/>
        </w:rPr>
      </w:pPr>
      <w:r>
        <w:t>23.</w:t>
      </w:r>
      <w:r>
        <w:tab/>
        <w:t xml:space="preserve">WP.29 решила, что руководство группы по ИТС будет играть координирующую роль в подготовке совещания за круглым столом на тему: «Перспективы электрификации и автоматизации транспортных средств», которое будет проведено в качестве параллельного мероприятия в рамках празднования семьдесят пятой годовщины КВТ в 2022 году, и будет представлять WP.29 на симпозиуме «Сетевой автомобиль будущего», проведение которого будет организовано ЕЭК и Международным союзом электросвязи (МСЭ) в 2022 году. </w:t>
      </w:r>
    </w:p>
    <w:p w14:paraId="5B301F66" w14:textId="77777777" w:rsidR="00BB7CA7" w:rsidRPr="00C55C36" w:rsidRDefault="00BB7CA7" w:rsidP="00BB7CA7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lastRenderedPageBreak/>
        <w:t>Затронутые направления действий дорожной карты</w:t>
      </w:r>
      <w:r>
        <w:t xml:space="preserve"> (области первостепенного внимания выделены </w:t>
      </w:r>
      <w:r w:rsidRPr="00EA0148">
        <w:rPr>
          <w:b/>
          <w:bCs/>
        </w:rPr>
        <w:t>жирным шрифтом</w:t>
      </w:r>
      <w:r>
        <w:t xml:space="preserve">): </w:t>
      </w:r>
      <w:r>
        <w:rPr>
          <w:b/>
          <w:bCs/>
          <w:i/>
          <w:iCs/>
        </w:rPr>
        <w:t>1, 2, 3</w:t>
      </w:r>
      <w:r>
        <w:rPr>
          <w:i/>
          <w:iCs/>
        </w:rPr>
        <w:t xml:space="preserve">, 4, </w:t>
      </w:r>
      <w:r>
        <w:rPr>
          <w:b/>
          <w:bCs/>
          <w:i/>
          <w:iCs/>
        </w:rPr>
        <w:t>5</w:t>
      </w:r>
      <w:r>
        <w:rPr>
          <w:i/>
          <w:iCs/>
        </w:rPr>
        <w:t xml:space="preserve">, 6, 7, </w:t>
      </w:r>
      <w:r>
        <w:rPr>
          <w:b/>
          <w:bCs/>
          <w:i/>
          <w:iCs/>
        </w:rPr>
        <w:t>8</w:t>
      </w:r>
      <w:r>
        <w:rPr>
          <w:i/>
          <w:iCs/>
        </w:rPr>
        <w:t xml:space="preserve">, 9, 10, 11, 12, 13, </w:t>
      </w:r>
      <w:r>
        <w:rPr>
          <w:b/>
          <w:bCs/>
          <w:i/>
          <w:iCs/>
        </w:rPr>
        <w:t>14</w:t>
      </w:r>
      <w:r>
        <w:rPr>
          <w:i/>
          <w:iCs/>
        </w:rPr>
        <w:t xml:space="preserve">, 15, </w:t>
      </w:r>
      <w:r>
        <w:rPr>
          <w:b/>
          <w:bCs/>
          <w:i/>
          <w:iCs/>
        </w:rPr>
        <w:t>16, 17, 18</w:t>
      </w:r>
      <w:r>
        <w:t>.</w:t>
      </w:r>
    </w:p>
    <w:p w14:paraId="60317D1F" w14:textId="77777777" w:rsidR="00BB7CA7" w:rsidRPr="00C55C36" w:rsidRDefault="00BB7CA7" w:rsidP="000D3D82">
      <w:pPr>
        <w:pStyle w:val="H23G"/>
      </w:pPr>
      <w:r>
        <w:tab/>
        <w:t>5.</w:t>
      </w:r>
      <w:r>
        <w:tab/>
        <w:t>Рабочая группа по автоматизированным/автономным и подключенным транспортным средствам</w:t>
      </w:r>
    </w:p>
    <w:p w14:paraId="6599EBC5" w14:textId="6DF9E5F7" w:rsidR="00BB7CA7" w:rsidRPr="00C55C36" w:rsidRDefault="00BB7CA7" w:rsidP="00BB7CA7">
      <w:pPr>
        <w:spacing w:after="120"/>
        <w:ind w:left="1134" w:right="1134"/>
        <w:jc w:val="both"/>
        <w:rPr>
          <w:iCs/>
        </w:rPr>
      </w:pPr>
      <w:r>
        <w:t>24.</w:t>
      </w:r>
      <w:r>
        <w:tab/>
        <w:t>Рабочая группа по автоматизированным/автономным и подключенным транспортным средствам (GRVA) функционировала в соответствии с руководящими указаниями, обозначенными в инструменте управления программами (РДАТС). GRVA ознакомилась с докладами о работе своих НРГ по функциональным требованиям для автоматизированных/автономных транспортных средств (ФТАТ) , методам валидации для автоматизированного вождения (МВАВ), регистратору данных о событиях/системам хранения данных для автоматизированного вождения (СХДАВ) и кибербезопасности и беспроводному обновлению программного обеспечения (КБ/БС).</w:t>
      </w:r>
    </w:p>
    <w:p w14:paraId="5CF6D8C7" w14:textId="187E6452" w:rsidR="00BB7CA7" w:rsidRPr="00C55C36" w:rsidRDefault="00BB7CA7" w:rsidP="00BB7CA7">
      <w:pPr>
        <w:spacing w:after="120"/>
        <w:ind w:left="1134" w:right="1134"/>
        <w:jc w:val="both"/>
        <w:rPr>
          <w:iCs/>
        </w:rPr>
      </w:pPr>
      <w:r>
        <w:t>25.</w:t>
      </w:r>
      <w:r>
        <w:tab/>
        <w:t>GRVA внесла предложения по поправкам к Правилам № 157 ООН, касающимся автоматизированных систем удержания в пределах полосы движения (АСУП). Эти</w:t>
      </w:r>
      <w:r w:rsidR="000D3D82">
        <w:rPr>
          <w:lang w:val="en-US"/>
        </w:rPr>
        <w:t> </w:t>
      </w:r>
      <w:r>
        <w:t xml:space="preserve">Правила являются первыми международными правилами, касающимися официального утверждения типа автоматизированной системы вождения, с ограниченным вариантом использования и простым определением процедуры передачи динамической задачи управления с учетом домена штатной эксплуатации (ДШЭ). </w:t>
      </w:r>
    </w:p>
    <w:p w14:paraId="04E73FEF" w14:textId="77777777" w:rsidR="00BB7CA7" w:rsidRPr="00C55C36" w:rsidRDefault="00BB7CA7" w:rsidP="00BB7CA7">
      <w:pPr>
        <w:spacing w:after="120"/>
        <w:ind w:left="1134" w:right="1134"/>
        <w:jc w:val="both"/>
        <w:rPr>
          <w:iCs/>
        </w:rPr>
      </w:pPr>
      <w:r>
        <w:t>26.</w:t>
      </w:r>
      <w:r>
        <w:tab/>
        <w:t>Последние поправки к Правилам № 157 ООН включали разъяснения, а также аспекты расширения области применения Правил, с тем чтобы допустить официальное утверждение типа этих систем в случае транспортных средств большей грузоподъемности (грузовых автомобилей, городских и междугородных автобусов).</w:t>
      </w:r>
    </w:p>
    <w:p w14:paraId="368C6E0B" w14:textId="4F145786" w:rsidR="00BB7CA7" w:rsidRPr="00C55C36" w:rsidRDefault="00BB7CA7" w:rsidP="00BB7CA7">
      <w:pPr>
        <w:spacing w:after="120"/>
        <w:ind w:left="1134" w:right="1134"/>
        <w:jc w:val="both"/>
        <w:rPr>
          <w:iCs/>
        </w:rPr>
      </w:pPr>
      <w:r>
        <w:t>27.</w:t>
      </w:r>
      <w:r>
        <w:tab/>
        <w:t>GRVA рассмотрела вопросы, связанные с искусственным интеллектом (ИИ), в</w:t>
      </w:r>
      <w:r w:rsidR="000D3D82">
        <w:rPr>
          <w:lang w:val="en-US"/>
        </w:rPr>
        <w:t> </w:t>
      </w:r>
      <w:r>
        <w:t xml:space="preserve">контексте правил в области транспортных средств и изучила материалы, представленные делегациями, записку эксперта от Российской Федерации и записку секретариата, в которой были указаны все позиции, обозначенные по этому вопросу, включая предложение о подготовке руководящего документа или резолюции по ИИ на транспортных средствах. </w:t>
      </w:r>
    </w:p>
    <w:p w14:paraId="44667B01" w14:textId="77777777" w:rsidR="00BB7CA7" w:rsidRPr="00C55C36" w:rsidRDefault="00BB7CA7" w:rsidP="00BB7CA7">
      <w:pPr>
        <w:spacing w:after="120"/>
        <w:ind w:left="1134" w:right="1134"/>
        <w:jc w:val="both"/>
        <w:rPr>
          <w:iCs/>
        </w:rPr>
      </w:pPr>
      <w:r>
        <w:t>28.</w:t>
      </w:r>
      <w:r>
        <w:tab/>
        <w:t xml:space="preserve">GRVA рассмотрела резолюцию Парламентской Ассамблеи Совета Европы, призывающую GRVA провести оценку воздействия на права человека (ОВПЧ) в контексте своей деятельности, и приняла решение ответить на нее с учетом справочных документов Управления Верховного комиссара по правам человека, Организации Объединенных Наций по вопросам образования, науки и культуры и Европейской комиссии. </w:t>
      </w:r>
    </w:p>
    <w:p w14:paraId="2A89BB7E" w14:textId="5C373527" w:rsidR="00BB7CA7" w:rsidRPr="00C55C36" w:rsidRDefault="00BB7CA7" w:rsidP="00BB7CA7">
      <w:pPr>
        <w:spacing w:after="120"/>
        <w:ind w:left="1134" w:right="1134"/>
        <w:jc w:val="both"/>
        <w:rPr>
          <w:iCs/>
        </w:rPr>
      </w:pPr>
      <w:r>
        <w:t>29.</w:t>
      </w:r>
      <w:r>
        <w:tab/>
        <w:t>GRVA продолжила свою деятельность по кибербезопасности и разработала положения, приемлемые для договаривающихся сторон соглашений 1958 и 1998</w:t>
      </w:r>
      <w:r w:rsidR="000D3D82">
        <w:rPr>
          <w:lang w:val="en-US"/>
        </w:rPr>
        <w:t> </w:t>
      </w:r>
      <w:r>
        <w:t xml:space="preserve">годов, в соответствии с РДАТС. </w:t>
      </w:r>
    </w:p>
    <w:p w14:paraId="00EA9A5B" w14:textId="77777777" w:rsidR="00BB7CA7" w:rsidRPr="00C55C36" w:rsidRDefault="00BB7CA7" w:rsidP="00BB7CA7">
      <w:pPr>
        <w:spacing w:after="120"/>
        <w:ind w:left="1134" w:right="1134"/>
        <w:jc w:val="both"/>
        <w:rPr>
          <w:iCs/>
        </w:rPr>
      </w:pPr>
      <w:r>
        <w:t>30.</w:t>
      </w:r>
      <w:r>
        <w:tab/>
        <w:t xml:space="preserve">Секретариат совместно с Японией организовал рабочие совещания по вопросам применения Правил № 155 ООН (кибербезопасность и система управления кибербезопасностью), включая положения пункта 5.3, касающиеся обязательств органов по официальному утверждению относительно обмена информацией о методах оценки. </w:t>
      </w:r>
    </w:p>
    <w:p w14:paraId="433056C5" w14:textId="77777777" w:rsidR="00BB7CA7" w:rsidRPr="00C55C36" w:rsidRDefault="00BB7CA7" w:rsidP="00BB7CA7">
      <w:pPr>
        <w:spacing w:after="120"/>
        <w:ind w:left="1134" w:right="1134"/>
        <w:jc w:val="both"/>
        <w:rPr>
          <w:iCs/>
        </w:rPr>
      </w:pPr>
      <w:r>
        <w:t>31.</w:t>
      </w:r>
      <w:r>
        <w:tab/>
        <w:t>GRVA также продолжила свою деятельность, связанную с дистанционным доступом к бортовым данным, с учетом выступлений делегатов от Международной автомобильной федерации (ФИА), Европейского комитета по стандартизации (ЕКС), Международной организации по стандартизации (ИСО) и Международного комитета по осмотру автотранспортных средств (МКТОТ) и представленных ими материалов.</w:t>
      </w:r>
    </w:p>
    <w:p w14:paraId="307DA8DF" w14:textId="77777777" w:rsidR="00BB7CA7" w:rsidRPr="00C55C36" w:rsidRDefault="00BB7CA7" w:rsidP="00BB7CA7">
      <w:pPr>
        <w:spacing w:after="120"/>
        <w:ind w:left="1134" w:right="1134"/>
        <w:jc w:val="both"/>
        <w:rPr>
          <w:iCs/>
        </w:rPr>
      </w:pPr>
      <w:r>
        <w:t>32.</w:t>
      </w:r>
      <w:r>
        <w:tab/>
        <w:t xml:space="preserve">GRVA инициировала создание целевой группы по современным системам помощи водителю (ССПВ), которая произвела обзор Правил № 79 ООН (оборудование рулевого управления), имеющих большое значение для официального утверждения </w:t>
      </w:r>
      <w:r>
        <w:lastRenderedPageBreak/>
        <w:t xml:space="preserve">некоторых ССПВ. Целевая группа инициировала разработку горизонтальных правил для утверждения типа систем ССПВ. </w:t>
      </w:r>
    </w:p>
    <w:p w14:paraId="5FC44821" w14:textId="6E21A9D9" w:rsidR="00BB7CA7" w:rsidRPr="00C55C36" w:rsidRDefault="00BB7CA7" w:rsidP="00BB7CA7">
      <w:pPr>
        <w:spacing w:after="120"/>
        <w:ind w:left="1134" w:right="1134"/>
        <w:jc w:val="both"/>
        <w:rPr>
          <w:iCs/>
        </w:rPr>
      </w:pPr>
      <w:r>
        <w:t>33.</w:t>
      </w:r>
      <w:r>
        <w:tab/>
        <w:t>GRVA продолжила свою деятельность по разработке правил № 152 и 131 ООН (опережающие системы экстренного торможения). GRVA также произвела обзор правил, касающихся торможения (Глобальных технических правил № 8 ООН, правил</w:t>
      </w:r>
      <w:r w:rsidR="000D3D82">
        <w:rPr>
          <w:lang w:val="en-US"/>
        </w:rPr>
        <w:t> </w:t>
      </w:r>
      <w:r>
        <w:t>№ 13 и 13-H ООН), с тем чтобы адаптировать их к техническому прогрессу и охватить инновационные системы рулевого управления и аспекты электрификации транспортных средств (электромобилей, а также гибридных электромобилей большой и малой грузоподъемности).</w:t>
      </w:r>
    </w:p>
    <w:p w14:paraId="08100105" w14:textId="77777777" w:rsidR="00BB7CA7" w:rsidRPr="00C55C36" w:rsidRDefault="00BB7CA7" w:rsidP="00BB7CA7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Затронутые направления действий дорожной карт</w:t>
      </w:r>
      <w:r>
        <w:t xml:space="preserve">ы (области первостепенного внимания выделены </w:t>
      </w:r>
      <w:r w:rsidRPr="006728D5">
        <w:rPr>
          <w:b/>
          <w:bCs/>
        </w:rPr>
        <w:t>жирным шрифтом</w:t>
      </w:r>
      <w:r>
        <w:t xml:space="preserve">): </w:t>
      </w:r>
      <w:r>
        <w:rPr>
          <w:i/>
          <w:iCs/>
        </w:rPr>
        <w:t xml:space="preserve">1, </w:t>
      </w:r>
      <w:r>
        <w:rPr>
          <w:b/>
          <w:bCs/>
          <w:i/>
          <w:iCs/>
        </w:rPr>
        <w:t>2, 3</w:t>
      </w:r>
      <w:r>
        <w:rPr>
          <w:i/>
          <w:iCs/>
        </w:rPr>
        <w:t xml:space="preserve">, 4, </w:t>
      </w:r>
      <w:r>
        <w:rPr>
          <w:b/>
          <w:bCs/>
          <w:i/>
          <w:iCs/>
        </w:rPr>
        <w:t>5</w:t>
      </w:r>
      <w:r>
        <w:rPr>
          <w:i/>
          <w:iCs/>
        </w:rPr>
        <w:t xml:space="preserve">, 6, 7, </w:t>
      </w:r>
      <w:r>
        <w:rPr>
          <w:b/>
          <w:bCs/>
          <w:i/>
          <w:iCs/>
        </w:rPr>
        <w:t>8</w:t>
      </w:r>
      <w:r>
        <w:rPr>
          <w:i/>
          <w:iCs/>
        </w:rPr>
        <w:t xml:space="preserve">, 9, 10, 11, 12, 13, </w:t>
      </w:r>
      <w:r>
        <w:rPr>
          <w:b/>
          <w:bCs/>
          <w:i/>
          <w:iCs/>
        </w:rPr>
        <w:t>14</w:t>
      </w:r>
      <w:r>
        <w:rPr>
          <w:i/>
          <w:iCs/>
        </w:rPr>
        <w:t xml:space="preserve">, 15, </w:t>
      </w:r>
      <w:r>
        <w:rPr>
          <w:b/>
          <w:bCs/>
          <w:i/>
          <w:iCs/>
        </w:rPr>
        <w:t>16, 17, 18</w:t>
      </w:r>
      <w:r>
        <w:t>.</w:t>
      </w:r>
    </w:p>
    <w:p w14:paraId="6903C6ED" w14:textId="77777777" w:rsidR="00BB7CA7" w:rsidRPr="00C55C36" w:rsidRDefault="00BB7CA7" w:rsidP="000D3D82">
      <w:pPr>
        <w:pStyle w:val="H23G"/>
      </w:pPr>
      <w:r>
        <w:tab/>
        <w:t>6.</w:t>
      </w:r>
      <w:r>
        <w:tab/>
        <w:t>Рабочая группа по интермодальным перевозкам и логистике</w:t>
      </w:r>
    </w:p>
    <w:p w14:paraId="50F34F15" w14:textId="77777777" w:rsidR="00BB7CA7" w:rsidRPr="00CD5315" w:rsidRDefault="00BB7CA7" w:rsidP="00BB7CA7">
      <w:pPr>
        <w:spacing w:after="120"/>
        <w:ind w:left="1134" w:right="1134"/>
        <w:jc w:val="both"/>
      </w:pPr>
      <w:r>
        <w:t>34.</w:t>
      </w:r>
      <w:r>
        <w:tab/>
        <w:t xml:space="preserve">Рабочая группа по интермодальным перевозкам и логистике (WP.24) на своих ежегодных сессиях продолжила обсуждение вопросов, связанных с ИТС и техническим прогрессом, в контексте поощрения интермодальных перевозок. Рабочая группа продолжила обмен информацией об оцифровке транспортных документов на основе обеспечения эксплуатационной совместимости данных в контексте поощрения интермодальных перевозок, а также о путях ускорения темпов автоматизации интермодальных перевозок. Рабочая группа решила, что в 2022 году она организует рабочие совещания для конкретных стран с целью обмена национальным опытом и информацией о вызовах, связанных с цифровизацией транспортных документов, используемых в интермодальных перевозках, а также для обмена опытом, примерами оптимальной практики и информацией об инновациях в связи с автоматизацией в этом секторе. В рамках своей деятельности по модернизации и оцифровке соглашений, касающихся инфраструктуры, Рабочая группа завершает обновление онлайн-инструмента Европейского соглашения о международных магистральных железнодорожных линиях (СМЖЛ)/Европейского соглашения о важнейших линиях международных комбинированных перевозок и соответствующих объектах (СЛКП) с целью оказания помощи операторам в определении оптимальных маршрутов для железнодорожных потоков в регионе и затем облегчения переноса перевозок на железнодорожный транспорт, а также демонстрации уровня осуществления соглашений СМЖЛ/СЛКП. </w:t>
      </w:r>
    </w:p>
    <w:p w14:paraId="212DC26E" w14:textId="77777777" w:rsidR="00BB7CA7" w:rsidRPr="00C55C36" w:rsidRDefault="00BB7CA7" w:rsidP="00BB7CA7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Затронутые направления действий дорожной карты</w:t>
      </w:r>
      <w:r>
        <w:t xml:space="preserve"> (области первостепенного внимания выделены </w:t>
      </w:r>
      <w:r w:rsidRPr="006728D5">
        <w:rPr>
          <w:b/>
          <w:bCs/>
        </w:rPr>
        <w:t>жирным шрифтом</w:t>
      </w:r>
      <w:r>
        <w:t xml:space="preserve">): </w:t>
      </w:r>
      <w:r>
        <w:rPr>
          <w:b/>
          <w:bCs/>
          <w:i/>
          <w:iCs/>
        </w:rPr>
        <w:t>12</w:t>
      </w:r>
      <w:r>
        <w:t>.</w:t>
      </w:r>
    </w:p>
    <w:p w14:paraId="7388BBB7" w14:textId="77777777" w:rsidR="00BB7CA7" w:rsidRPr="00DE1603" w:rsidRDefault="00BB7CA7" w:rsidP="00BB7CA7">
      <w:pPr>
        <w:pStyle w:val="H23G"/>
      </w:pPr>
      <w:r>
        <w:rPr>
          <w:bCs/>
        </w:rPr>
        <w:tab/>
        <w:t>7.</w:t>
      </w:r>
      <w:r>
        <w:tab/>
      </w:r>
      <w:r>
        <w:rPr>
          <w:bCs/>
        </w:rPr>
        <w:t>Рабочая группа по железнодорожному транспорту</w:t>
      </w:r>
    </w:p>
    <w:p w14:paraId="5F965FCD" w14:textId="262645FB" w:rsidR="00BB7CA7" w:rsidRPr="00CD5315" w:rsidRDefault="00BB7CA7" w:rsidP="00BB7CA7">
      <w:pPr>
        <w:spacing w:after="120"/>
        <w:ind w:left="1134" w:right="1134"/>
        <w:jc w:val="both"/>
      </w:pPr>
      <w:r>
        <w:t>35.</w:t>
      </w:r>
      <w:r>
        <w:tab/>
        <w:t>Рабочая группа по железнодорожному транспорту (SC.2) продолжила свою деятельность в области ИТС посредством регулярного обновления информации о центре мониторинга железнодорожной безопасности и формирования новой инновационной платформы в соответствии с распоряжением, сформулированным на семьдесят третьей сессии Рабочей группы в целях выявления ключевых областей, в</w:t>
      </w:r>
      <w:r w:rsidR="000D3D82">
        <w:rPr>
          <w:lang w:val="en-US"/>
        </w:rPr>
        <w:t> </w:t>
      </w:r>
      <w:r>
        <w:t xml:space="preserve">которых ИТС могут повысить конкурентоспособность железнодорожного сектора, после успешного проведения рабочего совещания по этому вопросу на ее семьдесят второй сессии. Эти мероприятия проводились в соответствии с документом ECE/TRANS/SC.2/2019/5, в котором определен ряд направлений действий, связанных с инновациями и ИТС, для сектора железнодорожного транспорта. В рамках этой деятельности Рабочая группа также продолжила работу, связанную с оцифровкой документов, в сотрудничестве с другими рабочими группами. И наконец, в рамках своей деятельности по модернизации и оцифровке соглашений в области инфраструктуры Рабочая группа завершала обновление онлайн-инструмента СМЖЛ/СЛКП, нацеленного на оказание помощи операторам в определении оптимальных маршрутов для железнодорожных потоков в регионе и облегчение переноса перевозок на железнодорожный транспорт. </w:t>
      </w:r>
    </w:p>
    <w:p w14:paraId="26E63349" w14:textId="77777777" w:rsidR="00BB7CA7" w:rsidRPr="00C55C36" w:rsidRDefault="00BB7CA7" w:rsidP="00BB7CA7">
      <w:pPr>
        <w:spacing w:after="120"/>
        <w:ind w:left="1134" w:right="1134"/>
        <w:jc w:val="both"/>
      </w:pPr>
      <w:r>
        <w:rPr>
          <w:i/>
          <w:iCs/>
        </w:rPr>
        <w:lastRenderedPageBreak/>
        <w:t>Затронутые направления действий дорожной карты</w:t>
      </w:r>
      <w:r>
        <w:t xml:space="preserve"> (области первостепенного внимания выделены </w:t>
      </w:r>
      <w:r>
        <w:rPr>
          <w:b/>
          <w:bCs/>
        </w:rPr>
        <w:t>жирным шрифтом</w:t>
      </w:r>
      <w:r>
        <w:t xml:space="preserve">): </w:t>
      </w:r>
      <w:r>
        <w:rPr>
          <w:i/>
          <w:iCs/>
        </w:rPr>
        <w:t xml:space="preserve">2, 3, 4, 5, 6, </w:t>
      </w:r>
      <w:r>
        <w:rPr>
          <w:b/>
          <w:bCs/>
          <w:i/>
          <w:iCs/>
        </w:rPr>
        <w:t>10, 13, 15</w:t>
      </w:r>
      <w:r>
        <w:rPr>
          <w:i/>
          <w:iCs/>
        </w:rPr>
        <w:t>, 16, 17, 18 и 19.</w:t>
      </w:r>
    </w:p>
    <w:p w14:paraId="684A3C00" w14:textId="77777777" w:rsidR="00BB7CA7" w:rsidRPr="00C55C36" w:rsidRDefault="00BB7CA7" w:rsidP="00BB7CA7">
      <w:pPr>
        <w:pStyle w:val="H23G"/>
      </w:pPr>
      <w:r>
        <w:rPr>
          <w:bCs/>
        </w:rPr>
        <w:tab/>
        <w:t>8.</w:t>
      </w:r>
      <w:r>
        <w:tab/>
      </w:r>
      <w:r>
        <w:rPr>
          <w:bCs/>
        </w:rPr>
        <w:t>Рабочая группа по автомобильному транспорту</w:t>
      </w:r>
    </w:p>
    <w:p w14:paraId="02ECCCF5" w14:textId="18936FBD" w:rsidR="00BB7CA7" w:rsidRPr="00C55C36" w:rsidRDefault="00BB7CA7" w:rsidP="00BB7CA7">
      <w:pPr>
        <w:pStyle w:val="SingleTxtG"/>
      </w:pPr>
      <w:r>
        <w:t>36.</w:t>
      </w:r>
      <w:r>
        <w:tab/>
        <w:t xml:space="preserve">В ходе </w:t>
      </w:r>
      <w:r w:rsidR="00817D3C">
        <w:t>сто шестнадцато</w:t>
      </w:r>
      <w:r>
        <w:t>й сессии Рабочей группы по автомобильному транспорту (SC.1) делегат от Лихтенштейна представил материалы об управлении сроком эксплуатации транспортного средства при помощи технологии блокчейн. SC.1 высоко оценила представленные материалы и обсудила вопрос о применимости данных моделей/</w:t>
      </w:r>
      <w:r w:rsidR="000D3D82" w:rsidRPr="000D3D82">
        <w:t xml:space="preserve"> </w:t>
      </w:r>
      <w:r>
        <w:t>подходов к другим странам и различные аспекты транспортной логистики.</w:t>
      </w:r>
    </w:p>
    <w:p w14:paraId="517F7745" w14:textId="77777777" w:rsidR="00BB7CA7" w:rsidRPr="00C55C36" w:rsidRDefault="00BB7CA7" w:rsidP="00BB7CA7">
      <w:pPr>
        <w:tabs>
          <w:tab w:val="left" w:pos="567"/>
        </w:tabs>
        <w:spacing w:after="120"/>
        <w:ind w:left="1170" w:right="1134"/>
        <w:jc w:val="both"/>
        <w:rPr>
          <w:i/>
          <w:iCs/>
        </w:rPr>
      </w:pPr>
      <w:r>
        <w:rPr>
          <w:i/>
          <w:iCs/>
        </w:rPr>
        <w:t xml:space="preserve">Затронутые направления действий дорожной карты </w:t>
      </w:r>
      <w:r>
        <w:t xml:space="preserve">(области первостепенного внимания выделены </w:t>
      </w:r>
      <w:r>
        <w:rPr>
          <w:b/>
          <w:bCs/>
        </w:rPr>
        <w:t>жирным шрифтом</w:t>
      </w:r>
      <w:r>
        <w:t xml:space="preserve">): </w:t>
      </w:r>
      <w:r>
        <w:rPr>
          <w:i/>
          <w:iCs/>
        </w:rPr>
        <w:t>1</w:t>
      </w:r>
      <w:r>
        <w:t xml:space="preserve">, </w:t>
      </w:r>
      <w:r>
        <w:rPr>
          <w:i/>
          <w:iCs/>
        </w:rPr>
        <w:t xml:space="preserve">2, </w:t>
      </w:r>
      <w:r>
        <w:rPr>
          <w:b/>
          <w:bCs/>
          <w:i/>
          <w:iCs/>
        </w:rPr>
        <w:t>3</w:t>
      </w:r>
      <w:r>
        <w:rPr>
          <w:i/>
          <w:iCs/>
        </w:rPr>
        <w:t xml:space="preserve">, 4, 6, 8, 13, 14, </w:t>
      </w:r>
      <w:r>
        <w:rPr>
          <w:b/>
          <w:bCs/>
          <w:i/>
          <w:iCs/>
        </w:rPr>
        <w:t>15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16</w:t>
      </w:r>
      <w:r>
        <w:t>.</w:t>
      </w:r>
    </w:p>
    <w:p w14:paraId="220F689D" w14:textId="77777777" w:rsidR="00BB7CA7" w:rsidRPr="00C55C36" w:rsidRDefault="00BB7CA7" w:rsidP="000D3D82">
      <w:pPr>
        <w:pStyle w:val="HChG"/>
      </w:pPr>
      <w:r>
        <w:tab/>
        <w:t>III.</w:t>
      </w:r>
      <w:r>
        <w:tab/>
        <w:t>Регулярная деятельность</w:t>
      </w:r>
    </w:p>
    <w:p w14:paraId="442D11A5" w14:textId="77777777" w:rsidR="00BB7CA7" w:rsidRPr="00C55C36" w:rsidRDefault="00BB7CA7" w:rsidP="00BB7CA7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Ежегодный симпозиум EЭК/МСЭ по вопросу о будущем сетевом автомобиле</w:t>
      </w:r>
    </w:p>
    <w:p w14:paraId="100AD324" w14:textId="1D10E4C0" w:rsidR="00BB7CA7" w:rsidRPr="00C55C36" w:rsidRDefault="00BB7CA7" w:rsidP="00BB7CA7">
      <w:pPr>
        <w:pStyle w:val="SingleTxtG"/>
      </w:pPr>
      <w:r>
        <w:t>37.</w:t>
      </w:r>
      <w:r>
        <w:tab/>
        <w:t>Сессия симпозиума ЕЭК/МСЭ по вопросу о будущем сетевом автомобиле 2021</w:t>
      </w:r>
      <w:r w:rsidR="000D3D82">
        <w:rPr>
          <w:lang w:val="en-US"/>
        </w:rPr>
        <w:t> </w:t>
      </w:r>
      <w:r>
        <w:t>года во второй раз прошла в формате виртуального симпозиума, организованного совместно ЕЭК и МСЭ, а не в ходе Женевского международного автосалона, как это было до COVID-19.</w:t>
      </w:r>
    </w:p>
    <w:p w14:paraId="0A52CAA6" w14:textId="77777777" w:rsidR="00BB7CA7" w:rsidRPr="006728D5" w:rsidRDefault="00BB7CA7" w:rsidP="00BB7CA7">
      <w:pPr>
        <w:pStyle w:val="SingleTxtG"/>
      </w:pPr>
      <w:r>
        <w:t>38.</w:t>
      </w:r>
      <w:r>
        <w:tab/>
        <w:t>Симпозиум был организован в течение четырех дней, причем ежедневно проводилось по одному заседанию. МСЭ сообщил о следующем числе участников:</w:t>
      </w:r>
    </w:p>
    <w:p w14:paraId="2534E91F" w14:textId="14FCF53C" w:rsidR="00BB7CA7" w:rsidRPr="009F4DA3" w:rsidRDefault="00FA6606" w:rsidP="00FA6606">
      <w:pPr>
        <w:pStyle w:val="H23G"/>
      </w:pPr>
      <w:r>
        <w:tab/>
      </w:r>
      <w:r>
        <w:tab/>
      </w:r>
      <w:r w:rsidR="00BB7CA7" w:rsidRPr="00FA6606">
        <w:rPr>
          <w:b w:val="0"/>
          <w:bCs/>
        </w:rPr>
        <w:t xml:space="preserve">Таблица 1 </w:t>
      </w:r>
      <w:r w:rsidRPr="00FA6606">
        <w:rPr>
          <w:b w:val="0"/>
          <w:bCs/>
        </w:rPr>
        <w:br/>
      </w:r>
      <w:r w:rsidR="00BB7CA7">
        <w:t>Участники</w:t>
      </w:r>
    </w:p>
    <w:tbl>
      <w:tblPr>
        <w:tblStyle w:val="ac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</w:tblGrid>
      <w:tr w:rsidR="00BB7CA7" w:rsidRPr="00FA6606" w14:paraId="36B1563D" w14:textId="77777777" w:rsidTr="00D82597">
        <w:tc>
          <w:tcPr>
            <w:tcW w:w="2268" w:type="dxa"/>
            <w:tcBorders>
              <w:bottom w:val="single" w:sz="12" w:space="0" w:color="auto"/>
            </w:tcBorders>
          </w:tcPr>
          <w:p w14:paraId="79E0012E" w14:textId="77777777" w:rsidR="00BB7CA7" w:rsidRPr="00FA6606" w:rsidRDefault="00BB7CA7" w:rsidP="00D82597">
            <w:pPr>
              <w:pStyle w:val="SingleTxtG"/>
              <w:spacing w:before="80" w:after="80" w:line="200" w:lineRule="exact"/>
              <w:ind w:left="0" w:right="-4" w:firstLine="136"/>
              <w:jc w:val="center"/>
              <w:rPr>
                <w:i/>
                <w:iCs/>
                <w:sz w:val="16"/>
                <w:szCs w:val="16"/>
              </w:rPr>
            </w:pPr>
            <w:r w:rsidRPr="00FA6606">
              <w:rPr>
                <w:i/>
                <w:iCs/>
                <w:sz w:val="16"/>
                <w:szCs w:val="16"/>
              </w:rPr>
              <w:t>Заседание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19A4763" w14:textId="77777777" w:rsidR="00BB7CA7" w:rsidRPr="00FA6606" w:rsidRDefault="00BB7CA7" w:rsidP="00D82597">
            <w:pPr>
              <w:pStyle w:val="SingleTxtG"/>
              <w:spacing w:before="80" w:after="80" w:line="200" w:lineRule="exact"/>
              <w:ind w:left="0" w:right="0" w:firstLine="136"/>
              <w:jc w:val="center"/>
              <w:rPr>
                <w:i/>
                <w:iCs/>
                <w:sz w:val="16"/>
                <w:szCs w:val="16"/>
              </w:rPr>
            </w:pPr>
            <w:r w:rsidRPr="00FA6606">
              <w:rPr>
                <w:i/>
                <w:iCs/>
                <w:sz w:val="16"/>
                <w:szCs w:val="16"/>
              </w:rPr>
              <w:t>Участники</w:t>
            </w:r>
          </w:p>
        </w:tc>
      </w:tr>
      <w:tr w:rsidR="00BB7CA7" w:rsidRPr="00874547" w14:paraId="25E6AEAD" w14:textId="77777777" w:rsidTr="00D82597">
        <w:tc>
          <w:tcPr>
            <w:tcW w:w="2268" w:type="dxa"/>
            <w:tcBorders>
              <w:top w:val="single" w:sz="12" w:space="0" w:color="auto"/>
            </w:tcBorders>
          </w:tcPr>
          <w:p w14:paraId="4C46419E" w14:textId="77777777" w:rsidR="00BB7CA7" w:rsidRPr="00874547" w:rsidRDefault="00BB7CA7" w:rsidP="00D82597">
            <w:pPr>
              <w:pStyle w:val="SingleTxtG"/>
              <w:spacing w:before="40" w:after="40" w:line="220" w:lineRule="exact"/>
              <w:ind w:left="0" w:right="-4" w:firstLine="136"/>
              <w:jc w:val="center"/>
            </w:pPr>
            <w:r>
              <w:t>Заседание 1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E5033F9" w14:textId="77777777" w:rsidR="00BB7CA7" w:rsidRPr="00874547" w:rsidRDefault="00BB7CA7" w:rsidP="00D82597">
            <w:pPr>
              <w:pStyle w:val="SingleTxtG"/>
              <w:spacing w:before="40" w:after="40" w:line="220" w:lineRule="exact"/>
              <w:ind w:left="0" w:right="0" w:firstLine="136"/>
              <w:jc w:val="center"/>
            </w:pPr>
            <w:r>
              <w:t>308</w:t>
            </w:r>
          </w:p>
        </w:tc>
      </w:tr>
      <w:tr w:rsidR="00BB7CA7" w:rsidRPr="00874547" w14:paraId="0C671AFE" w14:textId="77777777" w:rsidTr="00D82597">
        <w:tc>
          <w:tcPr>
            <w:tcW w:w="2263" w:type="dxa"/>
          </w:tcPr>
          <w:p w14:paraId="1DC7E6CF" w14:textId="77777777" w:rsidR="00BB7CA7" w:rsidRPr="00874547" w:rsidRDefault="00BB7CA7" w:rsidP="00D82597">
            <w:pPr>
              <w:pStyle w:val="SingleTxtG"/>
              <w:spacing w:before="40" w:after="40" w:line="220" w:lineRule="exact"/>
              <w:ind w:left="0" w:right="-4" w:firstLine="136"/>
              <w:jc w:val="center"/>
            </w:pPr>
            <w:r>
              <w:t>Заседание 2</w:t>
            </w:r>
          </w:p>
        </w:tc>
        <w:tc>
          <w:tcPr>
            <w:tcW w:w="2835" w:type="dxa"/>
          </w:tcPr>
          <w:p w14:paraId="18EE6360" w14:textId="77777777" w:rsidR="00BB7CA7" w:rsidRPr="00874547" w:rsidRDefault="00BB7CA7" w:rsidP="00D82597">
            <w:pPr>
              <w:pStyle w:val="SingleTxtG"/>
              <w:spacing w:before="40" w:after="40" w:line="220" w:lineRule="exact"/>
              <w:ind w:left="0" w:right="0" w:firstLine="136"/>
              <w:jc w:val="center"/>
            </w:pPr>
            <w:r>
              <w:t>209</w:t>
            </w:r>
          </w:p>
        </w:tc>
      </w:tr>
      <w:tr w:rsidR="00BB7CA7" w:rsidRPr="00874547" w14:paraId="280DD343" w14:textId="77777777" w:rsidTr="00D82597">
        <w:tc>
          <w:tcPr>
            <w:tcW w:w="2263" w:type="dxa"/>
          </w:tcPr>
          <w:p w14:paraId="6A832FD4" w14:textId="77777777" w:rsidR="00BB7CA7" w:rsidRPr="00874547" w:rsidRDefault="00BB7CA7" w:rsidP="00D82597">
            <w:pPr>
              <w:pStyle w:val="SingleTxtG"/>
              <w:spacing w:before="40" w:after="40" w:line="220" w:lineRule="exact"/>
              <w:ind w:left="0" w:right="-4" w:firstLine="136"/>
              <w:jc w:val="center"/>
            </w:pPr>
            <w:r>
              <w:t>Заседание 3</w:t>
            </w:r>
          </w:p>
        </w:tc>
        <w:tc>
          <w:tcPr>
            <w:tcW w:w="2835" w:type="dxa"/>
          </w:tcPr>
          <w:p w14:paraId="45CEC2A3" w14:textId="77777777" w:rsidR="00BB7CA7" w:rsidRPr="00874547" w:rsidRDefault="00BB7CA7" w:rsidP="00D82597">
            <w:pPr>
              <w:pStyle w:val="SingleTxtG"/>
              <w:spacing w:before="40" w:after="40" w:line="220" w:lineRule="exact"/>
              <w:ind w:left="0" w:right="0" w:firstLine="136"/>
              <w:jc w:val="center"/>
            </w:pPr>
            <w:r>
              <w:t>188</w:t>
            </w:r>
          </w:p>
        </w:tc>
      </w:tr>
      <w:tr w:rsidR="00BB7CA7" w:rsidRPr="00874547" w14:paraId="453F1225" w14:textId="77777777" w:rsidTr="00D82597">
        <w:tc>
          <w:tcPr>
            <w:tcW w:w="2268" w:type="dxa"/>
            <w:tcBorders>
              <w:bottom w:val="single" w:sz="12" w:space="0" w:color="auto"/>
            </w:tcBorders>
          </w:tcPr>
          <w:p w14:paraId="356E8855" w14:textId="77777777" w:rsidR="00BB7CA7" w:rsidRPr="00874547" w:rsidRDefault="00BB7CA7" w:rsidP="00D82597">
            <w:pPr>
              <w:pStyle w:val="SingleTxtG"/>
              <w:spacing w:before="40" w:after="40" w:line="220" w:lineRule="exact"/>
              <w:ind w:left="0" w:right="-4" w:firstLine="136"/>
              <w:jc w:val="center"/>
            </w:pPr>
            <w:r>
              <w:t>Заседание 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C70FA4B" w14:textId="77777777" w:rsidR="00BB7CA7" w:rsidRPr="00874547" w:rsidRDefault="00BB7CA7" w:rsidP="00D82597">
            <w:pPr>
              <w:pStyle w:val="SingleTxtG"/>
              <w:spacing w:before="40" w:after="40" w:line="220" w:lineRule="exact"/>
              <w:ind w:left="0" w:right="0" w:firstLine="136"/>
              <w:jc w:val="center"/>
            </w:pPr>
            <w:r>
              <w:t>193</w:t>
            </w:r>
          </w:p>
        </w:tc>
      </w:tr>
    </w:tbl>
    <w:p w14:paraId="1FA7FBDF" w14:textId="685461FB" w:rsidR="00BB7CA7" w:rsidRPr="00C55C36" w:rsidRDefault="00BB7CA7" w:rsidP="00FA6606">
      <w:pPr>
        <w:pStyle w:val="SingleTxtG"/>
        <w:spacing w:before="240"/>
      </w:pPr>
      <w:r>
        <w:t>39.</w:t>
      </w:r>
      <w:r>
        <w:tab/>
        <w:t>В первый день работы сессия была открыта Генеральным секретарем Международного союза электросвязи г-ном Хоулинь Чжао, Исполнительным секретарем ЕЭК г-жой Ольгой Алгаеровой и Специальным посланником Генерального секретаря Организации Объединенных Наций по безопасности дорожного движения г-ном Жаном Тодтом. После открытия состоялось заседание 1, которое было посвящено деятельности WP.29, на тему: «Нормативные достижения в области высокоавтоматизированного вождения». Неофициальные рабочие группы GRVA сообщили о ходе разработки комплексных технических правил по автоматизации и указали на решающую роль, которую WP.29 играет на глобальном уровне. После этого прошла обширная дискуссия в поисках ответа на вопрос о том, приемлемы ли испытанные и надежные подходы к стандартизации и регламентации для будущей цифровизации</w:t>
      </w:r>
      <w:r w:rsidR="00FA6606" w:rsidRPr="00FA6606">
        <w:t xml:space="preserve"> </w:t>
      </w:r>
      <w:r>
        <w:t>с учетом темпов технического прогресса и присущего нормативным положениям риска отставания от его темпов. В ходе обсуждения была отмечена ценная роль WP.29 и группы по ИТС в укреплении внешних связей с другими учреждениями для обеспечения разработки высококачественных нормативных положений. Заседание</w:t>
      </w:r>
      <w:r w:rsidR="00FA6606">
        <w:rPr>
          <w:lang w:val="en-US"/>
        </w:rPr>
        <w:t> </w:t>
      </w:r>
      <w:r>
        <w:t>2 было посвящено кибербезопасности. На нем был произведен обзор достижений в автомобильном секторе в этой связи и было признано значение Правил</w:t>
      </w:r>
      <w:r w:rsidR="00FA6606">
        <w:rPr>
          <w:lang w:val="en-US"/>
        </w:rPr>
        <w:t> </w:t>
      </w:r>
      <w:r>
        <w:t>№ 155 ООН (кибербезопасность и система управления кибербезопасностью) за пределами зоны, на которую распространяется компетенция договаривающихся сторон Соглашения 1958 года, в рамках которого эти Правила были приняты. На</w:t>
      </w:r>
      <w:r w:rsidR="00FA6606">
        <w:rPr>
          <w:lang w:val="en-US"/>
        </w:rPr>
        <w:t> </w:t>
      </w:r>
      <w:r>
        <w:t xml:space="preserve">заседании 3 были освещены аспекты использования искусственного интеллекта </w:t>
      </w:r>
      <w:r>
        <w:lastRenderedPageBreak/>
        <w:t xml:space="preserve">при автоматизированном вождении, а на заседании 4 </w:t>
      </w:r>
      <w:r w:rsidR="00FA6606" w:rsidRPr="00FA6606">
        <w:t>—</w:t>
      </w:r>
      <w:r>
        <w:t xml:space="preserve"> аспекты коммуникации или высокоавтоматизированного вождения.</w:t>
      </w:r>
    </w:p>
    <w:p w14:paraId="0A76591B" w14:textId="77777777" w:rsidR="00BB7CA7" w:rsidRPr="00C55C36" w:rsidRDefault="00BB7CA7" w:rsidP="00FA6606">
      <w:pPr>
        <w:pStyle w:val="H1G"/>
      </w:pPr>
      <w:r>
        <w:tab/>
        <w:t>B.</w:t>
      </w:r>
      <w:r>
        <w:tab/>
        <w:t>Прочая деятельность</w:t>
      </w:r>
    </w:p>
    <w:p w14:paraId="1CC55B60" w14:textId="79451209" w:rsidR="00BB7CA7" w:rsidRDefault="00BB7CA7" w:rsidP="00BB7CA7">
      <w:pPr>
        <w:pStyle w:val="SingleTxtG"/>
      </w:pPr>
      <w:r>
        <w:t>40.</w:t>
      </w:r>
      <w:r>
        <w:tab/>
        <w:t>Секретариату было предложено принять участие в нескольких конференциях, организованных такими другими международными правительственными организациями, как Международная организация труда, МСЭ и Международный транспортный форум, принимающей стороной которых выступила Организация экономического сотрудничества и развития (ОЭСР), а также в отраслевых конференциях, в работе которых он участвовал дистанционно, представляя материалы в режиме веб-конференции или записи, с целью популяризации деятельности ЕЭК.</w:t>
      </w:r>
    </w:p>
    <w:p w14:paraId="3556BACD" w14:textId="5B655803" w:rsidR="00BB7CA7" w:rsidRDefault="00BB7CA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2D07146" w14:textId="77777777" w:rsidR="00BB7CA7" w:rsidRPr="00C55C36" w:rsidRDefault="00BB7CA7" w:rsidP="00BB7CA7">
      <w:pPr>
        <w:pStyle w:val="HChG"/>
      </w:pPr>
      <w:r>
        <w:rPr>
          <w:bCs/>
        </w:rPr>
        <w:lastRenderedPageBreak/>
        <w:t>Приложение</w:t>
      </w:r>
    </w:p>
    <w:p w14:paraId="31965BCE" w14:textId="6B326B6B" w:rsidR="00BB7CA7" w:rsidRPr="00C55C36" w:rsidRDefault="00BB7CA7" w:rsidP="00BB7CA7">
      <w:pPr>
        <w:pStyle w:val="HChG"/>
      </w:pPr>
      <w:r>
        <w:tab/>
      </w:r>
      <w:r>
        <w:tab/>
      </w:r>
      <w:r>
        <w:rPr>
          <w:bCs/>
        </w:rPr>
        <w:t>Дорожная карта ЕЭК по интеллектуальным транспортным системам на период 2021–2025 годов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5"/>
      </w:tblGrid>
      <w:tr w:rsidR="00BB7CA7" w:rsidRPr="00DE1603" w14:paraId="6DFBEC74" w14:textId="77777777" w:rsidTr="00D82597"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14:paraId="704CAB59" w14:textId="77777777" w:rsidR="00BB7CA7" w:rsidRPr="00C55C36" w:rsidRDefault="00BB7CA7" w:rsidP="00FA6606">
            <w:pPr>
              <w:spacing w:before="40" w:after="40" w:line="220" w:lineRule="exact"/>
              <w:ind w:right="113"/>
              <w:rPr>
                <w:b/>
                <w:sz w:val="18"/>
              </w:rPr>
            </w:pPr>
            <w:bookmarkStart w:id="0" w:name="_Hlk530672876"/>
            <w:r>
              <w:rPr>
                <w:b/>
                <w:bCs/>
              </w:rPr>
              <w:t>Направление действий 1</w:t>
            </w:r>
          </w:p>
          <w:p w14:paraId="48567A68" w14:textId="3F729FC7" w:rsidR="00BB7CA7" w:rsidRPr="00C55C36" w:rsidRDefault="00BB7CA7" w:rsidP="00FA6606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t xml:space="preserve">Принятие общего определения </w:t>
            </w:r>
            <w:r w:rsidR="00FA6606">
              <w:br/>
            </w:r>
            <w:r>
              <w:t>для ИТС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14:paraId="38A2B209" w14:textId="77777777" w:rsidR="00BB7CA7" w:rsidRPr="00C55C36" w:rsidRDefault="00BB7CA7" w:rsidP="00FA6606">
            <w:pPr>
              <w:spacing w:before="40" w:after="40" w:line="220" w:lineRule="exact"/>
              <w:ind w:right="113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10</w:t>
            </w:r>
          </w:p>
          <w:p w14:paraId="5494DD55" w14:textId="77777777" w:rsidR="00BB7CA7" w:rsidRPr="00C55C36" w:rsidRDefault="00BB7CA7" w:rsidP="00FA6606">
            <w:pPr>
              <w:spacing w:before="40" w:after="120" w:line="220" w:lineRule="exact"/>
              <w:ind w:right="113"/>
              <w:rPr>
                <w:sz w:val="18"/>
              </w:rPr>
            </w:pPr>
            <w:r>
              <w:t>Интеграция с железнодорожным транспортом</w:t>
            </w:r>
          </w:p>
        </w:tc>
      </w:tr>
      <w:tr w:rsidR="00BB7CA7" w:rsidRPr="00DE1603" w14:paraId="71140A7B" w14:textId="77777777" w:rsidTr="00D82597">
        <w:tc>
          <w:tcPr>
            <w:tcW w:w="3685" w:type="dxa"/>
            <w:shd w:val="clear" w:color="auto" w:fill="auto"/>
          </w:tcPr>
          <w:p w14:paraId="74AB1187" w14:textId="77777777" w:rsidR="00BB7CA7" w:rsidRPr="00874547" w:rsidRDefault="00BB7CA7" w:rsidP="00FA6606">
            <w:pPr>
              <w:spacing w:before="40" w:after="40" w:line="220" w:lineRule="exact"/>
              <w:ind w:right="113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2</w:t>
            </w:r>
          </w:p>
          <w:p w14:paraId="61CC5DC1" w14:textId="77777777" w:rsidR="00BB7CA7" w:rsidRPr="00874547" w:rsidRDefault="00BB7CA7" w:rsidP="00FA6606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t>Согласование политики</w:t>
            </w:r>
          </w:p>
        </w:tc>
        <w:tc>
          <w:tcPr>
            <w:tcW w:w="3685" w:type="dxa"/>
            <w:shd w:val="clear" w:color="auto" w:fill="auto"/>
          </w:tcPr>
          <w:p w14:paraId="78359CBC" w14:textId="77777777" w:rsidR="00BB7CA7" w:rsidRPr="00C55C36" w:rsidRDefault="00BB7CA7" w:rsidP="00FA6606">
            <w:pPr>
              <w:spacing w:before="40" w:after="40" w:line="220" w:lineRule="exact"/>
              <w:ind w:right="113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11</w:t>
            </w:r>
          </w:p>
          <w:p w14:paraId="3BCAE084" w14:textId="77777777" w:rsidR="00BB7CA7" w:rsidRPr="00C55C36" w:rsidRDefault="00BB7CA7" w:rsidP="00FA6606">
            <w:pPr>
              <w:spacing w:before="40" w:after="120" w:line="220" w:lineRule="exact"/>
              <w:ind w:right="113"/>
              <w:rPr>
                <w:bCs/>
                <w:sz w:val="18"/>
              </w:rPr>
            </w:pPr>
            <w:r>
              <w:t>Интеграция с внутренним водным транспортом</w:t>
            </w:r>
          </w:p>
        </w:tc>
      </w:tr>
      <w:tr w:rsidR="00BB7CA7" w:rsidRPr="00DE1603" w14:paraId="561BA37D" w14:textId="77777777" w:rsidTr="00D82597">
        <w:tc>
          <w:tcPr>
            <w:tcW w:w="3685" w:type="dxa"/>
            <w:shd w:val="clear" w:color="auto" w:fill="auto"/>
          </w:tcPr>
          <w:p w14:paraId="28E30B6B" w14:textId="77777777" w:rsidR="00BB7CA7" w:rsidRPr="00C55C36" w:rsidRDefault="00BB7CA7" w:rsidP="00FA6606">
            <w:pPr>
              <w:spacing w:before="40" w:after="40" w:line="220" w:lineRule="exact"/>
              <w:ind w:right="113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3</w:t>
            </w:r>
          </w:p>
          <w:p w14:paraId="2939CFBB" w14:textId="77777777" w:rsidR="00BB7CA7" w:rsidRPr="00C55C36" w:rsidRDefault="00BB7CA7" w:rsidP="00FA6606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t>Налаживание международного сотрудничества</w:t>
            </w:r>
          </w:p>
        </w:tc>
        <w:tc>
          <w:tcPr>
            <w:tcW w:w="3685" w:type="dxa"/>
            <w:shd w:val="clear" w:color="auto" w:fill="auto"/>
          </w:tcPr>
          <w:p w14:paraId="29E2F3D4" w14:textId="77777777" w:rsidR="00BB7CA7" w:rsidRPr="00C55C36" w:rsidRDefault="00BB7CA7" w:rsidP="00FA6606">
            <w:pPr>
              <w:spacing w:before="40" w:after="40" w:line="220" w:lineRule="exact"/>
              <w:ind w:right="113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12</w:t>
            </w:r>
          </w:p>
          <w:p w14:paraId="02B0DD04" w14:textId="77777777" w:rsidR="00BB7CA7" w:rsidRPr="00C55C36" w:rsidRDefault="00BB7CA7" w:rsidP="00FA6606">
            <w:pPr>
              <w:spacing w:before="40" w:after="120" w:line="220" w:lineRule="exact"/>
              <w:ind w:right="113"/>
              <w:rPr>
                <w:sz w:val="18"/>
              </w:rPr>
            </w:pPr>
            <w:r>
              <w:t>Усиление интегрирующей роли ИТС в развитии различных видов транспорта</w:t>
            </w:r>
          </w:p>
        </w:tc>
      </w:tr>
      <w:tr w:rsidR="00BB7CA7" w:rsidRPr="00DE1603" w14:paraId="3FDC708C" w14:textId="77777777" w:rsidTr="00D82597">
        <w:tc>
          <w:tcPr>
            <w:tcW w:w="3685" w:type="dxa"/>
            <w:shd w:val="clear" w:color="auto" w:fill="auto"/>
          </w:tcPr>
          <w:p w14:paraId="7D5BE5B9" w14:textId="77777777" w:rsidR="00BB7CA7" w:rsidRPr="00C55C36" w:rsidRDefault="00BB7CA7" w:rsidP="00FA6606">
            <w:pPr>
              <w:spacing w:before="40" w:after="40" w:line="220" w:lineRule="exact"/>
              <w:ind w:right="113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4</w:t>
            </w:r>
          </w:p>
          <w:p w14:paraId="4988EFF4" w14:textId="77777777" w:rsidR="00BB7CA7" w:rsidRPr="00C55C36" w:rsidRDefault="00BB7CA7" w:rsidP="00FA6606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t>Облегчение эксплуатационной совместимости и архитектура ИТС</w:t>
            </w:r>
          </w:p>
        </w:tc>
        <w:tc>
          <w:tcPr>
            <w:tcW w:w="3685" w:type="dxa"/>
            <w:shd w:val="clear" w:color="auto" w:fill="auto"/>
          </w:tcPr>
          <w:p w14:paraId="256A4653" w14:textId="77777777" w:rsidR="00BB7CA7" w:rsidRPr="00C55C36" w:rsidRDefault="00BB7CA7" w:rsidP="00FA6606">
            <w:pPr>
              <w:spacing w:before="40" w:after="40" w:line="220" w:lineRule="exact"/>
              <w:ind w:right="113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13</w:t>
            </w:r>
          </w:p>
          <w:p w14:paraId="79189A18" w14:textId="77777777" w:rsidR="00BB7CA7" w:rsidRPr="00C55C36" w:rsidRDefault="00BB7CA7" w:rsidP="00FA6606">
            <w:pPr>
              <w:spacing w:before="40" w:after="120" w:line="220" w:lineRule="exact"/>
              <w:ind w:right="113"/>
              <w:rPr>
                <w:bCs/>
                <w:sz w:val="18"/>
              </w:rPr>
            </w:pPr>
            <w:r>
              <w:t>Разработка методологий оценки экономической эффективности</w:t>
            </w:r>
          </w:p>
        </w:tc>
      </w:tr>
      <w:tr w:rsidR="00BB7CA7" w:rsidRPr="00DE1603" w14:paraId="44FD99A9" w14:textId="77777777" w:rsidTr="00D82597">
        <w:tc>
          <w:tcPr>
            <w:tcW w:w="3685" w:type="dxa"/>
            <w:shd w:val="clear" w:color="auto" w:fill="auto"/>
          </w:tcPr>
          <w:p w14:paraId="06D67F02" w14:textId="77777777" w:rsidR="00BB7CA7" w:rsidRPr="00C55C36" w:rsidRDefault="00BB7CA7" w:rsidP="00FA6606">
            <w:pPr>
              <w:spacing w:before="40" w:after="40" w:line="220" w:lineRule="exact"/>
              <w:ind w:right="113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5</w:t>
            </w:r>
          </w:p>
          <w:p w14:paraId="6DD32287" w14:textId="77777777" w:rsidR="00BB7CA7" w:rsidRPr="00C55C36" w:rsidRDefault="00BB7CA7" w:rsidP="00FA6606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t>Обеспечение защиты данных</w:t>
            </w:r>
          </w:p>
        </w:tc>
        <w:tc>
          <w:tcPr>
            <w:tcW w:w="3685" w:type="dxa"/>
            <w:shd w:val="clear" w:color="auto" w:fill="auto"/>
          </w:tcPr>
          <w:p w14:paraId="57E074BA" w14:textId="77777777" w:rsidR="00BB7CA7" w:rsidRPr="00C55C36" w:rsidRDefault="00BB7CA7" w:rsidP="00FA6606">
            <w:pPr>
              <w:spacing w:before="40" w:after="40" w:line="220" w:lineRule="exact"/>
              <w:ind w:right="113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14</w:t>
            </w:r>
          </w:p>
          <w:p w14:paraId="58EADBC2" w14:textId="77777777" w:rsidR="00BB7CA7" w:rsidRPr="00C55C36" w:rsidRDefault="00BB7CA7" w:rsidP="00FA6606">
            <w:pPr>
              <w:spacing w:before="40" w:after="120" w:line="220" w:lineRule="exact"/>
              <w:ind w:right="113"/>
              <w:rPr>
                <w:sz w:val="18"/>
              </w:rPr>
            </w:pPr>
            <w:r>
              <w:t>Повышение долгосрочной экологической устойчивости транспорта</w:t>
            </w:r>
          </w:p>
        </w:tc>
      </w:tr>
      <w:tr w:rsidR="00BB7CA7" w:rsidRPr="00DE1603" w14:paraId="4E6C741A" w14:textId="77777777" w:rsidTr="00D82597">
        <w:tc>
          <w:tcPr>
            <w:tcW w:w="3685" w:type="dxa"/>
            <w:shd w:val="clear" w:color="auto" w:fill="auto"/>
          </w:tcPr>
          <w:p w14:paraId="4FFCCFB8" w14:textId="77777777" w:rsidR="00BB7CA7" w:rsidRPr="00C55C36" w:rsidRDefault="00BB7CA7" w:rsidP="00FA6606">
            <w:pPr>
              <w:spacing w:before="40" w:after="40" w:line="220" w:lineRule="exact"/>
              <w:ind w:right="113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6</w:t>
            </w:r>
          </w:p>
          <w:p w14:paraId="30B9B231" w14:textId="77777777" w:rsidR="00BB7CA7" w:rsidRPr="00C55C36" w:rsidRDefault="00BB7CA7" w:rsidP="00FA6606">
            <w:pPr>
              <w:spacing w:before="40" w:after="120" w:line="220" w:lineRule="exact"/>
              <w:ind w:right="113"/>
              <w:rPr>
                <w:sz w:val="18"/>
              </w:rPr>
            </w:pPr>
            <w:r>
              <w:t>Содействие развитию систем связи между транспортными средствами и инфраструктурой</w:t>
            </w:r>
          </w:p>
        </w:tc>
        <w:tc>
          <w:tcPr>
            <w:tcW w:w="3685" w:type="dxa"/>
            <w:shd w:val="clear" w:color="auto" w:fill="auto"/>
          </w:tcPr>
          <w:p w14:paraId="5EF5CE4D" w14:textId="77777777" w:rsidR="00BB7CA7" w:rsidRPr="00C55C36" w:rsidRDefault="00BB7CA7" w:rsidP="00FA6606">
            <w:pPr>
              <w:spacing w:before="40" w:after="40" w:line="220" w:lineRule="exact"/>
              <w:ind w:right="113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15</w:t>
            </w:r>
          </w:p>
          <w:p w14:paraId="16F84B46" w14:textId="77777777" w:rsidR="00BB7CA7" w:rsidRPr="00C55C36" w:rsidRDefault="00BB7CA7" w:rsidP="00FA6606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t>Содействие проведению аналитической работы среди договаривающихся сторон</w:t>
            </w:r>
          </w:p>
        </w:tc>
      </w:tr>
      <w:tr w:rsidR="00BB7CA7" w:rsidRPr="00DE1603" w14:paraId="67FC918B" w14:textId="77777777" w:rsidTr="00D82597">
        <w:tc>
          <w:tcPr>
            <w:tcW w:w="3685" w:type="dxa"/>
            <w:shd w:val="clear" w:color="auto" w:fill="auto"/>
          </w:tcPr>
          <w:p w14:paraId="31AEE1B6" w14:textId="77777777" w:rsidR="00BB7CA7" w:rsidRPr="00C55C36" w:rsidRDefault="00BB7CA7" w:rsidP="00FA6606">
            <w:pPr>
              <w:spacing w:before="40" w:after="40" w:line="220" w:lineRule="exact"/>
              <w:ind w:right="113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7</w:t>
            </w:r>
          </w:p>
          <w:p w14:paraId="1D15DBE9" w14:textId="2B685AE7" w:rsidR="00BB7CA7" w:rsidRPr="00C55C36" w:rsidRDefault="00BB7CA7" w:rsidP="00FA6606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t xml:space="preserve">Связь между транспортными </w:t>
            </w:r>
            <w:r w:rsidR="00FA6606">
              <w:br/>
            </w:r>
            <w:r>
              <w:t>средствами</w:t>
            </w:r>
          </w:p>
        </w:tc>
        <w:tc>
          <w:tcPr>
            <w:tcW w:w="3685" w:type="dxa"/>
            <w:shd w:val="clear" w:color="auto" w:fill="auto"/>
          </w:tcPr>
          <w:p w14:paraId="6AA2367C" w14:textId="77777777" w:rsidR="00BB7CA7" w:rsidRPr="00C55C36" w:rsidRDefault="00BB7CA7" w:rsidP="00FA6606">
            <w:pPr>
              <w:spacing w:before="40" w:after="40" w:line="220" w:lineRule="exact"/>
              <w:ind w:right="113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16</w:t>
            </w:r>
          </w:p>
          <w:p w14:paraId="6C111FC4" w14:textId="77777777" w:rsidR="00BB7CA7" w:rsidRPr="00C55C36" w:rsidRDefault="00BB7CA7" w:rsidP="00FA6606">
            <w:pPr>
              <w:spacing w:before="40" w:after="120" w:line="220" w:lineRule="exact"/>
              <w:ind w:right="113"/>
              <w:rPr>
                <w:bCs/>
                <w:sz w:val="18"/>
              </w:rPr>
            </w:pPr>
            <w:r>
              <w:t>Содействие наращиванию потенциала, просветительской работе и повышению информированности с уделением особого внимания странам с формирующейся экономикой</w:t>
            </w:r>
          </w:p>
        </w:tc>
      </w:tr>
      <w:tr w:rsidR="00BB7CA7" w:rsidRPr="00DE1603" w14:paraId="5F939013" w14:textId="77777777" w:rsidTr="00D82597">
        <w:tc>
          <w:tcPr>
            <w:tcW w:w="3685" w:type="dxa"/>
            <w:shd w:val="clear" w:color="auto" w:fill="auto"/>
          </w:tcPr>
          <w:p w14:paraId="5F687EB3" w14:textId="77777777" w:rsidR="00BB7CA7" w:rsidRPr="00C55C36" w:rsidRDefault="00BB7CA7" w:rsidP="00FA6606">
            <w:pPr>
              <w:spacing w:before="40" w:after="40" w:line="220" w:lineRule="exact"/>
              <w:ind w:right="113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8</w:t>
            </w:r>
          </w:p>
          <w:p w14:paraId="46D186DF" w14:textId="77777777" w:rsidR="00BB7CA7" w:rsidRPr="00C55C36" w:rsidRDefault="00BB7CA7" w:rsidP="00FA6606">
            <w:pPr>
              <w:spacing w:before="40" w:after="40" w:line="220" w:lineRule="exact"/>
              <w:ind w:right="113"/>
              <w:rPr>
                <w:bCs/>
                <w:sz w:val="18"/>
              </w:rPr>
            </w:pPr>
            <w:r>
              <w:t>Повышение безопасности дорожного движения</w:t>
            </w:r>
          </w:p>
        </w:tc>
        <w:tc>
          <w:tcPr>
            <w:tcW w:w="3685" w:type="dxa"/>
            <w:shd w:val="clear" w:color="auto" w:fill="auto"/>
          </w:tcPr>
          <w:p w14:paraId="6F2FFDCA" w14:textId="77777777" w:rsidR="00BB7CA7" w:rsidRPr="00C55C36" w:rsidRDefault="00BB7CA7" w:rsidP="00FA6606">
            <w:pPr>
              <w:spacing w:before="40" w:after="40" w:line="220" w:lineRule="exact"/>
              <w:ind w:right="113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17</w:t>
            </w:r>
          </w:p>
          <w:p w14:paraId="1F2813FD" w14:textId="4AFA3A17" w:rsidR="00BB7CA7" w:rsidRPr="00C55C36" w:rsidRDefault="00BB7CA7" w:rsidP="00FA6606">
            <w:pPr>
              <w:spacing w:before="40" w:after="120" w:line="220" w:lineRule="exact"/>
              <w:ind w:right="113"/>
              <w:rPr>
                <w:bCs/>
                <w:sz w:val="18"/>
              </w:rPr>
            </w:pPr>
            <w:r>
              <w:t>Проведение ежегодного совещания за</w:t>
            </w:r>
            <w:r w:rsidR="00FA6606">
              <w:rPr>
                <w:lang w:val="en-US"/>
              </w:rPr>
              <w:t> </w:t>
            </w:r>
            <w:r>
              <w:t>круглым столом Организации Объединенных Наций по интеллектуальным транспортным системам</w:t>
            </w:r>
          </w:p>
        </w:tc>
      </w:tr>
      <w:tr w:rsidR="00BB7CA7" w:rsidRPr="00DE1603" w14:paraId="6AC0FE0F" w14:textId="77777777" w:rsidTr="00D82597">
        <w:tc>
          <w:tcPr>
            <w:tcW w:w="3685" w:type="dxa"/>
            <w:shd w:val="clear" w:color="auto" w:fill="auto"/>
          </w:tcPr>
          <w:p w14:paraId="3B0B0776" w14:textId="77777777" w:rsidR="00BB7CA7" w:rsidRPr="00C55C36" w:rsidRDefault="00BB7CA7" w:rsidP="00FA6606">
            <w:pPr>
              <w:spacing w:before="40" w:after="40" w:line="220" w:lineRule="exact"/>
              <w:ind w:right="113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9</w:t>
            </w:r>
          </w:p>
          <w:p w14:paraId="312A1C8D" w14:textId="77777777" w:rsidR="00BB7CA7" w:rsidRPr="00C55C36" w:rsidRDefault="00BB7CA7" w:rsidP="00FA6606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t>Обеспечение более безопасных перевозок опасных грузов</w:t>
            </w:r>
          </w:p>
        </w:tc>
        <w:tc>
          <w:tcPr>
            <w:tcW w:w="3685" w:type="dxa"/>
            <w:shd w:val="clear" w:color="auto" w:fill="auto"/>
          </w:tcPr>
          <w:p w14:paraId="3796092B" w14:textId="77777777" w:rsidR="00BB7CA7" w:rsidRPr="00C55C36" w:rsidRDefault="00BB7CA7" w:rsidP="00FA6606">
            <w:pPr>
              <w:spacing w:before="40" w:after="40" w:line="220" w:lineRule="exact"/>
              <w:ind w:right="113"/>
              <w:rPr>
                <w:b/>
                <w:sz w:val="18"/>
              </w:rPr>
            </w:pPr>
            <w:r>
              <w:rPr>
                <w:b/>
                <w:bCs/>
              </w:rPr>
              <w:t>Направление действий 18</w:t>
            </w:r>
          </w:p>
          <w:p w14:paraId="11EA7617" w14:textId="77777777" w:rsidR="00BB7CA7" w:rsidRPr="00C55C36" w:rsidRDefault="00BB7CA7" w:rsidP="00FA6606">
            <w:pPr>
              <w:spacing w:before="40" w:after="120" w:line="220" w:lineRule="exact"/>
              <w:ind w:right="113"/>
              <w:rPr>
                <w:sz w:val="18"/>
              </w:rPr>
            </w:pPr>
            <w:r>
              <w:t>Автоматизация колесных транспортных средств и новые технологии</w:t>
            </w:r>
          </w:p>
        </w:tc>
      </w:tr>
    </w:tbl>
    <w:bookmarkEnd w:id="0"/>
    <w:p w14:paraId="2CFA391E" w14:textId="158D8450" w:rsidR="00BB7CA7" w:rsidRPr="00BB7CA7" w:rsidRDefault="00BB7CA7" w:rsidP="00BB7CA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7CA7" w:rsidRPr="00BB7CA7" w:rsidSect="00BB7CA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77BFA" w14:textId="77777777" w:rsidR="00AE4D86" w:rsidRPr="00A312BC" w:rsidRDefault="00AE4D86" w:rsidP="00A312BC"/>
  </w:endnote>
  <w:endnote w:type="continuationSeparator" w:id="0">
    <w:p w14:paraId="17EBD45F" w14:textId="77777777" w:rsidR="00AE4D86" w:rsidRPr="00A312BC" w:rsidRDefault="00AE4D8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06551" w14:textId="6241BE8C" w:rsidR="00BB7CA7" w:rsidRPr="00BB7CA7" w:rsidRDefault="00BB7CA7">
    <w:pPr>
      <w:pStyle w:val="a8"/>
    </w:pPr>
    <w:r w:rsidRPr="00BB7CA7">
      <w:rPr>
        <w:b/>
        <w:sz w:val="18"/>
      </w:rPr>
      <w:fldChar w:fldCharType="begin"/>
    </w:r>
    <w:r w:rsidRPr="00BB7CA7">
      <w:rPr>
        <w:b/>
        <w:sz w:val="18"/>
      </w:rPr>
      <w:instrText xml:space="preserve"> PAGE  \* MERGEFORMAT </w:instrText>
    </w:r>
    <w:r w:rsidRPr="00BB7CA7">
      <w:rPr>
        <w:b/>
        <w:sz w:val="18"/>
      </w:rPr>
      <w:fldChar w:fldCharType="separate"/>
    </w:r>
    <w:r w:rsidRPr="00BB7CA7">
      <w:rPr>
        <w:b/>
        <w:noProof/>
        <w:sz w:val="18"/>
      </w:rPr>
      <w:t>2</w:t>
    </w:r>
    <w:r w:rsidRPr="00BB7CA7">
      <w:rPr>
        <w:b/>
        <w:sz w:val="18"/>
      </w:rPr>
      <w:fldChar w:fldCharType="end"/>
    </w:r>
    <w:r>
      <w:rPr>
        <w:b/>
        <w:sz w:val="18"/>
      </w:rPr>
      <w:tab/>
    </w:r>
    <w:r>
      <w:t>GE.21-19358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0DD7" w14:textId="7FEAE827" w:rsidR="00BB7CA7" w:rsidRPr="00BB7CA7" w:rsidRDefault="00BB7CA7" w:rsidP="00BB7CA7">
    <w:pPr>
      <w:pStyle w:val="a8"/>
      <w:tabs>
        <w:tab w:val="clear" w:pos="9639"/>
        <w:tab w:val="right" w:pos="9638"/>
      </w:tabs>
      <w:rPr>
        <w:b/>
        <w:sz w:val="18"/>
      </w:rPr>
    </w:pPr>
    <w:r>
      <w:t>GE.21-19358</w:t>
    </w:r>
    <w:r>
      <w:tab/>
    </w:r>
    <w:r w:rsidRPr="00BB7CA7">
      <w:rPr>
        <w:b/>
        <w:sz w:val="18"/>
      </w:rPr>
      <w:fldChar w:fldCharType="begin"/>
    </w:r>
    <w:r w:rsidRPr="00BB7CA7">
      <w:rPr>
        <w:b/>
        <w:sz w:val="18"/>
      </w:rPr>
      <w:instrText xml:space="preserve"> PAGE  \* MERGEFORMAT </w:instrText>
    </w:r>
    <w:r w:rsidRPr="00BB7CA7">
      <w:rPr>
        <w:b/>
        <w:sz w:val="18"/>
      </w:rPr>
      <w:fldChar w:fldCharType="separate"/>
    </w:r>
    <w:r w:rsidRPr="00BB7CA7">
      <w:rPr>
        <w:b/>
        <w:noProof/>
        <w:sz w:val="18"/>
      </w:rPr>
      <w:t>3</w:t>
    </w:r>
    <w:r w:rsidRPr="00BB7CA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F6A46" w14:textId="2A562712" w:rsidR="00042B72" w:rsidRPr="00A75533" w:rsidRDefault="00BB7CA7" w:rsidP="00BB7CA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922749F" wp14:editId="2C698B9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21-19358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F2E8203" wp14:editId="2473F63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533">
      <w:rPr>
        <w:lang w:val="en-US"/>
      </w:rPr>
      <w:t xml:space="preserve">  110122  1</w:t>
    </w:r>
    <w:r w:rsidR="00817D3C">
      <w:rPr>
        <w:lang w:val="en-US"/>
      </w:rPr>
      <w:t>9</w:t>
    </w:r>
    <w:r w:rsidR="00A75533">
      <w:rPr>
        <w:lang w:val="en-US"/>
      </w:rPr>
      <w:t>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701DE" w14:textId="77777777" w:rsidR="00AE4D86" w:rsidRPr="001075E9" w:rsidRDefault="00AE4D8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899B61" w14:textId="77777777" w:rsidR="00AE4D86" w:rsidRDefault="00AE4D8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9115A22" w14:textId="77777777" w:rsidR="00BB7CA7" w:rsidRPr="00C55C36" w:rsidRDefault="00BB7CA7" w:rsidP="00BB7CA7">
      <w:pPr>
        <w:pStyle w:val="ad"/>
      </w:pPr>
      <w:r>
        <w:tab/>
      </w:r>
      <w:r w:rsidRPr="00BB7CA7">
        <w:rPr>
          <w:sz w:val="20"/>
        </w:rPr>
        <w:t>*</w:t>
      </w:r>
      <w:r>
        <w:tab/>
        <w:t>Настоящий документ был запланирован к опубликованию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3C94E" w14:textId="78EED4DE" w:rsidR="00BB7CA7" w:rsidRPr="00BB7CA7" w:rsidRDefault="0067120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ECE/TRANS/2022/15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5D949" w14:textId="4A0B9127" w:rsidR="00BB7CA7" w:rsidRPr="00BB7CA7" w:rsidRDefault="00671206" w:rsidP="00BB7CA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ECE/TRANS/2022/15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1AA1123"/>
    <w:multiLevelType w:val="hybridMultilevel"/>
    <w:tmpl w:val="A0DC7FA2"/>
    <w:lvl w:ilvl="0" w:tplc="DE1A252E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318D4"/>
    <w:multiLevelType w:val="hybridMultilevel"/>
    <w:tmpl w:val="1E7CF72E"/>
    <w:lvl w:ilvl="0" w:tplc="40F68D7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1"/>
  </w:num>
  <w:num w:numId="2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86"/>
    <w:rsid w:val="000253A9"/>
    <w:rsid w:val="00033EE1"/>
    <w:rsid w:val="00042B72"/>
    <w:rsid w:val="000558BD"/>
    <w:rsid w:val="00094F49"/>
    <w:rsid w:val="000B57E7"/>
    <w:rsid w:val="000B6373"/>
    <w:rsid w:val="000D3D82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1206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2781"/>
    <w:rsid w:val="00806737"/>
    <w:rsid w:val="00817D3C"/>
    <w:rsid w:val="00825F8D"/>
    <w:rsid w:val="008274A0"/>
    <w:rsid w:val="00834B71"/>
    <w:rsid w:val="00856A9C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0B8B"/>
    <w:rsid w:val="009A24AC"/>
    <w:rsid w:val="009C59D7"/>
    <w:rsid w:val="009C6FE6"/>
    <w:rsid w:val="009D7E7D"/>
    <w:rsid w:val="00A14DA8"/>
    <w:rsid w:val="00A312BC"/>
    <w:rsid w:val="00A75533"/>
    <w:rsid w:val="00A84021"/>
    <w:rsid w:val="00A84D35"/>
    <w:rsid w:val="00A917B3"/>
    <w:rsid w:val="00AB4B51"/>
    <w:rsid w:val="00AE4D86"/>
    <w:rsid w:val="00B10CC7"/>
    <w:rsid w:val="00B36DF7"/>
    <w:rsid w:val="00B539E7"/>
    <w:rsid w:val="00B62458"/>
    <w:rsid w:val="00BB7CA7"/>
    <w:rsid w:val="00BC18B2"/>
    <w:rsid w:val="00BD33EE"/>
    <w:rsid w:val="00BE1CC7"/>
    <w:rsid w:val="00C106D6"/>
    <w:rsid w:val="00C119AE"/>
    <w:rsid w:val="00C60F0C"/>
    <w:rsid w:val="00C61ADE"/>
    <w:rsid w:val="00C71E84"/>
    <w:rsid w:val="00C805C9"/>
    <w:rsid w:val="00C92939"/>
    <w:rsid w:val="00CA1679"/>
    <w:rsid w:val="00CB151C"/>
    <w:rsid w:val="00CC3E5B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1335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660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6841B4"/>
  <w15:docId w15:val="{FAFEED20-3AC2-469A-BAB3-5A01C5C2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BB7CA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BB7CA7"/>
    <w:rPr>
      <w:lang w:val="ru-RU" w:eastAsia="en-US"/>
    </w:rPr>
  </w:style>
  <w:style w:type="character" w:customStyle="1" w:styleId="normaltextrun">
    <w:name w:val="normaltextrun"/>
    <w:basedOn w:val="a0"/>
    <w:rsid w:val="00BB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11</Pages>
  <Words>3973</Words>
  <Characters>27496</Characters>
  <Application>Microsoft Office Word</Application>
  <DocSecurity>0</DocSecurity>
  <Lines>532</Lines>
  <Paragraphs>142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ECE/TRANS/2022/15</vt:lpstr>
      <vt:lpstr>A/</vt:lpstr>
      <vt:lpstr>A/</vt:lpstr>
    </vt:vector>
  </TitlesOfParts>
  <Company>DCM</Company>
  <LinksUpToDate>false</LinksUpToDate>
  <CharactersWithSpaces>31384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ECE/TRANS/2022/15</dc:title>
  <dc:subject/>
  <dc:creator>Marina KOROTKOVA</dc:creator>
  <cp:keywords/>
  <cp:lastModifiedBy>Ioulia Goussarova</cp:lastModifiedBy>
  <cp:revision>3</cp:revision>
  <cp:lastPrinted>2022-01-19T10:43:00Z</cp:lastPrinted>
  <dcterms:created xsi:type="dcterms:W3CDTF">2022-01-19T10:43:00Z</dcterms:created>
  <dcterms:modified xsi:type="dcterms:W3CDTF">2022-01-19T10:44:00Z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