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407687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64EFE8" w14:textId="77777777" w:rsidR="002D5AAC" w:rsidRDefault="002D5AAC" w:rsidP="00C76A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54564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7F7DBD" w14:textId="43B6D959" w:rsidR="002D5AAC" w:rsidRDefault="00C76A68" w:rsidP="00C76A68">
            <w:pPr>
              <w:jc w:val="right"/>
            </w:pPr>
            <w:r w:rsidRPr="00C76A68">
              <w:rPr>
                <w:sz w:val="40"/>
              </w:rPr>
              <w:t>ECE</w:t>
            </w:r>
            <w:r>
              <w:t>/TRANS/2022/13</w:t>
            </w:r>
          </w:p>
        </w:tc>
      </w:tr>
      <w:tr w:rsidR="002D5AAC" w:rsidRPr="0068309F" w14:paraId="38123F6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3F8EE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E4FA1E" wp14:editId="045C4D6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59D6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40C26F" w14:textId="77777777" w:rsidR="002D5AAC" w:rsidRDefault="00C76A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88536D" w14:textId="77777777" w:rsidR="00C76A68" w:rsidRDefault="00C76A68" w:rsidP="00C76A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2021</w:t>
            </w:r>
          </w:p>
          <w:p w14:paraId="1A531997" w14:textId="77777777" w:rsidR="00C76A68" w:rsidRDefault="00C76A68" w:rsidP="00C76A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76DD3D" w14:textId="61DE2AC1" w:rsidR="00C76A68" w:rsidRPr="008D53B6" w:rsidRDefault="00C76A68" w:rsidP="00C76A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F1849B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492D1C7" w14:textId="77777777" w:rsidR="00C76A68" w:rsidRPr="006C3813" w:rsidRDefault="00C76A68" w:rsidP="00C76A68">
      <w:pPr>
        <w:spacing w:before="120"/>
        <w:rPr>
          <w:sz w:val="28"/>
          <w:szCs w:val="28"/>
        </w:rPr>
      </w:pPr>
      <w:r w:rsidRPr="006C3813">
        <w:rPr>
          <w:sz w:val="28"/>
          <w:szCs w:val="28"/>
        </w:rPr>
        <w:t>Комитет по внутреннему транспорту</w:t>
      </w:r>
    </w:p>
    <w:p w14:paraId="4F86AAE4" w14:textId="77777777" w:rsidR="00C76A68" w:rsidRPr="0078142A" w:rsidRDefault="00C76A68" w:rsidP="00C76A68">
      <w:pPr>
        <w:spacing w:before="120"/>
        <w:rPr>
          <w:b/>
          <w:bCs/>
        </w:rPr>
      </w:pPr>
      <w:r>
        <w:rPr>
          <w:b/>
          <w:bCs/>
        </w:rPr>
        <w:t>Восемьдесят четвертая сессия</w:t>
      </w:r>
    </w:p>
    <w:p w14:paraId="7C56C05F" w14:textId="77777777" w:rsidR="00C76A68" w:rsidRPr="00746EFC" w:rsidRDefault="00C76A68" w:rsidP="00C76A68">
      <w:pPr>
        <w:ind w:right="3519"/>
        <w:rPr>
          <w:b/>
          <w:bCs/>
        </w:rPr>
      </w:pPr>
      <w:r>
        <w:t>Женева, 22–25 февраля 2022 года</w:t>
      </w:r>
      <w:r>
        <w:br/>
        <w:t>Пункт 9 b) предварительной повестки дня</w:t>
      </w:r>
      <w:r>
        <w:br/>
      </w:r>
      <w:r w:rsidRPr="00746EFC">
        <w:rPr>
          <w:b/>
          <w:bCs/>
        </w:rPr>
        <w:t>Стратегические вопросы горизонтальной и межсекторальной</w:t>
      </w:r>
      <w:r w:rsidRPr="00746EFC">
        <w:rPr>
          <w:b/>
          <w:bCs/>
        </w:rPr>
        <w:br/>
        <w:t xml:space="preserve">политики или нормативного характера: </w:t>
      </w:r>
    </w:p>
    <w:p w14:paraId="271EEAA8" w14:textId="77777777" w:rsidR="00C76A68" w:rsidRPr="0078142A" w:rsidRDefault="00C76A68" w:rsidP="00C76A68">
      <w:pPr>
        <w:ind w:right="3519"/>
        <w:rPr>
          <w:b/>
        </w:rPr>
      </w:pPr>
      <w:r>
        <w:rPr>
          <w:b/>
          <w:bCs/>
        </w:rPr>
        <w:t>Осуществление международных конвенций и соглашений Организации Объединенных Наций в области внутреннего транспорта (заявления делегатов)</w:t>
      </w:r>
    </w:p>
    <w:p w14:paraId="681D0978" w14:textId="2A1EAC3E" w:rsidR="00C76A68" w:rsidRPr="0078142A" w:rsidRDefault="00C76A68" w:rsidP="00C76A68">
      <w:pPr>
        <w:pStyle w:val="HChG"/>
      </w:pPr>
      <w:r>
        <w:tab/>
      </w:r>
      <w:r>
        <w:tab/>
      </w:r>
      <w:r>
        <w:rPr>
          <w:bCs/>
        </w:rPr>
        <w:t>Динамика присоединения различных регионов к</w:t>
      </w:r>
      <w:r>
        <w:rPr>
          <w:bCs/>
          <w:lang w:val="en-US"/>
        </w:rPr>
        <w:t> </w:t>
      </w:r>
      <w:r>
        <w:rPr>
          <w:bCs/>
        </w:rPr>
        <w:t>конвенциям и соглашениям Организации Объединенных Наций в области внутреннего транспорта</w:t>
      </w:r>
      <w:r>
        <w:rPr>
          <w:bCs/>
          <w:lang w:val="en-US"/>
        </w:rPr>
        <w:t> </w:t>
      </w:r>
      <w:r w:rsidRPr="00746EFC">
        <w:rPr>
          <w:bCs/>
        </w:rPr>
        <w:t>—</w:t>
      </w:r>
      <w:r>
        <w:rPr>
          <w:bCs/>
        </w:rPr>
        <w:t xml:space="preserve"> Юбилейное издание</w:t>
      </w:r>
    </w:p>
    <w:p w14:paraId="3D0123A6" w14:textId="77777777" w:rsidR="00C76A68" w:rsidRDefault="00C76A68" w:rsidP="00C76A68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76A68" w:rsidRPr="006C3813" w14:paraId="6BDC2193" w14:textId="77777777" w:rsidTr="00E3057B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FC17616" w14:textId="77777777" w:rsidR="00C76A68" w:rsidRPr="006C3813" w:rsidRDefault="00C76A68" w:rsidP="00E3057B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C3813">
              <w:rPr>
                <w:rFonts w:cs="Times New Roman"/>
              </w:rPr>
              <w:tab/>
            </w:r>
            <w:r w:rsidRPr="006C381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76A68" w:rsidRPr="006C3813" w14:paraId="7C8506C7" w14:textId="77777777" w:rsidTr="00E3057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70100B5" w14:textId="77777777" w:rsidR="00C76A68" w:rsidRPr="006C3813" w:rsidRDefault="00C76A68" w:rsidP="00E3057B">
            <w:pPr>
              <w:pStyle w:val="SingleTxtG"/>
            </w:pPr>
            <w:r>
              <w:tab/>
            </w:r>
            <w:r w:rsidRPr="006C3813">
              <w:t>В настоящем документе проводится анализ динамики</w:t>
            </w:r>
            <w:r w:rsidRPr="006C3813">
              <w:rPr>
                <w:lang w:val="en-US"/>
              </w:rPr>
              <w:t> </w:t>
            </w:r>
            <w:r w:rsidRPr="006C3813">
              <w:t>— в исторической перспективе</w:t>
            </w:r>
            <w:r w:rsidRPr="006C3813">
              <w:rPr>
                <w:lang w:val="en-US"/>
              </w:rPr>
              <w:t> </w:t>
            </w:r>
            <w:r w:rsidRPr="006C3813">
              <w:t>— присоединения различных регионов к конвенциям в области транспорта, относящимся к ведению Комитета по внутреннему транспорту. При этом особое внимание уделяется основным правовым документам по безопасности дорожного движения ввиду их высокой актуальности в связи с тем, что в 2020 году Генеральная Ассамблея объявила о начале второго Десятилетия действий по обеспечению безопасности дорожного движения, а в 2021 году завершила работу над Планом действий и приступила к его реализации в соответствии с резолюцией A/RES/74/299.</w:t>
            </w:r>
          </w:p>
        </w:tc>
      </w:tr>
      <w:tr w:rsidR="00C76A68" w:rsidRPr="006C3813" w14:paraId="475569EB" w14:textId="77777777" w:rsidTr="00E3057B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1661F735" w14:textId="77777777" w:rsidR="00C76A68" w:rsidRPr="006C3813" w:rsidRDefault="00C76A68" w:rsidP="00E3057B">
            <w:pPr>
              <w:rPr>
                <w:rFonts w:cs="Times New Roman"/>
              </w:rPr>
            </w:pPr>
          </w:p>
        </w:tc>
      </w:tr>
    </w:tbl>
    <w:p w14:paraId="32CD4905" w14:textId="77777777" w:rsidR="00C76A68" w:rsidRPr="0078142A" w:rsidRDefault="00C76A68" w:rsidP="00C76A68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Справочная информация и сфера охвата</w:t>
      </w:r>
    </w:p>
    <w:p w14:paraId="087706D5" w14:textId="77777777" w:rsidR="00C76A68" w:rsidRPr="0078142A" w:rsidRDefault="00C76A68" w:rsidP="00C76A68">
      <w:pPr>
        <w:pStyle w:val="SingleTxtG"/>
      </w:pPr>
      <w:r>
        <w:t>1.</w:t>
      </w:r>
      <w:r>
        <w:tab/>
        <w:t xml:space="preserve">Разработанные и обслуживаемые по линии Комитета по внутреннему транспорту (КВТ) 59 конвенций Организации Объединенных Наций в области внутреннего транспорта обеспечивают жизненно важный инструментарий для развития устойчивых транспортных систем на региональном и глобальном уровнях. В настоящее время действуют 49 из них (более подробную информацию см. в документе ECE/TRANS/2022/12). Присоединение каждой новой страны позволяет сделать транспорт более безопасным, экологичным, дешевым, быстрым или более доступным. Поэтому присоединение каждой страны имеет значимость. По состоянию </w:t>
      </w:r>
      <w:r>
        <w:lastRenderedPageBreak/>
        <w:t xml:space="preserve">на декабрь 2021 года общее число присоединившихся стран к этим правовым документам составляет 1807. </w:t>
      </w:r>
    </w:p>
    <w:p w14:paraId="594DCDD4" w14:textId="77777777" w:rsidR="00C76A68" w:rsidRPr="0078142A" w:rsidRDefault="00C76A68" w:rsidP="00C76A68">
      <w:pPr>
        <w:pStyle w:val="SingleTxtG"/>
      </w:pPr>
      <w:r>
        <w:t>2.</w:t>
      </w:r>
      <w:r>
        <w:tab/>
        <w:t>Отслеживание числа присоединений является, конечно же, не единственным способом определить, становится ли мировой внутренний транспорт более устойчивым. Например, главным мерилом прогресса в области безопасности дорожного движения служит не число участников конвенций по безопасности дорожного движения, а снижение уровня смертности в результате дорожно-транспортных происшествий во всем мире. Тем не менее численность присоединившихся стран выступает мощным стимулирующим фактором или ключевым индикатором будущего прогресса в сфере безопасности дорожного движения по ряду причин, в том числе ввиду использования согласованных правил и стандартов, а также обеспечения общих рамок, которые позволяют с успехом распространять передовой опыт. Аналогичный принцип применим и к другим аспектам внутреннего транспорта, таким как облегчение пересечения границ, перевозка тех или иных видов грузов или обеспечение единого набора стандартов в отношении экологически чистого транспорта.</w:t>
      </w:r>
    </w:p>
    <w:p w14:paraId="18DE1D8D" w14:textId="77777777" w:rsidR="00C76A68" w:rsidRPr="0078142A" w:rsidRDefault="00C76A68" w:rsidP="00C76A68">
      <w:pPr>
        <w:pStyle w:val="SingleTxtG"/>
      </w:pPr>
      <w:r>
        <w:t>3.</w:t>
      </w:r>
      <w:r>
        <w:tab/>
        <w:t xml:space="preserve">Поэтому в настоящем документе проводится — на макроуровне — анализ динамики присоединений по каждому региону мира, причем исходя из регламентируемого членства в региональных комиссиях Организации Объединенных Наций. К числу таких региональных комиссий относятся следующие: Европейская экономическая комиссия (ЕЭК); Экономическая комиссия для Латинской Америки (ЭКЛАК); Экономическая комиссия для Африки (ЭКА); Экономическая и социальная комиссия для Западной Азии (ЭСКЗА); Экономическая и социальная комиссия для Азии и Тихого океана (ЭСКАТО). </w:t>
      </w:r>
    </w:p>
    <w:p w14:paraId="1C207467" w14:textId="77777777" w:rsidR="00C76A68" w:rsidRPr="0078142A" w:rsidRDefault="00C76A68" w:rsidP="00C76A68">
      <w:pPr>
        <w:pStyle w:val="SingleTxtG"/>
      </w:pPr>
      <w:r>
        <w:t>4.</w:t>
      </w:r>
      <w:r>
        <w:tab/>
        <w:t>Анализ охватывает характеризующиеся наилучшими показателями страны в каждом регионе и прослеживает динамику изменения со временем числа присоединений, причем акцент сделан на основных конвенциях, касающихся облегчения пересечения границ и безопасности дорожного движения</w:t>
      </w:r>
      <w:r w:rsidRPr="007D30FC">
        <w:rPr>
          <w:sz w:val="18"/>
          <w:szCs w:val="18"/>
          <w:vertAlign w:val="superscript"/>
        </w:rPr>
        <w:footnoteReference w:id="1"/>
      </w:r>
      <w:r>
        <w:t>.</w:t>
      </w:r>
    </w:p>
    <w:p w14:paraId="241E6684" w14:textId="77777777" w:rsidR="00C76A68" w:rsidRPr="0078142A" w:rsidRDefault="00C76A68" w:rsidP="00C76A68">
      <w:pPr>
        <w:pStyle w:val="SingleTxtG"/>
      </w:pPr>
      <w:r>
        <w:t>5.</w:t>
      </w:r>
      <w:r>
        <w:tab/>
        <w:t>При отнесении стран к членам соответствующей региональной комиссии важно учитывать членство многих из них в нескольких региональных комиссиях. В отдельных случаях прослеживается четкая географическая связь таких стран с одной региональной комиссией, а посему им приписывается членство только в этой комиссии. В то же время имеются две основные зоны, характеризующиеся взаимным наложением сфер действия различных региональных комиссий: Северная Африка/Западная Азия (охватываемые страны: Алжир, Марокко, Тунис, Мавритания, Ливия, Египет, Судан) и Центральная Азия (Азербайджан, Казахстан, Кыргызстан, Российская Федерация, Таджикистан, Туркменистан, Узбекистан). В указанных двух случаях соответствующие страны учтены в рамках анализа в качестве членов обеих региональных комиссий.</w:t>
      </w:r>
    </w:p>
    <w:p w14:paraId="3D4F9A4A" w14:textId="77777777" w:rsidR="00C76A68" w:rsidRPr="0078142A" w:rsidRDefault="00C76A68" w:rsidP="00C76A68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Историческая динамика по всем конвенциям</w:t>
      </w:r>
    </w:p>
    <w:p w14:paraId="31DED589" w14:textId="77777777" w:rsidR="00C76A68" w:rsidRPr="0078142A" w:rsidRDefault="00C76A68" w:rsidP="00C76A68">
      <w:pPr>
        <w:pStyle w:val="SingleTxtG"/>
      </w:pPr>
      <w:r>
        <w:t>6.</w:t>
      </w:r>
      <w:r>
        <w:tab/>
        <w:t>Анализ в первую очередь затрагивает все конвенции, относящиеся к компетенции КВТ, при уделении пристального внимания динамике по десятилетиям, а также динамике в отдельных регионах.</w:t>
      </w:r>
    </w:p>
    <w:p w14:paraId="4CB2BBA4" w14:textId="0BB10BB8" w:rsidR="00C76A68" w:rsidRPr="0078142A" w:rsidRDefault="00C76A68" w:rsidP="00C76A68">
      <w:pPr>
        <w:pStyle w:val="SingleTxtG"/>
      </w:pPr>
      <w:r>
        <w:t>7.</w:t>
      </w:r>
      <w:r>
        <w:tab/>
        <w:t xml:space="preserve">В </w:t>
      </w:r>
      <w:r w:rsidRPr="00FF0A73">
        <w:rPr>
          <w:b/>
          <w:bCs/>
        </w:rPr>
        <w:t>1950-х годах</w:t>
      </w:r>
      <w:r>
        <w:t xml:space="preserve"> к правовым документам по транспорту, относящимся к ведению КВТ, присоединилось двести пятьдесят три страны, из которых 73</w:t>
      </w:r>
      <w:r>
        <w:rPr>
          <w:lang w:val="en-US"/>
        </w:rPr>
        <w:t> </w:t>
      </w:r>
      <w:r>
        <w:t xml:space="preserve">% пришлось на страны региона ЕЭК. Лидерами по числу присоединений являлись Франция </w:t>
      </w:r>
      <w:r>
        <w:lastRenderedPageBreak/>
        <w:t>(девятнадцать) и Австрия со Швецией (по четырнадцать), в то время как среди стран, не входящих в ЕЭК, на первом месте находилась Камбоджа (шесть), а также Египет, Гана и Гаити (по пять). Наибольшее число присоединений получила Конвенция о</w:t>
      </w:r>
      <w:r>
        <w:rPr>
          <w:lang w:val="en-US"/>
        </w:rPr>
        <w:t> </w:t>
      </w:r>
      <w:r>
        <w:t>дорожном движении 1949 года (девятнадцать), за ней следовала Конвенция о</w:t>
      </w:r>
      <w:r>
        <w:rPr>
          <w:lang w:val="en-US"/>
        </w:rPr>
        <w:t> </w:t>
      </w:r>
      <w:r>
        <w:t>таможенных льготах для туристов 1954 года (четырнадцать).</w:t>
      </w:r>
    </w:p>
    <w:p w14:paraId="7FD5585E" w14:textId="77777777" w:rsidR="00C76A68" w:rsidRPr="0078142A" w:rsidRDefault="00C76A68" w:rsidP="00C76A68">
      <w:pPr>
        <w:pStyle w:val="SingleTxtG"/>
      </w:pPr>
      <w:r>
        <w:t>8.</w:t>
      </w:r>
      <w:r>
        <w:tab/>
        <w:t xml:space="preserve">В </w:t>
      </w:r>
      <w:r w:rsidRPr="00CB203E">
        <w:rPr>
          <w:b/>
          <w:bCs/>
        </w:rPr>
        <w:t>1960-х годах</w:t>
      </w:r>
      <w:r>
        <w:t xml:space="preserve"> присоединились триста восемь стран, причем доля стран региона ЕЭК (61 %) уменьшилась по сравнению с предыдущим десятилетием. На этот раз лидером стала Румыния (четырнадцать), за ней следовали Финляндия, Германия и Ирландия (по одиннадцать). Среди стран, не входящих в ЕЭК, больше всего присоединений было у Кубы (восемь), Алжира и Сьерра-Леоне (по семь). По числу присоединений лидировала Конвенция о дорожном движении 1949 года, за ней следовала Конвенция о временном ввозе частных дорожных перевозочных средств 1954 года.</w:t>
      </w:r>
    </w:p>
    <w:p w14:paraId="36AC0D87" w14:textId="77777777" w:rsidR="00C76A68" w:rsidRPr="0078142A" w:rsidRDefault="00C76A68" w:rsidP="00C76A68">
      <w:pPr>
        <w:pStyle w:val="SingleTxtG"/>
      </w:pPr>
      <w:r>
        <w:t>9.</w:t>
      </w:r>
      <w:r>
        <w:tab/>
        <w:t xml:space="preserve">В </w:t>
      </w:r>
      <w:r w:rsidRPr="00CB203E">
        <w:rPr>
          <w:b/>
          <w:bCs/>
        </w:rPr>
        <w:t>1970-х годах</w:t>
      </w:r>
      <w:r>
        <w:t xml:space="preserve"> было зафиксировано двести пять присоединений (71</w:t>
      </w:r>
      <w:r>
        <w:rPr>
          <w:lang w:val="en-US"/>
        </w:rPr>
        <w:t> </w:t>
      </w:r>
      <w:r>
        <w:t>% из них пришелся на страны региона ЕЭК). В регионе ЕЭК наибольшее число присоединений продемонстрировали Венгрия (двенадцать), Болгария (одиннадцать) и Германия (десять); среди стран за пределами региона ЕЭК наибольшее число присоединений было зафиксировано у Сенегала (пять) и у Барбадоса, Туниса, Фиджи и Чили (по четыре). На этот раз наибольшую популярность набрала Конвенция о дорожном движении 1968 года.</w:t>
      </w:r>
    </w:p>
    <w:p w14:paraId="018FC5CB" w14:textId="77777777" w:rsidR="00C76A68" w:rsidRPr="0078142A" w:rsidRDefault="00C76A68" w:rsidP="00C76A68">
      <w:pPr>
        <w:pStyle w:val="SingleTxtG"/>
      </w:pPr>
      <w:r>
        <w:t>10.</w:t>
      </w:r>
      <w:r>
        <w:tab/>
        <w:t xml:space="preserve">В </w:t>
      </w:r>
      <w:r w:rsidRPr="00CB203E">
        <w:rPr>
          <w:b/>
          <w:bCs/>
        </w:rPr>
        <w:t>1980-х годах</w:t>
      </w:r>
      <w:r>
        <w:t xml:space="preserve"> было зафиксировано сто девяносто присоединений, причем 77</w:t>
      </w:r>
      <w:r>
        <w:rPr>
          <w:lang w:val="en-US"/>
        </w:rPr>
        <w:t> </w:t>
      </w:r>
      <w:r>
        <w:t>% пришлось на государства — члены ЕЭК. Наибольшую динамику продемонстрировали одновременно Греция, Дания, Польша и Российская Федерация (по десять присоединений). Ведущей конвенцией на этот раз стала Конвенция МДП 1975 года, за ней следовала Международная конвенция о согласовании условий проведения контроля грузов на границах 1982 года. Среди стран, не входящих в ЕЭК, самыми результативными стали Марокко и Соломоновы Острова (по пять присоединений) и Кувейт (три присоединения).</w:t>
      </w:r>
    </w:p>
    <w:p w14:paraId="03A3B6BF" w14:textId="77777777" w:rsidR="00C76A68" w:rsidRPr="0078142A" w:rsidRDefault="00C76A68" w:rsidP="00C76A68">
      <w:pPr>
        <w:pStyle w:val="SingleTxtG"/>
      </w:pPr>
      <w:r>
        <w:t>11.</w:t>
      </w:r>
      <w:r>
        <w:tab/>
        <w:t xml:space="preserve">В </w:t>
      </w:r>
      <w:r w:rsidRPr="00CB203E">
        <w:rPr>
          <w:b/>
          <w:bCs/>
        </w:rPr>
        <w:t>1990-х годах</w:t>
      </w:r>
      <w:r>
        <w:t xml:space="preserve"> было зафиксировано триста семьдесят восемь присоединений, причем наибольшей популярностью пользовался Протокол 1993 года к ДОПОГ (24 присоединения), а 94</w:t>
      </w:r>
      <w:r>
        <w:rPr>
          <w:lang w:val="en-US"/>
        </w:rPr>
        <w:t> </w:t>
      </w:r>
      <w:r>
        <w:t>% присоединений пришлись на страны региона ЕЭК. Лидерами по числу присоединений стали Чехия, Словакия и Босния и Герцеговина, а среди стран, не входящих в ЕЭК, лидировали Куба, Иран, Япония и Монголия. В этом десятилетии была зафиксирована наибольшая доля присоединений стран региона ЕЭК: на страны, не входящие в ЕЭК, пришлись лишь 6 % присоединений.</w:t>
      </w:r>
    </w:p>
    <w:p w14:paraId="3AA66121" w14:textId="77777777" w:rsidR="00C76A68" w:rsidRPr="0078142A" w:rsidRDefault="00C76A68" w:rsidP="00C76A68">
      <w:pPr>
        <w:pStyle w:val="SingleTxtG"/>
      </w:pPr>
      <w:r>
        <w:t>12.</w:t>
      </w:r>
      <w:r>
        <w:tab/>
        <w:t xml:space="preserve">В </w:t>
      </w:r>
      <w:r w:rsidRPr="00976200">
        <w:rPr>
          <w:b/>
          <w:bCs/>
        </w:rPr>
        <w:t>2000-е годы</w:t>
      </w:r>
      <w:r>
        <w:t xml:space="preserve"> было отмечено триста восемь присоединений, из которых 92</w:t>
      </w:r>
      <w:r>
        <w:rPr>
          <w:lang w:val="en-US"/>
        </w:rPr>
        <w:t> </w:t>
      </w:r>
      <w:r>
        <w:t>% пришлись на государства — члены ЕЭК. Здесь лидерами стали Сербия (38), Черногория (37) и Албания (24). Наибольшую популярность набрало Соглашение о глобальных правилах для транспортных средств 1998 года. Среди стран, не входящих в ЕЭК, наиболее результативными стали Либерия (десять присоединений), Тунис (восемь) и Объединенные Арабские Эмираты (пять).</w:t>
      </w:r>
    </w:p>
    <w:p w14:paraId="1BE9069D" w14:textId="77777777" w:rsidR="00C76A68" w:rsidRPr="0078142A" w:rsidRDefault="00C76A68" w:rsidP="00C76A68">
      <w:pPr>
        <w:pStyle w:val="SingleTxtG"/>
      </w:pPr>
      <w:r>
        <w:t>13.</w:t>
      </w:r>
      <w:r>
        <w:tab/>
        <w:t xml:space="preserve">За десятилетие </w:t>
      </w:r>
      <w:r w:rsidRPr="00976200">
        <w:rPr>
          <w:b/>
          <w:bCs/>
        </w:rPr>
        <w:t>2010-х годов</w:t>
      </w:r>
      <w:r>
        <w:t xml:space="preserve"> к конвенциям присоединились сто двадцать шесть стран, из которых 73</w:t>
      </w:r>
      <w:r>
        <w:rPr>
          <w:lang w:val="en-US"/>
        </w:rPr>
        <w:t> </w:t>
      </w:r>
      <w:r>
        <w:t xml:space="preserve">% пришлись на государства — члены ЕЭК. Лидерами стали Республика Молдова (восемь присоединений), Нигерия (семь присоединений — это позволило Нигерии впервые стать страной, которая, не являясь членом ЕЭК, вошла в тройку лидеров), а также Казахстан, Таджикистан и Турция (по шесть). Наибольшее число присоединений набрал Дополнительный протокол к КДПГ 2008 года, касающийся электронной накладной (e-CMR). </w:t>
      </w:r>
    </w:p>
    <w:p w14:paraId="55AF8488" w14:textId="77777777" w:rsidR="00C76A68" w:rsidRPr="0078142A" w:rsidRDefault="00C76A68" w:rsidP="00C76A68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 xml:space="preserve">Анализ специфики динамики развития конвенций </w:t>
      </w:r>
      <w:r>
        <w:rPr>
          <w:bCs/>
        </w:rPr>
        <w:br/>
        <w:t>по безопасности дорожного движения</w:t>
      </w:r>
    </w:p>
    <w:p w14:paraId="497C4AE5" w14:textId="77777777" w:rsidR="00C76A68" w:rsidRPr="0078142A" w:rsidRDefault="00C76A68" w:rsidP="00C76A68">
      <w:pPr>
        <w:pStyle w:val="SingleTxtG"/>
      </w:pPr>
      <w:r>
        <w:t>14.</w:t>
      </w:r>
      <w:r>
        <w:tab/>
        <w:t xml:space="preserve">После выявления вышеуказанных тенденций в том, что касается общего числа присоединений к правовым документам в области транспорта, был проведен специальный анализ применительно к основным конвенциям по безопасности </w:t>
      </w:r>
      <w:r>
        <w:lastRenderedPageBreak/>
        <w:t>дорожного движения. Данный анализ охватил семь основных конвенций Организации Объединенных Наций в области безопасности дорожного движения и соглашение 1970 года, касающееся работы экипажей транспортных средств, производящих международные автомобильные перевозки (ЕСТР)</w:t>
      </w:r>
      <w:r w:rsidRPr="00BC6119">
        <w:rPr>
          <w:vertAlign w:val="superscript"/>
        </w:rPr>
        <w:footnoteReference w:id="2"/>
      </w:r>
      <w:r>
        <w:t xml:space="preserve">. </w:t>
      </w:r>
    </w:p>
    <w:p w14:paraId="405205D6" w14:textId="77777777" w:rsidR="00C76A68" w:rsidRPr="0078142A" w:rsidRDefault="00C76A68" w:rsidP="00C76A68">
      <w:pPr>
        <w:pStyle w:val="SingleTxtG"/>
      </w:pPr>
      <w:r>
        <w:t>15.</w:t>
      </w:r>
      <w:r>
        <w:tab/>
        <w:t xml:space="preserve">Проведенный анализ был посвящен динамике присоединений к означенным восьми конвенциям и охватил 467 присоединений, совершенных 140 различными договаривающимися сторонами. </w:t>
      </w:r>
    </w:p>
    <w:p w14:paraId="25B6C9FF" w14:textId="77777777" w:rsidR="00C76A68" w:rsidRPr="0078142A" w:rsidRDefault="00C76A68" w:rsidP="00C76A68">
      <w:pPr>
        <w:pStyle w:val="SingleTxtG"/>
      </w:pPr>
      <w:r>
        <w:t>16.</w:t>
      </w:r>
      <w:r>
        <w:tab/>
        <w:t xml:space="preserve">Шесть государств-членов: Венгрия, Нидерланды, Российская Федерация, Румыния, Сан-Марино и Финляндия — присоединились к каждой из этих восьми конвенций. Сорок семь стран региона ЕЭК присоединились к четырем или более конвенциям; ведущими странами, не входящими в ЕЭК, по числу присоединений к конвенциям в области безопасности дорожного движения являются Нигерия и Тунис (по семь присоединений, причем обе эти страны не присоединились к ЕСТР). Среди других стран, не входящих в ЕЭК, только Марокко и Южная Африка имеют по четыре или более присоединений. </w:t>
      </w:r>
    </w:p>
    <w:p w14:paraId="706FFAA6" w14:textId="77777777" w:rsidR="00C76A68" w:rsidRDefault="00C76A68" w:rsidP="00C76A68">
      <w:pPr>
        <w:pStyle w:val="H23G"/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6C3813">
        <w:rPr>
          <w:b w:val="0"/>
          <w:bCs/>
        </w:rPr>
        <w:t xml:space="preserve">Рис. 1 </w:t>
      </w:r>
      <w:r>
        <w:rPr>
          <w:b w:val="0"/>
          <w:bCs/>
        </w:rPr>
        <w:br/>
      </w:r>
      <w:r>
        <w:t>Присоединение к основным конвенциям по безопасности дорожного движения в</w:t>
      </w:r>
      <w:r>
        <w:rPr>
          <w:lang w:val="en-US"/>
        </w:rPr>
        <w:t> </w:t>
      </w:r>
      <w:r>
        <w:t>разбивке по годам и конвенциям</w:t>
      </w:r>
    </w:p>
    <w:p w14:paraId="73B46092" w14:textId="39174441" w:rsidR="00E12C5F" w:rsidRDefault="00C76A68" w:rsidP="00C76A68">
      <w:pPr>
        <w:ind w:left="567"/>
      </w:pPr>
      <w:r>
        <w:rPr>
          <w:noProof/>
        </w:rPr>
        <w:drawing>
          <wp:inline distT="0" distB="0" distL="0" distR="0" wp14:anchorId="4CA25378" wp14:editId="083160FF">
            <wp:extent cx="6120130" cy="3737610"/>
            <wp:effectExtent l="0" t="0" r="13970" b="1524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3EADE89C-4204-4F61-8F05-493D66BF2E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8C25AA" w14:textId="538D26DA" w:rsidR="00C76A68" w:rsidRPr="0078142A" w:rsidRDefault="00C76A68" w:rsidP="00C76A68">
      <w:pPr>
        <w:pStyle w:val="H23G"/>
      </w:pPr>
      <w:r>
        <w:tab/>
      </w:r>
      <w:r>
        <w:tab/>
        <w:t>Историческое развитие</w:t>
      </w:r>
    </w:p>
    <w:p w14:paraId="438DD8AD" w14:textId="77777777" w:rsidR="00C76A68" w:rsidRPr="00746EFC" w:rsidRDefault="00C76A68" w:rsidP="00C76A68">
      <w:pPr>
        <w:pStyle w:val="SingleTxtG"/>
      </w:pPr>
      <w:r>
        <w:t>17.</w:t>
      </w:r>
      <w:r>
        <w:tab/>
        <w:t xml:space="preserve">На следующем этапе анализа рассматривалась историческая динамика присоединений к каждой конвенции в области безопасности дорожного движения. Среди всех конвенций по безопасности дорожного движения, представленных в означенном наборе данных, наибольший рост числа участников продемонстрировала Конвенция о дорожном движении 1949 года (см. рис. 1). </w:t>
      </w:r>
    </w:p>
    <w:p w14:paraId="33BE5098" w14:textId="43A31DB2" w:rsidR="00C76A68" w:rsidRDefault="00C76A68" w:rsidP="00C76A68">
      <w:pPr>
        <w:pStyle w:val="SingleTxtG"/>
      </w:pPr>
      <w:r>
        <w:t>18.</w:t>
      </w:r>
      <w:r>
        <w:tab/>
        <w:t xml:space="preserve">Если ранжировать эти конвенции в зависимости от срока, который потребовался для присоединения 25 договаривающихся сторон, то быстрее всего (за восемь лет) такое количество присоединений набрало Соглашение о глобальных </w:t>
      </w:r>
      <w:r>
        <w:lastRenderedPageBreak/>
        <w:t>правилах для транспортных средств 1998 года, за которым следует Конвенция о дорожном движении 1949 года и Конвенция о дорожном движении 1968 года. Эти тенденции отражены на рис. 2.</w:t>
      </w:r>
    </w:p>
    <w:p w14:paraId="792CD57F" w14:textId="65DBF620" w:rsidR="00C76A68" w:rsidRDefault="00C76A68" w:rsidP="00C76A68">
      <w:pPr>
        <w:pStyle w:val="H23G"/>
        <w:rPr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6C3813">
        <w:rPr>
          <w:b w:val="0"/>
          <w:bCs/>
        </w:rPr>
        <w:t>Рис. 2</w:t>
      </w:r>
      <w:r>
        <w:rPr>
          <w:b w:val="0"/>
          <w:bCs/>
        </w:rPr>
        <w:br/>
      </w:r>
      <w:r>
        <w:rPr>
          <w:bCs/>
        </w:rPr>
        <w:t>Историческая динамика присоединений к конвенциям по безопасности дорожного движения</w:t>
      </w:r>
    </w:p>
    <w:p w14:paraId="427E2315" w14:textId="70723543" w:rsidR="00983D47" w:rsidRDefault="00983D47" w:rsidP="00983D47">
      <w:pPr>
        <w:ind w:left="567"/>
        <w:rPr>
          <w:lang w:eastAsia="ru-RU"/>
        </w:rPr>
      </w:pPr>
      <w:r>
        <w:rPr>
          <w:noProof/>
        </w:rPr>
        <w:drawing>
          <wp:inline distT="0" distB="0" distL="0" distR="0" wp14:anchorId="68724B2A" wp14:editId="58204D19">
            <wp:extent cx="5773003" cy="4633415"/>
            <wp:effectExtent l="0" t="0" r="18415" b="1524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92C8238A-A3AE-49B6-BDCE-961D2C50F7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3DC791" w14:textId="77777777" w:rsidR="00C76A68" w:rsidRPr="00746EFC" w:rsidRDefault="00C76A68" w:rsidP="00C76A68">
      <w:pPr>
        <w:pStyle w:val="SingleTxtG"/>
        <w:spacing w:before="120"/>
      </w:pPr>
      <w:r>
        <w:t>19.</w:t>
      </w:r>
      <w:r>
        <w:tab/>
        <w:t xml:space="preserve">В регионе ЕЭК в 1950-х годах было зафиксировано 23 присоединения к конвенциям по безопасности дорожного движения, в 1960-х — 22, в 1970-х — 53, в 1980-х — 23, в 1990-х — 90, в 2000-х — 68 и в 2010-х — 32. </w:t>
      </w:r>
      <w:r>
        <w:rPr>
          <w:b/>
          <w:bCs/>
        </w:rPr>
        <w:t>Таким образом, для региона ЕЭК самым динамичным десятилетием стали 1970-е годы.</w:t>
      </w:r>
      <w:bookmarkStart w:id="0" w:name="_Hlk90213713"/>
      <w:bookmarkEnd w:id="0"/>
    </w:p>
    <w:p w14:paraId="071DE1EB" w14:textId="77777777" w:rsidR="00C76A68" w:rsidRPr="00746EFC" w:rsidRDefault="00C76A68" w:rsidP="00C76A68">
      <w:pPr>
        <w:pStyle w:val="SingleTxtG"/>
      </w:pPr>
      <w:r>
        <w:t>20.</w:t>
      </w:r>
      <w:r>
        <w:tab/>
        <w:t xml:space="preserve">В регионе ЭКА в 1950-х годах отмечено пять присоединений, в 1960-х — шестнадцать, в 1970-х — девять, в 1980-х — семь, в 1990-х — два, в 2000-х — двенадцать и в 2010-х — десять. </w:t>
      </w:r>
      <w:r>
        <w:rPr>
          <w:b/>
          <w:bCs/>
        </w:rPr>
        <w:t>Для региона ЭКА наиболее динамичное десятилетие пришлось на 1960-е годы.</w:t>
      </w:r>
    </w:p>
    <w:p w14:paraId="2070987D" w14:textId="77777777" w:rsidR="00C76A68" w:rsidRPr="00746EFC" w:rsidRDefault="00C76A68" w:rsidP="00C76A68">
      <w:pPr>
        <w:pStyle w:val="SingleTxtG"/>
      </w:pPr>
      <w:r>
        <w:t>21.</w:t>
      </w:r>
      <w:r>
        <w:tab/>
        <w:t xml:space="preserve">В регионе ЭСКАТО (за исключением нерегиональных членов) в 1950-х годах было зафиксировано одиннадцать присоединений, в 1960-х — три, в 1970-х — одиннадцать, в 1980-х — пять, в 1990-х — двадцать три, в 2000-х — двадцать четыре и в 2010-х — двадцать. </w:t>
      </w:r>
      <w:r>
        <w:rPr>
          <w:b/>
          <w:bCs/>
        </w:rPr>
        <w:t>Регион ЭСКАТО наибольшую динамику продемонстрировал в 2000-е годы.</w:t>
      </w:r>
    </w:p>
    <w:p w14:paraId="1A96BC05" w14:textId="77777777" w:rsidR="00C76A68" w:rsidRPr="00746EFC" w:rsidRDefault="00C76A68" w:rsidP="00C76A68">
      <w:pPr>
        <w:pStyle w:val="SingleTxtG"/>
        <w:rPr>
          <w:b/>
          <w:bCs/>
        </w:rPr>
      </w:pPr>
      <w:r>
        <w:t>22.</w:t>
      </w:r>
      <w:r>
        <w:tab/>
        <w:t xml:space="preserve">В регионе ЭСКЗА в 1950-х годах четыре страны присоединились к основным конвенциям по безопасности дорожного движения, в 1960-х — две, в 1970-х — две, в 1980-х — пять, в 1990-х — ноль, в 2000-х — девять и в 2010-х — шесть. </w:t>
      </w:r>
      <w:r>
        <w:rPr>
          <w:b/>
          <w:bCs/>
        </w:rPr>
        <w:t xml:space="preserve">Таким образом, для региона ЭСКЗА самым динамичным десятилетием стали </w:t>
      </w:r>
      <w:r>
        <w:rPr>
          <w:b/>
          <w:bCs/>
        </w:rPr>
        <w:br/>
        <w:t>2000-е годы.</w:t>
      </w:r>
    </w:p>
    <w:p w14:paraId="23B7BFAB" w14:textId="77777777" w:rsidR="00C76A68" w:rsidRPr="00746EFC" w:rsidRDefault="00C76A68" w:rsidP="00C76A68">
      <w:pPr>
        <w:pStyle w:val="SingleTxtG"/>
        <w:rPr>
          <w:b/>
          <w:bCs/>
        </w:rPr>
      </w:pPr>
      <w:r>
        <w:lastRenderedPageBreak/>
        <w:t>23.</w:t>
      </w:r>
      <w:r>
        <w:tab/>
        <w:t xml:space="preserve">В регионе ЭКЛАК (за исключением нерегиональных членов) в 1950-х годах четыре страны  присоединились к конвенциям по безопасности дорожного движения, в 1960-х — восемь, в 1970-х — пять, в 1980-х — две, в 1990-х — одна, в 2000-х — две и в 2010-х — ноль. </w:t>
      </w:r>
      <w:r>
        <w:rPr>
          <w:b/>
          <w:bCs/>
        </w:rPr>
        <w:t>Таким образом, для региона ЭКЛАК наиболее динамичное десятилетие пришлось на 1960-е годы.</w:t>
      </w:r>
    </w:p>
    <w:p w14:paraId="5B40D145" w14:textId="77777777" w:rsidR="00C76A68" w:rsidRPr="00BC6119" w:rsidRDefault="00C76A68" w:rsidP="00C76A68">
      <w:pPr>
        <w:pStyle w:val="HChG"/>
      </w:pPr>
      <w:r>
        <w:rPr>
          <w:bCs/>
        </w:rPr>
        <w:tab/>
        <w:t>IV.</w:t>
      </w:r>
      <w:r>
        <w:tab/>
      </w:r>
      <w:r>
        <w:tab/>
      </w:r>
      <w:r>
        <w:rPr>
          <w:bCs/>
        </w:rPr>
        <w:t>Общие выводы</w:t>
      </w:r>
    </w:p>
    <w:p w14:paraId="60A92F36" w14:textId="77777777" w:rsidR="00C76A68" w:rsidRPr="00746EFC" w:rsidRDefault="00C76A68" w:rsidP="00C76A68">
      <w:pPr>
        <w:pStyle w:val="SingleTxtG"/>
      </w:pPr>
      <w:r>
        <w:t>24.</w:t>
      </w:r>
      <w:r>
        <w:tab/>
        <w:t xml:space="preserve">Из приведенного выше анализа динамики присоединения различных регионов вытекает ряд общих тенденций. Во-первых, в 2021 году динамика присоединений — вероятнее всего, из-за последствий вспышки вируса COVID-19 — значительно снизилась по сравнению с предыдущими годами. Во-вторых, по общему числу присоединений страны, не являющиеся членами ЕЭК, явно уступают странам региона ЕЭК. Тем не менее треть новых присоединений в 2021 году пришлась на государства, не являющиеся членами ЕЭК, включая Эфиопию, которая стала тридцать </w:t>
      </w:r>
      <w:r>
        <w:br/>
        <w:t>шестым государством — членом ЭКА и 151-м государством — членом ООН, присоединившимся к одному из указанных правовых документов. За период с 2019</w:t>
      </w:r>
      <w:r>
        <w:rPr>
          <w:lang w:val="en-US"/>
        </w:rPr>
        <w:t> </w:t>
      </w:r>
      <w:r>
        <w:t>года 30 % от общего числа присоединений пришлись на государства, не являющиеся членами ЕЭК.</w:t>
      </w:r>
    </w:p>
    <w:p w14:paraId="55852114" w14:textId="77777777" w:rsidR="00C76A68" w:rsidRPr="00746EFC" w:rsidRDefault="00C76A68" w:rsidP="00C76A68">
      <w:pPr>
        <w:pStyle w:val="SingleTxtG"/>
      </w:pPr>
      <w:r>
        <w:t>25.</w:t>
      </w:r>
      <w:r>
        <w:tab/>
        <w:t>Как следует из представленного анализа, многое еще предстоит сделать — после того как разрушительные последствия вспышки вируса COVID-19 со временем улягутся — с целью повышения привлекательности и актуальности конвенций, относящихся к ведению Комитета по внутреннему транспорту, для всех регионов. Несмотря на сохраняющуюся неопределенность в отношении развития пандемии и динамики изменений в период после ее завершения, эмпирические данные свидетельствуют о том, что страны, характеризующиеся наилучшими показателями в плане присоединения к конвенциям по безопасности дорожного движения, лучше подготовлены к преодолению текущего кризиса в области безопасности дорожного движения. Странам же с более высоким уровнем присоединения к конвенциям по облегчению пересечения границ — хотя населению многих из них пришлось столкнуться с весьма серьезными эпидемиологическими последствиями — удалось гораздо успешнее справиться с трансграничными товарными потоками в период чрезвычайной ситуации, обусловленной пандемией, и связанными с нею трудностями (см. также документ ECE/TRANS/2022/14).</w:t>
      </w:r>
    </w:p>
    <w:p w14:paraId="6F52DCC5" w14:textId="77777777" w:rsidR="00C76A68" w:rsidRPr="00746EFC" w:rsidRDefault="00C76A68" w:rsidP="00C76A68">
      <w:pPr>
        <w:pStyle w:val="SingleTxtG"/>
      </w:pPr>
      <w:r>
        <w:t>26.</w:t>
      </w:r>
      <w:r>
        <w:tab/>
        <w:t xml:space="preserve">В свете вышеизложенного Комитет, </w:t>
      </w:r>
      <w:r>
        <w:rPr>
          <w:b/>
          <w:bCs/>
        </w:rPr>
        <w:t>возможно, пожелает принять во внимание</w:t>
      </w:r>
      <w:r>
        <w:t xml:space="preserve"> настоящий анализ тенденций и динамики присоединения различных регионов к ключевым кластерам конвенций и соглашений Организации Объединенных Наций по внутреннему транспорту.</w:t>
      </w:r>
    </w:p>
    <w:p w14:paraId="5A32D11C" w14:textId="2CDDF2FC" w:rsidR="00C76A68" w:rsidRDefault="00C76A68" w:rsidP="00C76A68">
      <w:pPr>
        <w:pStyle w:val="SingleTxtG"/>
      </w:pPr>
      <w:r>
        <w:t>27.</w:t>
      </w:r>
      <w:r>
        <w:tab/>
        <w:t xml:space="preserve">Учитывая также, что повышение эффективности осуществления означенных правовых документов во всем мире является одним из ключевых элементов Стратегии КВТ и его видения на период до 2030 года, Комитету предлагается </w:t>
      </w:r>
      <w:r>
        <w:rPr>
          <w:b/>
          <w:bCs/>
        </w:rPr>
        <w:t>принять к сведению</w:t>
      </w:r>
      <w:r>
        <w:t xml:space="preserve"> данную информацию, причем Комитет, возможно, пожелает </w:t>
      </w:r>
      <w:r>
        <w:rPr>
          <w:b/>
          <w:bCs/>
        </w:rPr>
        <w:t>дать секретариату руководящие указания</w:t>
      </w:r>
      <w:r>
        <w:t xml:space="preserve"> относительно путей стимулирования присоединения к этим правовым документам и их осуществления, по мере того как будут наращиваться усилия по послепандемийному восстановлению, а глобальные экономические перспективы приведут к повышенному спросу на то, чтобы вновь активизировать процесс перехода к устойчивому транспорту и мобильности.</w:t>
      </w:r>
    </w:p>
    <w:p w14:paraId="59BF891C" w14:textId="23FBCFAA" w:rsidR="00C76A68" w:rsidRPr="00C76A68" w:rsidRDefault="00C76A68" w:rsidP="00C76A6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6A68" w:rsidRPr="00C76A68" w:rsidSect="00C76A6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D0266" w14:textId="77777777" w:rsidR="00463D3B" w:rsidRPr="00A312BC" w:rsidRDefault="00463D3B" w:rsidP="00A312BC"/>
  </w:endnote>
  <w:endnote w:type="continuationSeparator" w:id="0">
    <w:p w14:paraId="01B3419F" w14:textId="77777777" w:rsidR="00463D3B" w:rsidRPr="00A312BC" w:rsidRDefault="00463D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0D1F" w14:textId="1AF778E8" w:rsidR="00C76A68" w:rsidRPr="00C76A68" w:rsidRDefault="00C76A68">
    <w:pPr>
      <w:pStyle w:val="a8"/>
    </w:pPr>
    <w:r w:rsidRPr="00C76A68">
      <w:rPr>
        <w:b/>
        <w:sz w:val="18"/>
      </w:rPr>
      <w:fldChar w:fldCharType="begin"/>
    </w:r>
    <w:r w:rsidRPr="00C76A68">
      <w:rPr>
        <w:b/>
        <w:sz w:val="18"/>
      </w:rPr>
      <w:instrText xml:space="preserve"> PAGE  \* MERGEFORMAT </w:instrText>
    </w:r>
    <w:r w:rsidRPr="00C76A68">
      <w:rPr>
        <w:b/>
        <w:sz w:val="18"/>
      </w:rPr>
      <w:fldChar w:fldCharType="separate"/>
    </w:r>
    <w:r w:rsidRPr="00C76A68">
      <w:rPr>
        <w:b/>
        <w:noProof/>
        <w:sz w:val="18"/>
      </w:rPr>
      <w:t>2</w:t>
    </w:r>
    <w:r w:rsidRPr="00C76A68">
      <w:rPr>
        <w:b/>
        <w:sz w:val="18"/>
      </w:rPr>
      <w:fldChar w:fldCharType="end"/>
    </w:r>
    <w:r>
      <w:rPr>
        <w:b/>
        <w:sz w:val="18"/>
      </w:rPr>
      <w:tab/>
    </w:r>
    <w:r>
      <w:t>GE.21-18897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7DA4" w14:textId="2653DB9F" w:rsidR="00C76A68" w:rsidRPr="00C76A68" w:rsidRDefault="00C76A68" w:rsidP="00C76A68">
    <w:pPr>
      <w:pStyle w:val="a8"/>
      <w:tabs>
        <w:tab w:val="clear" w:pos="9639"/>
        <w:tab w:val="right" w:pos="9638"/>
      </w:tabs>
      <w:rPr>
        <w:b/>
        <w:sz w:val="18"/>
      </w:rPr>
    </w:pPr>
    <w:r>
      <w:t>GE.21-18897</w:t>
    </w:r>
    <w:r>
      <w:tab/>
    </w:r>
    <w:r w:rsidRPr="00C76A68">
      <w:rPr>
        <w:b/>
        <w:sz w:val="18"/>
      </w:rPr>
      <w:fldChar w:fldCharType="begin"/>
    </w:r>
    <w:r w:rsidRPr="00C76A68">
      <w:rPr>
        <w:b/>
        <w:sz w:val="18"/>
      </w:rPr>
      <w:instrText xml:space="preserve"> PAGE  \* MERGEFORMAT </w:instrText>
    </w:r>
    <w:r w:rsidRPr="00C76A68">
      <w:rPr>
        <w:b/>
        <w:sz w:val="18"/>
      </w:rPr>
      <w:fldChar w:fldCharType="separate"/>
    </w:r>
    <w:r w:rsidRPr="00C76A68">
      <w:rPr>
        <w:b/>
        <w:noProof/>
        <w:sz w:val="18"/>
      </w:rPr>
      <w:t>3</w:t>
    </w:r>
    <w:r w:rsidRPr="00C76A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E68C" w14:textId="7BCBA62E" w:rsidR="00042B72" w:rsidRPr="00C76A68" w:rsidRDefault="00C76A68" w:rsidP="00C76A6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55A805" wp14:editId="1FA40F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21-18897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74A7E1" wp14:editId="3AEC533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040122  100122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4A9A" w14:textId="77777777" w:rsidR="00463D3B" w:rsidRPr="001075E9" w:rsidRDefault="00463D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B69AF4" w14:textId="77777777" w:rsidR="00463D3B" w:rsidRDefault="00463D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EFA94B" w14:textId="1A70ECDF" w:rsidR="00C76A68" w:rsidRPr="00746EFC" w:rsidRDefault="00C76A68" w:rsidP="00C76A68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FF0A73">
        <w:rPr>
          <w:b/>
          <w:bCs/>
        </w:rPr>
        <w:t>Основные конвенции Организации Объединенных Наций по безопасности дорожного движения</w:t>
      </w:r>
      <w:r>
        <w:t>: Конвенция о дорожном движении 1949 года; Конвенция о дорожном движении 1968 года; Конвенция о дорожных знаках и сигналах 1968 года; Соглашение о правилах ООН, касающихся официального утверждения типа транспортных средств</w:t>
      </w:r>
      <w:r w:rsidRPr="00C76A68">
        <w:t>,</w:t>
      </w:r>
      <w:r>
        <w:t xml:space="preserve"> 1958 года; Соглашение о</w:t>
      </w:r>
      <w:r>
        <w:rPr>
          <w:lang w:val="en-US"/>
        </w:rPr>
        <w:t> </w:t>
      </w:r>
      <w:r>
        <w:t>периодических технических осмотрах 1997 года; Соглашение о глобальных технических правилах ООН, касающихся конструкции транспортных средств</w:t>
      </w:r>
      <w:r w:rsidRPr="00C76A68">
        <w:t>,</w:t>
      </w:r>
      <w:r>
        <w:t xml:space="preserve"> 1998 года; Европейское соглашение о международной дорожной перевозке опасных грузов 1957 года (ДОПОГ).</w:t>
      </w:r>
    </w:p>
  </w:footnote>
  <w:footnote w:id="2">
    <w:p w14:paraId="0F3E66CF" w14:textId="77777777" w:rsidR="00C76A68" w:rsidRPr="00746EFC" w:rsidRDefault="00C76A68" w:rsidP="00C76A68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Европейское соглашение, касающееся работы экипажей транспортных средств, производящих международные автомобильные перевозки (ЕСТР).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947C" w14:textId="35203948" w:rsidR="00C76A68" w:rsidRPr="00C76A68" w:rsidRDefault="0080573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ECE/TRANS/2022/13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5008" w14:textId="780D31F7" w:rsidR="00C76A68" w:rsidRPr="00C76A68" w:rsidRDefault="00805736" w:rsidP="00C76A6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ECE/TRANS/2022/13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3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3D3B"/>
    <w:rsid w:val="00472C5C"/>
    <w:rsid w:val="00485F8A"/>
    <w:rsid w:val="004C44F6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309F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573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3D4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6A68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940E8"/>
  <w15:docId w15:val="{42628D55-A08B-44E4-9EFD-C88C585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76A6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C76A6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ussarova\AppData\Local\Temp\ECE-TRANS-2022-13e%20Figure%201_TRANS_self-revised-1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ussarova\AppData\Local\Temp\ECE-TRANS-2022-13e%20Figure%202_TRANS_Self-revised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38812737637923E-2"/>
          <c:y val="5.1257408297292965E-2"/>
          <c:w val="0.92743487474939257"/>
          <c:h val="0.682431598981410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Sheet1!$A$16</c:f>
              <c:strCache>
                <c:ptCount val="1"/>
                <c:pt idx="0">
                  <c:v>Дорожная перевозка опасных грузов (ДОПОГ), 1957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Sheet1!$B$15:$BU$15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Sheet1!$B$16:$BU$16</c:f>
              <c:numCache>
                <c:formatCode>General</c:formatCode>
                <c:ptCount val="72"/>
                <c:pt idx="10">
                  <c:v>2</c:v>
                </c:pt>
                <c:pt idx="13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9">
                  <c:v>2</c:v>
                </c:pt>
                <c:pt idx="31">
                  <c:v>1</c:v>
                </c:pt>
                <c:pt idx="38">
                  <c:v>1</c:v>
                </c:pt>
                <c:pt idx="42">
                  <c:v>2</c:v>
                </c:pt>
                <c:pt idx="43">
                  <c:v>4</c:v>
                </c:pt>
                <c:pt idx="44">
                  <c:v>3</c:v>
                </c:pt>
                <c:pt idx="45">
                  <c:v>2</c:v>
                </c:pt>
                <c:pt idx="46">
                  <c:v>2</c:v>
                </c:pt>
                <c:pt idx="47">
                  <c:v>1</c:v>
                </c:pt>
                <c:pt idx="48">
                  <c:v>1</c:v>
                </c:pt>
                <c:pt idx="50">
                  <c:v>2</c:v>
                </c:pt>
                <c:pt idx="51">
                  <c:v>3</c:v>
                </c:pt>
                <c:pt idx="54">
                  <c:v>1</c:v>
                </c:pt>
                <c:pt idx="55">
                  <c:v>1</c:v>
                </c:pt>
                <c:pt idx="56">
                  <c:v>2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2</c:v>
                </c:pt>
                <c:pt idx="66">
                  <c:v>1</c:v>
                </c:pt>
                <c:pt idx="68">
                  <c:v>2</c:v>
                </c:pt>
                <c:pt idx="7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A-4D15-9D70-4F335E101BC9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Глобальные правила для транспортных средств, 1998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Sheet1!$B$15:$BU$15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Sheet1!$B$17:$BU$17</c:f>
              <c:numCache>
                <c:formatCode>General</c:formatCode>
                <c:ptCount val="72"/>
                <c:pt idx="49">
                  <c:v>3</c:v>
                </c:pt>
                <c:pt idx="50">
                  <c:v>8</c:v>
                </c:pt>
                <c:pt idx="51">
                  <c:v>6</c:v>
                </c:pt>
                <c:pt idx="52">
                  <c:v>5</c:v>
                </c:pt>
                <c:pt idx="54">
                  <c:v>1</c:v>
                </c:pt>
                <c:pt idx="55">
                  <c:v>2</c:v>
                </c:pt>
                <c:pt idx="56">
                  <c:v>3</c:v>
                </c:pt>
                <c:pt idx="57">
                  <c:v>2</c:v>
                </c:pt>
                <c:pt idx="58">
                  <c:v>1</c:v>
                </c:pt>
                <c:pt idx="61">
                  <c:v>2</c:v>
                </c:pt>
                <c:pt idx="64">
                  <c:v>1</c:v>
                </c:pt>
                <c:pt idx="65">
                  <c:v>2</c:v>
                </c:pt>
                <c:pt idx="6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CA-4D15-9D70-4F335E101BC9}"/>
            </c:ext>
          </c:extLst>
        </c:ser>
        <c:ser>
          <c:idx val="2"/>
          <c:order val="2"/>
          <c:tx>
            <c:strRef>
              <c:f>Sheet1!$A$18</c:f>
              <c:strCache>
                <c:ptCount val="1"/>
                <c:pt idx="0">
                  <c:v> Дорожные знаки и сигналы, 1968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Sheet1!$B$15:$BU$15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Sheet1!$B$18:$BU$18</c:f>
              <c:numCache>
                <c:formatCode>General</c:formatCode>
                <c:ptCount val="72"/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4</c:v>
                </c:pt>
                <c:pt idx="25">
                  <c:v>1</c:v>
                </c:pt>
                <c:pt idx="26">
                  <c:v>2</c:v>
                </c:pt>
                <c:pt idx="27">
                  <c:v>3</c:v>
                </c:pt>
                <c:pt idx="28">
                  <c:v>2</c:v>
                </c:pt>
                <c:pt idx="30">
                  <c:v>4</c:v>
                </c:pt>
                <c:pt idx="31">
                  <c:v>1</c:v>
                </c:pt>
                <c:pt idx="32">
                  <c:v>1</c:v>
                </c:pt>
                <c:pt idx="34">
                  <c:v>1</c:v>
                </c:pt>
                <c:pt idx="35">
                  <c:v>4</c:v>
                </c:pt>
                <c:pt idx="36">
                  <c:v>2</c:v>
                </c:pt>
                <c:pt idx="38">
                  <c:v>3</c:v>
                </c:pt>
                <c:pt idx="41">
                  <c:v>2</c:v>
                </c:pt>
                <c:pt idx="42">
                  <c:v>2</c:v>
                </c:pt>
                <c:pt idx="43">
                  <c:v>4</c:v>
                </c:pt>
                <c:pt idx="44">
                  <c:v>3</c:v>
                </c:pt>
                <c:pt idx="45">
                  <c:v>1</c:v>
                </c:pt>
                <c:pt idx="47">
                  <c:v>2</c:v>
                </c:pt>
                <c:pt idx="49">
                  <c:v>1</c:v>
                </c:pt>
                <c:pt idx="51">
                  <c:v>2</c:v>
                </c:pt>
                <c:pt idx="54">
                  <c:v>2</c:v>
                </c:pt>
                <c:pt idx="55">
                  <c:v>1</c:v>
                </c:pt>
                <c:pt idx="56">
                  <c:v>2</c:v>
                </c:pt>
                <c:pt idx="57">
                  <c:v>1</c:v>
                </c:pt>
                <c:pt idx="58">
                  <c:v>2</c:v>
                </c:pt>
                <c:pt idx="59">
                  <c:v>1</c:v>
                </c:pt>
                <c:pt idx="61">
                  <c:v>3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CA-4D15-9D70-4F335E101BC9}"/>
            </c:ext>
          </c:extLst>
        </c:ser>
        <c:ser>
          <c:idx val="3"/>
          <c:order val="3"/>
          <c:tx>
            <c:strRef>
              <c:f>Sheet1!$A$19</c:f>
              <c:strCache>
                <c:ptCount val="1"/>
                <c:pt idx="0">
                  <c:v>Дорожное движение, 1949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Sheet1!$B$15:$BU$15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Sheet1!$B$19:$BU$19</c:f>
              <c:numCache>
                <c:formatCode>General</c:formatCode>
                <c:ptCount val="72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7</c:v>
                </c:pt>
                <c:pt idx="8">
                  <c:v>6</c:v>
                </c:pt>
                <c:pt idx="9">
                  <c:v>3</c:v>
                </c:pt>
                <c:pt idx="10">
                  <c:v>3</c:v>
                </c:pt>
                <c:pt idx="11">
                  <c:v>5</c:v>
                </c:pt>
                <c:pt idx="12">
                  <c:v>16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1</c:v>
                </c:pt>
                <c:pt idx="17">
                  <c:v>1</c:v>
                </c:pt>
                <c:pt idx="19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8">
                  <c:v>1</c:v>
                </c:pt>
                <c:pt idx="31">
                  <c:v>1</c:v>
                </c:pt>
                <c:pt idx="33">
                  <c:v>1</c:v>
                </c:pt>
                <c:pt idx="43">
                  <c:v>4</c:v>
                </c:pt>
                <c:pt idx="44">
                  <c:v>1</c:v>
                </c:pt>
                <c:pt idx="48">
                  <c:v>1</c:v>
                </c:pt>
                <c:pt idx="51">
                  <c:v>1</c:v>
                </c:pt>
                <c:pt idx="56">
                  <c:v>1</c:v>
                </c:pt>
                <c:pt idx="57">
                  <c:v>1</c:v>
                </c:pt>
                <c:pt idx="59">
                  <c:v>1</c:v>
                </c:pt>
                <c:pt idx="61">
                  <c:v>1</c:v>
                </c:pt>
                <c:pt idx="67">
                  <c:v>1</c:v>
                </c:pt>
                <c:pt idx="69">
                  <c:v>1</c:v>
                </c:pt>
                <c:pt idx="70">
                  <c:v>3</c:v>
                </c:pt>
                <c:pt idx="7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CA-4D15-9D70-4F335E101BC9}"/>
            </c:ext>
          </c:extLst>
        </c:ser>
        <c:ser>
          <c:idx val="4"/>
          <c:order val="4"/>
          <c:tx>
            <c:strRef>
              <c:f>Sheet1!$A$20</c:f>
              <c:strCache>
                <c:ptCount val="1"/>
                <c:pt idx="0">
                  <c:v>Дорожное движение, 1968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Sheet1!$B$15:$BU$15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Sheet1!$B$20:$BU$20</c:f>
              <c:numCache>
                <c:formatCode>General</c:formatCode>
                <c:ptCount val="72"/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3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4</c:v>
                </c:pt>
                <c:pt idx="28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1</c:v>
                </c:pt>
                <c:pt idx="34">
                  <c:v>1</c:v>
                </c:pt>
                <c:pt idx="35">
                  <c:v>4</c:v>
                </c:pt>
                <c:pt idx="36">
                  <c:v>3</c:v>
                </c:pt>
                <c:pt idx="38">
                  <c:v>2</c:v>
                </c:pt>
                <c:pt idx="41">
                  <c:v>3</c:v>
                </c:pt>
                <c:pt idx="42">
                  <c:v>4</c:v>
                </c:pt>
                <c:pt idx="43">
                  <c:v>7</c:v>
                </c:pt>
                <c:pt idx="44">
                  <c:v>2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4">
                  <c:v>1</c:v>
                </c:pt>
                <c:pt idx="55">
                  <c:v>2</c:v>
                </c:pt>
                <c:pt idx="56">
                  <c:v>3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3">
                  <c:v>2</c:v>
                </c:pt>
                <c:pt idx="64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3</c:v>
                </c:pt>
                <c:pt idx="69">
                  <c:v>2</c:v>
                </c:pt>
                <c:pt idx="70">
                  <c:v>4</c:v>
                </c:pt>
                <c:pt idx="7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CA-4D15-9D70-4F335E101BC9}"/>
            </c:ext>
          </c:extLst>
        </c:ser>
        <c:ser>
          <c:idx val="5"/>
          <c:order val="5"/>
          <c:tx>
            <c:strRef>
              <c:f>Sheet1!$A$21</c:f>
              <c:strCache>
                <c:ptCount val="1"/>
                <c:pt idx="0">
                  <c:v>Технические осмотры транспортных средств, 1997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Sheet1!$B$15:$BU$15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Sheet1!$B$21:$BU$21</c:f>
              <c:numCache>
                <c:formatCode>General</c:formatCode>
                <c:ptCount val="72"/>
                <c:pt idx="47">
                  <c:v>1</c:v>
                </c:pt>
                <c:pt idx="48">
                  <c:v>1</c:v>
                </c:pt>
                <c:pt idx="49">
                  <c:v>2</c:v>
                </c:pt>
                <c:pt idx="50">
                  <c:v>1</c:v>
                </c:pt>
                <c:pt idx="51">
                  <c:v>1</c:v>
                </c:pt>
                <c:pt idx="53">
                  <c:v>1</c:v>
                </c:pt>
                <c:pt idx="54">
                  <c:v>2</c:v>
                </c:pt>
                <c:pt idx="57">
                  <c:v>2</c:v>
                </c:pt>
                <c:pt idx="61">
                  <c:v>1</c:v>
                </c:pt>
                <c:pt idx="65">
                  <c:v>1</c:v>
                </c:pt>
                <c:pt idx="66">
                  <c:v>1</c:v>
                </c:pt>
                <c:pt idx="68">
                  <c:v>1</c:v>
                </c:pt>
                <c:pt idx="6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CA-4D15-9D70-4F335E101BC9}"/>
            </c:ext>
          </c:extLst>
        </c:ser>
        <c:ser>
          <c:idx val="6"/>
          <c:order val="6"/>
          <c:tx>
            <c:strRef>
              <c:f>Sheet1!$A$22</c:f>
              <c:strCache>
                <c:ptCount val="1"/>
                <c:pt idx="0">
                  <c:v>Правила для транспортных средств, 1958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Sheet1!$B$15:$BU$15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Sheet1!$B$22:$BU$22</c:f>
              <c:numCache>
                <c:formatCode>General</c:formatCode>
                <c:ptCount val="72"/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3">
                  <c:v>2</c:v>
                </c:pt>
                <c:pt idx="15">
                  <c:v>1</c:v>
                </c:pt>
                <c:pt idx="21">
                  <c:v>2</c:v>
                </c:pt>
                <c:pt idx="23">
                  <c:v>1</c:v>
                </c:pt>
                <c:pt idx="25">
                  <c:v>1</c:v>
                </c:pt>
                <c:pt idx="26">
                  <c:v>3</c:v>
                </c:pt>
                <c:pt idx="29">
                  <c:v>1</c:v>
                </c:pt>
                <c:pt idx="30">
                  <c:v>1</c:v>
                </c:pt>
                <c:pt idx="36">
                  <c:v>1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3</c:v>
                </c:pt>
                <c:pt idx="48">
                  <c:v>4</c:v>
                </c:pt>
                <c:pt idx="49">
                  <c:v>1</c:v>
                </c:pt>
                <c:pt idx="50">
                  <c:v>2</c:v>
                </c:pt>
                <c:pt idx="51">
                  <c:v>3</c:v>
                </c:pt>
                <c:pt idx="52">
                  <c:v>2</c:v>
                </c:pt>
                <c:pt idx="54">
                  <c:v>1</c:v>
                </c:pt>
                <c:pt idx="56">
                  <c:v>3</c:v>
                </c:pt>
                <c:pt idx="57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5">
                  <c:v>2</c:v>
                </c:pt>
                <c:pt idx="66">
                  <c:v>1</c:v>
                </c:pt>
                <c:pt idx="68">
                  <c:v>2</c:v>
                </c:pt>
                <c:pt idx="7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CA-4D15-9D70-4F335E101BC9}"/>
            </c:ext>
          </c:extLst>
        </c:ser>
        <c:ser>
          <c:idx val="7"/>
          <c:order val="7"/>
          <c:tx>
            <c:strRef>
              <c:f>Sheet1!$A$23</c:f>
              <c:strCache>
                <c:ptCount val="1"/>
                <c:pt idx="0">
                  <c:v>Экипажи трансп. ср-в, производящих международные автомобильные перевозки (ЕСТР), 1970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Sheet1!$B$15:$BU$15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Sheet1!$B$23:$BU$23</c:f>
              <c:numCache>
                <c:formatCode>General</c:formatCode>
                <c:ptCount val="72"/>
                <c:pt idx="21">
                  <c:v>1</c:v>
                </c:pt>
                <c:pt idx="23">
                  <c:v>3</c:v>
                </c:pt>
                <c:pt idx="24">
                  <c:v>1</c:v>
                </c:pt>
                <c:pt idx="25">
                  <c:v>2</c:v>
                </c:pt>
                <c:pt idx="27">
                  <c:v>4</c:v>
                </c:pt>
                <c:pt idx="28">
                  <c:v>4</c:v>
                </c:pt>
                <c:pt idx="29">
                  <c:v>1</c:v>
                </c:pt>
                <c:pt idx="42">
                  <c:v>2</c:v>
                </c:pt>
                <c:pt idx="43">
                  <c:v>6</c:v>
                </c:pt>
                <c:pt idx="44">
                  <c:v>3</c:v>
                </c:pt>
                <c:pt idx="45">
                  <c:v>2</c:v>
                </c:pt>
                <c:pt idx="46">
                  <c:v>3</c:v>
                </c:pt>
                <c:pt idx="47">
                  <c:v>1</c:v>
                </c:pt>
                <c:pt idx="48">
                  <c:v>2</c:v>
                </c:pt>
                <c:pt idx="49">
                  <c:v>3</c:v>
                </c:pt>
                <c:pt idx="50">
                  <c:v>1</c:v>
                </c:pt>
                <c:pt idx="51">
                  <c:v>2</c:v>
                </c:pt>
                <c:pt idx="53">
                  <c:v>1</c:v>
                </c:pt>
                <c:pt idx="54">
                  <c:v>1</c:v>
                </c:pt>
                <c:pt idx="56">
                  <c:v>4</c:v>
                </c:pt>
                <c:pt idx="57">
                  <c:v>1</c:v>
                </c:pt>
                <c:pt idx="58">
                  <c:v>1</c:v>
                </c:pt>
                <c:pt idx="61">
                  <c:v>2</c:v>
                </c:pt>
                <c:pt idx="7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CA-4D15-9D70-4F335E101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32034024"/>
        <c:axId val="432031400"/>
      </c:barChart>
      <c:catAx>
        <c:axId val="432034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031400"/>
        <c:crosses val="autoZero"/>
        <c:auto val="1"/>
        <c:lblAlgn val="ctr"/>
        <c:lblOffset val="100"/>
        <c:noMultiLvlLbl val="0"/>
      </c:catAx>
      <c:valAx>
        <c:axId val="43203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03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Sheet3!$L$1</c:f>
              <c:strCache>
                <c:ptCount val="1"/>
                <c:pt idx="0">
                  <c:v>Дорожная перевозка опасных грузов (ДОПОГ), 1957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Sheet3!$K$2:$K$73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Sheet3!$L$2:$L$73</c:f>
              <c:numCache>
                <c:formatCode>General</c:formatCode>
                <c:ptCount val="72"/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8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14</c:v>
                </c:pt>
                <c:pt idx="28">
                  <c:v>14</c:v>
                </c:pt>
                <c:pt idx="29">
                  <c:v>16</c:v>
                </c:pt>
                <c:pt idx="30">
                  <c:v>16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17</c:v>
                </c:pt>
                <c:pt idx="35">
                  <c:v>17</c:v>
                </c:pt>
                <c:pt idx="36">
                  <c:v>17</c:v>
                </c:pt>
                <c:pt idx="37">
                  <c:v>17</c:v>
                </c:pt>
                <c:pt idx="38">
                  <c:v>18</c:v>
                </c:pt>
                <c:pt idx="39">
                  <c:v>18</c:v>
                </c:pt>
                <c:pt idx="40">
                  <c:v>18</c:v>
                </c:pt>
                <c:pt idx="41">
                  <c:v>18</c:v>
                </c:pt>
                <c:pt idx="42">
                  <c:v>20</c:v>
                </c:pt>
                <c:pt idx="43">
                  <c:v>24</c:v>
                </c:pt>
                <c:pt idx="44">
                  <c:v>27</c:v>
                </c:pt>
                <c:pt idx="45">
                  <c:v>29</c:v>
                </c:pt>
                <c:pt idx="46">
                  <c:v>31</c:v>
                </c:pt>
                <c:pt idx="47">
                  <c:v>32</c:v>
                </c:pt>
                <c:pt idx="48">
                  <c:v>33</c:v>
                </c:pt>
                <c:pt idx="49">
                  <c:v>33</c:v>
                </c:pt>
                <c:pt idx="50">
                  <c:v>35</c:v>
                </c:pt>
                <c:pt idx="51">
                  <c:v>38</c:v>
                </c:pt>
                <c:pt idx="52">
                  <c:v>38</c:v>
                </c:pt>
                <c:pt idx="53">
                  <c:v>38</c:v>
                </c:pt>
                <c:pt idx="54">
                  <c:v>39</c:v>
                </c:pt>
                <c:pt idx="55">
                  <c:v>40</c:v>
                </c:pt>
                <c:pt idx="56">
                  <c:v>42</c:v>
                </c:pt>
                <c:pt idx="57">
                  <c:v>43</c:v>
                </c:pt>
                <c:pt idx="58">
                  <c:v>44</c:v>
                </c:pt>
                <c:pt idx="59">
                  <c:v>45</c:v>
                </c:pt>
                <c:pt idx="60">
                  <c:v>46</c:v>
                </c:pt>
                <c:pt idx="61">
                  <c:v>48</c:v>
                </c:pt>
                <c:pt idx="62">
                  <c:v>48</c:v>
                </c:pt>
                <c:pt idx="63">
                  <c:v>48</c:v>
                </c:pt>
                <c:pt idx="64">
                  <c:v>48</c:v>
                </c:pt>
                <c:pt idx="65">
                  <c:v>48</c:v>
                </c:pt>
                <c:pt idx="66">
                  <c:v>49</c:v>
                </c:pt>
                <c:pt idx="67">
                  <c:v>49</c:v>
                </c:pt>
                <c:pt idx="68">
                  <c:v>51</c:v>
                </c:pt>
                <c:pt idx="69">
                  <c:v>51</c:v>
                </c:pt>
                <c:pt idx="70">
                  <c:v>52</c:v>
                </c:pt>
                <c:pt idx="71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81-4480-97B8-532FF2CD360A}"/>
            </c:ext>
          </c:extLst>
        </c:ser>
        <c:ser>
          <c:idx val="1"/>
          <c:order val="1"/>
          <c:tx>
            <c:strRef>
              <c:f>Sheet3!$M$1</c:f>
              <c:strCache>
                <c:ptCount val="1"/>
                <c:pt idx="0">
                  <c:v>Глобальные правила для транспортных средств, 1998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Sheet3!$K$2:$K$73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Sheet3!$M$2:$M$73</c:f>
              <c:numCache>
                <c:formatCode>General</c:formatCode>
                <c:ptCount val="72"/>
                <c:pt idx="49">
                  <c:v>3</c:v>
                </c:pt>
                <c:pt idx="50">
                  <c:v>11</c:v>
                </c:pt>
                <c:pt idx="51">
                  <c:v>17</c:v>
                </c:pt>
                <c:pt idx="52">
                  <c:v>22</c:v>
                </c:pt>
                <c:pt idx="53">
                  <c:v>22</c:v>
                </c:pt>
                <c:pt idx="54">
                  <c:v>23</c:v>
                </c:pt>
                <c:pt idx="55">
                  <c:v>25</c:v>
                </c:pt>
                <c:pt idx="56">
                  <c:v>28</c:v>
                </c:pt>
                <c:pt idx="57">
                  <c:v>30</c:v>
                </c:pt>
                <c:pt idx="58">
                  <c:v>31</c:v>
                </c:pt>
                <c:pt idx="59">
                  <c:v>31</c:v>
                </c:pt>
                <c:pt idx="60">
                  <c:v>31</c:v>
                </c:pt>
                <c:pt idx="61">
                  <c:v>33</c:v>
                </c:pt>
                <c:pt idx="62">
                  <c:v>33</c:v>
                </c:pt>
                <c:pt idx="63">
                  <c:v>33</c:v>
                </c:pt>
                <c:pt idx="64">
                  <c:v>34</c:v>
                </c:pt>
                <c:pt idx="65">
                  <c:v>36</c:v>
                </c:pt>
                <c:pt idx="66">
                  <c:v>36</c:v>
                </c:pt>
                <c:pt idx="67">
                  <c:v>36</c:v>
                </c:pt>
                <c:pt idx="68">
                  <c:v>38</c:v>
                </c:pt>
                <c:pt idx="69">
                  <c:v>38</c:v>
                </c:pt>
                <c:pt idx="70">
                  <c:v>38</c:v>
                </c:pt>
                <c:pt idx="71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81-4480-97B8-532FF2CD360A}"/>
            </c:ext>
          </c:extLst>
        </c:ser>
        <c:ser>
          <c:idx val="2"/>
          <c:order val="2"/>
          <c:tx>
            <c:strRef>
              <c:f>Sheet3!$N$1</c:f>
              <c:strCache>
                <c:ptCount val="1"/>
                <c:pt idx="0">
                  <c:v> Дорожные знаки и сигналы, 1968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Sheet3!$K$2:$K$73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Sheet3!$N$2:$N$73</c:f>
              <c:numCache>
                <c:formatCode>General</c:formatCode>
                <c:ptCount val="72"/>
                <c:pt idx="20">
                  <c:v>1</c:v>
                </c:pt>
                <c:pt idx="21">
                  <c:v>2</c:v>
                </c:pt>
                <c:pt idx="22">
                  <c:v>3</c:v>
                </c:pt>
                <c:pt idx="23">
                  <c:v>5</c:v>
                </c:pt>
                <c:pt idx="24">
                  <c:v>9</c:v>
                </c:pt>
                <c:pt idx="25">
                  <c:v>10</c:v>
                </c:pt>
                <c:pt idx="26">
                  <c:v>12</c:v>
                </c:pt>
                <c:pt idx="27">
                  <c:v>15</c:v>
                </c:pt>
                <c:pt idx="28">
                  <c:v>17</c:v>
                </c:pt>
                <c:pt idx="29">
                  <c:v>17</c:v>
                </c:pt>
                <c:pt idx="30">
                  <c:v>21</c:v>
                </c:pt>
                <c:pt idx="31">
                  <c:v>22</c:v>
                </c:pt>
                <c:pt idx="32">
                  <c:v>23</c:v>
                </c:pt>
                <c:pt idx="33">
                  <c:v>23</c:v>
                </c:pt>
                <c:pt idx="34">
                  <c:v>24</c:v>
                </c:pt>
                <c:pt idx="35">
                  <c:v>28</c:v>
                </c:pt>
                <c:pt idx="36">
                  <c:v>30</c:v>
                </c:pt>
                <c:pt idx="37">
                  <c:v>30</c:v>
                </c:pt>
                <c:pt idx="38">
                  <c:v>33</c:v>
                </c:pt>
                <c:pt idx="39">
                  <c:v>33</c:v>
                </c:pt>
                <c:pt idx="40">
                  <c:v>33</c:v>
                </c:pt>
                <c:pt idx="41">
                  <c:v>35</c:v>
                </c:pt>
                <c:pt idx="42">
                  <c:v>37</c:v>
                </c:pt>
                <c:pt idx="43">
                  <c:v>41</c:v>
                </c:pt>
                <c:pt idx="44">
                  <c:v>44</c:v>
                </c:pt>
                <c:pt idx="45">
                  <c:v>45</c:v>
                </c:pt>
                <c:pt idx="46">
                  <c:v>45</c:v>
                </c:pt>
                <c:pt idx="47">
                  <c:v>47</c:v>
                </c:pt>
                <c:pt idx="48">
                  <c:v>47</c:v>
                </c:pt>
                <c:pt idx="49">
                  <c:v>48</c:v>
                </c:pt>
                <c:pt idx="50">
                  <c:v>48</c:v>
                </c:pt>
                <c:pt idx="51">
                  <c:v>50</c:v>
                </c:pt>
                <c:pt idx="52">
                  <c:v>50</c:v>
                </c:pt>
                <c:pt idx="53">
                  <c:v>50</c:v>
                </c:pt>
                <c:pt idx="54">
                  <c:v>52</c:v>
                </c:pt>
                <c:pt idx="55">
                  <c:v>53</c:v>
                </c:pt>
                <c:pt idx="56">
                  <c:v>55</c:v>
                </c:pt>
                <c:pt idx="57">
                  <c:v>56</c:v>
                </c:pt>
                <c:pt idx="58">
                  <c:v>58</c:v>
                </c:pt>
                <c:pt idx="59">
                  <c:v>59</c:v>
                </c:pt>
                <c:pt idx="60">
                  <c:v>59</c:v>
                </c:pt>
                <c:pt idx="61">
                  <c:v>62</c:v>
                </c:pt>
                <c:pt idx="62">
                  <c:v>62</c:v>
                </c:pt>
                <c:pt idx="63">
                  <c:v>62</c:v>
                </c:pt>
                <c:pt idx="64">
                  <c:v>63</c:v>
                </c:pt>
                <c:pt idx="65">
                  <c:v>64</c:v>
                </c:pt>
                <c:pt idx="66">
                  <c:v>65</c:v>
                </c:pt>
                <c:pt idx="67">
                  <c:v>65</c:v>
                </c:pt>
                <c:pt idx="68">
                  <c:v>66</c:v>
                </c:pt>
                <c:pt idx="69">
                  <c:v>67</c:v>
                </c:pt>
                <c:pt idx="70">
                  <c:v>68</c:v>
                </c:pt>
                <c:pt idx="71">
                  <c:v>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481-4480-97B8-532FF2CD360A}"/>
            </c:ext>
          </c:extLst>
        </c:ser>
        <c:ser>
          <c:idx val="3"/>
          <c:order val="3"/>
          <c:tx>
            <c:strRef>
              <c:f>Sheet3!$O$1</c:f>
              <c:strCache>
                <c:ptCount val="1"/>
                <c:pt idx="0">
                  <c:v>Дорожное движение, 1949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Sheet3!$K$2:$K$73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Sheet3!$O$2:$O$73</c:f>
              <c:numCache>
                <c:formatCode>General</c:formatCode>
                <c:ptCount val="72"/>
                <c:pt idx="0">
                  <c:v>2</c:v>
                </c:pt>
                <c:pt idx="1">
                  <c:v>3</c:v>
                </c:pt>
                <c:pt idx="2">
                  <c:v>11</c:v>
                </c:pt>
                <c:pt idx="3">
                  <c:v>14</c:v>
                </c:pt>
                <c:pt idx="4">
                  <c:v>16</c:v>
                </c:pt>
                <c:pt idx="5">
                  <c:v>19</c:v>
                </c:pt>
                <c:pt idx="6">
                  <c:v>23</c:v>
                </c:pt>
                <c:pt idx="7">
                  <c:v>30</c:v>
                </c:pt>
                <c:pt idx="8">
                  <c:v>36</c:v>
                </c:pt>
                <c:pt idx="9">
                  <c:v>39</c:v>
                </c:pt>
                <c:pt idx="10">
                  <c:v>42</c:v>
                </c:pt>
                <c:pt idx="11">
                  <c:v>47</c:v>
                </c:pt>
                <c:pt idx="12">
                  <c:v>63</c:v>
                </c:pt>
                <c:pt idx="13">
                  <c:v>67</c:v>
                </c:pt>
                <c:pt idx="14">
                  <c:v>70</c:v>
                </c:pt>
                <c:pt idx="15">
                  <c:v>74</c:v>
                </c:pt>
                <c:pt idx="16">
                  <c:v>75</c:v>
                </c:pt>
                <c:pt idx="17">
                  <c:v>76</c:v>
                </c:pt>
                <c:pt idx="18">
                  <c:v>76</c:v>
                </c:pt>
                <c:pt idx="19">
                  <c:v>77</c:v>
                </c:pt>
                <c:pt idx="20">
                  <c:v>77</c:v>
                </c:pt>
                <c:pt idx="21">
                  <c:v>79</c:v>
                </c:pt>
                <c:pt idx="22">
                  <c:v>81</c:v>
                </c:pt>
                <c:pt idx="23">
                  <c:v>82</c:v>
                </c:pt>
                <c:pt idx="24">
                  <c:v>82</c:v>
                </c:pt>
                <c:pt idx="25">
                  <c:v>82</c:v>
                </c:pt>
                <c:pt idx="26">
                  <c:v>82</c:v>
                </c:pt>
                <c:pt idx="27">
                  <c:v>82</c:v>
                </c:pt>
                <c:pt idx="28">
                  <c:v>83</c:v>
                </c:pt>
                <c:pt idx="29">
                  <c:v>83</c:v>
                </c:pt>
                <c:pt idx="30">
                  <c:v>83</c:v>
                </c:pt>
                <c:pt idx="31">
                  <c:v>84</c:v>
                </c:pt>
                <c:pt idx="32">
                  <c:v>84</c:v>
                </c:pt>
                <c:pt idx="33">
                  <c:v>85</c:v>
                </c:pt>
                <c:pt idx="34">
                  <c:v>85</c:v>
                </c:pt>
                <c:pt idx="35">
                  <c:v>85</c:v>
                </c:pt>
                <c:pt idx="36">
                  <c:v>85</c:v>
                </c:pt>
                <c:pt idx="37">
                  <c:v>85</c:v>
                </c:pt>
                <c:pt idx="38">
                  <c:v>85</c:v>
                </c:pt>
                <c:pt idx="39">
                  <c:v>85</c:v>
                </c:pt>
                <c:pt idx="40">
                  <c:v>85</c:v>
                </c:pt>
                <c:pt idx="41">
                  <c:v>85</c:v>
                </c:pt>
                <c:pt idx="42">
                  <c:v>85</c:v>
                </c:pt>
                <c:pt idx="43">
                  <c:v>89</c:v>
                </c:pt>
                <c:pt idx="44">
                  <c:v>90</c:v>
                </c:pt>
                <c:pt idx="45">
                  <c:v>90</c:v>
                </c:pt>
                <c:pt idx="46">
                  <c:v>90</c:v>
                </c:pt>
                <c:pt idx="47">
                  <c:v>90</c:v>
                </c:pt>
                <c:pt idx="48">
                  <c:v>91</c:v>
                </c:pt>
                <c:pt idx="49">
                  <c:v>91</c:v>
                </c:pt>
                <c:pt idx="50">
                  <c:v>91</c:v>
                </c:pt>
                <c:pt idx="51">
                  <c:v>92</c:v>
                </c:pt>
                <c:pt idx="52">
                  <c:v>92</c:v>
                </c:pt>
                <c:pt idx="53">
                  <c:v>92</c:v>
                </c:pt>
                <c:pt idx="54">
                  <c:v>92</c:v>
                </c:pt>
                <c:pt idx="55">
                  <c:v>92</c:v>
                </c:pt>
                <c:pt idx="56">
                  <c:v>93</c:v>
                </c:pt>
                <c:pt idx="57">
                  <c:v>94</c:v>
                </c:pt>
                <c:pt idx="58">
                  <c:v>94</c:v>
                </c:pt>
                <c:pt idx="59">
                  <c:v>95</c:v>
                </c:pt>
                <c:pt idx="60">
                  <c:v>95</c:v>
                </c:pt>
                <c:pt idx="61">
                  <c:v>96</c:v>
                </c:pt>
                <c:pt idx="62">
                  <c:v>96</c:v>
                </c:pt>
                <c:pt idx="63">
                  <c:v>96</c:v>
                </c:pt>
                <c:pt idx="64">
                  <c:v>96</c:v>
                </c:pt>
                <c:pt idx="65">
                  <c:v>96</c:v>
                </c:pt>
                <c:pt idx="66">
                  <c:v>96</c:v>
                </c:pt>
                <c:pt idx="67">
                  <c:v>97</c:v>
                </c:pt>
                <c:pt idx="68">
                  <c:v>97</c:v>
                </c:pt>
                <c:pt idx="69">
                  <c:v>98</c:v>
                </c:pt>
                <c:pt idx="70">
                  <c:v>101</c:v>
                </c:pt>
                <c:pt idx="71">
                  <c:v>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481-4480-97B8-532FF2CD360A}"/>
            </c:ext>
          </c:extLst>
        </c:ser>
        <c:ser>
          <c:idx val="4"/>
          <c:order val="4"/>
          <c:tx>
            <c:strRef>
              <c:f>Sheet3!$P$1</c:f>
              <c:strCache>
                <c:ptCount val="1"/>
                <c:pt idx="0">
                  <c:v>Дорожное движение, 1968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Sheet3!$K$2:$K$73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Sheet3!$P$2:$P$73</c:f>
              <c:numCache>
                <c:formatCode>General</c:formatCode>
                <c:ptCount val="72"/>
                <c:pt idx="20">
                  <c:v>1</c:v>
                </c:pt>
                <c:pt idx="21">
                  <c:v>3</c:v>
                </c:pt>
                <c:pt idx="22">
                  <c:v>4</c:v>
                </c:pt>
                <c:pt idx="23">
                  <c:v>7</c:v>
                </c:pt>
                <c:pt idx="24">
                  <c:v>10</c:v>
                </c:pt>
                <c:pt idx="25">
                  <c:v>12</c:v>
                </c:pt>
                <c:pt idx="26">
                  <c:v>14</c:v>
                </c:pt>
                <c:pt idx="27">
                  <c:v>18</c:v>
                </c:pt>
                <c:pt idx="28">
                  <c:v>21</c:v>
                </c:pt>
                <c:pt idx="29">
                  <c:v>21</c:v>
                </c:pt>
                <c:pt idx="30">
                  <c:v>24</c:v>
                </c:pt>
                <c:pt idx="31">
                  <c:v>27</c:v>
                </c:pt>
                <c:pt idx="32">
                  <c:v>28</c:v>
                </c:pt>
                <c:pt idx="33">
                  <c:v>28</c:v>
                </c:pt>
                <c:pt idx="34">
                  <c:v>29</c:v>
                </c:pt>
                <c:pt idx="35">
                  <c:v>33</c:v>
                </c:pt>
                <c:pt idx="36">
                  <c:v>36</c:v>
                </c:pt>
                <c:pt idx="37">
                  <c:v>36</c:v>
                </c:pt>
                <c:pt idx="38">
                  <c:v>38</c:v>
                </c:pt>
                <c:pt idx="39">
                  <c:v>38</c:v>
                </c:pt>
                <c:pt idx="40">
                  <c:v>38</c:v>
                </c:pt>
                <c:pt idx="41">
                  <c:v>41</c:v>
                </c:pt>
                <c:pt idx="42">
                  <c:v>45</c:v>
                </c:pt>
                <c:pt idx="43">
                  <c:v>52</c:v>
                </c:pt>
                <c:pt idx="44">
                  <c:v>54</c:v>
                </c:pt>
                <c:pt idx="45">
                  <c:v>55</c:v>
                </c:pt>
                <c:pt idx="46">
                  <c:v>56</c:v>
                </c:pt>
                <c:pt idx="47">
                  <c:v>57</c:v>
                </c:pt>
                <c:pt idx="48">
                  <c:v>57</c:v>
                </c:pt>
                <c:pt idx="49">
                  <c:v>57</c:v>
                </c:pt>
                <c:pt idx="50">
                  <c:v>58</c:v>
                </c:pt>
                <c:pt idx="51">
                  <c:v>59</c:v>
                </c:pt>
                <c:pt idx="52">
                  <c:v>60</c:v>
                </c:pt>
                <c:pt idx="53">
                  <c:v>60</c:v>
                </c:pt>
                <c:pt idx="54">
                  <c:v>61</c:v>
                </c:pt>
                <c:pt idx="55">
                  <c:v>63</c:v>
                </c:pt>
                <c:pt idx="56">
                  <c:v>66</c:v>
                </c:pt>
                <c:pt idx="57">
                  <c:v>67</c:v>
                </c:pt>
                <c:pt idx="58">
                  <c:v>68</c:v>
                </c:pt>
                <c:pt idx="59">
                  <c:v>69</c:v>
                </c:pt>
                <c:pt idx="60">
                  <c:v>70</c:v>
                </c:pt>
                <c:pt idx="61">
                  <c:v>70</c:v>
                </c:pt>
                <c:pt idx="62">
                  <c:v>70</c:v>
                </c:pt>
                <c:pt idx="63">
                  <c:v>72</c:v>
                </c:pt>
                <c:pt idx="64">
                  <c:v>73</c:v>
                </c:pt>
                <c:pt idx="65">
                  <c:v>73</c:v>
                </c:pt>
                <c:pt idx="66">
                  <c:v>74</c:v>
                </c:pt>
                <c:pt idx="67">
                  <c:v>75</c:v>
                </c:pt>
                <c:pt idx="68">
                  <c:v>78</c:v>
                </c:pt>
                <c:pt idx="69">
                  <c:v>80</c:v>
                </c:pt>
                <c:pt idx="70">
                  <c:v>84</c:v>
                </c:pt>
                <c:pt idx="71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481-4480-97B8-532FF2CD360A}"/>
            </c:ext>
          </c:extLst>
        </c:ser>
        <c:ser>
          <c:idx val="5"/>
          <c:order val="5"/>
          <c:tx>
            <c:strRef>
              <c:f>Sheet3!$Q$1</c:f>
              <c:strCache>
                <c:ptCount val="1"/>
                <c:pt idx="0">
                  <c:v>Технические осмотры транспортных средств, 1997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Sheet3!$K$2:$K$73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Sheet3!$Q$2:$Q$73</c:f>
              <c:numCache>
                <c:formatCode>General</c:formatCode>
                <c:ptCount val="72"/>
                <c:pt idx="47">
                  <c:v>1</c:v>
                </c:pt>
                <c:pt idx="48">
                  <c:v>2</c:v>
                </c:pt>
                <c:pt idx="49">
                  <c:v>4</c:v>
                </c:pt>
                <c:pt idx="50">
                  <c:v>5</c:v>
                </c:pt>
                <c:pt idx="51">
                  <c:v>6</c:v>
                </c:pt>
                <c:pt idx="52">
                  <c:v>6</c:v>
                </c:pt>
                <c:pt idx="53">
                  <c:v>7</c:v>
                </c:pt>
                <c:pt idx="54">
                  <c:v>9</c:v>
                </c:pt>
                <c:pt idx="55">
                  <c:v>9</c:v>
                </c:pt>
                <c:pt idx="56">
                  <c:v>9</c:v>
                </c:pt>
                <c:pt idx="57">
                  <c:v>11</c:v>
                </c:pt>
                <c:pt idx="58">
                  <c:v>11</c:v>
                </c:pt>
                <c:pt idx="59">
                  <c:v>11</c:v>
                </c:pt>
                <c:pt idx="60">
                  <c:v>11</c:v>
                </c:pt>
                <c:pt idx="61">
                  <c:v>12</c:v>
                </c:pt>
                <c:pt idx="62">
                  <c:v>12</c:v>
                </c:pt>
                <c:pt idx="63">
                  <c:v>12</c:v>
                </c:pt>
                <c:pt idx="64">
                  <c:v>12</c:v>
                </c:pt>
                <c:pt idx="65">
                  <c:v>13</c:v>
                </c:pt>
                <c:pt idx="66">
                  <c:v>14</c:v>
                </c:pt>
                <c:pt idx="67">
                  <c:v>14</c:v>
                </c:pt>
                <c:pt idx="68">
                  <c:v>15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481-4480-97B8-532FF2CD360A}"/>
            </c:ext>
          </c:extLst>
        </c:ser>
        <c:ser>
          <c:idx val="6"/>
          <c:order val="6"/>
          <c:tx>
            <c:strRef>
              <c:f>Sheet3!$R$1</c:f>
              <c:strCache>
                <c:ptCount val="1"/>
                <c:pt idx="0">
                  <c:v>Правила для транспортных средств, 1958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Sheet3!$K$2:$K$73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Sheet3!$R$2:$R$73</c:f>
              <c:numCache>
                <c:formatCode>General</c:formatCode>
                <c:ptCount val="72"/>
                <c:pt idx="8">
                  <c:v>1</c:v>
                </c:pt>
                <c:pt idx="9">
                  <c:v>3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9</c:v>
                </c:pt>
                <c:pt idx="21">
                  <c:v>11</c:v>
                </c:pt>
                <c:pt idx="22">
                  <c:v>11</c:v>
                </c:pt>
                <c:pt idx="23">
                  <c:v>12</c:v>
                </c:pt>
                <c:pt idx="24">
                  <c:v>12</c:v>
                </c:pt>
                <c:pt idx="25">
                  <c:v>13</c:v>
                </c:pt>
                <c:pt idx="26">
                  <c:v>16</c:v>
                </c:pt>
                <c:pt idx="27">
                  <c:v>16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18</c:v>
                </c:pt>
                <c:pt idx="32">
                  <c:v>18</c:v>
                </c:pt>
                <c:pt idx="33">
                  <c:v>18</c:v>
                </c:pt>
                <c:pt idx="34">
                  <c:v>18</c:v>
                </c:pt>
                <c:pt idx="35">
                  <c:v>18</c:v>
                </c:pt>
                <c:pt idx="36">
                  <c:v>19</c:v>
                </c:pt>
                <c:pt idx="37">
                  <c:v>19</c:v>
                </c:pt>
                <c:pt idx="38">
                  <c:v>19</c:v>
                </c:pt>
                <c:pt idx="39">
                  <c:v>19</c:v>
                </c:pt>
                <c:pt idx="40">
                  <c:v>19</c:v>
                </c:pt>
                <c:pt idx="41">
                  <c:v>19</c:v>
                </c:pt>
                <c:pt idx="42">
                  <c:v>21</c:v>
                </c:pt>
                <c:pt idx="43">
                  <c:v>23</c:v>
                </c:pt>
                <c:pt idx="44">
                  <c:v>25</c:v>
                </c:pt>
                <c:pt idx="45">
                  <c:v>28</c:v>
                </c:pt>
                <c:pt idx="46">
                  <c:v>28</c:v>
                </c:pt>
                <c:pt idx="47">
                  <c:v>28</c:v>
                </c:pt>
                <c:pt idx="48">
                  <c:v>32</c:v>
                </c:pt>
                <c:pt idx="49">
                  <c:v>33</c:v>
                </c:pt>
                <c:pt idx="50">
                  <c:v>35</c:v>
                </c:pt>
                <c:pt idx="51">
                  <c:v>38</c:v>
                </c:pt>
                <c:pt idx="52">
                  <c:v>40</c:v>
                </c:pt>
                <c:pt idx="53">
                  <c:v>40</c:v>
                </c:pt>
                <c:pt idx="54">
                  <c:v>41</c:v>
                </c:pt>
                <c:pt idx="55">
                  <c:v>41</c:v>
                </c:pt>
                <c:pt idx="56">
                  <c:v>44</c:v>
                </c:pt>
                <c:pt idx="57">
                  <c:v>45</c:v>
                </c:pt>
                <c:pt idx="58">
                  <c:v>45</c:v>
                </c:pt>
                <c:pt idx="59">
                  <c:v>45</c:v>
                </c:pt>
                <c:pt idx="60">
                  <c:v>46</c:v>
                </c:pt>
                <c:pt idx="61">
                  <c:v>47</c:v>
                </c:pt>
                <c:pt idx="62">
                  <c:v>48</c:v>
                </c:pt>
                <c:pt idx="63">
                  <c:v>48</c:v>
                </c:pt>
                <c:pt idx="64">
                  <c:v>48</c:v>
                </c:pt>
                <c:pt idx="65">
                  <c:v>50</c:v>
                </c:pt>
                <c:pt idx="66">
                  <c:v>51</c:v>
                </c:pt>
                <c:pt idx="67">
                  <c:v>51</c:v>
                </c:pt>
                <c:pt idx="68">
                  <c:v>53</c:v>
                </c:pt>
                <c:pt idx="69">
                  <c:v>53</c:v>
                </c:pt>
                <c:pt idx="70">
                  <c:v>54</c:v>
                </c:pt>
                <c:pt idx="71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481-4480-97B8-532FF2CD360A}"/>
            </c:ext>
          </c:extLst>
        </c:ser>
        <c:ser>
          <c:idx val="7"/>
          <c:order val="7"/>
          <c:tx>
            <c:strRef>
              <c:f>Sheet3!$S$1</c:f>
              <c:strCache>
                <c:ptCount val="1"/>
                <c:pt idx="0">
                  <c:v>Экипажи трансп. средств, производящих международные автомобильные перевозки (ЕСТР), 1970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Sheet3!$K$2:$K$73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Sheet3!$S$2:$S$73</c:f>
              <c:numCache>
                <c:formatCode>General</c:formatCode>
                <c:ptCount val="72"/>
                <c:pt idx="21">
                  <c:v>1</c:v>
                </c:pt>
                <c:pt idx="22">
                  <c:v>1</c:v>
                </c:pt>
                <c:pt idx="23">
                  <c:v>4</c:v>
                </c:pt>
                <c:pt idx="24">
                  <c:v>5</c:v>
                </c:pt>
                <c:pt idx="25">
                  <c:v>7</c:v>
                </c:pt>
                <c:pt idx="26">
                  <c:v>7</c:v>
                </c:pt>
                <c:pt idx="27">
                  <c:v>11</c:v>
                </c:pt>
                <c:pt idx="28">
                  <c:v>15</c:v>
                </c:pt>
                <c:pt idx="29">
                  <c:v>16</c:v>
                </c:pt>
                <c:pt idx="30">
                  <c:v>16</c:v>
                </c:pt>
                <c:pt idx="31">
                  <c:v>16</c:v>
                </c:pt>
                <c:pt idx="32">
                  <c:v>16</c:v>
                </c:pt>
                <c:pt idx="33">
                  <c:v>16</c:v>
                </c:pt>
                <c:pt idx="34">
                  <c:v>16</c:v>
                </c:pt>
                <c:pt idx="35">
                  <c:v>16</c:v>
                </c:pt>
                <c:pt idx="36">
                  <c:v>16</c:v>
                </c:pt>
                <c:pt idx="37">
                  <c:v>16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18</c:v>
                </c:pt>
                <c:pt idx="43">
                  <c:v>24</c:v>
                </c:pt>
                <c:pt idx="44">
                  <c:v>27</c:v>
                </c:pt>
                <c:pt idx="45">
                  <c:v>29</c:v>
                </c:pt>
                <c:pt idx="46">
                  <c:v>32</c:v>
                </c:pt>
                <c:pt idx="47">
                  <c:v>33</c:v>
                </c:pt>
                <c:pt idx="48">
                  <c:v>35</c:v>
                </c:pt>
                <c:pt idx="49">
                  <c:v>38</c:v>
                </c:pt>
                <c:pt idx="50">
                  <c:v>39</c:v>
                </c:pt>
                <c:pt idx="51">
                  <c:v>41</c:v>
                </c:pt>
                <c:pt idx="52">
                  <c:v>41</c:v>
                </c:pt>
                <c:pt idx="53">
                  <c:v>42</c:v>
                </c:pt>
                <c:pt idx="54">
                  <c:v>43</c:v>
                </c:pt>
                <c:pt idx="55">
                  <c:v>43</c:v>
                </c:pt>
                <c:pt idx="56">
                  <c:v>47</c:v>
                </c:pt>
                <c:pt idx="57">
                  <c:v>48</c:v>
                </c:pt>
                <c:pt idx="58">
                  <c:v>49</c:v>
                </c:pt>
                <c:pt idx="59">
                  <c:v>49</c:v>
                </c:pt>
                <c:pt idx="60">
                  <c:v>49</c:v>
                </c:pt>
                <c:pt idx="61">
                  <c:v>51</c:v>
                </c:pt>
                <c:pt idx="62">
                  <c:v>51</c:v>
                </c:pt>
                <c:pt idx="63">
                  <c:v>51</c:v>
                </c:pt>
                <c:pt idx="64">
                  <c:v>51</c:v>
                </c:pt>
                <c:pt idx="65">
                  <c:v>51</c:v>
                </c:pt>
                <c:pt idx="66">
                  <c:v>51</c:v>
                </c:pt>
                <c:pt idx="67">
                  <c:v>51</c:v>
                </c:pt>
                <c:pt idx="68">
                  <c:v>51</c:v>
                </c:pt>
                <c:pt idx="69">
                  <c:v>51</c:v>
                </c:pt>
                <c:pt idx="70">
                  <c:v>51</c:v>
                </c:pt>
                <c:pt idx="71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481-4480-97B8-532FF2CD3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4986264"/>
        <c:axId val="484987576"/>
      </c:lineChart>
      <c:catAx>
        <c:axId val="4849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987576"/>
        <c:crosses val="autoZero"/>
        <c:auto val="1"/>
        <c:lblAlgn val="ctr"/>
        <c:lblOffset val="100"/>
        <c:noMultiLvlLbl val="0"/>
      </c:catAx>
      <c:valAx>
        <c:axId val="48498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986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AE371-2957-44FB-BAAE-83AE0DD6EB97}"/>
</file>

<file path=customXml/itemProps2.xml><?xml version="1.0" encoding="utf-8"?>
<ds:datastoreItem xmlns:ds="http://schemas.openxmlformats.org/officeDocument/2006/customXml" ds:itemID="{164F22AA-3B9D-4569-8432-74C7802F8987}"/>
</file>

<file path=customXml/itemProps3.xml><?xml version="1.0" encoding="utf-8"?>
<ds:datastoreItem xmlns:ds="http://schemas.openxmlformats.org/officeDocument/2006/customXml" ds:itemID="{EFFB9308-844E-490B-B4DB-90E2A9EFB70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1984</Words>
  <Characters>13061</Characters>
  <Application>Microsoft Office Word</Application>
  <DocSecurity>0</DocSecurity>
  <Lines>243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ECE/TRANS/2022/13</vt:lpstr>
      <vt:lpstr>A/</vt:lpstr>
      <vt:lpstr>A/</vt:lpstr>
    </vt:vector>
  </TitlesOfParts>
  <Company>DCM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ECE/TRANS/2022/13</dc:title>
  <dc:subject/>
  <dc:creator>Ioulia Sergueevna GOUSSAROVA</dc:creator>
  <cp:keywords/>
  <cp:lastModifiedBy>Ioulia Goussarova</cp:lastModifiedBy>
  <cp:revision>3</cp:revision>
  <cp:lastPrinted>2022-01-10T10:19:00Z</cp:lastPrinted>
  <dcterms:created xsi:type="dcterms:W3CDTF">2022-01-10T10:19:00Z</dcterms:created>
  <dcterms:modified xsi:type="dcterms:W3CDTF">2022-01-10T10:19:00Z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