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433FD" w:rsidRPr="00DB58B5" w14:paraId="393FCD11" w14:textId="77777777" w:rsidTr="00295CCA">
        <w:trPr>
          <w:trHeight w:hRule="exact" w:val="851"/>
        </w:trPr>
        <w:tc>
          <w:tcPr>
            <w:tcW w:w="1276" w:type="dxa"/>
            <w:tcBorders>
              <w:bottom w:val="single" w:sz="4" w:space="0" w:color="auto"/>
            </w:tcBorders>
          </w:tcPr>
          <w:p w14:paraId="21D636D5" w14:textId="77777777" w:rsidR="001433FD" w:rsidRPr="00DB58B5" w:rsidRDefault="001433FD" w:rsidP="00FA70AF"/>
        </w:tc>
        <w:tc>
          <w:tcPr>
            <w:tcW w:w="2268" w:type="dxa"/>
            <w:tcBorders>
              <w:bottom w:val="single" w:sz="4" w:space="0" w:color="auto"/>
            </w:tcBorders>
            <w:vAlign w:val="bottom"/>
          </w:tcPr>
          <w:p w14:paraId="32025090" w14:textId="77777777" w:rsidR="001433FD" w:rsidRPr="00DB58B5" w:rsidRDefault="001433FD" w:rsidP="00295CCA">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1DD96D38" w14:textId="7A92D6D9" w:rsidR="001433FD" w:rsidRPr="00DB58B5" w:rsidRDefault="00FA70AF" w:rsidP="00FA70AF">
            <w:pPr>
              <w:jc w:val="right"/>
            </w:pPr>
            <w:r w:rsidRPr="00FA70AF">
              <w:rPr>
                <w:sz w:val="40"/>
              </w:rPr>
              <w:t>ECE</w:t>
            </w:r>
            <w:r>
              <w:t>/ADN/58</w:t>
            </w:r>
          </w:p>
        </w:tc>
      </w:tr>
      <w:tr w:rsidR="001433FD" w:rsidRPr="00DB58B5" w14:paraId="73955240" w14:textId="77777777" w:rsidTr="00295CCA">
        <w:trPr>
          <w:trHeight w:hRule="exact" w:val="2835"/>
        </w:trPr>
        <w:tc>
          <w:tcPr>
            <w:tcW w:w="1276" w:type="dxa"/>
            <w:tcBorders>
              <w:top w:val="single" w:sz="4" w:space="0" w:color="auto"/>
              <w:bottom w:val="single" w:sz="12" w:space="0" w:color="auto"/>
            </w:tcBorders>
          </w:tcPr>
          <w:p w14:paraId="5FAAE934" w14:textId="77777777" w:rsidR="001433FD" w:rsidRPr="00DB58B5" w:rsidRDefault="001433FD" w:rsidP="00295CCA">
            <w:pPr>
              <w:spacing w:before="120"/>
              <w:jc w:val="center"/>
            </w:pPr>
            <w:r>
              <w:rPr>
                <w:noProof/>
                <w:lang w:eastAsia="fr-CH"/>
              </w:rPr>
              <w:drawing>
                <wp:inline distT="0" distB="0" distL="0" distR="0" wp14:anchorId="48D30483" wp14:editId="6260FC51">
                  <wp:extent cx="714375" cy="590550"/>
                  <wp:effectExtent l="0" t="0" r="9525" b="0"/>
                  <wp:docPr id="3"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AC15C8A" w14:textId="77777777" w:rsidR="001433FD" w:rsidRPr="00740562" w:rsidRDefault="001433FD" w:rsidP="00295CCA">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71E44465" w14:textId="77777777" w:rsidR="001433FD" w:rsidRDefault="00FA70AF" w:rsidP="00295CCA">
            <w:pPr>
              <w:spacing w:before="240"/>
            </w:pPr>
            <w:r>
              <w:t>Distr. générale</w:t>
            </w:r>
          </w:p>
          <w:p w14:paraId="406CFFBA" w14:textId="77777777" w:rsidR="00FA70AF" w:rsidRDefault="00FA70AF" w:rsidP="00FA70AF">
            <w:pPr>
              <w:spacing w:line="240" w:lineRule="exact"/>
            </w:pPr>
            <w:r>
              <w:t>27 septembre 2021</w:t>
            </w:r>
          </w:p>
          <w:p w14:paraId="12BB3C3A" w14:textId="77777777" w:rsidR="00FA70AF" w:rsidRDefault="00FA70AF" w:rsidP="00FA70AF">
            <w:pPr>
              <w:spacing w:line="240" w:lineRule="exact"/>
            </w:pPr>
            <w:r>
              <w:t>Français</w:t>
            </w:r>
          </w:p>
          <w:p w14:paraId="2707DC26" w14:textId="557740BA" w:rsidR="00FA70AF" w:rsidRPr="00DB58B5" w:rsidRDefault="00FA70AF" w:rsidP="00FA70AF">
            <w:pPr>
              <w:spacing w:line="240" w:lineRule="exact"/>
            </w:pPr>
            <w:r>
              <w:t>Original : anglais</w:t>
            </w:r>
          </w:p>
        </w:tc>
      </w:tr>
    </w:tbl>
    <w:p w14:paraId="42816726" w14:textId="0CBF0087" w:rsidR="005316B0" w:rsidRPr="000312C0" w:rsidRDefault="005316B0" w:rsidP="005316B0">
      <w:pPr>
        <w:spacing w:before="120"/>
        <w:rPr>
          <w:b/>
          <w:sz w:val="28"/>
          <w:szCs w:val="28"/>
        </w:rPr>
      </w:pPr>
      <w:r w:rsidRPr="000312C0">
        <w:rPr>
          <w:b/>
          <w:sz w:val="28"/>
          <w:szCs w:val="28"/>
        </w:rPr>
        <w:t>Commission économique pour l</w:t>
      </w:r>
      <w:r w:rsidR="001D5421">
        <w:rPr>
          <w:b/>
          <w:sz w:val="28"/>
          <w:szCs w:val="28"/>
        </w:rPr>
        <w:t>’</w:t>
      </w:r>
      <w:r w:rsidRPr="000312C0">
        <w:rPr>
          <w:b/>
          <w:sz w:val="28"/>
          <w:szCs w:val="28"/>
        </w:rPr>
        <w:t>Europe</w:t>
      </w:r>
    </w:p>
    <w:p w14:paraId="392D45F8" w14:textId="77777777" w:rsidR="00FA70AF" w:rsidRPr="00FA70AF" w:rsidRDefault="00FA70AF" w:rsidP="00FA70AF">
      <w:pPr>
        <w:spacing w:before="120"/>
        <w:rPr>
          <w:sz w:val="28"/>
          <w:szCs w:val="28"/>
          <w:lang w:val="fr-FR"/>
        </w:rPr>
      </w:pPr>
      <w:r w:rsidRPr="00FA70AF">
        <w:rPr>
          <w:sz w:val="28"/>
          <w:szCs w:val="28"/>
          <w:lang w:val="fr-FR"/>
        </w:rPr>
        <w:t>Comité des transports intérieurs</w:t>
      </w:r>
    </w:p>
    <w:p w14:paraId="18E2007B" w14:textId="77777777" w:rsidR="00FA70AF" w:rsidRPr="00FA70AF" w:rsidRDefault="00FA70AF" w:rsidP="00FA70AF">
      <w:pPr>
        <w:spacing w:before="120"/>
        <w:rPr>
          <w:b/>
          <w:sz w:val="24"/>
          <w:szCs w:val="24"/>
          <w:lang w:val="fr-FR"/>
        </w:rPr>
      </w:pPr>
      <w:r w:rsidRPr="00FA70AF">
        <w:rPr>
          <w:b/>
          <w:bCs/>
          <w:sz w:val="24"/>
          <w:szCs w:val="24"/>
          <w:lang w:val="fr-FR"/>
        </w:rPr>
        <w:t>Groupe de travail des transports de marchandises dangereuses</w:t>
      </w:r>
    </w:p>
    <w:p w14:paraId="313929CE" w14:textId="580CDE14" w:rsidR="00FA70AF" w:rsidRPr="004859DA" w:rsidRDefault="00FA70AF" w:rsidP="00FA70AF">
      <w:pPr>
        <w:spacing w:before="240"/>
        <w:rPr>
          <w:b/>
          <w:lang w:val="fr-FR"/>
        </w:rPr>
      </w:pPr>
      <w:r w:rsidRPr="004859DA">
        <w:rPr>
          <w:b/>
          <w:bCs/>
          <w:lang w:val="fr-FR"/>
        </w:rPr>
        <w:t>Comité d</w:t>
      </w:r>
      <w:r w:rsidR="001D5421">
        <w:rPr>
          <w:b/>
          <w:bCs/>
          <w:lang w:val="fr-FR"/>
        </w:rPr>
        <w:t>’</w:t>
      </w:r>
      <w:r w:rsidRPr="004859DA">
        <w:rPr>
          <w:b/>
          <w:bCs/>
          <w:lang w:val="fr-FR"/>
        </w:rPr>
        <w:t>administration de l</w:t>
      </w:r>
      <w:r w:rsidR="001D5421">
        <w:rPr>
          <w:b/>
          <w:bCs/>
          <w:lang w:val="fr-FR"/>
        </w:rPr>
        <w:t>’</w:t>
      </w:r>
      <w:r w:rsidRPr="004859DA">
        <w:rPr>
          <w:b/>
          <w:bCs/>
          <w:lang w:val="fr-FR"/>
        </w:rPr>
        <w:t xml:space="preserve">Accord européen relatif </w:t>
      </w:r>
      <w:r>
        <w:rPr>
          <w:b/>
          <w:bCs/>
          <w:lang w:val="fr-FR"/>
        </w:rPr>
        <w:br/>
      </w:r>
      <w:r w:rsidRPr="004859DA">
        <w:rPr>
          <w:b/>
          <w:bCs/>
          <w:lang w:val="fr-FR"/>
        </w:rPr>
        <w:t xml:space="preserve">au transport international des marchandises dangereuses </w:t>
      </w:r>
      <w:r>
        <w:rPr>
          <w:b/>
          <w:bCs/>
          <w:lang w:val="fr-FR"/>
        </w:rPr>
        <w:br/>
      </w:r>
      <w:r w:rsidRPr="004859DA">
        <w:rPr>
          <w:b/>
          <w:bCs/>
          <w:lang w:val="fr-FR"/>
        </w:rPr>
        <w:t>par voies de navigation intérieures (ADN)</w:t>
      </w:r>
    </w:p>
    <w:p w14:paraId="7905835F" w14:textId="77777777" w:rsidR="00FA70AF" w:rsidRPr="004859DA" w:rsidRDefault="00FA70AF" w:rsidP="00FA70AF">
      <w:pPr>
        <w:spacing w:before="120"/>
        <w:rPr>
          <w:b/>
          <w:lang w:val="fr-FR"/>
        </w:rPr>
      </w:pPr>
      <w:r w:rsidRPr="004859DA">
        <w:rPr>
          <w:b/>
          <w:bCs/>
          <w:lang w:val="fr-FR"/>
        </w:rPr>
        <w:t>Vingt-sixième session</w:t>
      </w:r>
    </w:p>
    <w:p w14:paraId="638DD4E9" w14:textId="77777777" w:rsidR="00FA70AF" w:rsidRPr="004859DA" w:rsidRDefault="00FA70AF" w:rsidP="00FA70AF">
      <w:pPr>
        <w:rPr>
          <w:lang w:val="fr-FR"/>
        </w:rPr>
      </w:pPr>
      <w:r w:rsidRPr="004859DA">
        <w:rPr>
          <w:lang w:val="fr-FR"/>
        </w:rPr>
        <w:t>Genève, 27 août 2021</w:t>
      </w:r>
    </w:p>
    <w:p w14:paraId="132E9245" w14:textId="2086A04F" w:rsidR="00446FE5" w:rsidRDefault="00FA70AF" w:rsidP="00FA70AF">
      <w:pPr>
        <w:pStyle w:val="HChG"/>
      </w:pPr>
      <w:r w:rsidRPr="004859DA">
        <w:rPr>
          <w:lang w:val="fr-FR"/>
        </w:rPr>
        <w:tab/>
      </w:r>
      <w:r w:rsidRPr="004859DA">
        <w:rPr>
          <w:lang w:val="fr-FR"/>
        </w:rPr>
        <w:tab/>
        <w:t>Rapport du Comité d</w:t>
      </w:r>
      <w:r w:rsidR="001D5421">
        <w:rPr>
          <w:lang w:val="fr-FR"/>
        </w:rPr>
        <w:t>’</w:t>
      </w:r>
      <w:r w:rsidRPr="004859DA">
        <w:rPr>
          <w:lang w:val="fr-FR"/>
        </w:rPr>
        <w:t>administration de l</w:t>
      </w:r>
      <w:r w:rsidR="001D5421">
        <w:rPr>
          <w:lang w:val="fr-FR"/>
        </w:rPr>
        <w:t>’</w:t>
      </w:r>
      <w:r w:rsidRPr="004859DA">
        <w:rPr>
          <w:lang w:val="fr-FR"/>
        </w:rPr>
        <w:t xml:space="preserve">Accord européen relatif au transport international des marchandises dangereuses par voies de navigation intérieures </w:t>
      </w:r>
      <w:r>
        <w:rPr>
          <w:lang w:val="fr-FR"/>
        </w:rPr>
        <w:br/>
      </w:r>
      <w:r w:rsidRPr="004859DA">
        <w:rPr>
          <w:lang w:val="fr-FR"/>
        </w:rPr>
        <w:t>sur sa vingt-sixième session</w:t>
      </w:r>
      <w:r w:rsidRPr="00FA70AF">
        <w:rPr>
          <w:rStyle w:val="Appelnotedebasdep"/>
          <w:b w:val="0"/>
          <w:bCs/>
          <w:sz w:val="20"/>
          <w:vertAlign w:val="baseline"/>
        </w:rPr>
        <w:footnoteReference w:customMarkFollows="1" w:id="2"/>
        <w:t>*</w:t>
      </w:r>
    </w:p>
    <w:p w14:paraId="073B17EF" w14:textId="27038F63" w:rsidR="00FA70AF" w:rsidRDefault="00FA70AF" w:rsidP="00FA70AF">
      <w:r>
        <w:br w:type="page"/>
      </w:r>
    </w:p>
    <w:p w14:paraId="4EA0886E" w14:textId="78BC520F" w:rsidR="00FA70AF" w:rsidRPr="00FA70AF" w:rsidRDefault="00FA70AF" w:rsidP="00FA70AF">
      <w:pPr>
        <w:spacing w:after="120"/>
        <w:rPr>
          <w:sz w:val="28"/>
        </w:rPr>
      </w:pPr>
      <w:r w:rsidRPr="00FA70AF">
        <w:rPr>
          <w:sz w:val="28"/>
        </w:rPr>
        <w:lastRenderedPageBreak/>
        <w:t>Table des matières</w:t>
      </w:r>
    </w:p>
    <w:p w14:paraId="6BA4F21F" w14:textId="045B59E6" w:rsidR="00FA70AF" w:rsidRPr="00FA70AF" w:rsidRDefault="00FA70AF" w:rsidP="00FA70AF">
      <w:pPr>
        <w:tabs>
          <w:tab w:val="right" w:pos="8929"/>
          <w:tab w:val="right" w:pos="9638"/>
        </w:tabs>
        <w:spacing w:after="120"/>
        <w:ind w:left="283"/>
        <w:rPr>
          <w:i/>
          <w:sz w:val="18"/>
        </w:rPr>
      </w:pPr>
      <w:r w:rsidRPr="00FA70AF">
        <w:rPr>
          <w:i/>
          <w:sz w:val="18"/>
        </w:rPr>
        <w:tab/>
        <w:t>Paragraphes</w:t>
      </w:r>
      <w:r w:rsidRPr="00FA70AF">
        <w:rPr>
          <w:i/>
          <w:sz w:val="18"/>
        </w:rPr>
        <w:tab/>
        <w:t>Page</w:t>
      </w:r>
    </w:p>
    <w:p w14:paraId="0B44CDF5" w14:textId="7353DD15" w:rsidR="00FA70AF" w:rsidRDefault="00FA70AF" w:rsidP="00FA70AF">
      <w:pPr>
        <w:tabs>
          <w:tab w:val="right" w:pos="850"/>
          <w:tab w:val="right" w:leader="dot" w:pos="7654"/>
          <w:tab w:val="right" w:pos="8929"/>
          <w:tab w:val="right" w:pos="9638"/>
        </w:tabs>
        <w:spacing w:after="120"/>
        <w:ind w:left="1134" w:hanging="1134"/>
      </w:pPr>
      <w:r>
        <w:tab/>
        <w:t>I.</w:t>
      </w:r>
      <w:r>
        <w:tab/>
      </w:r>
      <w:r w:rsidR="00B17967" w:rsidRPr="004859DA">
        <w:rPr>
          <w:lang w:val="fr-FR"/>
        </w:rPr>
        <w:t>Participation</w:t>
      </w:r>
      <w:r>
        <w:tab/>
      </w:r>
      <w:r>
        <w:tab/>
      </w:r>
      <w:r w:rsidR="00B17967">
        <w:t>1−3</w:t>
      </w:r>
      <w:r>
        <w:tab/>
      </w:r>
      <w:r w:rsidR="00B17967">
        <w:t>3</w:t>
      </w:r>
    </w:p>
    <w:p w14:paraId="73556370" w14:textId="6F4A8CAC" w:rsidR="00B17967" w:rsidRDefault="00B17967" w:rsidP="00FA70AF">
      <w:pPr>
        <w:tabs>
          <w:tab w:val="right" w:pos="850"/>
          <w:tab w:val="right" w:leader="dot" w:pos="7654"/>
          <w:tab w:val="right" w:pos="8929"/>
          <w:tab w:val="right" w:pos="9638"/>
        </w:tabs>
        <w:spacing w:after="120"/>
        <w:ind w:left="1134" w:hanging="1134"/>
        <w:rPr>
          <w:lang w:val="fr-FR"/>
        </w:rPr>
      </w:pPr>
      <w:r>
        <w:tab/>
        <w:t>II.</w:t>
      </w:r>
      <w:r>
        <w:tab/>
      </w:r>
      <w:r w:rsidRPr="004859DA">
        <w:rPr>
          <w:bCs/>
          <w:lang w:val="fr-FR"/>
        </w:rPr>
        <w:t>Adoption de l</w:t>
      </w:r>
      <w:r w:rsidR="001D5421">
        <w:rPr>
          <w:bCs/>
          <w:lang w:val="fr-FR"/>
        </w:rPr>
        <w:t>’</w:t>
      </w:r>
      <w:r w:rsidRPr="004859DA">
        <w:rPr>
          <w:bCs/>
          <w:lang w:val="fr-FR"/>
        </w:rPr>
        <w:t xml:space="preserve">ordre du jour </w:t>
      </w:r>
      <w:r w:rsidRPr="004859DA">
        <w:rPr>
          <w:lang w:val="fr-FR"/>
        </w:rPr>
        <w:t>(point 1 de l</w:t>
      </w:r>
      <w:r w:rsidR="001D5421">
        <w:rPr>
          <w:lang w:val="fr-FR"/>
        </w:rPr>
        <w:t>’</w:t>
      </w:r>
      <w:r w:rsidRPr="004859DA">
        <w:rPr>
          <w:lang w:val="fr-FR"/>
        </w:rPr>
        <w:t>ordre du jour)</w:t>
      </w:r>
      <w:r>
        <w:rPr>
          <w:lang w:val="fr-FR"/>
        </w:rPr>
        <w:tab/>
      </w:r>
      <w:r>
        <w:rPr>
          <w:lang w:val="fr-FR"/>
        </w:rPr>
        <w:tab/>
        <w:t>4</w:t>
      </w:r>
      <w:r>
        <w:rPr>
          <w:lang w:val="fr-FR"/>
        </w:rPr>
        <w:tab/>
        <w:t>3</w:t>
      </w:r>
    </w:p>
    <w:p w14:paraId="24254AD5" w14:textId="4989E46E" w:rsidR="00B17967" w:rsidRDefault="00B17967" w:rsidP="00FA70AF">
      <w:pPr>
        <w:tabs>
          <w:tab w:val="right" w:pos="850"/>
          <w:tab w:val="right" w:leader="dot" w:pos="7654"/>
          <w:tab w:val="right" w:pos="8929"/>
          <w:tab w:val="right" w:pos="9638"/>
        </w:tabs>
        <w:spacing w:after="120"/>
        <w:ind w:left="1134" w:hanging="1134"/>
        <w:rPr>
          <w:lang w:val="fr-FR"/>
        </w:rPr>
      </w:pPr>
      <w:r>
        <w:rPr>
          <w:lang w:val="fr-FR"/>
        </w:rPr>
        <w:tab/>
        <w:t>III.</w:t>
      </w:r>
      <w:r>
        <w:rPr>
          <w:lang w:val="fr-FR"/>
        </w:rPr>
        <w:tab/>
      </w:r>
      <w:r w:rsidRPr="004859DA">
        <w:rPr>
          <w:bCs/>
          <w:lang w:val="fr-FR"/>
        </w:rPr>
        <w:t>État de l</w:t>
      </w:r>
      <w:r w:rsidR="001D5421">
        <w:rPr>
          <w:bCs/>
          <w:lang w:val="fr-FR"/>
        </w:rPr>
        <w:t>’</w:t>
      </w:r>
      <w:r w:rsidRPr="004859DA">
        <w:rPr>
          <w:bCs/>
          <w:lang w:val="fr-FR"/>
        </w:rPr>
        <w:t xml:space="preserve">Accord européen </w:t>
      </w:r>
      <w:r w:rsidRPr="00FA70AF">
        <w:rPr>
          <w:lang w:val="fr-FR"/>
        </w:rPr>
        <w:t>relatif</w:t>
      </w:r>
      <w:r w:rsidRPr="004859DA">
        <w:rPr>
          <w:bCs/>
          <w:lang w:val="fr-FR"/>
        </w:rPr>
        <w:t xml:space="preserve"> au transport international des marchandises </w:t>
      </w:r>
      <w:r>
        <w:rPr>
          <w:bCs/>
          <w:lang w:val="fr-FR"/>
        </w:rPr>
        <w:br/>
      </w:r>
      <w:r w:rsidRPr="004859DA">
        <w:rPr>
          <w:bCs/>
          <w:lang w:val="fr-FR"/>
        </w:rPr>
        <w:t xml:space="preserve">dangereuses par voies de navigation intérieures (ADN) </w:t>
      </w:r>
      <w:r w:rsidR="00283E67">
        <w:rPr>
          <w:bCs/>
          <w:lang w:val="fr-FR"/>
        </w:rPr>
        <w:br/>
      </w:r>
      <w:r w:rsidRPr="004859DA">
        <w:rPr>
          <w:lang w:val="fr-FR"/>
        </w:rPr>
        <w:t>(point 2 de l</w:t>
      </w:r>
      <w:r w:rsidR="001D5421">
        <w:rPr>
          <w:lang w:val="fr-FR"/>
        </w:rPr>
        <w:t>’</w:t>
      </w:r>
      <w:r w:rsidRPr="004859DA">
        <w:rPr>
          <w:lang w:val="fr-FR"/>
        </w:rPr>
        <w:t>ordre du jour)</w:t>
      </w:r>
      <w:r w:rsidR="00283E67">
        <w:rPr>
          <w:lang w:val="fr-FR"/>
        </w:rPr>
        <w:tab/>
      </w:r>
      <w:r w:rsidR="00283E67">
        <w:rPr>
          <w:lang w:val="fr-FR"/>
        </w:rPr>
        <w:tab/>
        <w:t>5</w:t>
      </w:r>
      <w:r w:rsidR="00283E67">
        <w:rPr>
          <w:lang w:val="fr-FR"/>
        </w:rPr>
        <w:tab/>
        <w:t>3</w:t>
      </w:r>
    </w:p>
    <w:p w14:paraId="7FE997CD" w14:textId="700A80E1" w:rsidR="00283E67" w:rsidRDefault="00283E67" w:rsidP="00FA70AF">
      <w:pPr>
        <w:tabs>
          <w:tab w:val="right" w:pos="850"/>
          <w:tab w:val="right" w:leader="dot" w:pos="7654"/>
          <w:tab w:val="right" w:pos="8929"/>
          <w:tab w:val="right" w:pos="9638"/>
        </w:tabs>
        <w:spacing w:after="120"/>
        <w:ind w:left="1134" w:hanging="1134"/>
      </w:pPr>
      <w:r>
        <w:tab/>
        <w:t>IV.</w:t>
      </w:r>
      <w:r>
        <w:tab/>
      </w:r>
      <w:r w:rsidRPr="004859DA">
        <w:rPr>
          <w:bCs/>
          <w:lang w:val="fr-FR"/>
        </w:rPr>
        <w:t>Questions relatives à la mise en œuvre de l</w:t>
      </w:r>
      <w:r w:rsidR="001D5421">
        <w:rPr>
          <w:bCs/>
          <w:lang w:val="fr-FR"/>
        </w:rPr>
        <w:t>’</w:t>
      </w:r>
      <w:r w:rsidRPr="004859DA">
        <w:rPr>
          <w:bCs/>
          <w:lang w:val="fr-FR"/>
        </w:rPr>
        <w:t xml:space="preserve">ADN </w:t>
      </w:r>
      <w:r w:rsidRPr="004859DA">
        <w:rPr>
          <w:lang w:val="fr-FR"/>
        </w:rPr>
        <w:t>(point 3 de l</w:t>
      </w:r>
      <w:r w:rsidR="001D5421">
        <w:rPr>
          <w:lang w:val="fr-FR"/>
        </w:rPr>
        <w:t>’</w:t>
      </w:r>
      <w:r w:rsidRPr="004859DA">
        <w:rPr>
          <w:lang w:val="fr-FR"/>
        </w:rPr>
        <w:t>ordre du jour)</w:t>
      </w:r>
      <w:r>
        <w:rPr>
          <w:lang w:val="fr-FR"/>
        </w:rPr>
        <w:tab/>
      </w:r>
      <w:r>
        <w:rPr>
          <w:lang w:val="fr-FR"/>
        </w:rPr>
        <w:tab/>
        <w:t>6−12</w:t>
      </w:r>
      <w:r>
        <w:rPr>
          <w:lang w:val="fr-FR"/>
        </w:rPr>
        <w:tab/>
        <w:t>3</w:t>
      </w:r>
    </w:p>
    <w:p w14:paraId="361F1355" w14:textId="0227ADFA" w:rsidR="00FA70AF" w:rsidRDefault="00FA70AF" w:rsidP="00FA70AF">
      <w:pPr>
        <w:tabs>
          <w:tab w:val="right" w:leader="dot" w:pos="7654"/>
          <w:tab w:val="right" w:pos="8929"/>
          <w:tab w:val="right" w:pos="9638"/>
        </w:tabs>
        <w:spacing w:after="120"/>
        <w:ind w:left="1559" w:hanging="425"/>
      </w:pPr>
      <w:r>
        <w:t>A.</w:t>
      </w:r>
      <w:r>
        <w:tab/>
      </w:r>
      <w:r w:rsidR="00283E67" w:rsidRPr="004859DA">
        <w:rPr>
          <w:lang w:val="fr-FR"/>
        </w:rPr>
        <w:t>Sociétés de classification</w:t>
      </w:r>
      <w:r>
        <w:tab/>
      </w:r>
      <w:r>
        <w:tab/>
      </w:r>
      <w:r w:rsidR="00283E67">
        <w:t>6−7</w:t>
      </w:r>
      <w:r>
        <w:tab/>
      </w:r>
      <w:r w:rsidR="00283E67">
        <w:t>3</w:t>
      </w:r>
    </w:p>
    <w:p w14:paraId="474A0864" w14:textId="19EE12F8" w:rsidR="00283E67" w:rsidRDefault="00283E67" w:rsidP="00FA70AF">
      <w:pPr>
        <w:tabs>
          <w:tab w:val="right" w:leader="dot" w:pos="7654"/>
          <w:tab w:val="right" w:pos="8929"/>
          <w:tab w:val="right" w:pos="9638"/>
        </w:tabs>
        <w:spacing w:after="120"/>
        <w:ind w:left="1559" w:hanging="425"/>
        <w:rPr>
          <w:lang w:val="fr-FR"/>
        </w:rPr>
      </w:pPr>
      <w:r>
        <w:t>B.</w:t>
      </w:r>
      <w:r>
        <w:tab/>
      </w:r>
      <w:r w:rsidRPr="004859DA">
        <w:rPr>
          <w:bCs/>
          <w:lang w:val="fr-FR"/>
        </w:rPr>
        <w:t xml:space="preserve">Autorisations spéciales, dérogations et </w:t>
      </w:r>
      <w:r w:rsidRPr="00FA70AF">
        <w:rPr>
          <w:lang w:val="fr-FR"/>
        </w:rPr>
        <w:t>équivalences</w:t>
      </w:r>
      <w:r>
        <w:rPr>
          <w:lang w:val="fr-FR"/>
        </w:rPr>
        <w:tab/>
      </w:r>
      <w:r>
        <w:rPr>
          <w:lang w:val="fr-FR"/>
        </w:rPr>
        <w:tab/>
        <w:t>8−9</w:t>
      </w:r>
      <w:r>
        <w:rPr>
          <w:lang w:val="fr-FR"/>
        </w:rPr>
        <w:tab/>
        <w:t>3</w:t>
      </w:r>
    </w:p>
    <w:p w14:paraId="5D5A6399" w14:textId="295DCDF4" w:rsidR="00283E67" w:rsidRDefault="00283E67" w:rsidP="00FA70AF">
      <w:pPr>
        <w:tabs>
          <w:tab w:val="right" w:leader="dot" w:pos="7654"/>
          <w:tab w:val="right" w:pos="8929"/>
          <w:tab w:val="right" w:pos="9638"/>
        </w:tabs>
        <w:spacing w:after="120"/>
        <w:ind w:left="1559" w:hanging="425"/>
        <w:rPr>
          <w:lang w:val="fr-FR"/>
        </w:rPr>
      </w:pPr>
      <w:r>
        <w:rPr>
          <w:lang w:val="fr-FR"/>
        </w:rPr>
        <w:t>C.</w:t>
      </w:r>
      <w:r>
        <w:rPr>
          <w:lang w:val="fr-FR"/>
        </w:rPr>
        <w:tab/>
      </w:r>
      <w:r w:rsidRPr="004859DA">
        <w:rPr>
          <w:lang w:val="fr-FR"/>
        </w:rPr>
        <w:t>Notifications diverses</w:t>
      </w:r>
      <w:r>
        <w:rPr>
          <w:lang w:val="fr-FR"/>
        </w:rPr>
        <w:tab/>
      </w:r>
      <w:r>
        <w:rPr>
          <w:lang w:val="fr-FR"/>
        </w:rPr>
        <w:tab/>
        <w:t>10−11</w:t>
      </w:r>
      <w:r>
        <w:rPr>
          <w:lang w:val="fr-FR"/>
        </w:rPr>
        <w:tab/>
        <w:t>4</w:t>
      </w:r>
    </w:p>
    <w:p w14:paraId="0EB2D792" w14:textId="4426DD25" w:rsidR="00283E67" w:rsidRDefault="00283E67" w:rsidP="00FA70AF">
      <w:pPr>
        <w:tabs>
          <w:tab w:val="right" w:leader="dot" w:pos="7654"/>
          <w:tab w:val="right" w:pos="8929"/>
          <w:tab w:val="right" w:pos="9638"/>
        </w:tabs>
        <w:spacing w:after="120"/>
        <w:ind w:left="1559" w:hanging="425"/>
        <w:rPr>
          <w:lang w:val="fr-FR"/>
        </w:rPr>
      </w:pPr>
      <w:r>
        <w:rPr>
          <w:lang w:val="fr-FR"/>
        </w:rPr>
        <w:t>D.</w:t>
      </w:r>
      <w:r>
        <w:rPr>
          <w:lang w:val="fr-FR"/>
        </w:rPr>
        <w:tab/>
      </w:r>
      <w:r>
        <w:rPr>
          <w:lang w:val="fr-FR"/>
        </w:rPr>
        <w:t xml:space="preserve">Autres </w:t>
      </w:r>
      <w:r w:rsidRPr="00FA70AF">
        <w:rPr>
          <w:lang w:val="fr-FR"/>
        </w:rPr>
        <w:t>questions</w:t>
      </w:r>
      <w:r>
        <w:rPr>
          <w:lang w:val="fr-FR"/>
        </w:rPr>
        <w:tab/>
      </w:r>
      <w:r>
        <w:rPr>
          <w:lang w:val="fr-FR"/>
        </w:rPr>
        <w:tab/>
        <w:t>12</w:t>
      </w:r>
      <w:r>
        <w:rPr>
          <w:lang w:val="fr-FR"/>
        </w:rPr>
        <w:tab/>
        <w:t>4</w:t>
      </w:r>
    </w:p>
    <w:p w14:paraId="21FE9C73" w14:textId="21EF9770" w:rsidR="00283E67" w:rsidRDefault="00283E67" w:rsidP="00283E67">
      <w:pPr>
        <w:tabs>
          <w:tab w:val="right" w:pos="850"/>
          <w:tab w:val="right" w:leader="dot" w:pos="7654"/>
          <w:tab w:val="right" w:pos="8929"/>
          <w:tab w:val="right" w:pos="9638"/>
        </w:tabs>
        <w:spacing w:after="120"/>
        <w:ind w:left="1134" w:hanging="1134"/>
        <w:rPr>
          <w:lang w:val="fr-FR"/>
        </w:rPr>
      </w:pPr>
      <w:r>
        <w:tab/>
        <w:t>V.</w:t>
      </w:r>
      <w:r>
        <w:tab/>
      </w:r>
      <w:r w:rsidRPr="004859DA">
        <w:rPr>
          <w:bCs/>
          <w:lang w:val="fr-FR"/>
        </w:rPr>
        <w:t>Travaux du Comité de sécurité</w:t>
      </w:r>
      <w:r w:rsidRPr="004859DA">
        <w:rPr>
          <w:lang w:val="fr-FR"/>
        </w:rPr>
        <w:t xml:space="preserve"> (point 4 de l</w:t>
      </w:r>
      <w:r w:rsidR="001D5421">
        <w:rPr>
          <w:lang w:val="fr-FR"/>
        </w:rPr>
        <w:t>’</w:t>
      </w:r>
      <w:r w:rsidRPr="004859DA">
        <w:rPr>
          <w:lang w:val="fr-FR"/>
        </w:rPr>
        <w:t>ordre du jour)</w:t>
      </w:r>
      <w:r>
        <w:rPr>
          <w:lang w:val="fr-FR"/>
        </w:rPr>
        <w:tab/>
      </w:r>
      <w:r>
        <w:rPr>
          <w:lang w:val="fr-FR"/>
        </w:rPr>
        <w:tab/>
        <w:t>13−14</w:t>
      </w:r>
      <w:r>
        <w:rPr>
          <w:lang w:val="fr-FR"/>
        </w:rPr>
        <w:tab/>
        <w:t>4</w:t>
      </w:r>
    </w:p>
    <w:p w14:paraId="3DFAD1AB" w14:textId="06F1CA9D" w:rsidR="00283E67" w:rsidRDefault="00283E67" w:rsidP="00283E67">
      <w:pPr>
        <w:tabs>
          <w:tab w:val="right" w:pos="850"/>
          <w:tab w:val="right" w:leader="dot" w:pos="7654"/>
          <w:tab w:val="right" w:pos="8929"/>
          <w:tab w:val="right" w:pos="9638"/>
        </w:tabs>
        <w:spacing w:after="120"/>
        <w:ind w:left="1134" w:hanging="1134"/>
        <w:rPr>
          <w:snapToGrid w:val="0"/>
          <w:lang w:val="fr-FR"/>
        </w:rPr>
      </w:pPr>
      <w:r>
        <w:rPr>
          <w:lang w:val="fr-FR"/>
        </w:rPr>
        <w:tab/>
        <w:t>VI.</w:t>
      </w:r>
      <w:r>
        <w:rPr>
          <w:lang w:val="fr-FR"/>
        </w:rPr>
        <w:tab/>
      </w:r>
      <w:r w:rsidRPr="004859DA">
        <w:rPr>
          <w:lang w:val="fr-FR"/>
        </w:rPr>
        <w:t xml:space="preserve">Programme de travail et </w:t>
      </w:r>
      <w:r w:rsidRPr="00FA70AF">
        <w:rPr>
          <w:bCs/>
          <w:lang w:val="fr-FR"/>
        </w:rPr>
        <w:t>calendrier</w:t>
      </w:r>
      <w:r w:rsidRPr="004859DA">
        <w:rPr>
          <w:lang w:val="fr-FR"/>
        </w:rPr>
        <w:t xml:space="preserve"> des réunions (</w:t>
      </w:r>
      <w:r w:rsidRPr="004859DA">
        <w:rPr>
          <w:snapToGrid w:val="0"/>
          <w:lang w:val="fr-FR"/>
        </w:rPr>
        <w:t>point 5 de l</w:t>
      </w:r>
      <w:r w:rsidR="001D5421">
        <w:rPr>
          <w:snapToGrid w:val="0"/>
          <w:lang w:val="fr-FR"/>
        </w:rPr>
        <w:t>’</w:t>
      </w:r>
      <w:r w:rsidRPr="004859DA">
        <w:rPr>
          <w:snapToGrid w:val="0"/>
          <w:lang w:val="fr-FR"/>
        </w:rPr>
        <w:t>ordre du jour)</w:t>
      </w:r>
      <w:r>
        <w:rPr>
          <w:snapToGrid w:val="0"/>
          <w:lang w:val="fr-FR"/>
        </w:rPr>
        <w:tab/>
      </w:r>
      <w:r>
        <w:rPr>
          <w:snapToGrid w:val="0"/>
          <w:lang w:val="fr-FR"/>
        </w:rPr>
        <w:tab/>
        <w:t>15</w:t>
      </w:r>
      <w:r>
        <w:rPr>
          <w:snapToGrid w:val="0"/>
          <w:lang w:val="fr-FR"/>
        </w:rPr>
        <w:tab/>
        <w:t>4</w:t>
      </w:r>
    </w:p>
    <w:p w14:paraId="75B8966A" w14:textId="0371E42E" w:rsidR="00283E67" w:rsidRDefault="00283E67" w:rsidP="00283E67">
      <w:pPr>
        <w:tabs>
          <w:tab w:val="right" w:pos="850"/>
          <w:tab w:val="right" w:leader="dot" w:pos="7654"/>
          <w:tab w:val="right" w:pos="8929"/>
          <w:tab w:val="right" w:pos="9638"/>
        </w:tabs>
        <w:spacing w:after="120"/>
        <w:ind w:left="1134" w:hanging="1134"/>
        <w:rPr>
          <w:lang w:val="fr-FR"/>
        </w:rPr>
      </w:pPr>
      <w:r>
        <w:rPr>
          <w:snapToGrid w:val="0"/>
          <w:lang w:val="fr-FR"/>
        </w:rPr>
        <w:tab/>
        <w:t>VII.</w:t>
      </w:r>
      <w:r>
        <w:rPr>
          <w:snapToGrid w:val="0"/>
          <w:lang w:val="fr-FR"/>
        </w:rPr>
        <w:tab/>
      </w:r>
      <w:r w:rsidRPr="004859DA">
        <w:rPr>
          <w:bCs/>
          <w:lang w:val="fr-FR"/>
        </w:rPr>
        <w:t xml:space="preserve">Questions diverses </w:t>
      </w:r>
      <w:r w:rsidRPr="004859DA">
        <w:rPr>
          <w:lang w:val="fr-FR"/>
        </w:rPr>
        <w:t>(point 6 de l</w:t>
      </w:r>
      <w:r w:rsidR="001D5421">
        <w:rPr>
          <w:lang w:val="fr-FR"/>
        </w:rPr>
        <w:t>’</w:t>
      </w:r>
      <w:r w:rsidRPr="004859DA">
        <w:rPr>
          <w:lang w:val="fr-FR"/>
        </w:rPr>
        <w:t>ordre du jour)</w:t>
      </w:r>
      <w:r>
        <w:rPr>
          <w:lang w:val="fr-FR"/>
        </w:rPr>
        <w:tab/>
      </w:r>
      <w:r>
        <w:rPr>
          <w:lang w:val="fr-FR"/>
        </w:rPr>
        <w:tab/>
        <w:t>16</w:t>
      </w:r>
      <w:r>
        <w:rPr>
          <w:lang w:val="fr-FR"/>
        </w:rPr>
        <w:tab/>
        <w:t>4</w:t>
      </w:r>
    </w:p>
    <w:p w14:paraId="717BAC0B" w14:textId="3FE9BA74" w:rsidR="00283E67" w:rsidRDefault="00283E67" w:rsidP="00283E67">
      <w:pPr>
        <w:tabs>
          <w:tab w:val="right" w:pos="850"/>
          <w:tab w:val="right" w:leader="dot" w:pos="7654"/>
          <w:tab w:val="right" w:pos="8929"/>
          <w:tab w:val="right" w:pos="9638"/>
        </w:tabs>
        <w:spacing w:after="120"/>
        <w:ind w:left="1134" w:hanging="1134"/>
      </w:pPr>
      <w:r>
        <w:rPr>
          <w:lang w:val="fr-FR"/>
        </w:rPr>
        <w:tab/>
        <w:t>VIII.</w:t>
      </w:r>
      <w:r>
        <w:rPr>
          <w:lang w:val="fr-FR"/>
        </w:rPr>
        <w:tab/>
      </w:r>
      <w:r w:rsidRPr="004859DA">
        <w:rPr>
          <w:bCs/>
          <w:lang w:val="fr-FR"/>
        </w:rPr>
        <w:t xml:space="preserve">Adoption du rapport </w:t>
      </w:r>
      <w:r w:rsidRPr="004859DA">
        <w:rPr>
          <w:lang w:val="fr-FR"/>
        </w:rPr>
        <w:t xml:space="preserve">(point 7 de </w:t>
      </w:r>
      <w:r w:rsidRPr="00FA70AF">
        <w:rPr>
          <w:bCs/>
          <w:lang w:val="fr-FR"/>
        </w:rPr>
        <w:t>l</w:t>
      </w:r>
      <w:r w:rsidR="001D5421">
        <w:rPr>
          <w:bCs/>
          <w:lang w:val="fr-FR"/>
        </w:rPr>
        <w:t>’</w:t>
      </w:r>
      <w:r w:rsidRPr="00FA70AF">
        <w:rPr>
          <w:bCs/>
          <w:lang w:val="fr-FR"/>
        </w:rPr>
        <w:t>ordre</w:t>
      </w:r>
      <w:r w:rsidRPr="004859DA">
        <w:rPr>
          <w:lang w:val="fr-FR"/>
        </w:rPr>
        <w:t xml:space="preserve"> du jour)</w:t>
      </w:r>
      <w:r>
        <w:rPr>
          <w:lang w:val="fr-FR"/>
        </w:rPr>
        <w:tab/>
      </w:r>
      <w:r>
        <w:rPr>
          <w:lang w:val="fr-FR"/>
        </w:rPr>
        <w:tab/>
        <w:t>17</w:t>
      </w:r>
      <w:r>
        <w:rPr>
          <w:lang w:val="fr-FR"/>
        </w:rPr>
        <w:tab/>
        <w:t>4</w:t>
      </w:r>
    </w:p>
    <w:p w14:paraId="26F4472D" w14:textId="4084931F" w:rsidR="00FA70AF" w:rsidRDefault="00FA70AF" w:rsidP="00FA70AF">
      <w:r>
        <w:br w:type="page"/>
      </w:r>
    </w:p>
    <w:p w14:paraId="23C8F0DD" w14:textId="2F544F0F" w:rsidR="00FA70AF" w:rsidRPr="004859DA" w:rsidRDefault="00FA70AF" w:rsidP="00FA70AF">
      <w:pPr>
        <w:pStyle w:val="HChG"/>
        <w:rPr>
          <w:snapToGrid w:val="0"/>
          <w:lang w:val="fr-FR"/>
        </w:rPr>
      </w:pPr>
      <w:r>
        <w:rPr>
          <w:lang w:val="fr-FR"/>
        </w:rPr>
        <w:lastRenderedPageBreak/>
        <w:tab/>
      </w:r>
      <w:r w:rsidRPr="004859DA">
        <w:rPr>
          <w:lang w:val="fr-FR"/>
        </w:rPr>
        <w:t>I.</w:t>
      </w:r>
      <w:r w:rsidRPr="004859DA">
        <w:rPr>
          <w:lang w:val="fr-FR"/>
        </w:rPr>
        <w:tab/>
        <w:t>Participation</w:t>
      </w:r>
    </w:p>
    <w:p w14:paraId="6ECD0D5F" w14:textId="74A3C625" w:rsidR="00FA70AF" w:rsidRPr="004859DA" w:rsidRDefault="00FA70AF" w:rsidP="00FA70AF">
      <w:pPr>
        <w:pStyle w:val="SingleTxtG"/>
        <w:rPr>
          <w:lang w:val="fr-FR"/>
        </w:rPr>
      </w:pPr>
      <w:r w:rsidRPr="004859DA">
        <w:rPr>
          <w:lang w:val="fr-FR"/>
        </w:rPr>
        <w:t>1.</w:t>
      </w:r>
      <w:r w:rsidRPr="004859DA">
        <w:rPr>
          <w:lang w:val="fr-FR"/>
        </w:rPr>
        <w:tab/>
        <w:t>Le Comité d</w:t>
      </w:r>
      <w:r w:rsidR="001D5421">
        <w:rPr>
          <w:lang w:val="fr-FR"/>
        </w:rPr>
        <w:t>’</w:t>
      </w:r>
      <w:r w:rsidRPr="004859DA">
        <w:rPr>
          <w:lang w:val="fr-FR"/>
        </w:rPr>
        <w:t>administration de l</w:t>
      </w:r>
      <w:r w:rsidR="001D5421">
        <w:rPr>
          <w:lang w:val="fr-FR"/>
        </w:rPr>
        <w:t>’</w:t>
      </w:r>
      <w:r w:rsidRPr="004859DA">
        <w:rPr>
          <w:lang w:val="fr-FR"/>
        </w:rPr>
        <w:t>Accord européen relatif au transport international des marchandises dangereuses par voies de navigation intérieures (ADN) a tenu sa vingt-sixième session à Genève, le 27 août 2021, sous la présidence de M. H. Langenberg (Pays-Bas) et la vice-présidence de M. B. Birklhuber (Autriche). Des représentants des Parties contractantes ci-après ont pris part aux travaux de la session</w:t>
      </w:r>
      <w:r>
        <w:rPr>
          <w:lang w:val="fr-FR"/>
        </w:rPr>
        <w:t> </w:t>
      </w:r>
      <w:r w:rsidRPr="004859DA">
        <w:rPr>
          <w:lang w:val="fr-FR"/>
        </w:rPr>
        <w:t>: Allemagne, Autriche, Belgique, Fédération de Russie, France, Luxembourg, Pays-Bas, Pologne, Roumanie, Slovaquie et Suisse.</w:t>
      </w:r>
    </w:p>
    <w:p w14:paraId="4B86F377" w14:textId="6A007869" w:rsidR="00FA70AF" w:rsidRPr="004859DA" w:rsidRDefault="00FA70AF" w:rsidP="00FA70AF">
      <w:pPr>
        <w:pStyle w:val="SingleTxtG"/>
        <w:rPr>
          <w:snapToGrid w:val="0"/>
          <w:lang w:val="fr-FR"/>
        </w:rPr>
      </w:pPr>
      <w:r w:rsidRPr="004859DA">
        <w:rPr>
          <w:lang w:val="fr-FR"/>
        </w:rPr>
        <w:t>2.</w:t>
      </w:r>
      <w:r w:rsidRPr="004859DA">
        <w:rPr>
          <w:lang w:val="fr-FR"/>
        </w:rPr>
        <w:tab/>
        <w:t>Le Comité d</w:t>
      </w:r>
      <w:r w:rsidR="001D5421">
        <w:rPr>
          <w:lang w:val="fr-FR"/>
        </w:rPr>
        <w:t>’</w:t>
      </w:r>
      <w:r w:rsidRPr="004859DA">
        <w:rPr>
          <w:lang w:val="fr-FR"/>
        </w:rPr>
        <w:t>administration a noté que les représentants des Parties contractantes participant à la session avaient été accrédités et que le quorum nécessaire pour prendre des décisions − soit la moitié des Parties contractantes − était atteint.</w:t>
      </w:r>
    </w:p>
    <w:p w14:paraId="1337031C" w14:textId="2A1FEE0C" w:rsidR="00FA70AF" w:rsidRPr="004859DA" w:rsidRDefault="00FA70AF" w:rsidP="00FA70AF">
      <w:pPr>
        <w:pStyle w:val="SingleTxtG"/>
        <w:rPr>
          <w:snapToGrid w:val="0"/>
          <w:lang w:val="fr-FR"/>
        </w:rPr>
      </w:pPr>
      <w:r w:rsidRPr="004859DA">
        <w:rPr>
          <w:lang w:val="fr-FR"/>
        </w:rPr>
        <w:t>3.</w:t>
      </w:r>
      <w:r w:rsidRPr="004859DA">
        <w:rPr>
          <w:lang w:val="fr-FR"/>
        </w:rPr>
        <w:tab/>
        <w:t>Conformément au paragraphe 2 de l</w:t>
      </w:r>
      <w:r w:rsidR="001D5421">
        <w:rPr>
          <w:lang w:val="fr-FR"/>
        </w:rPr>
        <w:t>’</w:t>
      </w:r>
      <w:r w:rsidRPr="004859DA">
        <w:rPr>
          <w:lang w:val="fr-FR"/>
        </w:rPr>
        <w:t>article 17 de l</w:t>
      </w:r>
      <w:r w:rsidR="001D5421">
        <w:rPr>
          <w:lang w:val="fr-FR"/>
        </w:rPr>
        <w:t>’</w:t>
      </w:r>
      <w:r w:rsidRPr="004859DA">
        <w:rPr>
          <w:lang w:val="fr-FR"/>
        </w:rPr>
        <w:t>ADN, et comme suite à une décision du Comité (ECE/ADN/2, par. 8), un représentant de la Commission centrale pour la navigation du Rhin (CCNR) a également pris part à la session en qualité d</w:t>
      </w:r>
      <w:r w:rsidR="001D5421">
        <w:rPr>
          <w:lang w:val="fr-FR"/>
        </w:rPr>
        <w:t>’</w:t>
      </w:r>
      <w:r w:rsidRPr="004859DA">
        <w:rPr>
          <w:lang w:val="fr-FR"/>
        </w:rPr>
        <w:t>observateur.</w:t>
      </w:r>
    </w:p>
    <w:p w14:paraId="407F0BB5" w14:textId="0A1A476B" w:rsidR="00FA70AF" w:rsidRPr="004859DA" w:rsidRDefault="00FA70AF" w:rsidP="00FA70AF">
      <w:pPr>
        <w:pStyle w:val="HChG"/>
        <w:rPr>
          <w:snapToGrid w:val="0"/>
          <w:lang w:val="fr-FR"/>
        </w:rPr>
      </w:pPr>
      <w:r>
        <w:rPr>
          <w:lang w:val="fr-FR"/>
        </w:rPr>
        <w:tab/>
      </w:r>
      <w:r w:rsidRPr="004859DA">
        <w:rPr>
          <w:lang w:val="fr-FR"/>
        </w:rPr>
        <w:t>II.</w:t>
      </w:r>
      <w:r w:rsidRPr="004859DA">
        <w:rPr>
          <w:lang w:val="fr-FR"/>
        </w:rPr>
        <w:tab/>
      </w:r>
      <w:r w:rsidRPr="004859DA">
        <w:rPr>
          <w:bCs/>
          <w:lang w:val="fr-FR"/>
        </w:rPr>
        <w:t>Adoption de l</w:t>
      </w:r>
      <w:r w:rsidR="001D5421">
        <w:rPr>
          <w:bCs/>
          <w:lang w:val="fr-FR"/>
        </w:rPr>
        <w:t>’</w:t>
      </w:r>
      <w:r w:rsidRPr="004859DA">
        <w:rPr>
          <w:bCs/>
          <w:lang w:val="fr-FR"/>
        </w:rPr>
        <w:t xml:space="preserve">ordre du jour </w:t>
      </w:r>
      <w:r w:rsidRPr="004859DA">
        <w:rPr>
          <w:lang w:val="fr-FR"/>
        </w:rPr>
        <w:t>(point 1 de l</w:t>
      </w:r>
      <w:r w:rsidR="001D5421">
        <w:rPr>
          <w:lang w:val="fr-FR"/>
        </w:rPr>
        <w:t>’</w:t>
      </w:r>
      <w:r w:rsidRPr="004859DA">
        <w:rPr>
          <w:lang w:val="fr-FR"/>
        </w:rPr>
        <w:t>ordre du jour)</w:t>
      </w:r>
    </w:p>
    <w:p w14:paraId="64F103FB" w14:textId="4408F07B" w:rsidR="00FA70AF" w:rsidRPr="004859DA" w:rsidRDefault="00FA70AF" w:rsidP="00FA70AF">
      <w:pPr>
        <w:pStyle w:val="SingleTxtG"/>
        <w:tabs>
          <w:tab w:val="clear" w:pos="2268"/>
        </w:tabs>
        <w:ind w:left="2835" w:hanging="1701"/>
        <w:rPr>
          <w:snapToGrid w:val="0"/>
          <w:lang w:val="fr-FR"/>
        </w:rPr>
      </w:pPr>
      <w:r w:rsidRPr="004859DA">
        <w:rPr>
          <w:i/>
          <w:iCs/>
          <w:lang w:val="fr-FR"/>
        </w:rPr>
        <w:t>Documents</w:t>
      </w:r>
      <w:r>
        <w:rPr>
          <w:i/>
          <w:iCs/>
          <w:lang w:val="fr-FR"/>
        </w:rPr>
        <w:t> </w:t>
      </w:r>
      <w:r w:rsidRPr="004859DA">
        <w:rPr>
          <w:i/>
          <w:iCs/>
          <w:lang w:val="fr-FR"/>
        </w:rPr>
        <w:t>:</w:t>
      </w:r>
      <w:r w:rsidRPr="004859DA">
        <w:rPr>
          <w:lang w:val="fr-FR"/>
        </w:rPr>
        <w:t xml:space="preserve"> </w:t>
      </w:r>
      <w:r w:rsidRPr="004859DA">
        <w:rPr>
          <w:lang w:val="fr-FR"/>
        </w:rPr>
        <w:tab/>
        <w:t>ECE/ADN/57 et Add.1</w:t>
      </w:r>
    </w:p>
    <w:p w14:paraId="0D329D3D" w14:textId="598DBE46" w:rsidR="00FA70AF" w:rsidRPr="004859DA" w:rsidRDefault="00FA70AF" w:rsidP="00FA70AF">
      <w:pPr>
        <w:pStyle w:val="SingleTxtG"/>
        <w:rPr>
          <w:snapToGrid w:val="0"/>
          <w:lang w:val="fr-FR"/>
        </w:rPr>
      </w:pPr>
      <w:r w:rsidRPr="004859DA">
        <w:rPr>
          <w:lang w:val="fr-FR"/>
        </w:rPr>
        <w:t>4.</w:t>
      </w:r>
      <w:r w:rsidRPr="004859DA">
        <w:rPr>
          <w:lang w:val="fr-FR"/>
        </w:rPr>
        <w:tab/>
        <w:t>Le Comité d</w:t>
      </w:r>
      <w:r w:rsidR="001D5421">
        <w:rPr>
          <w:lang w:val="fr-FR"/>
        </w:rPr>
        <w:t>’</w:t>
      </w:r>
      <w:r w:rsidRPr="004859DA">
        <w:rPr>
          <w:lang w:val="fr-FR"/>
        </w:rPr>
        <w:t>administration a adopté l</w:t>
      </w:r>
      <w:r w:rsidR="001D5421">
        <w:rPr>
          <w:lang w:val="fr-FR"/>
        </w:rPr>
        <w:t>’</w:t>
      </w:r>
      <w:r w:rsidRPr="004859DA">
        <w:rPr>
          <w:lang w:val="fr-FR"/>
        </w:rPr>
        <w:t>ordre du jour établi par le secrétariat.</w:t>
      </w:r>
    </w:p>
    <w:p w14:paraId="69C6D399" w14:textId="193C0CA9" w:rsidR="00FA70AF" w:rsidRPr="004859DA" w:rsidRDefault="00FA70AF" w:rsidP="00FA70AF">
      <w:pPr>
        <w:pStyle w:val="HChG"/>
        <w:rPr>
          <w:snapToGrid w:val="0"/>
          <w:lang w:val="fr-FR"/>
        </w:rPr>
      </w:pPr>
      <w:r>
        <w:rPr>
          <w:lang w:val="fr-FR"/>
        </w:rPr>
        <w:tab/>
      </w:r>
      <w:r w:rsidRPr="004859DA">
        <w:rPr>
          <w:lang w:val="fr-FR"/>
        </w:rPr>
        <w:t>III.</w:t>
      </w:r>
      <w:r w:rsidRPr="004859DA">
        <w:rPr>
          <w:lang w:val="fr-FR"/>
        </w:rPr>
        <w:tab/>
      </w:r>
      <w:r w:rsidRPr="004859DA">
        <w:rPr>
          <w:bCs/>
          <w:lang w:val="fr-FR"/>
        </w:rPr>
        <w:t>État de l</w:t>
      </w:r>
      <w:r w:rsidR="001D5421">
        <w:rPr>
          <w:bCs/>
          <w:lang w:val="fr-FR"/>
        </w:rPr>
        <w:t>’</w:t>
      </w:r>
      <w:r w:rsidRPr="004859DA">
        <w:rPr>
          <w:bCs/>
          <w:lang w:val="fr-FR"/>
        </w:rPr>
        <w:t xml:space="preserve">Accord européen </w:t>
      </w:r>
      <w:r w:rsidRPr="00FA70AF">
        <w:rPr>
          <w:lang w:val="fr-FR"/>
        </w:rPr>
        <w:t>relatif</w:t>
      </w:r>
      <w:r w:rsidRPr="004859DA">
        <w:rPr>
          <w:bCs/>
          <w:lang w:val="fr-FR"/>
        </w:rPr>
        <w:t xml:space="preserve"> au transport international des marchandises dangereuses par voies de navigation intérieures (ADN) </w:t>
      </w:r>
      <w:r w:rsidRPr="004859DA">
        <w:rPr>
          <w:lang w:val="fr-FR"/>
        </w:rPr>
        <w:t>(point 2 de l</w:t>
      </w:r>
      <w:r w:rsidR="001D5421">
        <w:rPr>
          <w:lang w:val="fr-FR"/>
        </w:rPr>
        <w:t>’</w:t>
      </w:r>
      <w:r w:rsidRPr="004859DA">
        <w:rPr>
          <w:lang w:val="fr-FR"/>
        </w:rPr>
        <w:t>ordre du jour)</w:t>
      </w:r>
    </w:p>
    <w:p w14:paraId="0BB07565" w14:textId="37E93F68" w:rsidR="00FA70AF" w:rsidRPr="004859DA" w:rsidRDefault="00FA70AF" w:rsidP="00FA70AF">
      <w:pPr>
        <w:pStyle w:val="SingleTxtG"/>
        <w:rPr>
          <w:lang w:val="fr-FR"/>
        </w:rPr>
      </w:pPr>
      <w:r w:rsidRPr="004859DA">
        <w:rPr>
          <w:lang w:val="fr-FR"/>
        </w:rPr>
        <w:t>5.</w:t>
      </w:r>
      <w:r w:rsidRPr="004859DA">
        <w:rPr>
          <w:lang w:val="fr-FR"/>
        </w:rPr>
        <w:tab/>
        <w:t>Le Comité d</w:t>
      </w:r>
      <w:r w:rsidR="001D5421">
        <w:rPr>
          <w:lang w:val="fr-FR"/>
        </w:rPr>
        <w:t>’</w:t>
      </w:r>
      <w:r w:rsidRPr="004859DA">
        <w:rPr>
          <w:lang w:val="fr-FR"/>
        </w:rPr>
        <w:t>administration a noté que le nombre de Parties contractantes demeurait inchangé</w:t>
      </w:r>
      <w:r>
        <w:rPr>
          <w:lang w:val="fr-FR"/>
        </w:rPr>
        <w:t>,</w:t>
      </w:r>
      <w:r w:rsidRPr="004859DA">
        <w:rPr>
          <w:lang w:val="fr-FR"/>
        </w:rPr>
        <w:t xml:space="preserve"> </w:t>
      </w:r>
      <w:r>
        <w:rPr>
          <w:lang w:val="fr-FR"/>
        </w:rPr>
        <w:t xml:space="preserve">soit </w:t>
      </w:r>
      <w:r w:rsidRPr="004859DA">
        <w:rPr>
          <w:lang w:val="fr-FR"/>
        </w:rPr>
        <w:t>18 : Allemagne, Autriche, Belgique, Bulgarie, Croatie, Fédération de Russie, France, Hongrie, Luxembourg, Pays-Bas, Pologne, République de Moldova, République tchèque, Roumanie, Serbie, Slovaquie, Suisse et Ukraine.</w:t>
      </w:r>
    </w:p>
    <w:p w14:paraId="0B944AE2" w14:textId="1BB24C9E" w:rsidR="00FA70AF" w:rsidRPr="004859DA" w:rsidRDefault="00FA70AF" w:rsidP="00FA70AF">
      <w:pPr>
        <w:pStyle w:val="HChG"/>
        <w:rPr>
          <w:bCs/>
          <w:lang w:val="fr-FR"/>
        </w:rPr>
      </w:pPr>
      <w:r>
        <w:rPr>
          <w:lang w:val="fr-FR"/>
        </w:rPr>
        <w:tab/>
      </w:r>
      <w:r w:rsidRPr="004859DA">
        <w:rPr>
          <w:lang w:val="fr-FR"/>
        </w:rPr>
        <w:t>IV.</w:t>
      </w:r>
      <w:r w:rsidRPr="004859DA">
        <w:rPr>
          <w:lang w:val="fr-FR"/>
        </w:rPr>
        <w:tab/>
      </w:r>
      <w:r w:rsidRPr="004859DA">
        <w:rPr>
          <w:bCs/>
          <w:lang w:val="fr-FR"/>
        </w:rPr>
        <w:t>Questions relatives à la mise en œuvre de l</w:t>
      </w:r>
      <w:r w:rsidR="001D5421">
        <w:rPr>
          <w:bCs/>
          <w:lang w:val="fr-FR"/>
        </w:rPr>
        <w:t>’</w:t>
      </w:r>
      <w:r w:rsidRPr="004859DA">
        <w:rPr>
          <w:bCs/>
          <w:lang w:val="fr-FR"/>
        </w:rPr>
        <w:t xml:space="preserve">ADN </w:t>
      </w:r>
      <w:r>
        <w:rPr>
          <w:bCs/>
          <w:lang w:val="fr-FR"/>
        </w:rPr>
        <w:br/>
      </w:r>
      <w:r w:rsidRPr="004859DA">
        <w:rPr>
          <w:lang w:val="fr-FR"/>
        </w:rPr>
        <w:t>(point 3 de l</w:t>
      </w:r>
      <w:r w:rsidR="001D5421">
        <w:rPr>
          <w:lang w:val="fr-FR"/>
        </w:rPr>
        <w:t>’</w:t>
      </w:r>
      <w:r w:rsidRPr="004859DA">
        <w:rPr>
          <w:lang w:val="fr-FR"/>
        </w:rPr>
        <w:t>ordre du jour)</w:t>
      </w:r>
    </w:p>
    <w:p w14:paraId="53097380" w14:textId="0264BA3E" w:rsidR="00FA70AF" w:rsidRPr="004859DA" w:rsidRDefault="00FA70AF" w:rsidP="00FA70AF">
      <w:pPr>
        <w:pStyle w:val="H1G"/>
        <w:rPr>
          <w:snapToGrid w:val="0"/>
          <w:lang w:val="fr-FR"/>
        </w:rPr>
      </w:pPr>
      <w:r>
        <w:rPr>
          <w:lang w:val="fr-FR"/>
        </w:rPr>
        <w:tab/>
      </w:r>
      <w:r w:rsidRPr="004859DA">
        <w:rPr>
          <w:lang w:val="fr-FR"/>
        </w:rPr>
        <w:t>A.</w:t>
      </w:r>
      <w:r w:rsidRPr="004859DA">
        <w:rPr>
          <w:lang w:val="fr-FR"/>
        </w:rPr>
        <w:tab/>
        <w:t>Sociétés de classification</w:t>
      </w:r>
    </w:p>
    <w:p w14:paraId="2CA0E691" w14:textId="5E7DD2D9" w:rsidR="00FA70AF" w:rsidRPr="004859DA" w:rsidRDefault="00FA70AF" w:rsidP="00FA70AF">
      <w:pPr>
        <w:pStyle w:val="SingleTxtG"/>
        <w:tabs>
          <w:tab w:val="clear" w:pos="2268"/>
        </w:tabs>
        <w:ind w:left="2835" w:hanging="1701"/>
        <w:rPr>
          <w:snapToGrid w:val="0"/>
          <w:lang w:val="fr-FR"/>
        </w:rPr>
      </w:pPr>
      <w:r w:rsidRPr="004859DA">
        <w:rPr>
          <w:i/>
          <w:iCs/>
          <w:lang w:val="fr-FR"/>
        </w:rPr>
        <w:t>Document</w:t>
      </w:r>
      <w:r>
        <w:rPr>
          <w:i/>
          <w:iCs/>
          <w:lang w:val="fr-FR"/>
        </w:rPr>
        <w:t> </w:t>
      </w:r>
      <w:r w:rsidRPr="004859DA">
        <w:rPr>
          <w:i/>
          <w:iCs/>
          <w:lang w:val="fr-FR"/>
        </w:rPr>
        <w:t>:</w:t>
      </w:r>
      <w:r w:rsidRPr="004859DA">
        <w:rPr>
          <w:lang w:val="fr-FR"/>
        </w:rPr>
        <w:t xml:space="preserve"> </w:t>
      </w:r>
      <w:r w:rsidRPr="004859DA">
        <w:rPr>
          <w:lang w:val="fr-FR"/>
        </w:rPr>
        <w:tab/>
        <w:t>ECE/ADN/2021/1 (Allemagne)</w:t>
      </w:r>
    </w:p>
    <w:p w14:paraId="33BA2630" w14:textId="4D29C936" w:rsidR="00FA70AF" w:rsidRPr="004859DA" w:rsidRDefault="00FA70AF" w:rsidP="00FA70AF">
      <w:pPr>
        <w:pStyle w:val="SingleTxtG"/>
        <w:rPr>
          <w:lang w:val="fr-FR"/>
        </w:rPr>
      </w:pPr>
      <w:r w:rsidRPr="004859DA">
        <w:rPr>
          <w:lang w:val="fr-FR"/>
        </w:rPr>
        <w:t>6.</w:t>
      </w:r>
      <w:r w:rsidRPr="004859DA">
        <w:rPr>
          <w:lang w:val="fr-FR"/>
        </w:rPr>
        <w:tab/>
        <w:t>Le Comité d</w:t>
      </w:r>
      <w:r w:rsidR="001D5421">
        <w:rPr>
          <w:lang w:val="fr-FR"/>
        </w:rPr>
        <w:t>’</w:t>
      </w:r>
      <w:r w:rsidRPr="004859DA">
        <w:rPr>
          <w:lang w:val="fr-FR"/>
        </w:rPr>
        <w:t>administration a pris note des renseignements fournis par l</w:t>
      </w:r>
      <w:r w:rsidR="001D5421">
        <w:rPr>
          <w:lang w:val="fr-FR"/>
        </w:rPr>
        <w:t>’</w:t>
      </w:r>
      <w:r w:rsidRPr="004859DA">
        <w:rPr>
          <w:lang w:val="fr-FR"/>
        </w:rPr>
        <w:t xml:space="preserve">Allemagne dans le document officiel ECE/ADN/2021/1, disponible sur le site Web de la CEE. </w:t>
      </w:r>
    </w:p>
    <w:p w14:paraId="0757CD4B" w14:textId="50D86E3A" w:rsidR="00FA70AF" w:rsidRPr="004859DA" w:rsidRDefault="00FA70AF" w:rsidP="00FA70AF">
      <w:pPr>
        <w:pStyle w:val="SingleTxtG"/>
        <w:rPr>
          <w:snapToGrid w:val="0"/>
          <w:lang w:val="fr-FR"/>
        </w:rPr>
      </w:pPr>
      <w:r w:rsidRPr="004859DA">
        <w:rPr>
          <w:lang w:val="fr-FR"/>
        </w:rPr>
        <w:t>7.</w:t>
      </w:r>
      <w:r w:rsidRPr="004859DA">
        <w:rPr>
          <w:lang w:val="fr-FR"/>
        </w:rPr>
        <w:tab/>
        <w:t>Le Comité d</w:t>
      </w:r>
      <w:r w:rsidR="001D5421">
        <w:rPr>
          <w:lang w:val="fr-FR"/>
        </w:rPr>
        <w:t>’</w:t>
      </w:r>
      <w:r w:rsidRPr="004859DA">
        <w:rPr>
          <w:lang w:val="fr-FR"/>
        </w:rPr>
        <w:t>administration a rappelé que toutes les sociétés de classification ADN recommandées devaient faire valoir directement auprès de lui leur certification</w:t>
      </w:r>
      <w:r>
        <w:rPr>
          <w:lang w:val="fr-FR"/>
        </w:rPr>
        <w:t>,</w:t>
      </w:r>
      <w:r w:rsidRPr="004859DA">
        <w:rPr>
          <w:lang w:val="fr-FR"/>
        </w:rPr>
        <w:t xml:space="preserve"> établie conformément à la norme EN ISO/IEC 17020:2012 (à l</w:t>
      </w:r>
      <w:r w:rsidR="001D5421">
        <w:rPr>
          <w:lang w:val="fr-FR"/>
        </w:rPr>
        <w:t>’</w:t>
      </w:r>
      <w:r w:rsidRPr="004859DA">
        <w:rPr>
          <w:lang w:val="fr-FR"/>
        </w:rPr>
        <w:t>exception du paragraphe 8.1.3).</w:t>
      </w:r>
    </w:p>
    <w:p w14:paraId="4E6B5F28" w14:textId="061B16AF" w:rsidR="00FA70AF" w:rsidRPr="004859DA" w:rsidRDefault="00FA70AF" w:rsidP="00FA70AF">
      <w:pPr>
        <w:pStyle w:val="H1G"/>
        <w:rPr>
          <w:snapToGrid w:val="0"/>
          <w:lang w:val="fr-FR"/>
        </w:rPr>
      </w:pPr>
      <w:r>
        <w:rPr>
          <w:lang w:val="fr-FR"/>
        </w:rPr>
        <w:tab/>
      </w:r>
      <w:r w:rsidRPr="004859DA">
        <w:rPr>
          <w:lang w:val="fr-FR"/>
        </w:rPr>
        <w:t>B.</w:t>
      </w:r>
      <w:r w:rsidRPr="004859DA">
        <w:rPr>
          <w:lang w:val="fr-FR"/>
        </w:rPr>
        <w:tab/>
      </w:r>
      <w:r w:rsidRPr="004859DA">
        <w:rPr>
          <w:bCs/>
          <w:lang w:val="fr-FR"/>
        </w:rPr>
        <w:t xml:space="preserve">Autorisations spéciales, dérogations et </w:t>
      </w:r>
      <w:r w:rsidRPr="00FA70AF">
        <w:rPr>
          <w:lang w:val="fr-FR"/>
        </w:rPr>
        <w:t>équivalences</w:t>
      </w:r>
    </w:p>
    <w:p w14:paraId="082E621E" w14:textId="404F2D17" w:rsidR="00FA70AF" w:rsidRPr="004859DA" w:rsidRDefault="00FA70AF" w:rsidP="00FA70AF">
      <w:pPr>
        <w:pStyle w:val="SingleTxtG"/>
        <w:tabs>
          <w:tab w:val="clear" w:pos="2268"/>
        </w:tabs>
        <w:ind w:left="2835" w:hanging="1701"/>
        <w:rPr>
          <w:snapToGrid w:val="0"/>
          <w:lang w:val="fr-FR"/>
        </w:rPr>
      </w:pPr>
      <w:r w:rsidRPr="004859DA">
        <w:rPr>
          <w:i/>
          <w:iCs/>
          <w:lang w:val="fr-FR"/>
        </w:rPr>
        <w:t>Document</w:t>
      </w:r>
      <w:r>
        <w:rPr>
          <w:i/>
          <w:iCs/>
          <w:lang w:val="fr-FR"/>
        </w:rPr>
        <w:t> </w:t>
      </w:r>
      <w:r w:rsidRPr="004859DA">
        <w:rPr>
          <w:i/>
          <w:iCs/>
          <w:lang w:val="fr-FR"/>
        </w:rPr>
        <w:t>:</w:t>
      </w:r>
      <w:r w:rsidRPr="004859DA">
        <w:rPr>
          <w:lang w:val="fr-FR"/>
        </w:rPr>
        <w:t xml:space="preserve"> </w:t>
      </w:r>
      <w:r w:rsidRPr="004859DA">
        <w:rPr>
          <w:lang w:val="fr-FR"/>
        </w:rPr>
        <w:tab/>
        <w:t>ECE/TRANS/WP.15/AC.2/2021/20 (Pays-Bas)</w:t>
      </w:r>
    </w:p>
    <w:p w14:paraId="7676D18B" w14:textId="795B5F8C" w:rsidR="00FA70AF" w:rsidRPr="004859DA" w:rsidRDefault="00FA70AF" w:rsidP="00FA70AF">
      <w:pPr>
        <w:pStyle w:val="SingleTxtG"/>
        <w:tabs>
          <w:tab w:val="clear" w:pos="2268"/>
        </w:tabs>
        <w:ind w:left="2835" w:hanging="1701"/>
        <w:rPr>
          <w:lang w:val="fr-FR"/>
        </w:rPr>
      </w:pPr>
      <w:r w:rsidRPr="004859DA">
        <w:rPr>
          <w:i/>
          <w:iCs/>
          <w:lang w:val="fr-FR"/>
        </w:rPr>
        <w:t>Document informel</w:t>
      </w:r>
      <w:r>
        <w:rPr>
          <w:i/>
          <w:iCs/>
          <w:lang w:val="fr-FR"/>
        </w:rPr>
        <w:t> </w:t>
      </w:r>
      <w:r w:rsidRPr="004859DA">
        <w:rPr>
          <w:i/>
          <w:iCs/>
          <w:lang w:val="fr-FR"/>
        </w:rPr>
        <w:t>:</w:t>
      </w:r>
      <w:r w:rsidRPr="004859DA">
        <w:rPr>
          <w:lang w:val="fr-FR"/>
        </w:rPr>
        <w:tab/>
        <w:t>Document INF.3 de la trente-huitième session du Comité de sécurité de l</w:t>
      </w:r>
      <w:r w:rsidR="001D5421">
        <w:rPr>
          <w:lang w:val="fr-FR"/>
        </w:rPr>
        <w:t>’</w:t>
      </w:r>
      <w:r w:rsidRPr="004859DA">
        <w:rPr>
          <w:lang w:val="fr-FR"/>
        </w:rPr>
        <w:t>ADN (Pays-Bas)</w:t>
      </w:r>
    </w:p>
    <w:p w14:paraId="4751A7A0" w14:textId="604EB70B" w:rsidR="00FA70AF" w:rsidRPr="004859DA" w:rsidRDefault="00FA70AF" w:rsidP="00FA70AF">
      <w:pPr>
        <w:pStyle w:val="SingleTxtG"/>
        <w:rPr>
          <w:snapToGrid w:val="0"/>
          <w:lang w:val="fr-FR"/>
        </w:rPr>
      </w:pPr>
      <w:r w:rsidRPr="004859DA">
        <w:rPr>
          <w:lang w:val="fr-FR"/>
        </w:rPr>
        <w:t>8.</w:t>
      </w:r>
      <w:r w:rsidRPr="004859DA">
        <w:rPr>
          <w:lang w:val="fr-FR"/>
        </w:rPr>
        <w:tab/>
      </w:r>
      <w:r>
        <w:rPr>
          <w:lang w:val="fr-FR"/>
        </w:rPr>
        <w:t>Après avoir rappelé</w:t>
      </w:r>
      <w:r w:rsidRPr="004859DA">
        <w:rPr>
          <w:lang w:val="fr-FR"/>
        </w:rPr>
        <w:t xml:space="preserve"> les résultats d</w:t>
      </w:r>
      <w:r>
        <w:rPr>
          <w:lang w:val="fr-FR"/>
        </w:rPr>
        <w:t>u</w:t>
      </w:r>
      <w:r w:rsidRPr="004859DA">
        <w:rPr>
          <w:lang w:val="fr-FR"/>
        </w:rPr>
        <w:t xml:space="preserve"> débat (voir ECE/TRANS/WP.15/AC.2/78, par.</w:t>
      </w:r>
      <w:r w:rsidR="000C0CEF">
        <w:rPr>
          <w:lang w:val="fr-FR"/>
        </w:rPr>
        <w:t> </w:t>
      </w:r>
      <w:r w:rsidRPr="004859DA">
        <w:rPr>
          <w:lang w:val="fr-FR"/>
        </w:rPr>
        <w:t>14) du Comité de sécurité concernant la demande de l</w:t>
      </w:r>
      <w:r w:rsidR="001D5421">
        <w:rPr>
          <w:lang w:val="fr-FR"/>
        </w:rPr>
        <w:t>’</w:t>
      </w:r>
      <w:r w:rsidRPr="004859DA">
        <w:rPr>
          <w:lang w:val="fr-FR"/>
        </w:rPr>
        <w:t xml:space="preserve">autorité compétente des Pays-Bas de délivrer, conformément au paragraphe 1.5.2, une autorisation spéciale pour le transport du </w:t>
      </w:r>
      <w:r>
        <w:rPr>
          <w:lang w:val="fr-FR"/>
        </w:rPr>
        <w:t>No</w:t>
      </w:r>
      <w:r w:rsidR="000C0CEF">
        <w:rPr>
          <w:lang w:val="fr-FR"/>
        </w:rPr>
        <w:t> </w:t>
      </w:r>
      <w:r w:rsidRPr="004859DA">
        <w:rPr>
          <w:lang w:val="fr-FR"/>
        </w:rPr>
        <w:t>ONU</w:t>
      </w:r>
      <w:r w:rsidR="000C0CEF">
        <w:rPr>
          <w:lang w:val="fr-FR"/>
        </w:rPr>
        <w:t> </w:t>
      </w:r>
      <w:r w:rsidRPr="004859DA">
        <w:rPr>
          <w:lang w:val="fr-FR"/>
        </w:rPr>
        <w:t xml:space="preserve">1288, Huile de schiste, par bateau-citerne, le Comité </w:t>
      </w:r>
      <w:r>
        <w:rPr>
          <w:lang w:val="fr-FR"/>
        </w:rPr>
        <w:t>d</w:t>
      </w:r>
      <w:r w:rsidR="001D5421">
        <w:rPr>
          <w:lang w:val="fr-FR"/>
        </w:rPr>
        <w:t>’</w:t>
      </w:r>
      <w:r>
        <w:rPr>
          <w:lang w:val="fr-FR"/>
        </w:rPr>
        <w:t xml:space="preserve">administration </w:t>
      </w:r>
      <w:r w:rsidRPr="004859DA">
        <w:rPr>
          <w:lang w:val="fr-FR"/>
        </w:rPr>
        <w:t>a décidé de reporter l</w:t>
      </w:r>
      <w:r w:rsidR="001D5421">
        <w:rPr>
          <w:lang w:val="fr-FR"/>
        </w:rPr>
        <w:t>’</w:t>
      </w:r>
      <w:r w:rsidRPr="004859DA">
        <w:rPr>
          <w:lang w:val="fr-FR"/>
        </w:rPr>
        <w:t xml:space="preserve">examen de cette question à la prochaine session, en janvier 2022. Le représentant </w:t>
      </w:r>
      <w:r w:rsidRPr="004859DA">
        <w:rPr>
          <w:lang w:val="fr-FR"/>
        </w:rPr>
        <w:lastRenderedPageBreak/>
        <w:t>des Pays-Bas s</w:t>
      </w:r>
      <w:r w:rsidR="001D5421">
        <w:rPr>
          <w:lang w:val="fr-FR"/>
        </w:rPr>
        <w:t>’</w:t>
      </w:r>
      <w:r w:rsidRPr="004859DA">
        <w:rPr>
          <w:lang w:val="fr-FR"/>
        </w:rPr>
        <w:t>est porté volontaire pour soumettre une demande actualisée pour examen à la</w:t>
      </w:r>
      <w:r>
        <w:rPr>
          <w:lang w:val="fr-FR"/>
        </w:rPr>
        <w:t>dite</w:t>
      </w:r>
      <w:r w:rsidRPr="004859DA">
        <w:rPr>
          <w:lang w:val="fr-FR"/>
        </w:rPr>
        <w:t xml:space="preserve"> session.</w:t>
      </w:r>
    </w:p>
    <w:p w14:paraId="22986EC8" w14:textId="4831E04B" w:rsidR="00FA70AF" w:rsidRPr="000C0CEF" w:rsidRDefault="00FA70AF" w:rsidP="00FA70AF">
      <w:pPr>
        <w:pStyle w:val="SingleTxtG"/>
        <w:rPr>
          <w:snapToGrid w:val="0"/>
          <w:lang w:val="fr-FR"/>
        </w:rPr>
      </w:pPr>
      <w:r w:rsidRPr="000C0CEF">
        <w:rPr>
          <w:lang w:val="fr-FR"/>
        </w:rPr>
        <w:t>9.</w:t>
      </w:r>
      <w:r w:rsidRPr="000C0CEF">
        <w:rPr>
          <w:lang w:val="fr-FR"/>
        </w:rPr>
        <w:tab/>
        <w:t>Il a été rappelé que le texte des autorisations spéciales, accords spéciaux, dérogations et équivalences, ainsi que les informations sur leur situation, et le texte des notifications pouvaient être consultés sur le site Web du secrétariat de la CEE à l</w:t>
      </w:r>
      <w:r w:rsidR="001D5421" w:rsidRPr="000C0CEF">
        <w:rPr>
          <w:lang w:val="fr-FR"/>
        </w:rPr>
        <w:t>’</w:t>
      </w:r>
      <w:r w:rsidRPr="000C0CEF">
        <w:rPr>
          <w:lang w:val="fr-FR"/>
        </w:rPr>
        <w:t>adresse suivante</w:t>
      </w:r>
      <w:r w:rsidR="001D5421" w:rsidRPr="000C0CEF">
        <w:rPr>
          <w:lang w:val="fr-FR"/>
        </w:rPr>
        <w:t> </w:t>
      </w:r>
      <w:r w:rsidRPr="000C0CEF">
        <w:rPr>
          <w:lang w:val="fr-FR"/>
        </w:rPr>
        <w:t xml:space="preserve">: </w:t>
      </w:r>
      <w:hyperlink r:id="rId8" w:history="1">
        <w:r w:rsidRPr="000C0CEF">
          <w:rPr>
            <w:rStyle w:val="Lienhypertexte"/>
            <w:color w:val="auto"/>
            <w:lang w:val="fr-FR"/>
          </w:rPr>
          <w:t>https://unece.org/special-authorizat</w:t>
        </w:r>
        <w:r w:rsidRPr="000C0CEF">
          <w:rPr>
            <w:rStyle w:val="Lienhypertexte"/>
            <w:color w:val="auto"/>
            <w:lang w:val="fr-FR"/>
          </w:rPr>
          <w:t>i</w:t>
        </w:r>
        <w:r w:rsidRPr="000C0CEF">
          <w:rPr>
            <w:rStyle w:val="Lienhypertexte"/>
            <w:color w:val="auto"/>
            <w:lang w:val="fr-FR"/>
          </w:rPr>
          <w:t>ons</w:t>
        </w:r>
      </w:hyperlink>
      <w:r w:rsidRPr="000C0CEF">
        <w:rPr>
          <w:lang w:val="fr-FR"/>
        </w:rPr>
        <w:t xml:space="preserve"> et </w:t>
      </w:r>
      <w:hyperlink r:id="rId9" w:history="1">
        <w:r w:rsidRPr="000C0CEF">
          <w:rPr>
            <w:rStyle w:val="Lienhypertexte"/>
            <w:color w:val="auto"/>
            <w:lang w:val="fr-FR"/>
          </w:rPr>
          <w:t>https://unece.org/equivalences-an</w:t>
        </w:r>
        <w:r w:rsidRPr="000C0CEF">
          <w:rPr>
            <w:rStyle w:val="Lienhypertexte"/>
            <w:color w:val="auto"/>
            <w:lang w:val="fr-FR"/>
          </w:rPr>
          <w:t>d</w:t>
        </w:r>
        <w:r w:rsidRPr="000C0CEF">
          <w:rPr>
            <w:rStyle w:val="Lienhypertexte"/>
            <w:color w:val="auto"/>
            <w:lang w:val="fr-FR"/>
          </w:rPr>
          <w:t>-derogations</w:t>
        </w:r>
      </w:hyperlink>
      <w:r w:rsidRPr="000C0CEF">
        <w:rPr>
          <w:lang w:val="fr-FR"/>
        </w:rPr>
        <w:t>.</w:t>
      </w:r>
    </w:p>
    <w:p w14:paraId="4CDEB756" w14:textId="7EC82692" w:rsidR="00FA70AF" w:rsidRPr="004859DA" w:rsidRDefault="00FA70AF" w:rsidP="00FA70AF">
      <w:pPr>
        <w:pStyle w:val="H1G"/>
        <w:rPr>
          <w:snapToGrid w:val="0"/>
          <w:lang w:val="fr-FR"/>
        </w:rPr>
      </w:pPr>
      <w:r>
        <w:rPr>
          <w:lang w:val="fr-FR"/>
        </w:rPr>
        <w:tab/>
      </w:r>
      <w:r w:rsidRPr="004859DA">
        <w:rPr>
          <w:lang w:val="fr-FR"/>
        </w:rPr>
        <w:t>C.</w:t>
      </w:r>
      <w:r w:rsidRPr="004859DA">
        <w:rPr>
          <w:lang w:val="fr-FR"/>
        </w:rPr>
        <w:tab/>
        <w:t>Notifications diverses</w:t>
      </w:r>
    </w:p>
    <w:p w14:paraId="172C3F6D" w14:textId="1C1170BD" w:rsidR="00FA70AF" w:rsidRPr="004859DA" w:rsidRDefault="00FA70AF" w:rsidP="00FA70AF">
      <w:pPr>
        <w:pStyle w:val="SingleTxtG"/>
        <w:tabs>
          <w:tab w:val="clear" w:pos="2268"/>
        </w:tabs>
        <w:ind w:left="2835" w:hanging="1701"/>
        <w:rPr>
          <w:lang w:val="fr-FR"/>
        </w:rPr>
      </w:pPr>
      <w:r w:rsidRPr="004859DA">
        <w:rPr>
          <w:i/>
          <w:iCs/>
          <w:lang w:val="fr-FR"/>
        </w:rPr>
        <w:t>Document informel</w:t>
      </w:r>
      <w:r w:rsidR="001D5421">
        <w:rPr>
          <w:i/>
          <w:iCs/>
          <w:lang w:val="fr-FR"/>
        </w:rPr>
        <w:t> </w:t>
      </w:r>
      <w:r w:rsidRPr="004859DA">
        <w:rPr>
          <w:i/>
          <w:iCs/>
          <w:lang w:val="fr-FR"/>
        </w:rPr>
        <w:t>:</w:t>
      </w:r>
      <w:r w:rsidRPr="004859DA">
        <w:rPr>
          <w:lang w:val="fr-FR"/>
        </w:rPr>
        <w:tab/>
        <w:t>INF.1 (Pays-Bas)</w:t>
      </w:r>
    </w:p>
    <w:p w14:paraId="178A02A1" w14:textId="7A6E1C99" w:rsidR="00FA70AF" w:rsidRPr="004859DA" w:rsidRDefault="00FA70AF" w:rsidP="00FA70AF">
      <w:pPr>
        <w:pStyle w:val="SingleTxtG"/>
        <w:rPr>
          <w:snapToGrid w:val="0"/>
          <w:lang w:val="fr-FR"/>
        </w:rPr>
      </w:pPr>
      <w:r w:rsidRPr="004859DA">
        <w:rPr>
          <w:lang w:val="fr-FR"/>
        </w:rPr>
        <w:t>10.</w:t>
      </w:r>
      <w:r w:rsidRPr="004859DA">
        <w:rPr>
          <w:lang w:val="fr-FR"/>
        </w:rPr>
        <w:tab/>
        <w:t>Le Comité d</w:t>
      </w:r>
      <w:r w:rsidR="001D5421">
        <w:rPr>
          <w:lang w:val="fr-FR"/>
        </w:rPr>
        <w:t>’</w:t>
      </w:r>
      <w:r w:rsidRPr="004859DA">
        <w:rPr>
          <w:lang w:val="fr-FR"/>
        </w:rPr>
        <w:t>administration a pris note des statistiques relatives aux examens communiquées par les Pays-Bas.</w:t>
      </w:r>
    </w:p>
    <w:p w14:paraId="24939FA6" w14:textId="2626B8C7" w:rsidR="00FA70AF" w:rsidRPr="004859DA" w:rsidRDefault="00FA70AF" w:rsidP="00FA70AF">
      <w:pPr>
        <w:pStyle w:val="SingleTxtG"/>
        <w:rPr>
          <w:snapToGrid w:val="0"/>
          <w:lang w:val="fr-FR"/>
        </w:rPr>
      </w:pPr>
      <w:r w:rsidRPr="004859DA">
        <w:rPr>
          <w:lang w:val="fr-FR"/>
        </w:rPr>
        <w:t>11.</w:t>
      </w:r>
      <w:r w:rsidRPr="004859DA">
        <w:rPr>
          <w:lang w:val="fr-FR"/>
        </w:rPr>
        <w:tab/>
        <w:t>Il a été rappelé aux Parties contractantes qui ne l</w:t>
      </w:r>
      <w:r w:rsidR="001D5421">
        <w:rPr>
          <w:lang w:val="fr-FR"/>
        </w:rPr>
        <w:t>’</w:t>
      </w:r>
      <w:r w:rsidRPr="004859DA">
        <w:rPr>
          <w:lang w:val="fr-FR"/>
        </w:rPr>
        <w:t>avaient pas encore fait de communiquer au secrétariat leurs spécimens d</w:t>
      </w:r>
      <w:r w:rsidR="001D5421">
        <w:rPr>
          <w:lang w:val="fr-FR"/>
        </w:rPr>
        <w:t>’</w:t>
      </w:r>
      <w:r w:rsidRPr="004859DA">
        <w:rPr>
          <w:lang w:val="fr-FR"/>
        </w:rPr>
        <w:t>attestation d</w:t>
      </w:r>
      <w:r w:rsidR="001D5421">
        <w:rPr>
          <w:lang w:val="fr-FR"/>
        </w:rPr>
        <w:t>’</w:t>
      </w:r>
      <w:r w:rsidRPr="004859DA">
        <w:rPr>
          <w:lang w:val="fr-FR"/>
        </w:rPr>
        <w:t>expert et leurs statistiques relatives aux examens portant sur l</w:t>
      </w:r>
      <w:r w:rsidR="001D5421">
        <w:rPr>
          <w:lang w:val="fr-FR"/>
        </w:rPr>
        <w:t>’</w:t>
      </w:r>
      <w:r w:rsidRPr="004859DA">
        <w:rPr>
          <w:lang w:val="fr-FR"/>
        </w:rPr>
        <w:t>ADN.</w:t>
      </w:r>
    </w:p>
    <w:p w14:paraId="4E606FE1" w14:textId="245CD1F0" w:rsidR="00FA70AF" w:rsidRPr="004859DA" w:rsidRDefault="00FA70AF" w:rsidP="00FA70AF">
      <w:pPr>
        <w:pStyle w:val="H1G"/>
        <w:rPr>
          <w:snapToGrid w:val="0"/>
          <w:lang w:val="fr-FR"/>
        </w:rPr>
      </w:pPr>
      <w:r>
        <w:rPr>
          <w:lang w:val="fr-FR"/>
        </w:rPr>
        <w:tab/>
      </w:r>
      <w:r w:rsidRPr="004859DA">
        <w:rPr>
          <w:lang w:val="fr-FR"/>
        </w:rPr>
        <w:t>D.</w:t>
      </w:r>
      <w:r w:rsidRPr="004859DA">
        <w:rPr>
          <w:lang w:val="fr-FR"/>
        </w:rPr>
        <w:tab/>
      </w:r>
      <w:r>
        <w:rPr>
          <w:lang w:val="fr-FR"/>
        </w:rPr>
        <w:t xml:space="preserve">Autres </w:t>
      </w:r>
      <w:r w:rsidRPr="00FA70AF">
        <w:rPr>
          <w:lang w:val="fr-FR"/>
        </w:rPr>
        <w:t>questions</w:t>
      </w:r>
    </w:p>
    <w:p w14:paraId="64B0FD01" w14:textId="1C1A7A6C" w:rsidR="00FA70AF" w:rsidRPr="00FA70AF" w:rsidRDefault="00FA70AF" w:rsidP="00FA70AF">
      <w:pPr>
        <w:pStyle w:val="SingleTxtG"/>
        <w:rPr>
          <w:snapToGrid w:val="0"/>
          <w:spacing w:val="-2"/>
          <w:lang w:val="fr-FR"/>
        </w:rPr>
      </w:pPr>
      <w:r w:rsidRPr="00FA70AF">
        <w:rPr>
          <w:spacing w:val="-2"/>
          <w:lang w:val="fr-FR"/>
        </w:rPr>
        <w:t>12.</w:t>
      </w:r>
      <w:r w:rsidRPr="00FA70AF">
        <w:rPr>
          <w:spacing w:val="-2"/>
          <w:lang w:val="fr-FR"/>
        </w:rPr>
        <w:tab/>
        <w:t>Le Comité a invité les pays qui ne l</w:t>
      </w:r>
      <w:r w:rsidR="001D5421">
        <w:rPr>
          <w:spacing w:val="-2"/>
          <w:lang w:val="fr-FR"/>
        </w:rPr>
        <w:t>’</w:t>
      </w:r>
      <w:r w:rsidRPr="00FA70AF">
        <w:rPr>
          <w:spacing w:val="-2"/>
          <w:lang w:val="fr-FR"/>
        </w:rPr>
        <w:t>avaient pas encore fait à vérifier les coordonnées de leurs autorités compétentes et, si nécessaire, à agréer les sociétés de classification de la liste recommandée, conformément aux dispositions du paragraphe 1.15.2.4 du Règlement annexé.</w:t>
      </w:r>
    </w:p>
    <w:p w14:paraId="74E6E946" w14:textId="61F11192" w:rsidR="00FA70AF" w:rsidRPr="004859DA" w:rsidRDefault="00FA70AF" w:rsidP="00FA70AF">
      <w:pPr>
        <w:pStyle w:val="HChG"/>
        <w:rPr>
          <w:snapToGrid w:val="0"/>
          <w:lang w:val="fr-FR"/>
        </w:rPr>
      </w:pPr>
      <w:r>
        <w:rPr>
          <w:lang w:val="fr-FR"/>
        </w:rPr>
        <w:tab/>
      </w:r>
      <w:r w:rsidRPr="004859DA">
        <w:rPr>
          <w:lang w:val="fr-FR"/>
        </w:rPr>
        <w:t>V.</w:t>
      </w:r>
      <w:r w:rsidRPr="004859DA">
        <w:rPr>
          <w:lang w:val="fr-FR"/>
        </w:rPr>
        <w:tab/>
      </w:r>
      <w:r w:rsidRPr="004859DA">
        <w:rPr>
          <w:bCs/>
          <w:lang w:val="fr-FR"/>
        </w:rPr>
        <w:t>Travaux du Comité de sécurité</w:t>
      </w:r>
      <w:r w:rsidRPr="004859DA">
        <w:rPr>
          <w:lang w:val="fr-FR"/>
        </w:rPr>
        <w:t xml:space="preserve"> (point 4 de l</w:t>
      </w:r>
      <w:r w:rsidR="001D5421">
        <w:rPr>
          <w:lang w:val="fr-FR"/>
        </w:rPr>
        <w:t>’</w:t>
      </w:r>
      <w:r w:rsidRPr="004859DA">
        <w:rPr>
          <w:lang w:val="fr-FR"/>
        </w:rPr>
        <w:t>ordre du jour)</w:t>
      </w:r>
    </w:p>
    <w:p w14:paraId="5990216F" w14:textId="7692EEF9" w:rsidR="00FA70AF" w:rsidRPr="004859DA" w:rsidRDefault="00FA70AF" w:rsidP="00FA70AF">
      <w:pPr>
        <w:pStyle w:val="SingleTxtG"/>
        <w:rPr>
          <w:snapToGrid w:val="0"/>
          <w:lang w:val="fr-FR"/>
        </w:rPr>
      </w:pPr>
      <w:r w:rsidRPr="004859DA">
        <w:rPr>
          <w:lang w:val="fr-FR"/>
        </w:rPr>
        <w:t>13.</w:t>
      </w:r>
      <w:r w:rsidRPr="004859DA">
        <w:rPr>
          <w:lang w:val="fr-FR"/>
        </w:rPr>
        <w:tab/>
        <w:t>Le Comité d</w:t>
      </w:r>
      <w:r w:rsidR="001D5421">
        <w:rPr>
          <w:lang w:val="fr-FR"/>
        </w:rPr>
        <w:t>’</w:t>
      </w:r>
      <w:r w:rsidRPr="004859DA">
        <w:rPr>
          <w:lang w:val="fr-FR"/>
        </w:rPr>
        <w:t>administration a pris note des travaux du Comité de sécurité tels que présentés dans le rapport sur sa trente-huitième session, qu</w:t>
      </w:r>
      <w:r w:rsidR="001D5421">
        <w:rPr>
          <w:lang w:val="fr-FR"/>
        </w:rPr>
        <w:t>’</w:t>
      </w:r>
      <w:r w:rsidRPr="004859DA">
        <w:rPr>
          <w:lang w:val="fr-FR"/>
        </w:rPr>
        <w:t xml:space="preserve">il a approuvé sur la base du projet de rapport établi par le secrétariat (ECE/TRANS/WP.15/AC.2/2021/R.3 et Add.1 à 5 et ECE/TRANS/WP.15/AC.2/2021/R.4 et Add.1 et 2) et adopté par le Comité de sécurité lors de la lecture du rapport (ECE/TRANS/WP.15/AC.2/78). </w:t>
      </w:r>
    </w:p>
    <w:p w14:paraId="095F74AC" w14:textId="3C7688FE" w:rsidR="00FA70AF" w:rsidRPr="004859DA" w:rsidRDefault="00FA70AF" w:rsidP="00FA70AF">
      <w:pPr>
        <w:pStyle w:val="SingleTxtG"/>
        <w:rPr>
          <w:snapToGrid w:val="0"/>
          <w:lang w:val="fr-FR"/>
        </w:rPr>
      </w:pPr>
      <w:r w:rsidRPr="004859DA">
        <w:rPr>
          <w:lang w:val="fr-FR"/>
        </w:rPr>
        <w:t>14.</w:t>
      </w:r>
      <w:r w:rsidRPr="004859DA">
        <w:rPr>
          <w:lang w:val="fr-FR"/>
        </w:rPr>
        <w:tab/>
        <w:t>Le Comité a décidé d</w:t>
      </w:r>
      <w:r w:rsidR="001D5421">
        <w:rPr>
          <w:lang w:val="fr-FR"/>
        </w:rPr>
        <w:t>’</w:t>
      </w:r>
      <w:r w:rsidRPr="004859DA">
        <w:rPr>
          <w:lang w:val="fr-FR"/>
        </w:rPr>
        <w:t>examiner en bloc à sa vingt-septième session, le 28 janvier 2022, les propositions d</w:t>
      </w:r>
      <w:r w:rsidR="001D5421">
        <w:rPr>
          <w:lang w:val="fr-FR"/>
        </w:rPr>
        <w:t>’</w:t>
      </w:r>
      <w:r w:rsidRPr="004859DA">
        <w:rPr>
          <w:lang w:val="fr-FR"/>
        </w:rPr>
        <w:t>amendements au Règlement annexé à l</w:t>
      </w:r>
      <w:r w:rsidR="001D5421">
        <w:rPr>
          <w:lang w:val="fr-FR"/>
        </w:rPr>
        <w:t>’</w:t>
      </w:r>
      <w:r w:rsidRPr="004859DA">
        <w:rPr>
          <w:lang w:val="fr-FR"/>
        </w:rPr>
        <w:t xml:space="preserve">ADN pour </w:t>
      </w:r>
      <w:proofErr w:type="spellStart"/>
      <w:r w:rsidRPr="004859DA">
        <w:rPr>
          <w:lang w:val="fr-FR"/>
        </w:rPr>
        <w:t>entrée</w:t>
      </w:r>
      <w:proofErr w:type="spellEnd"/>
      <w:r w:rsidRPr="004859DA">
        <w:rPr>
          <w:lang w:val="fr-FR"/>
        </w:rPr>
        <w:t xml:space="preserve"> en vigueur le 1</w:t>
      </w:r>
      <w:r w:rsidRPr="001D5421">
        <w:rPr>
          <w:vertAlign w:val="superscript"/>
          <w:lang w:val="fr-FR"/>
        </w:rPr>
        <w:t>er</w:t>
      </w:r>
      <w:r w:rsidR="001D5421">
        <w:rPr>
          <w:lang w:val="fr-FR"/>
        </w:rPr>
        <w:t> </w:t>
      </w:r>
      <w:r w:rsidRPr="004859DA">
        <w:rPr>
          <w:lang w:val="fr-FR"/>
        </w:rPr>
        <w:t>janvier 2023, telles qu</w:t>
      </w:r>
      <w:r w:rsidR="001D5421">
        <w:rPr>
          <w:lang w:val="fr-FR"/>
        </w:rPr>
        <w:t>’</w:t>
      </w:r>
      <w:r w:rsidRPr="004859DA">
        <w:rPr>
          <w:lang w:val="fr-FR"/>
        </w:rPr>
        <w:t>elles sont présentées à l</w:t>
      </w:r>
      <w:r w:rsidR="001D5421">
        <w:rPr>
          <w:lang w:val="fr-FR"/>
        </w:rPr>
        <w:t>’</w:t>
      </w:r>
      <w:r w:rsidRPr="004859DA">
        <w:rPr>
          <w:lang w:val="fr-FR"/>
        </w:rPr>
        <w:t>annexe I du document ECE/TRANS/WP.15/AC.2/78/Add.1, ainsi que tous les autres projets d</w:t>
      </w:r>
      <w:r w:rsidR="001D5421">
        <w:rPr>
          <w:lang w:val="fr-FR"/>
        </w:rPr>
        <w:t>’</w:t>
      </w:r>
      <w:r w:rsidRPr="004859DA">
        <w:rPr>
          <w:lang w:val="fr-FR"/>
        </w:rPr>
        <w:t>amendements adoptés en 2020 et 2021 qu</w:t>
      </w:r>
      <w:r w:rsidR="001D5421">
        <w:rPr>
          <w:lang w:val="fr-FR"/>
        </w:rPr>
        <w:t>’</w:t>
      </w:r>
      <w:r w:rsidRPr="004859DA">
        <w:rPr>
          <w:lang w:val="fr-FR"/>
        </w:rPr>
        <w:t>il n</w:t>
      </w:r>
      <w:r w:rsidR="001D5421">
        <w:rPr>
          <w:lang w:val="fr-FR"/>
        </w:rPr>
        <w:t>’</w:t>
      </w:r>
      <w:r w:rsidRPr="004859DA">
        <w:rPr>
          <w:lang w:val="fr-FR"/>
        </w:rPr>
        <w:t>a</w:t>
      </w:r>
      <w:r>
        <w:rPr>
          <w:lang w:val="fr-FR"/>
        </w:rPr>
        <w:t>vait</w:t>
      </w:r>
      <w:r w:rsidRPr="004859DA">
        <w:rPr>
          <w:lang w:val="fr-FR"/>
        </w:rPr>
        <w:t xml:space="preserve"> pas encore approuvés.</w:t>
      </w:r>
    </w:p>
    <w:p w14:paraId="2E0B99B1" w14:textId="582313B9" w:rsidR="00FA70AF" w:rsidRPr="004859DA" w:rsidRDefault="00FA70AF" w:rsidP="00FA70AF">
      <w:pPr>
        <w:pStyle w:val="HChG"/>
        <w:rPr>
          <w:bCs/>
          <w:lang w:val="fr-FR"/>
        </w:rPr>
      </w:pPr>
      <w:r>
        <w:rPr>
          <w:lang w:val="fr-FR"/>
        </w:rPr>
        <w:tab/>
      </w:r>
      <w:r w:rsidRPr="004859DA">
        <w:rPr>
          <w:lang w:val="fr-FR"/>
        </w:rPr>
        <w:t>VI.</w:t>
      </w:r>
      <w:r w:rsidRPr="004859DA">
        <w:rPr>
          <w:lang w:val="fr-FR"/>
        </w:rPr>
        <w:tab/>
        <w:t xml:space="preserve">Programme de travail et </w:t>
      </w:r>
      <w:r w:rsidRPr="00FA70AF">
        <w:rPr>
          <w:bCs/>
          <w:lang w:val="fr-FR"/>
        </w:rPr>
        <w:t>calendrier</w:t>
      </w:r>
      <w:r w:rsidRPr="004859DA">
        <w:rPr>
          <w:lang w:val="fr-FR"/>
        </w:rPr>
        <w:t xml:space="preserve"> des réunions </w:t>
      </w:r>
      <w:r>
        <w:rPr>
          <w:lang w:val="fr-FR"/>
        </w:rPr>
        <w:br/>
      </w:r>
      <w:r w:rsidRPr="004859DA">
        <w:rPr>
          <w:lang w:val="fr-FR"/>
        </w:rPr>
        <w:t>(</w:t>
      </w:r>
      <w:r w:rsidRPr="004859DA">
        <w:rPr>
          <w:snapToGrid w:val="0"/>
          <w:lang w:val="fr-FR"/>
        </w:rPr>
        <w:t>point 5 de l</w:t>
      </w:r>
      <w:r w:rsidR="001D5421">
        <w:rPr>
          <w:snapToGrid w:val="0"/>
          <w:lang w:val="fr-FR"/>
        </w:rPr>
        <w:t>’</w:t>
      </w:r>
      <w:r w:rsidRPr="004859DA">
        <w:rPr>
          <w:snapToGrid w:val="0"/>
          <w:lang w:val="fr-FR"/>
        </w:rPr>
        <w:t>ordre du jour)</w:t>
      </w:r>
    </w:p>
    <w:p w14:paraId="0E13DF6A" w14:textId="7FEA2703" w:rsidR="00FA70AF" w:rsidRPr="004859DA" w:rsidRDefault="00FA70AF" w:rsidP="00FA70AF">
      <w:pPr>
        <w:pStyle w:val="SingleTxtG"/>
        <w:rPr>
          <w:snapToGrid w:val="0"/>
          <w:lang w:val="fr-FR"/>
        </w:rPr>
      </w:pPr>
      <w:r w:rsidRPr="004859DA">
        <w:rPr>
          <w:lang w:val="fr-FR"/>
        </w:rPr>
        <w:t>15.</w:t>
      </w:r>
      <w:r w:rsidRPr="004859DA">
        <w:rPr>
          <w:lang w:val="fr-FR"/>
        </w:rPr>
        <w:tab/>
        <w:t>Le Comité d</w:t>
      </w:r>
      <w:r w:rsidR="001D5421">
        <w:rPr>
          <w:lang w:val="fr-FR"/>
        </w:rPr>
        <w:t>’</w:t>
      </w:r>
      <w:r w:rsidRPr="004859DA">
        <w:rPr>
          <w:lang w:val="fr-FR"/>
        </w:rPr>
        <w:t>administration a noté que sa prochaine session s</w:t>
      </w:r>
      <w:r w:rsidR="001D5421">
        <w:rPr>
          <w:lang w:val="fr-FR"/>
        </w:rPr>
        <w:t>’</w:t>
      </w:r>
      <w:r w:rsidRPr="004859DA">
        <w:rPr>
          <w:lang w:val="fr-FR"/>
        </w:rPr>
        <w:t>ouvrirait le 28 janvier 2022 à midi et que la date limite de soumission des documents pour cette réunion était le 29</w:t>
      </w:r>
      <w:r w:rsidR="000C0CEF">
        <w:rPr>
          <w:lang w:val="fr-FR"/>
        </w:rPr>
        <w:t> </w:t>
      </w:r>
      <w:r w:rsidRPr="004859DA">
        <w:rPr>
          <w:lang w:val="fr-FR"/>
        </w:rPr>
        <w:t>octobre 2021.</w:t>
      </w:r>
    </w:p>
    <w:p w14:paraId="2B6E9D42" w14:textId="2F04D01F" w:rsidR="00FA70AF" w:rsidRPr="004859DA" w:rsidRDefault="00FA70AF" w:rsidP="00FA70AF">
      <w:pPr>
        <w:pStyle w:val="HChG"/>
        <w:rPr>
          <w:snapToGrid w:val="0"/>
          <w:lang w:val="fr-FR"/>
        </w:rPr>
      </w:pPr>
      <w:r>
        <w:rPr>
          <w:lang w:val="fr-FR"/>
        </w:rPr>
        <w:tab/>
      </w:r>
      <w:r w:rsidRPr="004859DA">
        <w:rPr>
          <w:lang w:val="fr-FR"/>
        </w:rPr>
        <w:t>VII.</w:t>
      </w:r>
      <w:r w:rsidRPr="004859DA">
        <w:rPr>
          <w:lang w:val="fr-FR"/>
        </w:rPr>
        <w:tab/>
      </w:r>
      <w:r w:rsidRPr="004859DA">
        <w:rPr>
          <w:bCs/>
          <w:lang w:val="fr-FR"/>
        </w:rPr>
        <w:t xml:space="preserve">Questions diverses </w:t>
      </w:r>
      <w:r w:rsidRPr="004859DA">
        <w:rPr>
          <w:lang w:val="fr-FR"/>
        </w:rPr>
        <w:t>(point 6 de l</w:t>
      </w:r>
      <w:r w:rsidR="001D5421">
        <w:rPr>
          <w:lang w:val="fr-FR"/>
        </w:rPr>
        <w:t>’</w:t>
      </w:r>
      <w:r w:rsidRPr="004859DA">
        <w:rPr>
          <w:lang w:val="fr-FR"/>
        </w:rPr>
        <w:t>ordre du jour)</w:t>
      </w:r>
    </w:p>
    <w:p w14:paraId="4D93A5D9" w14:textId="7778310A" w:rsidR="00FA70AF" w:rsidRPr="004859DA" w:rsidRDefault="00FA70AF" w:rsidP="00FA70AF">
      <w:pPr>
        <w:pStyle w:val="SingleTxtG"/>
        <w:rPr>
          <w:lang w:val="fr-FR"/>
        </w:rPr>
      </w:pPr>
      <w:r w:rsidRPr="004859DA">
        <w:rPr>
          <w:lang w:val="fr-FR"/>
        </w:rPr>
        <w:t>16.</w:t>
      </w:r>
      <w:r w:rsidRPr="004859DA">
        <w:rPr>
          <w:lang w:val="fr-FR"/>
        </w:rPr>
        <w:tab/>
        <w:t>Aucune question n</w:t>
      </w:r>
      <w:r w:rsidR="001D5421">
        <w:rPr>
          <w:lang w:val="fr-FR"/>
        </w:rPr>
        <w:t>’</w:t>
      </w:r>
      <w:r w:rsidRPr="004859DA">
        <w:rPr>
          <w:lang w:val="fr-FR"/>
        </w:rPr>
        <w:t>a été soulevée au titre de ce point de l</w:t>
      </w:r>
      <w:r w:rsidR="001D5421">
        <w:rPr>
          <w:lang w:val="fr-FR"/>
        </w:rPr>
        <w:t>’</w:t>
      </w:r>
      <w:r w:rsidRPr="004859DA">
        <w:rPr>
          <w:lang w:val="fr-FR"/>
        </w:rPr>
        <w:t>ordre du jour.</w:t>
      </w:r>
      <w:bookmarkStart w:id="0" w:name="_Hlk18487296"/>
      <w:bookmarkEnd w:id="0"/>
    </w:p>
    <w:p w14:paraId="344E4A81" w14:textId="2F9CD67E" w:rsidR="00FA70AF" w:rsidRPr="004859DA" w:rsidRDefault="00FA70AF" w:rsidP="00FA70AF">
      <w:pPr>
        <w:pStyle w:val="HChG"/>
        <w:rPr>
          <w:snapToGrid w:val="0"/>
          <w:lang w:val="fr-FR"/>
        </w:rPr>
      </w:pPr>
      <w:r>
        <w:rPr>
          <w:lang w:val="fr-FR"/>
        </w:rPr>
        <w:tab/>
      </w:r>
      <w:r w:rsidRPr="004859DA">
        <w:rPr>
          <w:lang w:val="fr-FR"/>
        </w:rPr>
        <w:t>VIII.</w:t>
      </w:r>
      <w:r w:rsidRPr="004859DA">
        <w:rPr>
          <w:lang w:val="fr-FR"/>
        </w:rPr>
        <w:tab/>
      </w:r>
      <w:r w:rsidRPr="004859DA">
        <w:rPr>
          <w:bCs/>
          <w:lang w:val="fr-FR"/>
        </w:rPr>
        <w:t xml:space="preserve">Adoption du rapport </w:t>
      </w:r>
      <w:r w:rsidRPr="004859DA">
        <w:rPr>
          <w:lang w:val="fr-FR"/>
        </w:rPr>
        <w:t xml:space="preserve">(point 7 de </w:t>
      </w:r>
      <w:r w:rsidRPr="00FA70AF">
        <w:rPr>
          <w:bCs/>
          <w:lang w:val="fr-FR"/>
        </w:rPr>
        <w:t>l</w:t>
      </w:r>
      <w:r w:rsidR="001D5421">
        <w:rPr>
          <w:bCs/>
          <w:lang w:val="fr-FR"/>
        </w:rPr>
        <w:t>’</w:t>
      </w:r>
      <w:r w:rsidRPr="00FA70AF">
        <w:rPr>
          <w:bCs/>
          <w:lang w:val="fr-FR"/>
        </w:rPr>
        <w:t>ordre</w:t>
      </w:r>
      <w:r w:rsidRPr="004859DA">
        <w:rPr>
          <w:lang w:val="fr-FR"/>
        </w:rPr>
        <w:t xml:space="preserve"> du jour)</w:t>
      </w:r>
    </w:p>
    <w:p w14:paraId="390CD265" w14:textId="143A47AB" w:rsidR="00FA70AF" w:rsidRDefault="00FA70AF" w:rsidP="00FA70AF">
      <w:pPr>
        <w:pStyle w:val="SingleTxtG"/>
        <w:rPr>
          <w:lang w:val="fr-FR"/>
        </w:rPr>
      </w:pPr>
      <w:r w:rsidRPr="004859DA">
        <w:rPr>
          <w:lang w:val="fr-FR"/>
        </w:rPr>
        <w:t>17.</w:t>
      </w:r>
      <w:r w:rsidRPr="004859DA">
        <w:rPr>
          <w:lang w:val="fr-FR"/>
        </w:rPr>
        <w:tab/>
        <w:t>Le Comité d</w:t>
      </w:r>
      <w:r w:rsidR="001D5421">
        <w:rPr>
          <w:lang w:val="fr-FR"/>
        </w:rPr>
        <w:t>’</w:t>
      </w:r>
      <w:r w:rsidRPr="004859DA">
        <w:rPr>
          <w:lang w:val="fr-FR"/>
        </w:rPr>
        <w:t>administration a adopté le rapport sur sa vingt-sixième session sur la base d</w:t>
      </w:r>
      <w:r w:rsidR="001D5421">
        <w:rPr>
          <w:lang w:val="fr-FR"/>
        </w:rPr>
        <w:t>’</w:t>
      </w:r>
      <w:r w:rsidRPr="004859DA">
        <w:rPr>
          <w:lang w:val="fr-FR"/>
        </w:rPr>
        <w:t>un projet établi par le secrétariat et distribué aux participants pour approbation après la session.</w:t>
      </w:r>
    </w:p>
    <w:p w14:paraId="7E85CEF0" w14:textId="6E60C033" w:rsidR="00FA70AF" w:rsidRPr="00FA70AF" w:rsidRDefault="00FA70AF" w:rsidP="00FA70AF">
      <w:pPr>
        <w:pStyle w:val="SingleTxtG"/>
        <w:spacing w:before="240" w:after="0"/>
        <w:jc w:val="center"/>
        <w:rPr>
          <w:u w:val="single"/>
        </w:rPr>
      </w:pPr>
      <w:r>
        <w:rPr>
          <w:u w:val="single"/>
        </w:rPr>
        <w:tab/>
      </w:r>
      <w:r>
        <w:rPr>
          <w:u w:val="single"/>
        </w:rPr>
        <w:tab/>
      </w:r>
      <w:r>
        <w:rPr>
          <w:u w:val="single"/>
        </w:rPr>
        <w:tab/>
      </w:r>
    </w:p>
    <w:sectPr w:rsidR="00FA70AF" w:rsidRPr="00FA70AF" w:rsidSect="00FA70AF">
      <w:headerReference w:type="even" r:id="rId10"/>
      <w:headerReference w:type="default" r:id="rId11"/>
      <w:footerReference w:type="even" r:id="rId12"/>
      <w:footerReference w:type="default" r:id="rId13"/>
      <w:footerReference w:type="first" r:id="rId14"/>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EF248" w14:textId="77777777" w:rsidR="00402B6B" w:rsidRDefault="00402B6B" w:rsidP="00F95C08">
      <w:pPr>
        <w:spacing w:line="240" w:lineRule="auto"/>
      </w:pPr>
    </w:p>
  </w:endnote>
  <w:endnote w:type="continuationSeparator" w:id="0">
    <w:p w14:paraId="25CA590D" w14:textId="77777777" w:rsidR="00402B6B" w:rsidRPr="00AC3823" w:rsidRDefault="00402B6B" w:rsidP="00AC3823">
      <w:pPr>
        <w:pStyle w:val="Pieddepage"/>
      </w:pPr>
    </w:p>
  </w:endnote>
  <w:endnote w:type="continuationNotice" w:id="1">
    <w:p w14:paraId="14463231" w14:textId="77777777" w:rsidR="00402B6B" w:rsidRDefault="00402B6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79FF" w14:textId="4E644456" w:rsidR="00FA70AF" w:rsidRPr="00FA70AF" w:rsidRDefault="00FA70AF" w:rsidP="00FA70AF">
    <w:pPr>
      <w:pStyle w:val="Pieddepage"/>
      <w:tabs>
        <w:tab w:val="right" w:pos="9638"/>
      </w:tabs>
    </w:pPr>
    <w:r w:rsidRPr="00FA70AF">
      <w:rPr>
        <w:b/>
        <w:sz w:val="18"/>
      </w:rPr>
      <w:fldChar w:fldCharType="begin"/>
    </w:r>
    <w:r w:rsidRPr="00FA70AF">
      <w:rPr>
        <w:b/>
        <w:sz w:val="18"/>
      </w:rPr>
      <w:instrText xml:space="preserve"> PAGE  \* MERGEFORMAT </w:instrText>
    </w:r>
    <w:r w:rsidRPr="00FA70AF">
      <w:rPr>
        <w:b/>
        <w:sz w:val="18"/>
      </w:rPr>
      <w:fldChar w:fldCharType="separate"/>
    </w:r>
    <w:r w:rsidRPr="00FA70AF">
      <w:rPr>
        <w:b/>
        <w:noProof/>
        <w:sz w:val="18"/>
      </w:rPr>
      <w:t>2</w:t>
    </w:r>
    <w:r w:rsidRPr="00FA70AF">
      <w:rPr>
        <w:b/>
        <w:sz w:val="18"/>
      </w:rPr>
      <w:fldChar w:fldCharType="end"/>
    </w:r>
    <w:r>
      <w:rPr>
        <w:b/>
        <w:sz w:val="18"/>
      </w:rPr>
      <w:tab/>
    </w:r>
    <w:r>
      <w:t>GE.21-13652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F73A9" w14:textId="6D658841" w:rsidR="00FA70AF" w:rsidRPr="00FA70AF" w:rsidRDefault="00FA70AF" w:rsidP="00FA70AF">
    <w:pPr>
      <w:pStyle w:val="Pieddepage"/>
      <w:tabs>
        <w:tab w:val="right" w:pos="9638"/>
      </w:tabs>
      <w:rPr>
        <w:b/>
        <w:sz w:val="18"/>
      </w:rPr>
    </w:pPr>
    <w:r>
      <w:t>GE.21-13652</w:t>
    </w:r>
    <w:r>
      <w:tab/>
    </w:r>
    <w:r w:rsidRPr="00FA70AF">
      <w:rPr>
        <w:b/>
        <w:sz w:val="18"/>
      </w:rPr>
      <w:fldChar w:fldCharType="begin"/>
    </w:r>
    <w:r w:rsidRPr="00FA70AF">
      <w:rPr>
        <w:b/>
        <w:sz w:val="18"/>
      </w:rPr>
      <w:instrText xml:space="preserve"> PAGE  \* MERGEFORMAT </w:instrText>
    </w:r>
    <w:r w:rsidRPr="00FA70AF">
      <w:rPr>
        <w:b/>
        <w:sz w:val="18"/>
      </w:rPr>
      <w:fldChar w:fldCharType="separate"/>
    </w:r>
    <w:r w:rsidRPr="00FA70AF">
      <w:rPr>
        <w:b/>
        <w:noProof/>
        <w:sz w:val="18"/>
      </w:rPr>
      <w:t>3</w:t>
    </w:r>
    <w:r w:rsidRPr="00FA70A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B0966" w14:textId="50C8D309" w:rsidR="000D3EE9" w:rsidRPr="00FA70AF" w:rsidRDefault="00FA70AF" w:rsidP="00FA70AF">
    <w:pPr>
      <w:pStyle w:val="Pieddepage"/>
      <w:spacing w:before="120"/>
      <w:rPr>
        <w:sz w:val="20"/>
      </w:rPr>
    </w:pPr>
    <w:r>
      <w:rPr>
        <w:sz w:val="20"/>
      </w:rPr>
      <w:t>GE.</w:t>
    </w:r>
    <w:r w:rsidR="000D3EE9">
      <w:rPr>
        <w:noProof/>
        <w:lang w:eastAsia="fr-CH"/>
      </w:rPr>
      <w:drawing>
        <wp:anchor distT="0" distB="0" distL="114300" distR="114300" simplePos="0" relativeHeight="251659264" behindDoc="0" locked="0" layoutInCell="1" allowOverlap="0" wp14:anchorId="6BCA16AC" wp14:editId="7CA6140D">
          <wp:simplePos x="0" y="0"/>
          <wp:positionH relativeFrom="margin">
            <wp:posOffset>4319905</wp:posOffset>
          </wp:positionH>
          <wp:positionV relativeFrom="margin">
            <wp:posOffset>9144000</wp:posOffset>
          </wp:positionV>
          <wp:extent cx="1105200" cy="234000"/>
          <wp:effectExtent l="0" t="0" r="0" b="0"/>
          <wp:wrapNone/>
          <wp:docPr id="1" name="Image 1"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21-13652  (F)</w:t>
    </w:r>
    <w:r>
      <w:rPr>
        <w:noProof/>
        <w:sz w:val="20"/>
      </w:rPr>
      <w:drawing>
        <wp:anchor distT="0" distB="0" distL="114300" distR="114300" simplePos="0" relativeHeight="251660288" behindDoc="0" locked="0" layoutInCell="1" allowOverlap="1" wp14:anchorId="495F08C8" wp14:editId="3AECB36B">
          <wp:simplePos x="0" y="0"/>
          <wp:positionH relativeFrom="margin">
            <wp:posOffset>5489575</wp:posOffset>
          </wp:positionH>
          <wp:positionV relativeFrom="margin">
            <wp:posOffset>8891905</wp:posOffset>
          </wp:positionV>
          <wp:extent cx="561975" cy="561975"/>
          <wp:effectExtent l="0" t="0" r="9525" b="9525"/>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B17967">
      <w:rPr>
        <w:sz w:val="20"/>
      </w:rPr>
      <w:t xml:space="preserve">    120122    130122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C8A64" w14:textId="77777777" w:rsidR="00402B6B" w:rsidRPr="00AC3823" w:rsidRDefault="00402B6B" w:rsidP="00AC3823">
      <w:pPr>
        <w:pStyle w:val="Pieddepage"/>
        <w:tabs>
          <w:tab w:val="right" w:pos="2155"/>
        </w:tabs>
        <w:spacing w:after="80" w:line="240" w:lineRule="atLeast"/>
        <w:ind w:left="680"/>
        <w:rPr>
          <w:u w:val="single"/>
        </w:rPr>
      </w:pPr>
      <w:r>
        <w:rPr>
          <w:u w:val="single"/>
        </w:rPr>
        <w:tab/>
      </w:r>
    </w:p>
  </w:footnote>
  <w:footnote w:type="continuationSeparator" w:id="0">
    <w:p w14:paraId="340FBBA0" w14:textId="77777777" w:rsidR="00402B6B" w:rsidRPr="00AC3823" w:rsidRDefault="00402B6B" w:rsidP="00AC3823">
      <w:pPr>
        <w:pStyle w:val="Pieddepage"/>
        <w:tabs>
          <w:tab w:val="right" w:pos="2155"/>
        </w:tabs>
        <w:spacing w:after="80" w:line="240" w:lineRule="atLeast"/>
        <w:ind w:left="680"/>
        <w:rPr>
          <w:u w:val="single"/>
        </w:rPr>
      </w:pPr>
      <w:r>
        <w:rPr>
          <w:u w:val="single"/>
        </w:rPr>
        <w:tab/>
      </w:r>
    </w:p>
  </w:footnote>
  <w:footnote w:type="continuationNotice" w:id="1">
    <w:p w14:paraId="706759BF" w14:textId="77777777" w:rsidR="00402B6B" w:rsidRPr="00AC3823" w:rsidRDefault="00402B6B">
      <w:pPr>
        <w:spacing w:line="240" w:lineRule="auto"/>
        <w:rPr>
          <w:sz w:val="2"/>
          <w:szCs w:val="2"/>
        </w:rPr>
      </w:pPr>
    </w:p>
  </w:footnote>
  <w:footnote w:id="2">
    <w:p w14:paraId="21A0466F" w14:textId="5EFC4D84" w:rsidR="00FA70AF" w:rsidRPr="00FA70AF" w:rsidRDefault="00FA70AF">
      <w:pPr>
        <w:pStyle w:val="Notedebasdepage"/>
      </w:pPr>
      <w:r>
        <w:rPr>
          <w:rStyle w:val="Appelnotedebasdep"/>
        </w:rPr>
        <w:tab/>
      </w:r>
      <w:r w:rsidRPr="00FA70AF">
        <w:rPr>
          <w:rStyle w:val="Appelnotedebasdep"/>
          <w:sz w:val="20"/>
          <w:vertAlign w:val="baseline"/>
        </w:rPr>
        <w:t>*</w:t>
      </w:r>
      <w:r>
        <w:rPr>
          <w:rStyle w:val="Appelnotedebasdep"/>
          <w:sz w:val="20"/>
          <w:vertAlign w:val="baseline"/>
        </w:rPr>
        <w:tab/>
      </w:r>
      <w:r>
        <w:rPr>
          <w:lang w:val="fr-FR"/>
        </w:rPr>
        <w:t>Diffusé en langue allemande par la Commission centrale pour la navigation du Rhin sous la cote CCNR-ZKR/ADN/58.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09AF9" w14:textId="2E11B033" w:rsidR="00FA70AF" w:rsidRPr="00FA70AF" w:rsidRDefault="00FA70AF">
    <w:pPr>
      <w:pStyle w:val="En-tte"/>
    </w:pPr>
    <w:fldSimple w:instr=" TITLE  \* MERGEFORMAT ">
      <w:r w:rsidR="00D6002C">
        <w:t>ECE/ADN/58</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0C2DA" w14:textId="0495BA89" w:rsidR="00FA70AF" w:rsidRPr="00FA70AF" w:rsidRDefault="00FA70AF" w:rsidP="00FA70AF">
    <w:pPr>
      <w:pStyle w:val="En-tte"/>
      <w:jc w:val="right"/>
    </w:pPr>
    <w:fldSimple w:instr=" TITLE  \* MERGEFORMAT ">
      <w:r w:rsidR="00D6002C">
        <w:t>ECE/ADN/58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9081E36"/>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49F466E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16EA87C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B6B"/>
    <w:rsid w:val="00017F94"/>
    <w:rsid w:val="00023842"/>
    <w:rsid w:val="000334F9"/>
    <w:rsid w:val="0007796D"/>
    <w:rsid w:val="000938E9"/>
    <w:rsid w:val="000B7790"/>
    <w:rsid w:val="000C0CEF"/>
    <w:rsid w:val="000D3EE9"/>
    <w:rsid w:val="00111F2F"/>
    <w:rsid w:val="001433FD"/>
    <w:rsid w:val="0014365E"/>
    <w:rsid w:val="001541D3"/>
    <w:rsid w:val="00176178"/>
    <w:rsid w:val="001D5421"/>
    <w:rsid w:val="001F525A"/>
    <w:rsid w:val="00223272"/>
    <w:rsid w:val="0024779E"/>
    <w:rsid w:val="002832AC"/>
    <w:rsid w:val="00283E67"/>
    <w:rsid w:val="00295CCA"/>
    <w:rsid w:val="002D7C93"/>
    <w:rsid w:val="00392828"/>
    <w:rsid w:val="00402B6B"/>
    <w:rsid w:val="00441C3B"/>
    <w:rsid w:val="00446B0A"/>
    <w:rsid w:val="00446FE5"/>
    <w:rsid w:val="00452396"/>
    <w:rsid w:val="004C4EA0"/>
    <w:rsid w:val="004E468C"/>
    <w:rsid w:val="00506BE1"/>
    <w:rsid w:val="005316B0"/>
    <w:rsid w:val="005505B7"/>
    <w:rsid w:val="00563F09"/>
    <w:rsid w:val="00573BE5"/>
    <w:rsid w:val="00586ED3"/>
    <w:rsid w:val="00596AA9"/>
    <w:rsid w:val="005F2353"/>
    <w:rsid w:val="00706363"/>
    <w:rsid w:val="0071601D"/>
    <w:rsid w:val="0074674C"/>
    <w:rsid w:val="007A62E6"/>
    <w:rsid w:val="0080684C"/>
    <w:rsid w:val="00871C75"/>
    <w:rsid w:val="008776DC"/>
    <w:rsid w:val="009705C8"/>
    <w:rsid w:val="009C1CF4"/>
    <w:rsid w:val="00A30353"/>
    <w:rsid w:val="00AA113A"/>
    <w:rsid w:val="00AC3823"/>
    <w:rsid w:val="00AE323C"/>
    <w:rsid w:val="00B00181"/>
    <w:rsid w:val="00B00B0D"/>
    <w:rsid w:val="00B17967"/>
    <w:rsid w:val="00B765F7"/>
    <w:rsid w:val="00BA0CA9"/>
    <w:rsid w:val="00C02897"/>
    <w:rsid w:val="00D3439C"/>
    <w:rsid w:val="00D6002C"/>
    <w:rsid w:val="00DB1831"/>
    <w:rsid w:val="00DD3BFD"/>
    <w:rsid w:val="00DF6678"/>
    <w:rsid w:val="00EA113A"/>
    <w:rsid w:val="00EF2E22"/>
    <w:rsid w:val="00F660DF"/>
    <w:rsid w:val="00F95C08"/>
    <w:rsid w:val="00FA70A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E610DB"/>
  <w15:docId w15:val="{D7F3856F-1475-4615-9F7E-C82686B23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74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74674C"/>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7467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74674C"/>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74674C"/>
    <w:pPr>
      <w:spacing w:line="240" w:lineRule="auto"/>
    </w:pPr>
    <w:rPr>
      <w:sz w:val="16"/>
    </w:rPr>
  </w:style>
  <w:style w:type="character" w:customStyle="1" w:styleId="PieddepageCar">
    <w:name w:val="Pied de page Car"/>
    <w:aliases w:val="3_G Car"/>
    <w:basedOn w:val="Policepardfaut"/>
    <w:link w:val="Pieddepage"/>
    <w:rsid w:val="0074674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74674C"/>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74674C"/>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74674C"/>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74674C"/>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74674C"/>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74674C"/>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74674C"/>
    <w:pPr>
      <w:tabs>
        <w:tab w:val="left" w:pos="1701"/>
        <w:tab w:val="left" w:pos="2268"/>
        <w:tab w:val="left" w:pos="2835"/>
      </w:tabs>
      <w:spacing w:after="120"/>
      <w:ind w:left="1134" w:right="1134"/>
      <w:jc w:val="both"/>
    </w:pPr>
  </w:style>
  <w:style w:type="paragraph" w:customStyle="1" w:styleId="SLG">
    <w:name w:val="__S_L_G"/>
    <w:basedOn w:val="Normal"/>
    <w:next w:val="Normal"/>
    <w:rsid w:val="0074674C"/>
    <w:pPr>
      <w:keepNext/>
      <w:keepLines/>
      <w:spacing w:before="240" w:after="240" w:line="580" w:lineRule="exact"/>
      <w:ind w:left="1134" w:right="1134"/>
    </w:pPr>
    <w:rPr>
      <w:b/>
      <w:sz w:val="56"/>
    </w:rPr>
  </w:style>
  <w:style w:type="paragraph" w:customStyle="1" w:styleId="SMG">
    <w:name w:val="__S_M_G"/>
    <w:basedOn w:val="Normal"/>
    <w:next w:val="Normal"/>
    <w:rsid w:val="0074674C"/>
    <w:pPr>
      <w:keepNext/>
      <w:keepLines/>
      <w:spacing w:before="240" w:after="240" w:line="420" w:lineRule="exact"/>
      <w:ind w:left="1134" w:right="1134"/>
    </w:pPr>
    <w:rPr>
      <w:b/>
      <w:sz w:val="40"/>
    </w:rPr>
  </w:style>
  <w:style w:type="paragraph" w:customStyle="1" w:styleId="SSG">
    <w:name w:val="__S_S_G"/>
    <w:basedOn w:val="Normal"/>
    <w:next w:val="Normal"/>
    <w:rsid w:val="0074674C"/>
    <w:pPr>
      <w:keepNext/>
      <w:keepLines/>
      <w:spacing w:before="240" w:after="240" w:line="300" w:lineRule="exact"/>
      <w:ind w:left="1134" w:right="1134"/>
    </w:pPr>
    <w:rPr>
      <w:b/>
      <w:sz w:val="28"/>
    </w:rPr>
  </w:style>
  <w:style w:type="paragraph" w:customStyle="1" w:styleId="XLargeG">
    <w:name w:val="__XLarge_G"/>
    <w:basedOn w:val="Normal"/>
    <w:next w:val="Normal"/>
    <w:rsid w:val="0074674C"/>
    <w:pPr>
      <w:keepNext/>
      <w:keepLines/>
      <w:spacing w:before="240" w:after="240" w:line="420" w:lineRule="exact"/>
      <w:ind w:left="1134" w:right="1134"/>
    </w:pPr>
    <w:rPr>
      <w:b/>
      <w:sz w:val="40"/>
    </w:rPr>
  </w:style>
  <w:style w:type="paragraph" w:customStyle="1" w:styleId="Bullet1G">
    <w:name w:val="_Bullet 1_G"/>
    <w:basedOn w:val="Normal"/>
    <w:qFormat/>
    <w:rsid w:val="0074674C"/>
    <w:pPr>
      <w:numPr>
        <w:numId w:val="14"/>
      </w:numPr>
      <w:spacing w:after="120"/>
      <w:ind w:right="1134"/>
      <w:jc w:val="both"/>
    </w:pPr>
  </w:style>
  <w:style w:type="paragraph" w:customStyle="1" w:styleId="Bullet2G">
    <w:name w:val="_Bullet 2_G"/>
    <w:basedOn w:val="Normal"/>
    <w:qFormat/>
    <w:rsid w:val="0074674C"/>
    <w:pPr>
      <w:numPr>
        <w:numId w:val="15"/>
      </w:numPr>
      <w:spacing w:after="120"/>
      <w:ind w:right="1134"/>
      <w:jc w:val="both"/>
    </w:pPr>
  </w:style>
  <w:style w:type="paragraph" w:customStyle="1" w:styleId="ParNoG">
    <w:name w:val="_ParNo_G"/>
    <w:basedOn w:val="Normal"/>
    <w:qFormat/>
    <w:rsid w:val="0074674C"/>
    <w:pPr>
      <w:numPr>
        <w:numId w:val="16"/>
      </w:numPr>
      <w:tabs>
        <w:tab w:val="left" w:pos="1701"/>
        <w:tab w:val="left" w:pos="2268"/>
        <w:tab w:val="left" w:pos="2835"/>
      </w:tabs>
      <w:spacing w:after="120"/>
      <w:ind w:right="1134"/>
      <w:jc w:val="both"/>
    </w:pPr>
  </w:style>
  <w:style w:type="character" w:styleId="Appelnotedebasdep">
    <w:name w:val="footnote reference"/>
    <w:aliases w:val="4_G,Footnote Reference/"/>
    <w:basedOn w:val="Policepardfaut"/>
    <w:qFormat/>
    <w:rsid w:val="0074674C"/>
    <w:rPr>
      <w:rFonts w:ascii="Times New Roman" w:hAnsi="Times New Roman"/>
      <w:sz w:val="18"/>
      <w:vertAlign w:val="superscript"/>
      <w:lang w:val="fr-CH"/>
    </w:rPr>
  </w:style>
  <w:style w:type="character" w:styleId="Appeldenotedefin">
    <w:name w:val="endnote reference"/>
    <w:aliases w:val="1_G"/>
    <w:basedOn w:val="Appelnotedebasdep"/>
    <w:qFormat/>
    <w:rsid w:val="0074674C"/>
    <w:rPr>
      <w:rFonts w:ascii="Times New Roman" w:hAnsi="Times New Roman"/>
      <w:sz w:val="18"/>
      <w:vertAlign w:val="superscript"/>
      <w:lang w:val="fr-CH"/>
    </w:rPr>
  </w:style>
  <w:style w:type="table" w:styleId="Grilledutableau">
    <w:name w:val="Table Grid"/>
    <w:basedOn w:val="TableauNormal"/>
    <w:rsid w:val="0074674C"/>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74674C"/>
    <w:rPr>
      <w:color w:val="0000FF"/>
      <w:u w:val="none"/>
    </w:rPr>
  </w:style>
  <w:style w:type="character" w:styleId="Lienhypertextesuivivisit">
    <w:name w:val="FollowedHyperlink"/>
    <w:basedOn w:val="Policepardfaut"/>
    <w:unhideWhenUsed/>
    <w:rsid w:val="0074674C"/>
    <w:rPr>
      <w:color w:val="0000FF"/>
      <w:u w:val="none"/>
    </w:rPr>
  </w:style>
  <w:style w:type="paragraph" w:styleId="Notedebasdepage">
    <w:name w:val="footnote text"/>
    <w:aliases w:val="5_G"/>
    <w:basedOn w:val="Normal"/>
    <w:link w:val="NotedebasdepageCar"/>
    <w:qFormat/>
    <w:rsid w:val="007467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74674C"/>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74674C"/>
  </w:style>
  <w:style w:type="character" w:customStyle="1" w:styleId="NotedefinCar">
    <w:name w:val="Note de fin Car"/>
    <w:aliases w:val="2_G Car"/>
    <w:basedOn w:val="Policepardfaut"/>
    <w:link w:val="Notedefin"/>
    <w:rsid w:val="0074674C"/>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74674C"/>
    <w:rPr>
      <w:rFonts w:ascii="Times New Roman" w:hAnsi="Times New Roman"/>
      <w:b/>
      <w:sz w:val="18"/>
      <w:lang w:val="fr-CH"/>
    </w:rPr>
  </w:style>
  <w:style w:type="character" w:customStyle="1" w:styleId="Titre1Car">
    <w:name w:val="Titre 1 Car"/>
    <w:aliases w:val="Table_G Car"/>
    <w:basedOn w:val="Policepardfaut"/>
    <w:link w:val="Titre1"/>
    <w:rsid w:val="0074674C"/>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1433F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33FD"/>
    <w:rPr>
      <w:rFonts w:ascii="Tahoma" w:hAnsi="Tahoma" w:cs="Tahoma"/>
      <w:sz w:val="16"/>
      <w:szCs w:val="16"/>
      <w:lang w:eastAsia="en-US"/>
    </w:rPr>
  </w:style>
  <w:style w:type="character" w:styleId="Mentionnonrsolue">
    <w:name w:val="Unresolved Mention"/>
    <w:basedOn w:val="Policepardfaut"/>
    <w:uiPriority w:val="99"/>
    <w:semiHidden/>
    <w:unhideWhenUsed/>
    <w:rsid w:val="000C0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34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ce.org/special-authorizations"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unece.org/equivalences-and-derogations"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2A5176-5780-4BB6-8D9F-4A3B8C1C359D}"/>
</file>

<file path=customXml/itemProps2.xml><?xml version="1.0" encoding="utf-8"?>
<ds:datastoreItem xmlns:ds="http://schemas.openxmlformats.org/officeDocument/2006/customXml" ds:itemID="{36EEE938-BB56-46CF-9C17-E1A26BB8BB64}"/>
</file>

<file path=customXml/itemProps3.xml><?xml version="1.0" encoding="utf-8"?>
<ds:datastoreItem xmlns:ds="http://schemas.openxmlformats.org/officeDocument/2006/customXml" ds:itemID="{6E3A71D6-15BD-4053-A8F8-89FF1FA57A6C}"/>
</file>

<file path=docProps/app.xml><?xml version="1.0" encoding="utf-8"?>
<Properties xmlns="http://schemas.openxmlformats.org/officeDocument/2006/extended-properties" xmlns:vt="http://schemas.openxmlformats.org/officeDocument/2006/docPropsVTypes">
  <Template>ECE.dotm</Template>
  <TotalTime>1</TotalTime>
  <Pages>4</Pages>
  <Words>916</Words>
  <Characters>6328</Characters>
  <Application>Microsoft Office Word</Application>
  <DocSecurity>0</DocSecurity>
  <Lines>703</Lines>
  <Paragraphs>301</Paragraphs>
  <ScaleCrop>false</ScaleCrop>
  <HeadingPairs>
    <vt:vector size="2" baseType="variant">
      <vt:variant>
        <vt:lpstr>Titre</vt:lpstr>
      </vt:variant>
      <vt:variant>
        <vt:i4>1</vt:i4>
      </vt:variant>
    </vt:vector>
  </HeadingPairs>
  <TitlesOfParts>
    <vt:vector size="1" baseType="lpstr">
      <vt:lpstr>ECE/ADN/58</vt:lpstr>
    </vt:vector>
  </TitlesOfParts>
  <Company>DCM</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ECE/ADN/58</dc:title>
  <dc:subject/>
  <dc:creator>Julien OKRZESIK</dc:creator>
  <cp:keywords/>
  <cp:lastModifiedBy>Julien Okrzesik</cp:lastModifiedBy>
  <cp:revision>3</cp:revision>
  <cp:lastPrinted>2022-01-13T09:47:00Z</cp:lastPrinted>
  <dcterms:created xsi:type="dcterms:W3CDTF">2022-01-13T09:47:00Z</dcterms:created>
  <dcterms:modified xsi:type="dcterms:W3CDTF">2022-01-13T09:48:00Z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