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34707" w14:textId="77777777" w:rsidR="00470094" w:rsidRPr="009522BF" w:rsidRDefault="00470094" w:rsidP="00470094">
      <w:pPr>
        <w:spacing w:before="120" w:after="0" w:line="240" w:lineRule="atLeast"/>
        <w:rPr>
          <w:b/>
          <w:sz w:val="28"/>
          <w:szCs w:val="28"/>
        </w:rPr>
      </w:pPr>
      <w:r w:rsidRPr="009522BF">
        <w:rPr>
          <w:b/>
          <w:sz w:val="28"/>
          <w:szCs w:val="28"/>
        </w:rPr>
        <w:t>Economic Commission for Europe</w:t>
      </w:r>
    </w:p>
    <w:p w14:paraId="42F8C0AB" w14:textId="77777777" w:rsidR="00470094" w:rsidRPr="009522BF" w:rsidRDefault="00470094" w:rsidP="00470094">
      <w:pPr>
        <w:spacing w:before="120" w:after="0" w:line="240" w:lineRule="atLeast"/>
        <w:rPr>
          <w:sz w:val="28"/>
          <w:szCs w:val="28"/>
        </w:rPr>
      </w:pPr>
      <w:r w:rsidRPr="009522BF">
        <w:rPr>
          <w:sz w:val="28"/>
          <w:szCs w:val="28"/>
        </w:rPr>
        <w:t>Inland Transport Committee</w:t>
      </w:r>
    </w:p>
    <w:p w14:paraId="5C0433E4" w14:textId="1FF38906" w:rsidR="00470094" w:rsidRPr="009522BF" w:rsidRDefault="00470094" w:rsidP="00470094">
      <w:pPr>
        <w:tabs>
          <w:tab w:val="left" w:pos="7655"/>
        </w:tabs>
        <w:spacing w:before="120" w:after="0" w:line="240" w:lineRule="atLeast"/>
        <w:rPr>
          <w:b/>
          <w:sz w:val="22"/>
          <w:szCs w:val="28"/>
        </w:rPr>
      </w:pPr>
      <w:r w:rsidRPr="009522BF">
        <w:rPr>
          <w:b/>
          <w:sz w:val="22"/>
          <w:szCs w:val="28"/>
        </w:rPr>
        <w:t>Working Party on the Transport of Dangerous Goods</w:t>
      </w:r>
      <w:r w:rsidRPr="009522BF">
        <w:rPr>
          <w:b/>
          <w:szCs w:val="24"/>
        </w:rPr>
        <w:t xml:space="preserve"> </w:t>
      </w:r>
      <w:r w:rsidRPr="009522BF">
        <w:rPr>
          <w:b/>
          <w:szCs w:val="24"/>
        </w:rPr>
        <w:tab/>
      </w:r>
      <w:r w:rsidR="00A443B9">
        <w:rPr>
          <w:b/>
          <w:szCs w:val="24"/>
        </w:rPr>
        <w:t>31</w:t>
      </w:r>
      <w:r w:rsidRPr="009522BF">
        <w:rPr>
          <w:b/>
        </w:rPr>
        <w:t xml:space="preserve"> January 2022</w:t>
      </w:r>
    </w:p>
    <w:p w14:paraId="28478E84" w14:textId="77777777" w:rsidR="00470094" w:rsidRPr="009522BF" w:rsidRDefault="00470094" w:rsidP="00470094">
      <w:pPr>
        <w:tabs>
          <w:tab w:val="left" w:pos="7938"/>
        </w:tabs>
        <w:spacing w:before="120" w:after="0" w:line="240" w:lineRule="atLeast"/>
        <w:rPr>
          <w:b/>
          <w:szCs w:val="24"/>
        </w:rPr>
      </w:pPr>
      <w:r w:rsidRPr="009522BF">
        <w:rPr>
          <w:b/>
          <w:sz w:val="22"/>
          <w:szCs w:val="24"/>
        </w:rPr>
        <w:t xml:space="preserve">Joint Meeting of the RID Committee of Experts and the </w:t>
      </w:r>
      <w:r w:rsidRPr="009522BF">
        <w:rPr>
          <w:b/>
          <w:sz w:val="22"/>
          <w:szCs w:val="24"/>
        </w:rPr>
        <w:br/>
        <w:t>Working Party on the Transport of Dangerous Goods</w:t>
      </w:r>
    </w:p>
    <w:p w14:paraId="4B741158" w14:textId="0F36F43C" w:rsidR="00286CE6" w:rsidRDefault="00470094" w:rsidP="00286CE6">
      <w:pPr>
        <w:spacing w:after="0"/>
        <w:rPr>
          <w:b/>
          <w:lang w:val="en-US"/>
        </w:rPr>
      </w:pPr>
      <w:r>
        <w:t>Bern</w:t>
      </w:r>
      <w:r w:rsidRPr="009522BF">
        <w:t xml:space="preserve">, </w:t>
      </w:r>
      <w:r>
        <w:t>14</w:t>
      </w:r>
      <w:r w:rsidRPr="009522BF">
        <w:t>–1</w:t>
      </w:r>
      <w:r>
        <w:t>8</w:t>
      </w:r>
      <w:r w:rsidRPr="009522BF">
        <w:t xml:space="preserve"> </w:t>
      </w:r>
      <w:r>
        <w:t>March</w:t>
      </w:r>
      <w:r w:rsidRPr="009522BF">
        <w:t xml:space="preserve"> 202</w:t>
      </w:r>
      <w:r>
        <w:t>2</w:t>
      </w:r>
      <w:r w:rsidRPr="009522BF">
        <w:br/>
        <w:t xml:space="preserve">Item </w:t>
      </w:r>
      <w:r w:rsidR="00286CE6">
        <w:t>5 (b)</w:t>
      </w:r>
      <w:r w:rsidRPr="009522BF">
        <w:t xml:space="preserve"> of the provisional agenda</w:t>
      </w:r>
      <w:r w:rsidRPr="009522BF">
        <w:br/>
      </w:r>
      <w:r w:rsidR="00286CE6" w:rsidRPr="00C649E1">
        <w:rPr>
          <w:b/>
          <w:lang w:val="en-US"/>
        </w:rPr>
        <w:t>Proposals for amendments to RID/ADR/</w:t>
      </w:r>
      <w:r w:rsidR="00286CE6">
        <w:rPr>
          <w:b/>
          <w:lang w:val="en-US"/>
        </w:rPr>
        <w:t>ADN:</w:t>
      </w:r>
    </w:p>
    <w:p w14:paraId="3ECA2EF1" w14:textId="031BBBA4" w:rsidR="00286CE6" w:rsidRPr="002547EE" w:rsidRDefault="002068B9" w:rsidP="00286CE6">
      <w:pPr>
        <w:rPr>
          <w:b/>
          <w:lang w:val="en-US"/>
        </w:rPr>
      </w:pPr>
      <w:r>
        <w:rPr>
          <w:b/>
          <w:lang w:val="en-US"/>
        </w:rPr>
        <w:t>n</w:t>
      </w:r>
      <w:r w:rsidR="00286CE6">
        <w:rPr>
          <w:b/>
          <w:lang w:val="en-US"/>
        </w:rPr>
        <w:t>ew proposals</w:t>
      </w:r>
    </w:p>
    <w:p w14:paraId="3D1EDB21" w14:textId="2172D3EF" w:rsidR="00C461FD" w:rsidRPr="00302B8D" w:rsidRDefault="00C461FD" w:rsidP="00C461FD">
      <w:pPr>
        <w:pStyle w:val="HChG"/>
      </w:pPr>
      <w:r>
        <w:rPr>
          <w:lang w:val="en-US"/>
        </w:rPr>
        <w:tab/>
      </w:r>
      <w:r>
        <w:rPr>
          <w:lang w:val="en-US"/>
        </w:rPr>
        <w:tab/>
      </w:r>
      <w:r w:rsidR="000E4829">
        <w:rPr>
          <w:lang w:val="en-US"/>
        </w:rPr>
        <w:t>Potential environmental restriction o</w:t>
      </w:r>
      <w:r w:rsidR="00F11EAC">
        <w:rPr>
          <w:lang w:val="en-US"/>
        </w:rPr>
        <w:t xml:space="preserve">f </w:t>
      </w:r>
      <w:r w:rsidR="004C38B7">
        <w:rPr>
          <w:lang w:val="en-US"/>
        </w:rPr>
        <w:t>p</w:t>
      </w:r>
      <w:r w:rsidR="001A0B4E" w:rsidRPr="001A0B4E">
        <w:rPr>
          <w:lang w:val="en-US"/>
        </w:rPr>
        <w:t xml:space="preserve">olytetrafluoroethylene </w:t>
      </w:r>
      <w:r w:rsidR="00F11EAC">
        <w:rPr>
          <w:lang w:val="en-US"/>
        </w:rPr>
        <w:t xml:space="preserve">used </w:t>
      </w:r>
      <w:r w:rsidR="000E4829">
        <w:rPr>
          <w:lang w:val="en-US"/>
        </w:rPr>
        <w:t xml:space="preserve">for </w:t>
      </w:r>
      <w:r w:rsidR="00F11EAC">
        <w:rPr>
          <w:lang w:val="en-US"/>
        </w:rPr>
        <w:t xml:space="preserve">the manufacture of tank service equipment </w:t>
      </w:r>
      <w:r w:rsidR="000E4829">
        <w:rPr>
          <w:lang w:val="en-US"/>
        </w:rPr>
        <w:t>seals and gaskets</w:t>
      </w:r>
    </w:p>
    <w:p w14:paraId="63C94AA4" w14:textId="008F0581" w:rsidR="00C461FD" w:rsidRDefault="00C461FD" w:rsidP="00C461FD">
      <w:pPr>
        <w:pStyle w:val="H1G"/>
        <w:rPr>
          <w:b w:val="0"/>
          <w:sz w:val="20"/>
        </w:rPr>
      </w:pPr>
      <w:r>
        <w:tab/>
      </w:r>
      <w:r>
        <w:tab/>
        <w:t xml:space="preserve">Transmitted by </w:t>
      </w:r>
      <w:r w:rsidR="000E4829">
        <w:t>the International Tank Container Organisation (ITCO)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082"/>
      </w:tblGrid>
      <w:tr w:rsidR="00C461FD" w:rsidRPr="00E940D0" w14:paraId="33BE08F2" w14:textId="77777777" w:rsidTr="00064454">
        <w:trPr>
          <w:jc w:val="center"/>
        </w:trPr>
        <w:tc>
          <w:tcPr>
            <w:tcW w:w="9082" w:type="dxa"/>
            <w:shd w:val="clear" w:color="auto" w:fill="auto"/>
          </w:tcPr>
          <w:p w14:paraId="3C41649F" w14:textId="77777777" w:rsidR="00C461FD" w:rsidRPr="00E940D0" w:rsidRDefault="00C461FD" w:rsidP="003A3F40">
            <w:pPr>
              <w:spacing w:before="120" w:after="120"/>
              <w:ind w:left="255"/>
              <w:rPr>
                <w:i/>
                <w:sz w:val="24"/>
              </w:rPr>
            </w:pPr>
            <w:r w:rsidRPr="00E940D0">
              <w:rPr>
                <w:i/>
                <w:sz w:val="24"/>
              </w:rPr>
              <w:t>Summary</w:t>
            </w:r>
          </w:p>
        </w:tc>
      </w:tr>
      <w:tr w:rsidR="00C461FD" w:rsidRPr="0035523F" w14:paraId="280D0A13" w14:textId="77777777" w:rsidTr="00064454">
        <w:trPr>
          <w:jc w:val="center"/>
        </w:trPr>
        <w:tc>
          <w:tcPr>
            <w:tcW w:w="9082" w:type="dxa"/>
            <w:shd w:val="clear" w:color="auto" w:fill="auto"/>
          </w:tcPr>
          <w:p w14:paraId="1C69F5F2" w14:textId="08C7A10A" w:rsidR="00C461FD" w:rsidRPr="00E17342" w:rsidRDefault="00C461FD" w:rsidP="003A3F40">
            <w:pPr>
              <w:pStyle w:val="Heading4"/>
              <w:shd w:val="clear" w:color="auto" w:fill="FFFFFF"/>
              <w:spacing w:before="120" w:after="120"/>
              <w:ind w:left="1134"/>
              <w:rPr>
                <w:color w:val="113460"/>
                <w:lang w:eastAsia="en-GB"/>
              </w:rPr>
            </w:pPr>
            <w:r w:rsidRPr="00CD0808">
              <w:rPr>
                <w:b/>
              </w:rPr>
              <w:t>Executive summary:</w:t>
            </w:r>
            <w:r w:rsidRPr="00CD0808">
              <w:tab/>
            </w:r>
            <w:r w:rsidR="000E4829">
              <w:t>ECHA</w:t>
            </w:r>
            <w:r w:rsidR="003B6B5A">
              <w:t xml:space="preserve"> </w:t>
            </w:r>
            <w:r w:rsidR="007D3A61">
              <w:t>PFAS (</w:t>
            </w:r>
            <w:r w:rsidR="00E17342" w:rsidRPr="00E17342">
              <w:rPr>
                <w:color w:val="113460"/>
              </w:rPr>
              <w:t>Per- and poly</w:t>
            </w:r>
            <w:r w:rsidR="007D3A61">
              <w:rPr>
                <w:color w:val="113460"/>
              </w:rPr>
              <w:t>-</w:t>
            </w:r>
            <w:r w:rsidR="00E17342" w:rsidRPr="00E17342">
              <w:rPr>
                <w:color w:val="113460"/>
              </w:rPr>
              <w:t>fluoroalkyl sub</w:t>
            </w:r>
            <w:r w:rsidR="007D3A61">
              <w:rPr>
                <w:color w:val="113460"/>
              </w:rPr>
              <w:t xml:space="preserve">stances) </w:t>
            </w:r>
            <w:r w:rsidR="003B6B5A">
              <w:t>Consultation</w:t>
            </w:r>
          </w:p>
        </w:tc>
      </w:tr>
      <w:tr w:rsidR="00C461FD" w:rsidRPr="00597302" w14:paraId="4AEB0596" w14:textId="77777777" w:rsidTr="00064454">
        <w:trPr>
          <w:jc w:val="center"/>
        </w:trPr>
        <w:tc>
          <w:tcPr>
            <w:tcW w:w="9082" w:type="dxa"/>
            <w:shd w:val="clear" w:color="auto" w:fill="auto"/>
          </w:tcPr>
          <w:p w14:paraId="1748477B" w14:textId="4CFCD703" w:rsidR="00C461FD" w:rsidRPr="00CD0808" w:rsidRDefault="00C461FD" w:rsidP="003A3F40">
            <w:pPr>
              <w:pStyle w:val="H1G"/>
              <w:keepNext w:val="0"/>
              <w:keepLines w:val="0"/>
              <w:widowControl w:val="0"/>
              <w:adjustRightInd w:val="0"/>
              <w:snapToGrid w:val="0"/>
              <w:spacing w:before="120" w:after="120" w:line="240" w:lineRule="auto"/>
              <w:ind w:left="3391" w:right="-6" w:hanging="2257"/>
            </w:pPr>
            <w:r w:rsidRPr="00855D5E">
              <w:rPr>
                <w:sz w:val="20"/>
              </w:rPr>
              <w:t>Action to be taken:</w:t>
            </w:r>
            <w:r w:rsidRPr="00855D5E">
              <w:rPr>
                <w:sz w:val="20"/>
              </w:rPr>
              <w:tab/>
            </w:r>
            <w:r w:rsidR="00855D5E" w:rsidRPr="00855D5E">
              <w:rPr>
                <w:b w:val="0"/>
                <w:sz w:val="20"/>
              </w:rPr>
              <w:t xml:space="preserve">Information </w:t>
            </w:r>
            <w:r w:rsidR="00E17342">
              <w:rPr>
                <w:b w:val="0"/>
                <w:sz w:val="20"/>
              </w:rPr>
              <w:t xml:space="preserve">for </w:t>
            </w:r>
            <w:r w:rsidR="00855D5E" w:rsidRPr="00855D5E">
              <w:rPr>
                <w:b w:val="0"/>
                <w:sz w:val="20"/>
              </w:rPr>
              <w:t xml:space="preserve">the Joint Meeting of the RID Committee of Experts </w:t>
            </w:r>
            <w:r w:rsidR="0008730C">
              <w:rPr>
                <w:b w:val="0"/>
                <w:sz w:val="20"/>
              </w:rPr>
              <w:tab/>
            </w:r>
            <w:r w:rsidR="00855D5E" w:rsidRPr="00855D5E">
              <w:rPr>
                <w:b w:val="0"/>
                <w:sz w:val="20"/>
              </w:rPr>
              <w:t>and the Working Party on the Transport of Dangerous Goods</w:t>
            </w:r>
          </w:p>
        </w:tc>
      </w:tr>
      <w:tr w:rsidR="00C461FD" w:rsidRPr="00AE331E" w14:paraId="45A1DF6C" w14:textId="77777777" w:rsidTr="00064454">
        <w:trPr>
          <w:jc w:val="center"/>
        </w:trPr>
        <w:tc>
          <w:tcPr>
            <w:tcW w:w="9082" w:type="dxa"/>
            <w:shd w:val="clear" w:color="auto" w:fill="auto"/>
          </w:tcPr>
          <w:p w14:paraId="35422568" w14:textId="7208DFC2" w:rsidR="00C461FD" w:rsidRPr="005447D2" w:rsidRDefault="00C461FD" w:rsidP="0008730C">
            <w:pPr>
              <w:pStyle w:val="SingleTxtG"/>
              <w:tabs>
                <w:tab w:val="left" w:pos="2835"/>
              </w:tabs>
              <w:spacing w:after="0"/>
              <w:ind w:left="3402" w:hanging="2268"/>
              <w:jc w:val="left"/>
              <w:rPr>
                <w:b/>
                <w:bCs/>
                <w:lang w:val="en-US"/>
              </w:rPr>
            </w:pPr>
            <w:r w:rsidRPr="31E52E84">
              <w:rPr>
                <w:b/>
                <w:bCs/>
              </w:rPr>
              <w:t>Related documents:</w:t>
            </w:r>
            <w:r w:rsidR="0008730C"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="0043625B" w:rsidRPr="0043625B">
              <w:t xml:space="preserve">see </w:t>
            </w:r>
            <w:r w:rsidR="00E17342" w:rsidRPr="005612C9">
              <w:rPr>
                <w:color w:val="0070C0"/>
              </w:rPr>
              <w:t>https://echa.europa.eu/registry-of-restriction-intentions/-/dislist/details/0b0236</w:t>
            </w:r>
            <w:r w:rsidR="0008730C" w:rsidRPr="005612C9">
              <w:rPr>
                <w:color w:val="0070C0"/>
              </w:rPr>
              <w:t xml:space="preserve">3449b </w:t>
            </w:r>
            <w:r w:rsidR="00E17342" w:rsidRPr="005612C9">
              <w:rPr>
                <w:color w:val="0070C0"/>
              </w:rPr>
              <w:t>e1866</w:t>
            </w:r>
          </w:p>
        </w:tc>
      </w:tr>
      <w:tr w:rsidR="00C461FD" w:rsidRPr="00AE331E" w14:paraId="51FDAE76" w14:textId="77777777" w:rsidTr="00064454">
        <w:trPr>
          <w:jc w:val="center"/>
        </w:trPr>
        <w:tc>
          <w:tcPr>
            <w:tcW w:w="9082" w:type="dxa"/>
            <w:shd w:val="clear" w:color="auto" w:fill="auto"/>
          </w:tcPr>
          <w:p w14:paraId="6E050780" w14:textId="77777777" w:rsidR="00C461FD" w:rsidRPr="00D43932" w:rsidRDefault="00C461FD" w:rsidP="00064454">
            <w:pPr>
              <w:rPr>
                <w:lang w:val="en-US"/>
              </w:rPr>
            </w:pPr>
          </w:p>
        </w:tc>
      </w:tr>
    </w:tbl>
    <w:p w14:paraId="0C1AD38A" w14:textId="77777777" w:rsidR="00C461FD" w:rsidRDefault="00C461FD" w:rsidP="00C461FD">
      <w:pPr>
        <w:pStyle w:val="HChG"/>
      </w:pPr>
      <w:r>
        <w:tab/>
      </w:r>
      <w:r>
        <w:tab/>
      </w:r>
      <w:r w:rsidRPr="00042219">
        <w:t>Introduction</w:t>
      </w:r>
    </w:p>
    <w:p w14:paraId="7C321378" w14:textId="4861B8D7" w:rsidR="00C461FD" w:rsidRPr="00AF6C92" w:rsidRDefault="00966378" w:rsidP="00966378">
      <w:pPr>
        <w:pStyle w:val="SingleTxtG"/>
        <w:tabs>
          <w:tab w:val="left" w:pos="1701"/>
        </w:tabs>
      </w:pPr>
      <w:r w:rsidRPr="00966378">
        <w:rPr>
          <w:lang w:val="en-US"/>
        </w:rPr>
        <w:t>1.</w:t>
      </w:r>
      <w:r>
        <w:rPr>
          <w:lang w:val="en-US"/>
        </w:rPr>
        <w:tab/>
      </w:r>
      <w:r w:rsidR="00940418">
        <w:rPr>
          <w:lang w:val="en-US"/>
        </w:rPr>
        <w:t xml:space="preserve">The </w:t>
      </w:r>
      <w:r w:rsidR="00E0633C">
        <w:rPr>
          <w:lang w:val="en-US"/>
        </w:rPr>
        <w:t xml:space="preserve">REACH </w:t>
      </w:r>
      <w:r w:rsidR="000D0D9D" w:rsidRPr="00DF13BC">
        <w:t>(Registration, Evaluation, Authorisation and Restriction of Chemicals)</w:t>
      </w:r>
      <w:r w:rsidR="000D0D9D">
        <w:t xml:space="preserve"> </w:t>
      </w:r>
      <w:r w:rsidR="00E0633C">
        <w:rPr>
          <w:lang w:val="en-US"/>
        </w:rPr>
        <w:t xml:space="preserve">proposal for the </w:t>
      </w:r>
      <w:r w:rsidR="00E7468B" w:rsidRPr="0016385F">
        <w:rPr>
          <w:lang w:val="en-US"/>
        </w:rPr>
        <w:t>restriction of the manufacture and supply of PTFE</w:t>
      </w:r>
      <w:r w:rsidR="00D44DA5">
        <w:rPr>
          <w:lang w:val="en-US"/>
        </w:rPr>
        <w:t xml:space="preserve"> (</w:t>
      </w:r>
      <w:r w:rsidR="00D44DA5" w:rsidRPr="00D44DA5">
        <w:t xml:space="preserve">Polytetrafluoroethylene) </w:t>
      </w:r>
      <w:r w:rsidR="00FF3E49">
        <w:t xml:space="preserve">puts at risk </w:t>
      </w:r>
      <w:r w:rsidR="00B5433D">
        <w:t xml:space="preserve">reliable leak tightness of service equipment fitted to </w:t>
      </w:r>
      <w:r w:rsidR="00151427">
        <w:t>rail</w:t>
      </w:r>
      <w:r w:rsidR="00B5433D">
        <w:t xml:space="preserve"> tanks</w:t>
      </w:r>
      <w:r w:rsidR="00151427">
        <w:t xml:space="preserve">, </w:t>
      </w:r>
      <w:r w:rsidR="00182E25">
        <w:t xml:space="preserve">tank </w:t>
      </w:r>
      <w:r w:rsidR="00151427">
        <w:t>vehicle</w:t>
      </w:r>
      <w:r w:rsidR="00182E25">
        <w:t xml:space="preserve">s, </w:t>
      </w:r>
      <w:r w:rsidR="00151427">
        <w:t>tank container</w:t>
      </w:r>
      <w:r w:rsidR="00B5433D">
        <w:t>s</w:t>
      </w:r>
      <w:r w:rsidR="00151427">
        <w:t xml:space="preserve"> and other modes and packages where </w:t>
      </w:r>
      <w:r w:rsidR="003A6542">
        <w:t xml:space="preserve">PTFE </w:t>
      </w:r>
      <w:r w:rsidR="00D44DA5" w:rsidRPr="00D44DA5">
        <w:t>is widely used in the manufacture of seals and gaskets</w:t>
      </w:r>
      <w:r w:rsidR="00151427">
        <w:t>.</w:t>
      </w:r>
    </w:p>
    <w:p w14:paraId="581F949E" w14:textId="2BEE413B" w:rsidR="009C2FA9" w:rsidRDefault="00966378" w:rsidP="0008730C">
      <w:pPr>
        <w:pStyle w:val="SingleTxtG"/>
      </w:pPr>
      <w:r>
        <w:t>2.</w:t>
      </w:r>
      <w:r>
        <w:tab/>
      </w:r>
      <w:r w:rsidR="0016385F" w:rsidRPr="0016385F">
        <w:t xml:space="preserve">The European Chemicals Agency (ECHA) </w:t>
      </w:r>
      <w:r w:rsidR="00D62C46">
        <w:t xml:space="preserve">consultation process </w:t>
      </w:r>
      <w:r w:rsidR="00544D17">
        <w:t xml:space="preserve">is </w:t>
      </w:r>
      <w:r w:rsidR="00AD1B77">
        <w:t xml:space="preserve">considering </w:t>
      </w:r>
      <w:r w:rsidR="00E0633C">
        <w:t xml:space="preserve">the REACH proposal </w:t>
      </w:r>
      <w:r w:rsidR="00AD1B77" w:rsidRPr="0016385F">
        <w:t xml:space="preserve">to </w:t>
      </w:r>
      <w:r w:rsidR="00544D17">
        <w:t xml:space="preserve">limit </w:t>
      </w:r>
      <w:r w:rsidR="00AD1B77" w:rsidRPr="0016385F">
        <w:t xml:space="preserve">risks </w:t>
      </w:r>
      <w:r w:rsidR="00AD1B77" w:rsidRPr="0008730C">
        <w:rPr>
          <w:lang w:val="en-US"/>
        </w:rPr>
        <w:t>to</w:t>
      </w:r>
      <w:r w:rsidR="00AD1B77" w:rsidRPr="0016385F">
        <w:t xml:space="preserve"> the environment and human health </w:t>
      </w:r>
      <w:r w:rsidR="00AD1B77">
        <w:t xml:space="preserve">that might result from the </w:t>
      </w:r>
      <w:r w:rsidR="00AD1B77" w:rsidRPr="0016385F">
        <w:t>manufacture and use of per</w:t>
      </w:r>
      <w:r w:rsidR="007C686D" w:rsidRPr="0016385F">
        <w:t xml:space="preserve">fluoroalkyl </w:t>
      </w:r>
      <w:r w:rsidR="00AD1B77" w:rsidRPr="0016385F">
        <w:t xml:space="preserve">and polyfluoroalkyl substances (PFAS). </w:t>
      </w:r>
      <w:r w:rsidR="00AD1B77">
        <w:t xml:space="preserve">ECHA estimate </w:t>
      </w:r>
      <w:r w:rsidR="00AD1B77" w:rsidRPr="00D44DA5">
        <w:t>4700 substances</w:t>
      </w:r>
      <w:r w:rsidR="00AD1B77">
        <w:t xml:space="preserve"> are </w:t>
      </w:r>
      <w:r w:rsidR="00AD1B77" w:rsidRPr="00D44DA5">
        <w:t>within the scope of PFAS</w:t>
      </w:r>
      <w:r w:rsidR="00AD1B77">
        <w:t xml:space="preserve"> which includes </w:t>
      </w:r>
      <w:r w:rsidR="00AD1B77" w:rsidRPr="00D44DA5">
        <w:t>PTFE</w:t>
      </w:r>
      <w:r w:rsidR="009C2FA9">
        <w:t>.</w:t>
      </w:r>
    </w:p>
    <w:p w14:paraId="5C05B43B" w14:textId="3DF234DC" w:rsidR="00AD1B77" w:rsidRPr="009C2FA9" w:rsidRDefault="002024CC" w:rsidP="0008730C">
      <w:pPr>
        <w:pStyle w:val="SingleTxtG"/>
        <w:rPr>
          <w:color w:val="303133"/>
          <w:shd w:val="clear" w:color="auto" w:fill="FFFFFF"/>
          <w:lang w:eastAsia="en-GB"/>
        </w:rPr>
      </w:pPr>
      <w:r>
        <w:rPr>
          <w:color w:val="303133"/>
          <w:shd w:val="clear" w:color="auto" w:fill="FFFFFF"/>
          <w:lang w:eastAsia="en-GB"/>
        </w:rPr>
        <w:t>3.</w:t>
      </w:r>
      <w:r>
        <w:rPr>
          <w:color w:val="303133"/>
          <w:shd w:val="clear" w:color="auto" w:fill="FFFFFF"/>
          <w:lang w:eastAsia="en-GB"/>
        </w:rPr>
        <w:tab/>
      </w:r>
      <w:r w:rsidR="009C2FA9">
        <w:rPr>
          <w:color w:val="303133"/>
          <w:shd w:val="clear" w:color="auto" w:fill="FFFFFF"/>
          <w:lang w:eastAsia="en-GB"/>
        </w:rPr>
        <w:t xml:space="preserve">The </w:t>
      </w:r>
      <w:r w:rsidR="009C2FA9" w:rsidRPr="0008730C">
        <w:t>Organization</w:t>
      </w:r>
      <w:r w:rsidR="009C2FA9" w:rsidRPr="000E274E">
        <w:rPr>
          <w:color w:val="303133"/>
          <w:shd w:val="clear" w:color="auto" w:fill="FFFFFF"/>
          <w:lang w:eastAsia="en-GB"/>
        </w:rPr>
        <w:t xml:space="preserve"> for Economic Co-operation and Development (OECD) </w:t>
      </w:r>
      <w:r w:rsidR="009C2FA9">
        <w:rPr>
          <w:color w:val="303133"/>
          <w:shd w:val="clear" w:color="auto" w:fill="FFFFFF"/>
          <w:lang w:eastAsia="en-GB"/>
        </w:rPr>
        <w:t>include</w:t>
      </w:r>
      <w:r w:rsidR="007C686D">
        <w:rPr>
          <w:color w:val="303133"/>
          <w:shd w:val="clear" w:color="auto" w:fill="FFFFFF"/>
          <w:lang w:eastAsia="en-GB"/>
        </w:rPr>
        <w:t>s</w:t>
      </w:r>
      <w:r w:rsidR="009C2FA9">
        <w:rPr>
          <w:color w:val="303133"/>
          <w:shd w:val="clear" w:color="auto" w:fill="FFFFFF"/>
          <w:lang w:eastAsia="en-GB"/>
        </w:rPr>
        <w:t xml:space="preserve"> PTFE within the </w:t>
      </w:r>
      <w:r w:rsidR="009C2FA9" w:rsidRPr="000E274E">
        <w:rPr>
          <w:color w:val="303133"/>
          <w:shd w:val="clear" w:color="auto" w:fill="FFFFFF"/>
          <w:lang w:eastAsia="en-GB"/>
        </w:rPr>
        <w:t>criteria for ‘polymers of low concern’ as they do not present significant toxicity concerns and cannot degrade into other PFAS.</w:t>
      </w:r>
    </w:p>
    <w:p w14:paraId="60EEFD36" w14:textId="38AEFB5F" w:rsidR="00D62C46" w:rsidRDefault="001F718E" w:rsidP="0008730C">
      <w:pPr>
        <w:pStyle w:val="SingleTxtG"/>
      </w:pPr>
      <w:r>
        <w:t>4.</w:t>
      </w:r>
      <w:r>
        <w:tab/>
      </w:r>
      <w:r w:rsidR="00D62C46" w:rsidRPr="00D44DA5">
        <w:t xml:space="preserve">PTFE materials are critical for many applications. </w:t>
      </w:r>
      <w:r w:rsidR="00D62C46">
        <w:t>There is no adequate replacement for PTFE.</w:t>
      </w:r>
    </w:p>
    <w:p w14:paraId="488E02A9" w14:textId="51576F1D" w:rsidR="0080674B" w:rsidRDefault="00531686" w:rsidP="0008730C">
      <w:pPr>
        <w:pStyle w:val="SingleTxtG"/>
      </w:pPr>
      <w:r>
        <w:rPr>
          <w:color w:val="303133"/>
        </w:rPr>
        <w:t>5.</w:t>
      </w:r>
      <w:r>
        <w:rPr>
          <w:color w:val="303133"/>
        </w:rPr>
        <w:tab/>
      </w:r>
      <w:r w:rsidR="00A107C8" w:rsidRPr="00B341CA">
        <w:rPr>
          <w:color w:val="303133"/>
        </w:rPr>
        <w:t>Th</w:t>
      </w:r>
      <w:r w:rsidR="00A107C8">
        <w:rPr>
          <w:color w:val="303133"/>
        </w:rPr>
        <w:t xml:space="preserve">ere is a provision within the </w:t>
      </w:r>
      <w:r w:rsidR="0080674B">
        <w:rPr>
          <w:color w:val="303133"/>
        </w:rPr>
        <w:t xml:space="preserve">REACH </w:t>
      </w:r>
      <w:r w:rsidR="00A107C8">
        <w:rPr>
          <w:color w:val="303133"/>
        </w:rPr>
        <w:t xml:space="preserve">proposal for exempting </w:t>
      </w:r>
      <w:r w:rsidR="00A107C8" w:rsidRPr="00B341CA">
        <w:rPr>
          <w:color w:val="303133"/>
        </w:rPr>
        <w:t>P</w:t>
      </w:r>
      <w:r w:rsidR="007D3A61">
        <w:rPr>
          <w:color w:val="303133"/>
        </w:rPr>
        <w:t xml:space="preserve">TFE </w:t>
      </w:r>
      <w:r w:rsidR="00A107C8" w:rsidRPr="00B341CA">
        <w:rPr>
          <w:color w:val="303133"/>
        </w:rPr>
        <w:t>from the restriction’s scope</w:t>
      </w:r>
      <w:r w:rsidR="0080674B">
        <w:rPr>
          <w:color w:val="303133"/>
        </w:rPr>
        <w:t xml:space="preserve"> </w:t>
      </w:r>
      <w:r w:rsidR="00A107C8">
        <w:rPr>
          <w:color w:val="303133"/>
        </w:rPr>
        <w:t xml:space="preserve">if defined as a </w:t>
      </w:r>
      <w:r w:rsidR="00A107C8" w:rsidRPr="0008730C">
        <w:rPr>
          <w:color w:val="303133"/>
          <w:shd w:val="clear" w:color="auto" w:fill="FFFFFF"/>
          <w:lang w:eastAsia="en-GB"/>
        </w:rPr>
        <w:t>material</w:t>
      </w:r>
      <w:r w:rsidR="00A107C8">
        <w:rPr>
          <w:color w:val="303133"/>
        </w:rPr>
        <w:t xml:space="preserve"> </w:t>
      </w:r>
      <w:r w:rsidR="0080674B">
        <w:rPr>
          <w:color w:val="303133"/>
        </w:rPr>
        <w:t xml:space="preserve">of </w:t>
      </w:r>
      <w:r w:rsidR="00A107C8" w:rsidRPr="00B341CA">
        <w:rPr>
          <w:color w:val="303133"/>
        </w:rPr>
        <w:t>“essential use”.</w:t>
      </w:r>
    </w:p>
    <w:p w14:paraId="519B607F" w14:textId="4D4BBB69" w:rsidR="00B341CA" w:rsidRPr="00B341CA" w:rsidRDefault="00531686" w:rsidP="0008730C">
      <w:pPr>
        <w:pStyle w:val="SingleTxtG"/>
      </w:pPr>
      <w:r>
        <w:t>6.</w:t>
      </w:r>
      <w:r>
        <w:tab/>
      </w:r>
      <w:r w:rsidR="00E0633C" w:rsidRPr="00D44DA5">
        <w:t xml:space="preserve">REACH notified the process in the registry of </w:t>
      </w:r>
      <w:r w:rsidR="00E0633C" w:rsidRPr="0008730C">
        <w:rPr>
          <w:color w:val="303133"/>
          <w:shd w:val="clear" w:color="auto" w:fill="FFFFFF"/>
          <w:lang w:eastAsia="en-GB"/>
        </w:rPr>
        <w:t>intention</w:t>
      </w:r>
      <w:r w:rsidR="00E0633C" w:rsidRPr="00D44DA5">
        <w:t xml:space="preserve"> in the first half of </w:t>
      </w:r>
      <w:r w:rsidR="00E0633C" w:rsidRPr="0008730C">
        <w:rPr>
          <w:color w:val="303133"/>
          <w:shd w:val="clear" w:color="auto" w:fill="FFFFFF"/>
          <w:lang w:eastAsia="en-GB"/>
        </w:rPr>
        <w:t>2021</w:t>
      </w:r>
      <w:r w:rsidR="00E0633C" w:rsidRPr="00D44DA5">
        <w:t xml:space="preserve"> and is to submit the completed assessment and proposal to the ECHA for opinion-making in the first half of 2022. The opinion-making phase takes 12 to 15 months. After which, the proposal and the opinions of RAC </w:t>
      </w:r>
      <w:r w:rsidR="008703AA">
        <w:t xml:space="preserve">(Committee for Risk Assessment) </w:t>
      </w:r>
      <w:r w:rsidR="00E0633C" w:rsidRPr="00D44DA5">
        <w:t xml:space="preserve">and SEAC </w:t>
      </w:r>
      <w:r w:rsidR="008703AA">
        <w:t xml:space="preserve">(Social Economic Analysis) </w:t>
      </w:r>
      <w:r w:rsidR="00E0633C" w:rsidRPr="00D44DA5">
        <w:t xml:space="preserve">are forwarded to the European Commission for decision making by the </w:t>
      </w:r>
      <w:r w:rsidR="00E0633C" w:rsidRPr="00D44DA5">
        <w:lastRenderedPageBreak/>
        <w:t>Commission with the Member States (the entry into force of a restriction is anticipated to take place in 2025).</w:t>
      </w:r>
    </w:p>
    <w:p w14:paraId="6AB4B785" w14:textId="73BCE853" w:rsidR="00C461FD" w:rsidRDefault="00C461FD" w:rsidP="0008730C">
      <w:pPr>
        <w:pStyle w:val="HChG"/>
        <w:keepNext w:val="0"/>
        <w:keepLines w:val="0"/>
        <w:widowControl w:val="0"/>
        <w:adjustRightInd w:val="0"/>
        <w:ind w:firstLine="0"/>
        <w:rPr>
          <w:rFonts w:eastAsiaTheme="minorEastAsia"/>
          <w:lang w:val="en-US" w:eastAsia="zh-CN"/>
        </w:rPr>
      </w:pPr>
      <w:r w:rsidRPr="00965DCC">
        <w:rPr>
          <w:rFonts w:eastAsiaTheme="minorEastAsia"/>
          <w:lang w:val="en-US" w:eastAsia="zh-CN"/>
        </w:rPr>
        <w:t>Proposal</w:t>
      </w:r>
    </w:p>
    <w:p w14:paraId="243548E5" w14:textId="72447F52" w:rsidR="0080674B" w:rsidRDefault="004F4651" w:rsidP="0008730C">
      <w:pPr>
        <w:pStyle w:val="SingleTxtG"/>
        <w:widowControl w:val="0"/>
        <w:adjustRightInd w:val="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7.</w:t>
      </w:r>
      <w:r>
        <w:rPr>
          <w:rFonts w:eastAsiaTheme="minorEastAsia"/>
          <w:lang w:val="en-US"/>
        </w:rPr>
        <w:tab/>
      </w:r>
      <w:r w:rsidR="00940418">
        <w:rPr>
          <w:rFonts w:eastAsiaTheme="minorEastAsia"/>
          <w:lang w:val="en-US"/>
        </w:rPr>
        <w:t xml:space="preserve">Interested persons </w:t>
      </w:r>
      <w:r w:rsidR="005C26B9">
        <w:rPr>
          <w:rFonts w:eastAsiaTheme="minorEastAsia"/>
          <w:lang w:val="en-US"/>
        </w:rPr>
        <w:t xml:space="preserve">concerned with the </w:t>
      </w:r>
      <w:r w:rsidR="00DB582E">
        <w:rPr>
          <w:rFonts w:eastAsiaTheme="minorEastAsia"/>
          <w:lang w:val="en-US"/>
        </w:rPr>
        <w:t xml:space="preserve">potential restriction </w:t>
      </w:r>
      <w:r w:rsidR="00B11E46">
        <w:rPr>
          <w:rFonts w:eastAsiaTheme="minorEastAsia"/>
          <w:lang w:val="en-US"/>
        </w:rPr>
        <w:t>of</w:t>
      </w:r>
      <w:r w:rsidR="00DB582E">
        <w:rPr>
          <w:rFonts w:eastAsiaTheme="minorEastAsia"/>
          <w:lang w:val="en-US"/>
        </w:rPr>
        <w:t xml:space="preserve"> the manufacture and use of PTFE </w:t>
      </w:r>
      <w:r w:rsidR="005C26B9" w:rsidRPr="0008730C">
        <w:t>should</w:t>
      </w:r>
      <w:r w:rsidR="005C26B9">
        <w:rPr>
          <w:rFonts w:eastAsiaTheme="minorEastAsia"/>
          <w:lang w:val="en-US"/>
        </w:rPr>
        <w:t xml:space="preserve"> </w:t>
      </w:r>
      <w:r w:rsidR="003323E7">
        <w:rPr>
          <w:rFonts w:eastAsiaTheme="minorEastAsia"/>
          <w:lang w:val="en-US"/>
        </w:rPr>
        <w:t>contact ECHA and take part in the consultation process</w:t>
      </w:r>
      <w:r w:rsidR="005C697A">
        <w:rPr>
          <w:rFonts w:eastAsiaTheme="minorEastAsia"/>
          <w:lang w:val="en-US"/>
        </w:rPr>
        <w:t xml:space="preserve"> at the following address:</w:t>
      </w:r>
    </w:p>
    <w:p w14:paraId="5B6E3766" w14:textId="61A3D7DC" w:rsidR="005C697A" w:rsidRPr="00A16827" w:rsidRDefault="006B43B9" w:rsidP="0008730C">
      <w:pPr>
        <w:pStyle w:val="SingleTxtG"/>
        <w:widowControl w:val="0"/>
        <w:adjustRightInd w:val="0"/>
        <w:rPr>
          <w:rFonts w:eastAsiaTheme="minorEastAsia"/>
          <w:color w:val="0070C0"/>
          <w:lang w:val="en-US"/>
        </w:rPr>
      </w:pPr>
      <w:hyperlink r:id="rId11" w:history="1">
        <w:r w:rsidR="005C697A" w:rsidRPr="00A16827">
          <w:rPr>
            <w:rStyle w:val="Hyperlink"/>
            <w:rFonts w:eastAsiaTheme="minorEastAsia"/>
            <w:color w:val="0070C0"/>
            <w:lang w:val="en-US"/>
          </w:rPr>
          <w:t>https://</w:t>
        </w:r>
        <w:r w:rsidR="005C697A" w:rsidRPr="00A16827">
          <w:rPr>
            <w:color w:val="0070C0"/>
          </w:rPr>
          <w:t>echa</w:t>
        </w:r>
        <w:r w:rsidR="005C697A" w:rsidRPr="00A16827">
          <w:rPr>
            <w:rStyle w:val="Hyperlink"/>
            <w:rFonts w:eastAsiaTheme="minorEastAsia"/>
            <w:color w:val="0070C0"/>
            <w:lang w:val="en-US"/>
          </w:rPr>
          <w:t>.europa.eu/registry-of-restriction-intentions/-/dislist/details/0b0236e18663449b</w:t>
        </w:r>
      </w:hyperlink>
    </w:p>
    <w:p w14:paraId="4A06524B" w14:textId="1FB72F66" w:rsidR="003139EE" w:rsidRPr="0023302B" w:rsidRDefault="004F4651" w:rsidP="0008730C">
      <w:pPr>
        <w:pStyle w:val="SingleTxtG"/>
        <w:widowControl w:val="0"/>
        <w:adjustRightInd w:val="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8.</w:t>
      </w:r>
      <w:r>
        <w:rPr>
          <w:rFonts w:eastAsiaTheme="minorEastAsia"/>
          <w:lang w:val="en-US"/>
        </w:rPr>
        <w:tab/>
      </w:r>
      <w:r w:rsidR="003139EE">
        <w:rPr>
          <w:rFonts w:eastAsiaTheme="minorEastAsia"/>
          <w:lang w:val="en-US"/>
        </w:rPr>
        <w:t xml:space="preserve">ITCO is </w:t>
      </w:r>
      <w:r w:rsidR="003139EE" w:rsidRPr="0008730C">
        <w:t>evaluating</w:t>
      </w:r>
      <w:r w:rsidR="003139EE">
        <w:rPr>
          <w:rFonts w:eastAsiaTheme="minorEastAsia"/>
          <w:lang w:val="en-US"/>
        </w:rPr>
        <w:t xml:space="preserve"> arrangements to implement an industry wide recycling scheme to collect used PTFE seals and gaskets </w:t>
      </w:r>
      <w:r w:rsidR="00940418">
        <w:rPr>
          <w:rFonts w:eastAsiaTheme="minorEastAsia"/>
          <w:lang w:val="en-US"/>
        </w:rPr>
        <w:t>for safe recycling.</w:t>
      </w:r>
    </w:p>
    <w:p w14:paraId="476AF7D2" w14:textId="304E86AD" w:rsidR="00C461FD" w:rsidRPr="00576C71" w:rsidRDefault="0001101D" w:rsidP="0008730C">
      <w:pPr>
        <w:pStyle w:val="HChG"/>
        <w:keepNext w:val="0"/>
        <w:keepLines w:val="0"/>
        <w:widowControl w:val="0"/>
        <w:adjustRightInd w:val="0"/>
        <w:ind w:firstLine="0"/>
        <w:rPr>
          <w:rFonts w:eastAsiaTheme="minorEastAsia"/>
          <w:lang w:val="en-US" w:eastAsia="zh-CN"/>
        </w:rPr>
      </w:pPr>
      <w:r>
        <w:rPr>
          <w:lang w:val="en-US"/>
        </w:rPr>
        <w:tab/>
      </w:r>
      <w:r w:rsidR="00C461FD" w:rsidRPr="00576C71">
        <w:rPr>
          <w:rFonts w:eastAsiaTheme="minorEastAsia"/>
          <w:lang w:val="en-US" w:eastAsia="zh-CN"/>
        </w:rPr>
        <w:t>Justification</w:t>
      </w:r>
    </w:p>
    <w:p w14:paraId="7E5EDD99" w14:textId="10EBC965" w:rsidR="008703AA" w:rsidRPr="00F65C68" w:rsidRDefault="00127A1B" w:rsidP="0008730C">
      <w:pPr>
        <w:pStyle w:val="SingleTxtG"/>
        <w:widowControl w:val="0"/>
        <w:adjustRightInd w:val="0"/>
        <w:rPr>
          <w:lang w:val="en-US"/>
        </w:rPr>
      </w:pPr>
      <w:r>
        <w:rPr>
          <w:lang w:val="en-US"/>
        </w:rPr>
        <w:t>9.</w:t>
      </w:r>
      <w:r>
        <w:rPr>
          <w:lang w:val="en-US"/>
        </w:rPr>
        <w:tab/>
      </w:r>
      <w:r w:rsidR="003323E7">
        <w:rPr>
          <w:lang w:val="en-US"/>
        </w:rPr>
        <w:t xml:space="preserve">PTFE is widely and successfully used for seals and gaskets in the service equipment </w:t>
      </w:r>
      <w:r w:rsidR="00B11E46">
        <w:rPr>
          <w:lang w:val="en-US"/>
        </w:rPr>
        <w:t>for</w:t>
      </w:r>
      <w:r w:rsidR="003323E7">
        <w:rPr>
          <w:lang w:val="en-US"/>
        </w:rPr>
        <w:t xml:space="preserve"> all </w:t>
      </w:r>
      <w:r w:rsidR="00B11E46">
        <w:rPr>
          <w:lang w:val="en-US"/>
        </w:rPr>
        <w:t xml:space="preserve">types of </w:t>
      </w:r>
      <w:r w:rsidR="003323E7">
        <w:rPr>
          <w:lang w:val="en-US"/>
        </w:rPr>
        <w:t>tanks</w:t>
      </w:r>
      <w:r w:rsidR="002F7EA3">
        <w:rPr>
          <w:lang w:val="en-US"/>
        </w:rPr>
        <w:t xml:space="preserve"> transporting dangerous substances.</w:t>
      </w:r>
      <w:r w:rsidR="003323E7">
        <w:rPr>
          <w:lang w:val="en-US"/>
        </w:rPr>
        <w:t xml:space="preserve"> There is no adequate replacement </w:t>
      </w:r>
      <w:r w:rsidR="002F7EA3">
        <w:rPr>
          <w:lang w:val="en-US"/>
        </w:rPr>
        <w:t xml:space="preserve">to PTFE </w:t>
      </w:r>
      <w:r w:rsidR="003323E7">
        <w:rPr>
          <w:lang w:val="en-US"/>
        </w:rPr>
        <w:t xml:space="preserve">that provides </w:t>
      </w:r>
      <w:r w:rsidR="00DB582E">
        <w:rPr>
          <w:lang w:val="en-US"/>
        </w:rPr>
        <w:t xml:space="preserve">an equal </w:t>
      </w:r>
      <w:r w:rsidR="002F7EA3">
        <w:rPr>
          <w:lang w:val="en-US"/>
        </w:rPr>
        <w:t>resistance to degradation and containment qualities</w:t>
      </w:r>
      <w:r w:rsidR="00A74864">
        <w:rPr>
          <w:lang w:val="en-US"/>
        </w:rPr>
        <w:t>.</w:t>
      </w:r>
    </w:p>
    <w:p w14:paraId="75E1E9D1" w14:textId="17FBB162" w:rsidR="00F65C68" w:rsidRDefault="00A74864" w:rsidP="0008730C">
      <w:pPr>
        <w:pStyle w:val="SingleTxtG"/>
      </w:pPr>
      <w:r>
        <w:t>10.</w:t>
      </w:r>
      <w:r>
        <w:tab/>
      </w:r>
      <w:r w:rsidR="008703AA" w:rsidRPr="00D44DA5">
        <w:t>PTFE is listed on the OECD list, but it is used in a broad range of products, without any adequate replacement.</w:t>
      </w:r>
    </w:p>
    <w:p w14:paraId="5F246C78" w14:textId="290090E1" w:rsidR="00830BEB" w:rsidRDefault="00940DAB" w:rsidP="0008730C">
      <w:pPr>
        <w:pStyle w:val="SingleTxtG"/>
        <w:rPr>
          <w:color w:val="303133"/>
        </w:rPr>
      </w:pPr>
      <w:r>
        <w:rPr>
          <w:color w:val="303133"/>
        </w:rPr>
        <w:t>11.</w:t>
      </w:r>
      <w:r>
        <w:rPr>
          <w:color w:val="303133"/>
        </w:rPr>
        <w:tab/>
      </w:r>
      <w:r w:rsidR="0080674B">
        <w:rPr>
          <w:color w:val="303133"/>
        </w:rPr>
        <w:t xml:space="preserve">PTFE used for seals and gaskets is justifiably a material that </w:t>
      </w:r>
      <w:r w:rsidR="00EB6948">
        <w:rPr>
          <w:color w:val="303133"/>
        </w:rPr>
        <w:t>should</w:t>
      </w:r>
      <w:r w:rsidR="0080674B">
        <w:rPr>
          <w:color w:val="303133"/>
        </w:rPr>
        <w:t xml:space="preserve"> be defined as </w:t>
      </w:r>
      <w:r w:rsidR="00830BEB">
        <w:rPr>
          <w:color w:val="303133"/>
        </w:rPr>
        <w:t>a material “</w:t>
      </w:r>
      <w:r w:rsidR="0080674B">
        <w:rPr>
          <w:color w:val="303133"/>
        </w:rPr>
        <w:t>of essential use</w:t>
      </w:r>
      <w:r w:rsidR="00830BEB">
        <w:rPr>
          <w:color w:val="303133"/>
        </w:rPr>
        <w:t>”</w:t>
      </w:r>
      <w:r w:rsidR="0080674B">
        <w:rPr>
          <w:color w:val="303133"/>
        </w:rPr>
        <w:t xml:space="preserve"> </w:t>
      </w:r>
      <w:r w:rsidR="00830BEB" w:rsidRPr="0008730C">
        <w:t>within</w:t>
      </w:r>
      <w:r w:rsidR="00830BEB">
        <w:rPr>
          <w:color w:val="303133"/>
        </w:rPr>
        <w:t xml:space="preserve"> the scope consultation process.</w:t>
      </w:r>
    </w:p>
    <w:p w14:paraId="2961A3DA" w14:textId="46A684E7" w:rsidR="00C461FD" w:rsidRPr="00FA16BB" w:rsidRDefault="00C461FD" w:rsidP="00C461FD">
      <w:pPr>
        <w:spacing w:before="240"/>
        <w:ind w:left="1134" w:right="992"/>
        <w:jc w:val="center"/>
        <w:rPr>
          <w:u w:val="single"/>
          <w:lang w:val="en-US"/>
        </w:rPr>
      </w:pPr>
      <w:r>
        <w:t>__________________</w:t>
      </w:r>
    </w:p>
    <w:sectPr w:rsidR="00C461FD" w:rsidRPr="00FA16BB" w:rsidSect="00A714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0802D" w14:textId="77777777" w:rsidR="006B43B9" w:rsidRDefault="006B43B9"/>
  </w:endnote>
  <w:endnote w:type="continuationSeparator" w:id="0">
    <w:p w14:paraId="5FCDC47A" w14:textId="77777777" w:rsidR="006B43B9" w:rsidRDefault="006B43B9"/>
  </w:endnote>
  <w:endnote w:type="continuationNotice" w:id="1">
    <w:p w14:paraId="73C80805" w14:textId="77777777" w:rsidR="006B43B9" w:rsidRDefault="006B4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F1754" w14:textId="77777777" w:rsidR="00265DB7" w:rsidRPr="003B3A7E" w:rsidRDefault="00265DB7" w:rsidP="003B3A7E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76345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31196" w14:textId="77777777" w:rsidR="00265DB7" w:rsidRDefault="00265DB7" w:rsidP="003B3A7E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76345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8E26A" w14:textId="77777777" w:rsidR="006B43B9" w:rsidRPr="000B175B" w:rsidRDefault="006B43B9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555EA42" w14:textId="77777777" w:rsidR="006B43B9" w:rsidRPr="00FC68B7" w:rsidRDefault="006B43B9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304B105" w14:textId="77777777" w:rsidR="006B43B9" w:rsidRDefault="006B43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1C085" w14:textId="3208AEBD" w:rsidR="00265DB7" w:rsidRPr="0009455D" w:rsidRDefault="00265DB7">
    <w:pPr>
      <w:pStyle w:val="Header"/>
      <w:rPr>
        <w:lang w:val="fr-CH"/>
      </w:rPr>
    </w:pPr>
    <w:r>
      <w:rPr>
        <w:lang w:val="fr-CH"/>
      </w:rPr>
      <w:t>INF.</w:t>
    </w:r>
    <w:r w:rsidR="0008730C">
      <w:rPr>
        <w:lang w:val="fr-CH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6E959" w14:textId="77777777" w:rsidR="00265DB7" w:rsidRPr="00073BC9" w:rsidRDefault="009801CA" w:rsidP="0009455D">
    <w:pPr>
      <w:pStyle w:val="Header"/>
      <w:jc w:val="right"/>
    </w:pPr>
    <w:r>
      <w:t>INF.</w:t>
    </w:r>
    <w:r w:rsidR="00CA4562">
      <w:t>2</w:t>
    </w:r>
    <w:r w:rsidR="00C461FD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A01E8" w14:textId="0CEC27C9" w:rsidR="00265DB7" w:rsidRPr="00560572" w:rsidRDefault="00265DB7" w:rsidP="00E37495">
    <w:pPr>
      <w:pStyle w:val="Header"/>
      <w:pBdr>
        <w:bottom w:val="single" w:sz="4" w:space="1" w:color="auto"/>
      </w:pBdr>
      <w:jc w:val="right"/>
      <w:rPr>
        <w:sz w:val="28"/>
        <w:szCs w:val="28"/>
      </w:rPr>
    </w:pPr>
    <w:r w:rsidRPr="00560572">
      <w:rPr>
        <w:sz w:val="28"/>
        <w:szCs w:val="28"/>
      </w:rPr>
      <w:t>INF.</w:t>
    </w:r>
    <w:r w:rsidR="0008730C">
      <w:rPr>
        <w:sz w:val="28"/>
        <w:szCs w:val="2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C30D1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2F365D"/>
    <w:multiLevelType w:val="hybridMultilevel"/>
    <w:tmpl w:val="2754482E"/>
    <w:lvl w:ilvl="0" w:tplc="D3E81D22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498" w:hanging="360"/>
      </w:pPr>
    </w:lvl>
    <w:lvl w:ilvl="2" w:tplc="1809001B" w:tentative="1">
      <w:start w:val="1"/>
      <w:numFmt w:val="lowerRoman"/>
      <w:lvlText w:val="%3."/>
      <w:lvlJc w:val="right"/>
      <w:pPr>
        <w:ind w:left="3218" w:hanging="180"/>
      </w:pPr>
    </w:lvl>
    <w:lvl w:ilvl="3" w:tplc="1809000F" w:tentative="1">
      <w:start w:val="1"/>
      <w:numFmt w:val="decimal"/>
      <w:lvlText w:val="%4."/>
      <w:lvlJc w:val="left"/>
      <w:pPr>
        <w:ind w:left="3938" w:hanging="360"/>
      </w:pPr>
    </w:lvl>
    <w:lvl w:ilvl="4" w:tplc="18090019" w:tentative="1">
      <w:start w:val="1"/>
      <w:numFmt w:val="lowerLetter"/>
      <w:lvlText w:val="%5."/>
      <w:lvlJc w:val="left"/>
      <w:pPr>
        <w:ind w:left="4658" w:hanging="360"/>
      </w:pPr>
    </w:lvl>
    <w:lvl w:ilvl="5" w:tplc="1809001B" w:tentative="1">
      <w:start w:val="1"/>
      <w:numFmt w:val="lowerRoman"/>
      <w:lvlText w:val="%6."/>
      <w:lvlJc w:val="right"/>
      <w:pPr>
        <w:ind w:left="5378" w:hanging="180"/>
      </w:pPr>
    </w:lvl>
    <w:lvl w:ilvl="6" w:tplc="1809000F" w:tentative="1">
      <w:start w:val="1"/>
      <w:numFmt w:val="decimal"/>
      <w:lvlText w:val="%7."/>
      <w:lvlJc w:val="left"/>
      <w:pPr>
        <w:ind w:left="6098" w:hanging="360"/>
      </w:pPr>
    </w:lvl>
    <w:lvl w:ilvl="7" w:tplc="18090019" w:tentative="1">
      <w:start w:val="1"/>
      <w:numFmt w:val="lowerLetter"/>
      <w:lvlText w:val="%8."/>
      <w:lvlJc w:val="left"/>
      <w:pPr>
        <w:ind w:left="6818" w:hanging="360"/>
      </w:pPr>
    </w:lvl>
    <w:lvl w:ilvl="8" w:tplc="1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18AE13A3"/>
    <w:multiLevelType w:val="hybridMultilevel"/>
    <w:tmpl w:val="EFF8AAC8"/>
    <w:lvl w:ilvl="0" w:tplc="0D5A8EE4">
      <w:start w:val="8"/>
      <w:numFmt w:val="bullet"/>
      <w:lvlText w:val="-"/>
      <w:lvlJc w:val="left"/>
      <w:pPr>
        <w:ind w:left="525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14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1CE005BB"/>
    <w:multiLevelType w:val="hybridMultilevel"/>
    <w:tmpl w:val="6F9AFC3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211FE1"/>
    <w:multiLevelType w:val="hybridMultilevel"/>
    <w:tmpl w:val="9B185678"/>
    <w:lvl w:ilvl="0" w:tplc="872035EA">
      <w:start w:val="10"/>
      <w:numFmt w:val="decimal"/>
      <w:lvlText w:val="%1.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7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13A0D"/>
    <w:multiLevelType w:val="hybridMultilevel"/>
    <w:tmpl w:val="6B063AFA"/>
    <w:lvl w:ilvl="0" w:tplc="0D5A8EE4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56D5EC3"/>
    <w:multiLevelType w:val="multilevel"/>
    <w:tmpl w:val="9B185678"/>
    <w:lvl w:ilvl="0">
      <w:start w:val="10"/>
      <w:numFmt w:val="decimal"/>
      <w:lvlText w:val="%1.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3" w15:restartNumberingAfterBreak="0">
    <w:nsid w:val="38B77138"/>
    <w:multiLevelType w:val="hybridMultilevel"/>
    <w:tmpl w:val="E82C8D8E"/>
    <w:lvl w:ilvl="0" w:tplc="588A3AEC">
      <w:start w:val="1"/>
      <w:numFmt w:val="decimal"/>
      <w:lvlText w:val="%1.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4" w15:restartNumberingAfterBreak="0">
    <w:nsid w:val="3A5E697A"/>
    <w:multiLevelType w:val="hybridMultilevel"/>
    <w:tmpl w:val="7C4847AA"/>
    <w:lvl w:ilvl="0" w:tplc="B6D49B54">
      <w:start w:val="1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25" w15:restartNumberingAfterBreak="0">
    <w:nsid w:val="3F195435"/>
    <w:multiLevelType w:val="hybridMultilevel"/>
    <w:tmpl w:val="5DB2E7EE"/>
    <w:lvl w:ilvl="0" w:tplc="0D5A8EE4">
      <w:start w:val="8"/>
      <w:numFmt w:val="bullet"/>
      <w:lvlText w:val="-"/>
      <w:lvlJc w:val="left"/>
      <w:pPr>
        <w:ind w:left="262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6" w15:restartNumberingAfterBreak="0">
    <w:nsid w:val="406E0AC2"/>
    <w:multiLevelType w:val="hybridMultilevel"/>
    <w:tmpl w:val="F328ED64"/>
    <w:lvl w:ilvl="0" w:tplc="8258F5B0">
      <w:start w:val="1"/>
      <w:numFmt w:val="decimal"/>
      <w:lvlText w:val="%1."/>
      <w:lvlJc w:val="left"/>
      <w:pPr>
        <w:ind w:left="1694" w:hanging="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4BF1240"/>
    <w:multiLevelType w:val="multilevel"/>
    <w:tmpl w:val="9B185678"/>
    <w:lvl w:ilvl="0">
      <w:start w:val="10"/>
      <w:numFmt w:val="decimal"/>
      <w:lvlText w:val="%1.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8" w15:restartNumberingAfterBreak="0">
    <w:nsid w:val="4BC0584E"/>
    <w:multiLevelType w:val="hybridMultilevel"/>
    <w:tmpl w:val="A67A3348"/>
    <w:lvl w:ilvl="0" w:tplc="E970FD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0323FD"/>
    <w:multiLevelType w:val="hybridMultilevel"/>
    <w:tmpl w:val="E56619AA"/>
    <w:lvl w:ilvl="0" w:tplc="FD880B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4EAC6A49"/>
    <w:multiLevelType w:val="hybridMultilevel"/>
    <w:tmpl w:val="1362FDC2"/>
    <w:lvl w:ilvl="0" w:tplc="54A0E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5FE778D5"/>
    <w:multiLevelType w:val="hybridMultilevel"/>
    <w:tmpl w:val="022EEBC0"/>
    <w:lvl w:ilvl="0" w:tplc="0D5A8EE4">
      <w:start w:val="8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4473BB3"/>
    <w:multiLevelType w:val="hybridMultilevel"/>
    <w:tmpl w:val="DEECA174"/>
    <w:lvl w:ilvl="0" w:tplc="5FACC2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37019"/>
    <w:multiLevelType w:val="multilevel"/>
    <w:tmpl w:val="9B185678"/>
    <w:lvl w:ilvl="0">
      <w:start w:val="10"/>
      <w:numFmt w:val="decimal"/>
      <w:lvlText w:val="%1.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5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C01C7"/>
    <w:multiLevelType w:val="hybridMultilevel"/>
    <w:tmpl w:val="A3D836E2"/>
    <w:lvl w:ilvl="0" w:tplc="B2E21C8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7BDA391A"/>
    <w:multiLevelType w:val="multilevel"/>
    <w:tmpl w:val="9B185678"/>
    <w:lvl w:ilvl="0">
      <w:start w:val="10"/>
      <w:numFmt w:val="decimal"/>
      <w:lvlText w:val="%1.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20"/>
  </w:num>
  <w:num w:numId="12">
    <w:abstractNumId w:val="18"/>
  </w:num>
  <w:num w:numId="13">
    <w:abstractNumId w:val="11"/>
  </w:num>
  <w:num w:numId="14">
    <w:abstractNumId w:val="14"/>
  </w:num>
  <w:num w:numId="15">
    <w:abstractNumId w:val="21"/>
  </w:num>
  <w:num w:numId="16">
    <w:abstractNumId w:val="17"/>
  </w:num>
  <w:num w:numId="17">
    <w:abstractNumId w:val="33"/>
  </w:num>
  <w:num w:numId="18">
    <w:abstractNumId w:val="35"/>
  </w:num>
  <w:num w:numId="19">
    <w:abstractNumId w:val="32"/>
  </w:num>
  <w:num w:numId="20">
    <w:abstractNumId w:val="16"/>
  </w:num>
  <w:num w:numId="21">
    <w:abstractNumId w:val="23"/>
  </w:num>
  <w:num w:numId="22">
    <w:abstractNumId w:val="37"/>
  </w:num>
  <w:num w:numId="23">
    <w:abstractNumId w:val="22"/>
  </w:num>
  <w:num w:numId="24">
    <w:abstractNumId w:val="27"/>
  </w:num>
  <w:num w:numId="25">
    <w:abstractNumId w:val="34"/>
  </w:num>
  <w:num w:numId="26">
    <w:abstractNumId w:val="24"/>
  </w:num>
  <w:num w:numId="27">
    <w:abstractNumId w:val="0"/>
  </w:num>
  <w:num w:numId="28">
    <w:abstractNumId w:val="12"/>
  </w:num>
  <w:num w:numId="29">
    <w:abstractNumId w:val="28"/>
  </w:num>
  <w:num w:numId="30">
    <w:abstractNumId w:val="15"/>
  </w:num>
  <w:num w:numId="31">
    <w:abstractNumId w:val="19"/>
  </w:num>
  <w:num w:numId="32">
    <w:abstractNumId w:val="25"/>
  </w:num>
  <w:num w:numId="33">
    <w:abstractNumId w:val="13"/>
  </w:num>
  <w:num w:numId="34">
    <w:abstractNumId w:val="31"/>
  </w:num>
  <w:num w:numId="35">
    <w:abstractNumId w:val="26"/>
  </w:num>
  <w:num w:numId="36">
    <w:abstractNumId w:val="36"/>
  </w:num>
  <w:num w:numId="37">
    <w:abstractNumId w:val="30"/>
  </w:num>
  <w:num w:numId="38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nl-NL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C6"/>
    <w:rsid w:val="00002A7D"/>
    <w:rsid w:val="000038A8"/>
    <w:rsid w:val="000041B2"/>
    <w:rsid w:val="00004CB4"/>
    <w:rsid w:val="00006790"/>
    <w:rsid w:val="0001101D"/>
    <w:rsid w:val="00020DCC"/>
    <w:rsid w:val="00027624"/>
    <w:rsid w:val="00050F6B"/>
    <w:rsid w:val="00051293"/>
    <w:rsid w:val="00056E1C"/>
    <w:rsid w:val="00057D31"/>
    <w:rsid w:val="00057F00"/>
    <w:rsid w:val="00060675"/>
    <w:rsid w:val="00062540"/>
    <w:rsid w:val="000678CD"/>
    <w:rsid w:val="00072C8C"/>
    <w:rsid w:val="00073BC9"/>
    <w:rsid w:val="00075498"/>
    <w:rsid w:val="00081CE0"/>
    <w:rsid w:val="00081E5B"/>
    <w:rsid w:val="00084D30"/>
    <w:rsid w:val="0008730C"/>
    <w:rsid w:val="00090320"/>
    <w:rsid w:val="00091148"/>
    <w:rsid w:val="000931C0"/>
    <w:rsid w:val="0009455D"/>
    <w:rsid w:val="00097793"/>
    <w:rsid w:val="000A2E09"/>
    <w:rsid w:val="000B175B"/>
    <w:rsid w:val="000B3A0F"/>
    <w:rsid w:val="000B41FA"/>
    <w:rsid w:val="000C2A7D"/>
    <w:rsid w:val="000D0D9D"/>
    <w:rsid w:val="000E0415"/>
    <w:rsid w:val="000E233A"/>
    <w:rsid w:val="000E274E"/>
    <w:rsid w:val="000E4829"/>
    <w:rsid w:val="000E63CB"/>
    <w:rsid w:val="000E7EB0"/>
    <w:rsid w:val="000F7715"/>
    <w:rsid w:val="001008FA"/>
    <w:rsid w:val="001022EF"/>
    <w:rsid w:val="00103E99"/>
    <w:rsid w:val="001059C5"/>
    <w:rsid w:val="00110DC2"/>
    <w:rsid w:val="00111C6B"/>
    <w:rsid w:val="00127A1B"/>
    <w:rsid w:val="00140040"/>
    <w:rsid w:val="0014401A"/>
    <w:rsid w:val="00151427"/>
    <w:rsid w:val="00156B99"/>
    <w:rsid w:val="0015713B"/>
    <w:rsid w:val="00161AC5"/>
    <w:rsid w:val="0016385F"/>
    <w:rsid w:val="00166124"/>
    <w:rsid w:val="00167F20"/>
    <w:rsid w:val="0017009E"/>
    <w:rsid w:val="00172600"/>
    <w:rsid w:val="001765D7"/>
    <w:rsid w:val="00176739"/>
    <w:rsid w:val="00182E25"/>
    <w:rsid w:val="00184DDA"/>
    <w:rsid w:val="001874B4"/>
    <w:rsid w:val="0019000A"/>
    <w:rsid w:val="001900CD"/>
    <w:rsid w:val="00193D85"/>
    <w:rsid w:val="0019444B"/>
    <w:rsid w:val="001A0452"/>
    <w:rsid w:val="001A0B4E"/>
    <w:rsid w:val="001A3481"/>
    <w:rsid w:val="001A5F15"/>
    <w:rsid w:val="001B4B04"/>
    <w:rsid w:val="001B5225"/>
    <w:rsid w:val="001B5875"/>
    <w:rsid w:val="001B7985"/>
    <w:rsid w:val="001C3A25"/>
    <w:rsid w:val="001C4B28"/>
    <w:rsid w:val="001C4B9C"/>
    <w:rsid w:val="001C6663"/>
    <w:rsid w:val="001C7895"/>
    <w:rsid w:val="001D15C4"/>
    <w:rsid w:val="001D26DF"/>
    <w:rsid w:val="001D312D"/>
    <w:rsid w:val="001E0DF6"/>
    <w:rsid w:val="001F12DF"/>
    <w:rsid w:val="001F1599"/>
    <w:rsid w:val="001F1961"/>
    <w:rsid w:val="001F19C4"/>
    <w:rsid w:val="001F6B91"/>
    <w:rsid w:val="001F718E"/>
    <w:rsid w:val="001F7A8B"/>
    <w:rsid w:val="002024CC"/>
    <w:rsid w:val="002043F0"/>
    <w:rsid w:val="002060B9"/>
    <w:rsid w:val="002068B9"/>
    <w:rsid w:val="00211E0B"/>
    <w:rsid w:val="00215A1B"/>
    <w:rsid w:val="00215B66"/>
    <w:rsid w:val="00216BB2"/>
    <w:rsid w:val="00217662"/>
    <w:rsid w:val="00230496"/>
    <w:rsid w:val="00232575"/>
    <w:rsid w:val="00233D67"/>
    <w:rsid w:val="0023589F"/>
    <w:rsid w:val="00247258"/>
    <w:rsid w:val="00250356"/>
    <w:rsid w:val="002565C8"/>
    <w:rsid w:val="002574B9"/>
    <w:rsid w:val="00257CAC"/>
    <w:rsid w:val="002634EA"/>
    <w:rsid w:val="00264807"/>
    <w:rsid w:val="00265DB7"/>
    <w:rsid w:val="00280375"/>
    <w:rsid w:val="002815FC"/>
    <w:rsid w:val="00286CE6"/>
    <w:rsid w:val="00295F1A"/>
    <w:rsid w:val="002974E9"/>
    <w:rsid w:val="002A214F"/>
    <w:rsid w:val="002A3359"/>
    <w:rsid w:val="002A6D75"/>
    <w:rsid w:val="002A7F94"/>
    <w:rsid w:val="002B109A"/>
    <w:rsid w:val="002B400C"/>
    <w:rsid w:val="002C1973"/>
    <w:rsid w:val="002C3A37"/>
    <w:rsid w:val="002C4661"/>
    <w:rsid w:val="002C57D6"/>
    <w:rsid w:val="002C5DDC"/>
    <w:rsid w:val="002C6D45"/>
    <w:rsid w:val="002D1828"/>
    <w:rsid w:val="002D4CF0"/>
    <w:rsid w:val="002D6E53"/>
    <w:rsid w:val="002D743E"/>
    <w:rsid w:val="002E2296"/>
    <w:rsid w:val="002E23C9"/>
    <w:rsid w:val="002E6DB4"/>
    <w:rsid w:val="002F024B"/>
    <w:rsid w:val="002F046D"/>
    <w:rsid w:val="002F7EA3"/>
    <w:rsid w:val="003007E7"/>
    <w:rsid w:val="00301764"/>
    <w:rsid w:val="00302B3E"/>
    <w:rsid w:val="003139EE"/>
    <w:rsid w:val="003229D8"/>
    <w:rsid w:val="00323AD2"/>
    <w:rsid w:val="0032508A"/>
    <w:rsid w:val="003323E7"/>
    <w:rsid w:val="003346C2"/>
    <w:rsid w:val="00336080"/>
    <w:rsid w:val="00336C97"/>
    <w:rsid w:val="00337200"/>
    <w:rsid w:val="00337D65"/>
    <w:rsid w:val="00337F88"/>
    <w:rsid w:val="00342432"/>
    <w:rsid w:val="00350B59"/>
    <w:rsid w:val="00352D4B"/>
    <w:rsid w:val="00354724"/>
    <w:rsid w:val="00354CED"/>
    <w:rsid w:val="0035638C"/>
    <w:rsid w:val="003564DC"/>
    <w:rsid w:val="00370928"/>
    <w:rsid w:val="00373041"/>
    <w:rsid w:val="003806F0"/>
    <w:rsid w:val="00381E63"/>
    <w:rsid w:val="0038499B"/>
    <w:rsid w:val="00397051"/>
    <w:rsid w:val="003A1C51"/>
    <w:rsid w:val="003A3F40"/>
    <w:rsid w:val="003A46BB"/>
    <w:rsid w:val="003A4EC7"/>
    <w:rsid w:val="003A6542"/>
    <w:rsid w:val="003A7295"/>
    <w:rsid w:val="003B115E"/>
    <w:rsid w:val="003B1F60"/>
    <w:rsid w:val="003B3A7E"/>
    <w:rsid w:val="003B4643"/>
    <w:rsid w:val="003B6B5A"/>
    <w:rsid w:val="003C2CC4"/>
    <w:rsid w:val="003C3176"/>
    <w:rsid w:val="003C7026"/>
    <w:rsid w:val="003D4B23"/>
    <w:rsid w:val="003D58A1"/>
    <w:rsid w:val="003D6C76"/>
    <w:rsid w:val="003E278A"/>
    <w:rsid w:val="003E3D94"/>
    <w:rsid w:val="004019C8"/>
    <w:rsid w:val="004032CF"/>
    <w:rsid w:val="00413520"/>
    <w:rsid w:val="00414F7A"/>
    <w:rsid w:val="00421D52"/>
    <w:rsid w:val="00431D4D"/>
    <w:rsid w:val="004325CB"/>
    <w:rsid w:val="00433A82"/>
    <w:rsid w:val="0043625B"/>
    <w:rsid w:val="00440A07"/>
    <w:rsid w:val="00456441"/>
    <w:rsid w:val="00461FDB"/>
    <w:rsid w:val="00462880"/>
    <w:rsid w:val="00470094"/>
    <w:rsid w:val="0047298C"/>
    <w:rsid w:val="0047429E"/>
    <w:rsid w:val="00476F24"/>
    <w:rsid w:val="0048402E"/>
    <w:rsid w:val="004909E7"/>
    <w:rsid w:val="0049311D"/>
    <w:rsid w:val="00497B46"/>
    <w:rsid w:val="004B45B0"/>
    <w:rsid w:val="004B7EA2"/>
    <w:rsid w:val="004C38B7"/>
    <w:rsid w:val="004C55B0"/>
    <w:rsid w:val="004D51F6"/>
    <w:rsid w:val="004D63B1"/>
    <w:rsid w:val="004E4179"/>
    <w:rsid w:val="004E7160"/>
    <w:rsid w:val="004F3BBF"/>
    <w:rsid w:val="004F3F8F"/>
    <w:rsid w:val="004F4651"/>
    <w:rsid w:val="004F6BA0"/>
    <w:rsid w:val="004F7A00"/>
    <w:rsid w:val="00503BEA"/>
    <w:rsid w:val="005206A7"/>
    <w:rsid w:val="005250A0"/>
    <w:rsid w:val="00530289"/>
    <w:rsid w:val="00531686"/>
    <w:rsid w:val="00533616"/>
    <w:rsid w:val="00535170"/>
    <w:rsid w:val="00535ABA"/>
    <w:rsid w:val="005371A0"/>
    <w:rsid w:val="0053768B"/>
    <w:rsid w:val="005420F2"/>
    <w:rsid w:val="00542768"/>
    <w:rsid w:val="0054285C"/>
    <w:rsid w:val="005445FF"/>
    <w:rsid w:val="00544D17"/>
    <w:rsid w:val="00547A88"/>
    <w:rsid w:val="00552DBD"/>
    <w:rsid w:val="0055514F"/>
    <w:rsid w:val="005566B9"/>
    <w:rsid w:val="00560572"/>
    <w:rsid w:val="005612C9"/>
    <w:rsid w:val="00564BF4"/>
    <w:rsid w:val="00572C65"/>
    <w:rsid w:val="00573297"/>
    <w:rsid w:val="00584173"/>
    <w:rsid w:val="005850DE"/>
    <w:rsid w:val="00590C7F"/>
    <w:rsid w:val="00595520"/>
    <w:rsid w:val="005A0287"/>
    <w:rsid w:val="005A44B9"/>
    <w:rsid w:val="005A548A"/>
    <w:rsid w:val="005B1BA0"/>
    <w:rsid w:val="005B3DB3"/>
    <w:rsid w:val="005C26B9"/>
    <w:rsid w:val="005C58F0"/>
    <w:rsid w:val="005C697A"/>
    <w:rsid w:val="005C700B"/>
    <w:rsid w:val="005D15CA"/>
    <w:rsid w:val="005D1867"/>
    <w:rsid w:val="005D2C39"/>
    <w:rsid w:val="005D390C"/>
    <w:rsid w:val="005E6AAF"/>
    <w:rsid w:val="005F0494"/>
    <w:rsid w:val="005F3066"/>
    <w:rsid w:val="005F3E61"/>
    <w:rsid w:val="005F51F6"/>
    <w:rsid w:val="005F69C7"/>
    <w:rsid w:val="005F7732"/>
    <w:rsid w:val="00601F32"/>
    <w:rsid w:val="00603184"/>
    <w:rsid w:val="00604DDD"/>
    <w:rsid w:val="006115CC"/>
    <w:rsid w:val="00611FC4"/>
    <w:rsid w:val="00613302"/>
    <w:rsid w:val="006176FB"/>
    <w:rsid w:val="0062380F"/>
    <w:rsid w:val="0062564C"/>
    <w:rsid w:val="00630FCB"/>
    <w:rsid w:val="00632F10"/>
    <w:rsid w:val="00635C8D"/>
    <w:rsid w:val="0064017F"/>
    <w:rsid w:val="00640B26"/>
    <w:rsid w:val="00642312"/>
    <w:rsid w:val="00642502"/>
    <w:rsid w:val="00651A29"/>
    <w:rsid w:val="006643C6"/>
    <w:rsid w:val="00665C39"/>
    <w:rsid w:val="00667D6B"/>
    <w:rsid w:val="00676345"/>
    <w:rsid w:val="006770B2"/>
    <w:rsid w:val="006853B3"/>
    <w:rsid w:val="006920E3"/>
    <w:rsid w:val="006940E1"/>
    <w:rsid w:val="006A1D39"/>
    <w:rsid w:val="006A3C72"/>
    <w:rsid w:val="006A7392"/>
    <w:rsid w:val="006B03A1"/>
    <w:rsid w:val="006B43B9"/>
    <w:rsid w:val="006B5C3D"/>
    <w:rsid w:val="006B67D9"/>
    <w:rsid w:val="006B6FDC"/>
    <w:rsid w:val="006B6FE3"/>
    <w:rsid w:val="006C5535"/>
    <w:rsid w:val="006D0589"/>
    <w:rsid w:val="006D513E"/>
    <w:rsid w:val="006E564B"/>
    <w:rsid w:val="006E7154"/>
    <w:rsid w:val="006F0884"/>
    <w:rsid w:val="007003CD"/>
    <w:rsid w:val="00703A6D"/>
    <w:rsid w:val="0070701E"/>
    <w:rsid w:val="0070702F"/>
    <w:rsid w:val="0071447C"/>
    <w:rsid w:val="00714B5C"/>
    <w:rsid w:val="00715BE5"/>
    <w:rsid w:val="0072632A"/>
    <w:rsid w:val="00730DEE"/>
    <w:rsid w:val="007358E8"/>
    <w:rsid w:val="00736ECE"/>
    <w:rsid w:val="00742F4C"/>
    <w:rsid w:val="0074533B"/>
    <w:rsid w:val="00762EA6"/>
    <w:rsid w:val="0076432E"/>
    <w:rsid w:val="007643BC"/>
    <w:rsid w:val="00764F01"/>
    <w:rsid w:val="00770846"/>
    <w:rsid w:val="00773DB3"/>
    <w:rsid w:val="007810E1"/>
    <w:rsid w:val="00781D93"/>
    <w:rsid w:val="00785F1C"/>
    <w:rsid w:val="007865A5"/>
    <w:rsid w:val="00790877"/>
    <w:rsid w:val="00795105"/>
    <w:rsid w:val="007959FE"/>
    <w:rsid w:val="00795E37"/>
    <w:rsid w:val="007A0CF1"/>
    <w:rsid w:val="007A38B0"/>
    <w:rsid w:val="007A7CC0"/>
    <w:rsid w:val="007B614B"/>
    <w:rsid w:val="007B6A61"/>
    <w:rsid w:val="007B6BA5"/>
    <w:rsid w:val="007C1AA4"/>
    <w:rsid w:val="007C3390"/>
    <w:rsid w:val="007C42D8"/>
    <w:rsid w:val="007C4F4B"/>
    <w:rsid w:val="007C686D"/>
    <w:rsid w:val="007C68C8"/>
    <w:rsid w:val="007D3A61"/>
    <w:rsid w:val="007D5759"/>
    <w:rsid w:val="007D5CA0"/>
    <w:rsid w:val="007D6D44"/>
    <w:rsid w:val="007D7362"/>
    <w:rsid w:val="007E0E8A"/>
    <w:rsid w:val="007E4914"/>
    <w:rsid w:val="007E7913"/>
    <w:rsid w:val="007F2E11"/>
    <w:rsid w:val="007F546E"/>
    <w:rsid w:val="007F5CE2"/>
    <w:rsid w:val="007F6611"/>
    <w:rsid w:val="00803B7F"/>
    <w:rsid w:val="0080674B"/>
    <w:rsid w:val="00810BAC"/>
    <w:rsid w:val="008175E9"/>
    <w:rsid w:val="008203B2"/>
    <w:rsid w:val="0082405C"/>
    <w:rsid w:val="008242D7"/>
    <w:rsid w:val="00825578"/>
    <w:rsid w:val="0082577B"/>
    <w:rsid w:val="00830BEB"/>
    <w:rsid w:val="00830D15"/>
    <w:rsid w:val="0083344C"/>
    <w:rsid w:val="008558E7"/>
    <w:rsid w:val="00855D5E"/>
    <w:rsid w:val="0086054B"/>
    <w:rsid w:val="00866893"/>
    <w:rsid w:val="00866F02"/>
    <w:rsid w:val="00867D18"/>
    <w:rsid w:val="008703AA"/>
    <w:rsid w:val="008707F8"/>
    <w:rsid w:val="00871F9A"/>
    <w:rsid w:val="00871FD5"/>
    <w:rsid w:val="00876B8E"/>
    <w:rsid w:val="0088172E"/>
    <w:rsid w:val="00881EFA"/>
    <w:rsid w:val="00883E28"/>
    <w:rsid w:val="00887A7D"/>
    <w:rsid w:val="0089256A"/>
    <w:rsid w:val="008979B1"/>
    <w:rsid w:val="008A206D"/>
    <w:rsid w:val="008A57C8"/>
    <w:rsid w:val="008A6792"/>
    <w:rsid w:val="008A6B25"/>
    <w:rsid w:val="008A6C4F"/>
    <w:rsid w:val="008A7787"/>
    <w:rsid w:val="008B389E"/>
    <w:rsid w:val="008B41F4"/>
    <w:rsid w:val="008B59E3"/>
    <w:rsid w:val="008C086F"/>
    <w:rsid w:val="008C3E69"/>
    <w:rsid w:val="008C5B2D"/>
    <w:rsid w:val="008C5BCB"/>
    <w:rsid w:val="008D045E"/>
    <w:rsid w:val="008D3F25"/>
    <w:rsid w:val="008D4D82"/>
    <w:rsid w:val="008E0E09"/>
    <w:rsid w:val="008E0E46"/>
    <w:rsid w:val="008E5A5D"/>
    <w:rsid w:val="008E7116"/>
    <w:rsid w:val="008F143B"/>
    <w:rsid w:val="008F33C4"/>
    <w:rsid w:val="008F3882"/>
    <w:rsid w:val="008F3C40"/>
    <w:rsid w:val="008F4B7C"/>
    <w:rsid w:val="00901BC2"/>
    <w:rsid w:val="00904D63"/>
    <w:rsid w:val="00906BFE"/>
    <w:rsid w:val="00914DC3"/>
    <w:rsid w:val="00915C95"/>
    <w:rsid w:val="00916B9C"/>
    <w:rsid w:val="00924CF0"/>
    <w:rsid w:val="00926E47"/>
    <w:rsid w:val="009324AE"/>
    <w:rsid w:val="00935F5E"/>
    <w:rsid w:val="00940418"/>
    <w:rsid w:val="00940DAB"/>
    <w:rsid w:val="00945B24"/>
    <w:rsid w:val="00946D3D"/>
    <w:rsid w:val="00947162"/>
    <w:rsid w:val="00953163"/>
    <w:rsid w:val="009539D7"/>
    <w:rsid w:val="009601FF"/>
    <w:rsid w:val="0096068B"/>
    <w:rsid w:val="00960D5D"/>
    <w:rsid w:val="009610D0"/>
    <w:rsid w:val="0096375C"/>
    <w:rsid w:val="009662E6"/>
    <w:rsid w:val="00966378"/>
    <w:rsid w:val="0097095E"/>
    <w:rsid w:val="00974F7C"/>
    <w:rsid w:val="009801CA"/>
    <w:rsid w:val="00980F57"/>
    <w:rsid w:val="00982DDC"/>
    <w:rsid w:val="0098592B"/>
    <w:rsid w:val="00985FC4"/>
    <w:rsid w:val="00986DFE"/>
    <w:rsid w:val="00987380"/>
    <w:rsid w:val="00990766"/>
    <w:rsid w:val="00991261"/>
    <w:rsid w:val="0099198F"/>
    <w:rsid w:val="00992C68"/>
    <w:rsid w:val="0099552C"/>
    <w:rsid w:val="00995FA1"/>
    <w:rsid w:val="009964C4"/>
    <w:rsid w:val="009A1D00"/>
    <w:rsid w:val="009A75C8"/>
    <w:rsid w:val="009A7B81"/>
    <w:rsid w:val="009C144C"/>
    <w:rsid w:val="009C2FA9"/>
    <w:rsid w:val="009C59B9"/>
    <w:rsid w:val="009D01C0"/>
    <w:rsid w:val="009D0FD7"/>
    <w:rsid w:val="009D6A08"/>
    <w:rsid w:val="009E0A16"/>
    <w:rsid w:val="009E5556"/>
    <w:rsid w:val="009E7970"/>
    <w:rsid w:val="009F2EAC"/>
    <w:rsid w:val="009F57E3"/>
    <w:rsid w:val="00A00D3D"/>
    <w:rsid w:val="00A07EBB"/>
    <w:rsid w:val="00A107C8"/>
    <w:rsid w:val="00A10A26"/>
    <w:rsid w:val="00A10F4F"/>
    <w:rsid w:val="00A11067"/>
    <w:rsid w:val="00A136CD"/>
    <w:rsid w:val="00A138AB"/>
    <w:rsid w:val="00A16827"/>
    <w:rsid w:val="00A1704A"/>
    <w:rsid w:val="00A23E9E"/>
    <w:rsid w:val="00A41BB8"/>
    <w:rsid w:val="00A425EB"/>
    <w:rsid w:val="00A443B9"/>
    <w:rsid w:val="00A45CB7"/>
    <w:rsid w:val="00A47439"/>
    <w:rsid w:val="00A54FF7"/>
    <w:rsid w:val="00A62F57"/>
    <w:rsid w:val="00A6454D"/>
    <w:rsid w:val="00A7144D"/>
    <w:rsid w:val="00A72F22"/>
    <w:rsid w:val="00A733BC"/>
    <w:rsid w:val="00A74864"/>
    <w:rsid w:val="00A748A6"/>
    <w:rsid w:val="00A749C1"/>
    <w:rsid w:val="00A76A69"/>
    <w:rsid w:val="00A77D0C"/>
    <w:rsid w:val="00A824E7"/>
    <w:rsid w:val="00A86F87"/>
    <w:rsid w:val="00A879A4"/>
    <w:rsid w:val="00A96696"/>
    <w:rsid w:val="00A976DD"/>
    <w:rsid w:val="00AA0FF8"/>
    <w:rsid w:val="00AA3567"/>
    <w:rsid w:val="00AA4FE9"/>
    <w:rsid w:val="00AB2CE7"/>
    <w:rsid w:val="00AB5DD9"/>
    <w:rsid w:val="00AC0F2C"/>
    <w:rsid w:val="00AC502A"/>
    <w:rsid w:val="00AC7298"/>
    <w:rsid w:val="00AD1B77"/>
    <w:rsid w:val="00AF3A98"/>
    <w:rsid w:val="00AF58C1"/>
    <w:rsid w:val="00AF6C92"/>
    <w:rsid w:val="00B03E68"/>
    <w:rsid w:val="00B05D2C"/>
    <w:rsid w:val="00B06643"/>
    <w:rsid w:val="00B11E46"/>
    <w:rsid w:val="00B14908"/>
    <w:rsid w:val="00B15055"/>
    <w:rsid w:val="00B17FC5"/>
    <w:rsid w:val="00B2175D"/>
    <w:rsid w:val="00B22FCB"/>
    <w:rsid w:val="00B30179"/>
    <w:rsid w:val="00B341CA"/>
    <w:rsid w:val="00B37B15"/>
    <w:rsid w:val="00B4482F"/>
    <w:rsid w:val="00B4512C"/>
    <w:rsid w:val="00B45C02"/>
    <w:rsid w:val="00B4691D"/>
    <w:rsid w:val="00B53402"/>
    <w:rsid w:val="00B5433D"/>
    <w:rsid w:val="00B55C51"/>
    <w:rsid w:val="00B609E7"/>
    <w:rsid w:val="00B628EC"/>
    <w:rsid w:val="00B636FF"/>
    <w:rsid w:val="00B63F27"/>
    <w:rsid w:val="00B70F5A"/>
    <w:rsid w:val="00B72A1E"/>
    <w:rsid w:val="00B81E12"/>
    <w:rsid w:val="00B8509D"/>
    <w:rsid w:val="00B94EAD"/>
    <w:rsid w:val="00B97F62"/>
    <w:rsid w:val="00BA06D8"/>
    <w:rsid w:val="00BA339B"/>
    <w:rsid w:val="00BA4009"/>
    <w:rsid w:val="00BA7C8E"/>
    <w:rsid w:val="00BB4834"/>
    <w:rsid w:val="00BC1E7E"/>
    <w:rsid w:val="00BC2E45"/>
    <w:rsid w:val="00BC3E26"/>
    <w:rsid w:val="00BC5223"/>
    <w:rsid w:val="00BC74E9"/>
    <w:rsid w:val="00BE36A9"/>
    <w:rsid w:val="00BE618E"/>
    <w:rsid w:val="00BE7BEC"/>
    <w:rsid w:val="00BF0A5A"/>
    <w:rsid w:val="00BF0E63"/>
    <w:rsid w:val="00BF103C"/>
    <w:rsid w:val="00BF12A3"/>
    <w:rsid w:val="00BF16D7"/>
    <w:rsid w:val="00BF218C"/>
    <w:rsid w:val="00BF2373"/>
    <w:rsid w:val="00C044E2"/>
    <w:rsid w:val="00C048CB"/>
    <w:rsid w:val="00C066F3"/>
    <w:rsid w:val="00C06865"/>
    <w:rsid w:val="00C07CA9"/>
    <w:rsid w:val="00C10783"/>
    <w:rsid w:val="00C11B07"/>
    <w:rsid w:val="00C129D5"/>
    <w:rsid w:val="00C15DC2"/>
    <w:rsid w:val="00C15F37"/>
    <w:rsid w:val="00C250FE"/>
    <w:rsid w:val="00C342DA"/>
    <w:rsid w:val="00C36878"/>
    <w:rsid w:val="00C422DE"/>
    <w:rsid w:val="00C443B6"/>
    <w:rsid w:val="00C44BB0"/>
    <w:rsid w:val="00C45BBB"/>
    <w:rsid w:val="00C461FD"/>
    <w:rsid w:val="00C463DD"/>
    <w:rsid w:val="00C60D93"/>
    <w:rsid w:val="00C62A7A"/>
    <w:rsid w:val="00C70809"/>
    <w:rsid w:val="00C745C3"/>
    <w:rsid w:val="00C805A7"/>
    <w:rsid w:val="00C83923"/>
    <w:rsid w:val="00CA2221"/>
    <w:rsid w:val="00CA24A4"/>
    <w:rsid w:val="00CA3137"/>
    <w:rsid w:val="00CA3AF1"/>
    <w:rsid w:val="00CA44E1"/>
    <w:rsid w:val="00CA4562"/>
    <w:rsid w:val="00CB1981"/>
    <w:rsid w:val="00CB348D"/>
    <w:rsid w:val="00CB34BE"/>
    <w:rsid w:val="00CB4FCE"/>
    <w:rsid w:val="00CB5194"/>
    <w:rsid w:val="00CB51DE"/>
    <w:rsid w:val="00CB5B76"/>
    <w:rsid w:val="00CB763D"/>
    <w:rsid w:val="00CC0178"/>
    <w:rsid w:val="00CC1B3A"/>
    <w:rsid w:val="00CC4E06"/>
    <w:rsid w:val="00CC4EC6"/>
    <w:rsid w:val="00CD1C17"/>
    <w:rsid w:val="00CD2214"/>
    <w:rsid w:val="00CD3425"/>
    <w:rsid w:val="00CD46F5"/>
    <w:rsid w:val="00CD510A"/>
    <w:rsid w:val="00CD58A9"/>
    <w:rsid w:val="00CD6883"/>
    <w:rsid w:val="00CD6C29"/>
    <w:rsid w:val="00CE2428"/>
    <w:rsid w:val="00CE4A8F"/>
    <w:rsid w:val="00CE52ED"/>
    <w:rsid w:val="00CF071D"/>
    <w:rsid w:val="00CF0BD1"/>
    <w:rsid w:val="00CF116C"/>
    <w:rsid w:val="00D00745"/>
    <w:rsid w:val="00D03595"/>
    <w:rsid w:val="00D15B04"/>
    <w:rsid w:val="00D16443"/>
    <w:rsid w:val="00D2031B"/>
    <w:rsid w:val="00D22806"/>
    <w:rsid w:val="00D23EAC"/>
    <w:rsid w:val="00D25EC1"/>
    <w:rsid w:val="00D25FE2"/>
    <w:rsid w:val="00D275C2"/>
    <w:rsid w:val="00D37DA9"/>
    <w:rsid w:val="00D406A7"/>
    <w:rsid w:val="00D43252"/>
    <w:rsid w:val="00D44D86"/>
    <w:rsid w:val="00D44DA5"/>
    <w:rsid w:val="00D4540B"/>
    <w:rsid w:val="00D46981"/>
    <w:rsid w:val="00D50B7D"/>
    <w:rsid w:val="00D52012"/>
    <w:rsid w:val="00D52588"/>
    <w:rsid w:val="00D57536"/>
    <w:rsid w:val="00D62C46"/>
    <w:rsid w:val="00D662CD"/>
    <w:rsid w:val="00D704E5"/>
    <w:rsid w:val="00D72727"/>
    <w:rsid w:val="00D731DD"/>
    <w:rsid w:val="00D73D7E"/>
    <w:rsid w:val="00D871AC"/>
    <w:rsid w:val="00D90395"/>
    <w:rsid w:val="00D90415"/>
    <w:rsid w:val="00D917F9"/>
    <w:rsid w:val="00D92E8B"/>
    <w:rsid w:val="00D978C6"/>
    <w:rsid w:val="00DA0293"/>
    <w:rsid w:val="00DA0956"/>
    <w:rsid w:val="00DA121A"/>
    <w:rsid w:val="00DA357F"/>
    <w:rsid w:val="00DA3E12"/>
    <w:rsid w:val="00DB147E"/>
    <w:rsid w:val="00DB582E"/>
    <w:rsid w:val="00DB5900"/>
    <w:rsid w:val="00DB5EB8"/>
    <w:rsid w:val="00DB66FA"/>
    <w:rsid w:val="00DB6CC5"/>
    <w:rsid w:val="00DC18AD"/>
    <w:rsid w:val="00DC2396"/>
    <w:rsid w:val="00DC36B8"/>
    <w:rsid w:val="00DC584A"/>
    <w:rsid w:val="00DD3FE8"/>
    <w:rsid w:val="00DE0CB9"/>
    <w:rsid w:val="00DE178B"/>
    <w:rsid w:val="00DE5105"/>
    <w:rsid w:val="00DF1147"/>
    <w:rsid w:val="00DF13B2"/>
    <w:rsid w:val="00DF13BC"/>
    <w:rsid w:val="00DF1A1E"/>
    <w:rsid w:val="00DF4518"/>
    <w:rsid w:val="00DF6A82"/>
    <w:rsid w:val="00DF7CAE"/>
    <w:rsid w:val="00E02011"/>
    <w:rsid w:val="00E02742"/>
    <w:rsid w:val="00E0633C"/>
    <w:rsid w:val="00E17342"/>
    <w:rsid w:val="00E1773B"/>
    <w:rsid w:val="00E324A0"/>
    <w:rsid w:val="00E333D0"/>
    <w:rsid w:val="00E3643A"/>
    <w:rsid w:val="00E37495"/>
    <w:rsid w:val="00E423C0"/>
    <w:rsid w:val="00E50BC6"/>
    <w:rsid w:val="00E52ECA"/>
    <w:rsid w:val="00E53624"/>
    <w:rsid w:val="00E550E7"/>
    <w:rsid w:val="00E5672B"/>
    <w:rsid w:val="00E57974"/>
    <w:rsid w:val="00E62965"/>
    <w:rsid w:val="00E63478"/>
    <w:rsid w:val="00E6414C"/>
    <w:rsid w:val="00E65354"/>
    <w:rsid w:val="00E672F0"/>
    <w:rsid w:val="00E7260F"/>
    <w:rsid w:val="00E7468B"/>
    <w:rsid w:val="00E82C50"/>
    <w:rsid w:val="00E86772"/>
    <w:rsid w:val="00E8702D"/>
    <w:rsid w:val="00E87C7D"/>
    <w:rsid w:val="00E916A9"/>
    <w:rsid w:val="00E916DE"/>
    <w:rsid w:val="00E96630"/>
    <w:rsid w:val="00EA586A"/>
    <w:rsid w:val="00EB5B1B"/>
    <w:rsid w:val="00EB6948"/>
    <w:rsid w:val="00EB7168"/>
    <w:rsid w:val="00EC0962"/>
    <w:rsid w:val="00EC10B9"/>
    <w:rsid w:val="00ED18DC"/>
    <w:rsid w:val="00ED359E"/>
    <w:rsid w:val="00ED6201"/>
    <w:rsid w:val="00ED7A2A"/>
    <w:rsid w:val="00ED7F40"/>
    <w:rsid w:val="00EE4832"/>
    <w:rsid w:val="00EF1D7F"/>
    <w:rsid w:val="00EF4426"/>
    <w:rsid w:val="00F0137E"/>
    <w:rsid w:val="00F0148F"/>
    <w:rsid w:val="00F075EB"/>
    <w:rsid w:val="00F11EAC"/>
    <w:rsid w:val="00F21786"/>
    <w:rsid w:val="00F237F4"/>
    <w:rsid w:val="00F3258A"/>
    <w:rsid w:val="00F347BC"/>
    <w:rsid w:val="00F3742B"/>
    <w:rsid w:val="00F40CCF"/>
    <w:rsid w:val="00F41FDB"/>
    <w:rsid w:val="00F46D8B"/>
    <w:rsid w:val="00F512E7"/>
    <w:rsid w:val="00F5337D"/>
    <w:rsid w:val="00F5390C"/>
    <w:rsid w:val="00F56D63"/>
    <w:rsid w:val="00F609A9"/>
    <w:rsid w:val="00F6280E"/>
    <w:rsid w:val="00F65C68"/>
    <w:rsid w:val="00F80C99"/>
    <w:rsid w:val="00F867EC"/>
    <w:rsid w:val="00F91B2B"/>
    <w:rsid w:val="00FA1019"/>
    <w:rsid w:val="00FA28CC"/>
    <w:rsid w:val="00FA3135"/>
    <w:rsid w:val="00FA3269"/>
    <w:rsid w:val="00FB468B"/>
    <w:rsid w:val="00FC03CD"/>
    <w:rsid w:val="00FC0646"/>
    <w:rsid w:val="00FC0826"/>
    <w:rsid w:val="00FC2FC6"/>
    <w:rsid w:val="00FC55A7"/>
    <w:rsid w:val="00FC68B7"/>
    <w:rsid w:val="00FD0A90"/>
    <w:rsid w:val="00FD3D34"/>
    <w:rsid w:val="00FD6E23"/>
    <w:rsid w:val="00FE6985"/>
    <w:rsid w:val="00F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80462"/>
  <w15:docId w15:val="{82BF1E55-9323-DE4C-9CC7-219B9A3A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43C6"/>
    <w:pPr>
      <w:spacing w:after="240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ED7A2A"/>
    <w:pPr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ar"/>
    <w:qFormat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pPr>
      <w:keepNext/>
      <w:keepLines/>
      <w:tabs>
        <w:tab w:val="right" w:pos="851"/>
      </w:tabs>
      <w:spacing w:before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pPr>
      <w:keepNext/>
      <w:keepLines/>
      <w:tabs>
        <w:tab w:val="right" w:pos="851"/>
      </w:tabs>
      <w:spacing w:before="36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rsid w:val="008979B1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6630"/>
    <w:pPr>
      <w:keepNext/>
      <w:keepLines/>
      <w:spacing w:before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8A6B25"/>
    <w:pPr>
      <w:keepNext/>
      <w:keepLines/>
      <w:spacing w:before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745C3"/>
    <w:pPr>
      <w:keepNext/>
      <w:keepLines/>
      <w:spacing w:before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7B6BA5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Footnote Reference/,4_GR"/>
    <w:qFormat/>
    <w:rsid w:val="007B6BA5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qFormat/>
    <w:rsid w:val="00F0137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E0415"/>
    <w:pPr>
      <w:keepNext/>
      <w:keepLines/>
      <w:spacing w:before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AF3A98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7B6BA5"/>
  </w:style>
  <w:style w:type="paragraph" w:customStyle="1" w:styleId="Bullet2G">
    <w:name w:val="_Bullet 2_G"/>
    <w:basedOn w:val="Normal"/>
    <w:rsid w:val="00AF3A98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pPr>
      <w:keepNext/>
      <w:keepLines/>
      <w:tabs>
        <w:tab w:val="right" w:pos="851"/>
      </w:tabs>
      <w:spacing w:before="36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AF3A9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semiHidden/>
    <w:rsid w:val="00A23E9E"/>
    <w:rPr>
      <w:color w:val="auto"/>
      <w:u w:val="none"/>
    </w:rPr>
  </w:style>
  <w:style w:type="paragraph" w:styleId="Footer">
    <w:name w:val="footer"/>
    <w:aliases w:val="3_G"/>
    <w:basedOn w:val="Normal"/>
    <w:rsid w:val="009F2EAC"/>
    <w:rPr>
      <w:sz w:val="16"/>
    </w:rPr>
  </w:style>
  <w:style w:type="paragraph" w:styleId="Header">
    <w:name w:val="header"/>
    <w:aliases w:val="6_G"/>
    <w:basedOn w:val="Normal"/>
    <w:link w:val="HeaderChar"/>
    <w:rsid w:val="00050F6B"/>
    <w:pPr>
      <w:pBdr>
        <w:bottom w:val="single" w:sz="4" w:space="4" w:color="auto"/>
      </w:pBdr>
    </w:pPr>
    <w:rPr>
      <w:b/>
      <w:sz w:val="18"/>
    </w:rPr>
  </w:style>
  <w:style w:type="character" w:customStyle="1" w:styleId="HeaderChar">
    <w:name w:val="Header Char"/>
    <w:aliases w:val="6_G Char"/>
    <w:link w:val="Header"/>
    <w:rsid w:val="006643C6"/>
    <w:rPr>
      <w:b/>
      <w:sz w:val="18"/>
      <w:lang w:val="en-GB" w:eastAsia="en-US" w:bidi="ar-SA"/>
    </w:rPr>
  </w:style>
  <w:style w:type="table" w:styleId="TableGrid">
    <w:name w:val="Table Grid"/>
    <w:basedOn w:val="TableNormal"/>
    <w:semiHidden/>
    <w:rsid w:val="00A45CB7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semiHidden/>
    <w:rsid w:val="00A23E9E"/>
    <w:rPr>
      <w:color w:val="auto"/>
      <w:u w:val="none"/>
    </w:rPr>
  </w:style>
  <w:style w:type="character" w:customStyle="1" w:styleId="HChGChar">
    <w:name w:val="_ H _Ch_G Char"/>
    <w:link w:val="HChG"/>
    <w:rsid w:val="006643C6"/>
    <w:rPr>
      <w:b/>
      <w:sz w:val="28"/>
      <w:lang w:val="en-GB" w:eastAsia="en-US" w:bidi="ar-SA"/>
    </w:rPr>
  </w:style>
  <w:style w:type="paragraph" w:customStyle="1" w:styleId="Standardowy">
    <w:name w:val="Standardowy"/>
    <w:rsid w:val="001F12DF"/>
    <w:rPr>
      <w:rFonts w:ascii="Arial" w:hAnsi="Arial"/>
      <w:snapToGrid w:val="0"/>
      <w:sz w:val="24"/>
      <w:lang w:eastAsia="en-US"/>
    </w:rPr>
  </w:style>
  <w:style w:type="table" w:customStyle="1" w:styleId="TableGrid1">
    <w:name w:val="Table Grid1"/>
    <w:basedOn w:val="TableNormal"/>
    <w:next w:val="TableGrid"/>
    <w:rsid w:val="002574B9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228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2806"/>
    <w:rPr>
      <w:rFonts w:ascii="Tahoma" w:hAnsi="Tahoma" w:cs="Tahoma"/>
      <w:sz w:val="16"/>
      <w:szCs w:val="16"/>
      <w:lang w:eastAsia="en-US"/>
    </w:rPr>
  </w:style>
  <w:style w:type="character" w:customStyle="1" w:styleId="SingleTxtGCar">
    <w:name w:val="_ Single Txt_G Car"/>
    <w:link w:val="SingleTxtG"/>
    <w:rsid w:val="00FA3269"/>
    <w:rPr>
      <w:lang w:val="en-GB" w:eastAsia="en-US"/>
    </w:rPr>
  </w:style>
  <w:style w:type="character" w:customStyle="1" w:styleId="SingleTxtGChar">
    <w:name w:val="_ Single Txt_G Char"/>
    <w:rsid w:val="00F512E7"/>
    <w:rPr>
      <w:lang w:eastAsia="en-US"/>
    </w:rPr>
  </w:style>
  <w:style w:type="character" w:customStyle="1" w:styleId="H1GChar">
    <w:name w:val="_ H_1_G Char"/>
    <w:link w:val="H1G"/>
    <w:rsid w:val="00F512E7"/>
    <w:rPr>
      <w:b/>
      <w:sz w:val="24"/>
      <w:lang w:eastAsia="en-US"/>
    </w:rPr>
  </w:style>
  <w:style w:type="character" w:styleId="CommentReference">
    <w:name w:val="annotation reference"/>
    <w:rsid w:val="00421D52"/>
    <w:rPr>
      <w:sz w:val="6"/>
    </w:rPr>
  </w:style>
  <w:style w:type="paragraph" w:styleId="CommentText">
    <w:name w:val="annotation text"/>
    <w:basedOn w:val="Normal"/>
    <w:link w:val="CommentTextChar"/>
    <w:rsid w:val="00421D52"/>
    <w:pPr>
      <w:suppressAutoHyphens/>
      <w:spacing w:after="0" w:line="240" w:lineRule="atLeast"/>
    </w:pPr>
  </w:style>
  <w:style w:type="character" w:customStyle="1" w:styleId="CommentTextChar">
    <w:name w:val="Comment Text Char"/>
    <w:basedOn w:val="DefaultParagraphFont"/>
    <w:link w:val="CommentText"/>
    <w:rsid w:val="00421D52"/>
  </w:style>
  <w:style w:type="paragraph" w:styleId="ListParagraph">
    <w:name w:val="List Paragraph"/>
    <w:basedOn w:val="Normal"/>
    <w:uiPriority w:val="34"/>
    <w:qFormat/>
    <w:rsid w:val="00C461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nl-NL" w:eastAsia="zh-CN"/>
    </w:rPr>
  </w:style>
  <w:style w:type="paragraph" w:customStyle="1" w:styleId="Default">
    <w:name w:val="Default"/>
    <w:rsid w:val="00C461FD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character" w:customStyle="1" w:styleId="FootnoteTextChar">
    <w:name w:val="Footnote Text Char"/>
    <w:aliases w:val="5_G Char"/>
    <w:link w:val="FootnoteText"/>
    <w:rsid w:val="00C461FD"/>
    <w:rPr>
      <w:sz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341C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C6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2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ha.europa.eu/registry-of-restriction-intentions/-/dislist/details/0b0236e18663449b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7B917-689C-40FB-A98E-34F82F300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A7F4CE-FC16-495F-906D-8CA5128E9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71253-334C-41A3-9138-50DD906EC2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448E64-777D-A34C-B6D9-64BFFD0B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</vt:lpstr>
    </vt:vector>
  </TitlesOfParts>
  <Manager/>
  <Company>UNECE</Company>
  <LinksUpToDate>false</LinksUpToDate>
  <CharactersWithSpaces>3742</CharactersWithSpaces>
  <SharedDoc>false</SharedDoc>
  <HyperlinkBase/>
  <HLinks>
    <vt:vector size="6" baseType="variant">
      <vt:variant>
        <vt:i4>6160404</vt:i4>
      </vt:variant>
      <vt:variant>
        <vt:i4>-1</vt:i4>
      </vt:variant>
      <vt:variant>
        <vt:i4>2049</vt:i4>
      </vt:variant>
      <vt:variant>
        <vt:i4>1</vt:i4>
      </vt:variant>
      <vt:variant>
        <vt:lpwstr>recycle_English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</dc:title>
  <dc:subject/>
  <dc:creator>Berthet</dc:creator>
  <cp:keywords/>
  <dc:description/>
  <cp:lastModifiedBy>Christine Barrio-Champeau</cp:lastModifiedBy>
  <cp:revision>29</cp:revision>
  <cp:lastPrinted>2012-09-14T16:01:00Z</cp:lastPrinted>
  <dcterms:created xsi:type="dcterms:W3CDTF">2022-01-27T08:55:00Z</dcterms:created>
  <dcterms:modified xsi:type="dcterms:W3CDTF">2022-01-31T12:49:00Z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