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2864B7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ACD06E9" w14:textId="77777777" w:rsidR="00F35BAF" w:rsidRPr="00DB58B5" w:rsidRDefault="00F35BAF" w:rsidP="00C3132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68EC9D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EE356D0" w14:textId="61A9A40F" w:rsidR="00F35BAF" w:rsidRPr="00DB58B5" w:rsidRDefault="00C31324" w:rsidP="00C31324">
            <w:pPr>
              <w:jc w:val="right"/>
            </w:pPr>
            <w:r w:rsidRPr="00C31324">
              <w:rPr>
                <w:sz w:val="40"/>
              </w:rPr>
              <w:t>ECE</w:t>
            </w:r>
            <w:r>
              <w:t>/TRANS/WP.15/AC.1/2022/8</w:t>
            </w:r>
          </w:p>
        </w:tc>
      </w:tr>
      <w:tr w:rsidR="00F35BAF" w:rsidRPr="00DB58B5" w14:paraId="6C96F2D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0B0A3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5B2F920" wp14:editId="4E0C292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930FC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870B48" w14:textId="77777777" w:rsidR="00F35BAF" w:rsidRDefault="00C31324" w:rsidP="00C97039">
            <w:pPr>
              <w:spacing w:before="240"/>
            </w:pPr>
            <w:r>
              <w:t>Distr. générale</w:t>
            </w:r>
          </w:p>
          <w:p w14:paraId="54FAE283" w14:textId="77777777" w:rsidR="00C31324" w:rsidRDefault="00C31324" w:rsidP="00C31324">
            <w:pPr>
              <w:spacing w:line="240" w:lineRule="exact"/>
            </w:pPr>
            <w:r>
              <w:t>16 décembre 2021</w:t>
            </w:r>
          </w:p>
          <w:p w14:paraId="5D7F734E" w14:textId="77777777" w:rsidR="00C31324" w:rsidRDefault="00C31324" w:rsidP="00C31324">
            <w:pPr>
              <w:spacing w:line="240" w:lineRule="exact"/>
            </w:pPr>
            <w:r>
              <w:t>Français</w:t>
            </w:r>
          </w:p>
          <w:p w14:paraId="1BD24467" w14:textId="6951B066" w:rsidR="00C31324" w:rsidRPr="00DB58B5" w:rsidRDefault="00C31324" w:rsidP="00C31324">
            <w:pPr>
              <w:spacing w:line="240" w:lineRule="exact"/>
            </w:pPr>
            <w:r>
              <w:t>Original : anglais</w:t>
            </w:r>
          </w:p>
        </w:tc>
      </w:tr>
    </w:tbl>
    <w:p w14:paraId="75EF109F" w14:textId="755F5408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97A4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F5DA0F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26FF2B0" w14:textId="77777777" w:rsidR="00C31324" w:rsidRPr="009E01B8" w:rsidRDefault="00C31324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6BBE0966" w14:textId="3F2CE468" w:rsidR="00C31324" w:rsidRPr="00926E87" w:rsidRDefault="00C31324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597A42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747B887C" w14:textId="47AF6C97" w:rsidR="00C31324" w:rsidRDefault="00C31324" w:rsidP="00AF0CB5">
      <w:pPr>
        <w:spacing w:before="120"/>
      </w:pPr>
      <w:r w:rsidRPr="00215F09">
        <w:rPr>
          <w:lang w:val="fr-FR"/>
        </w:rPr>
        <w:t>Berne, 14-18 mars 2022</w:t>
      </w:r>
    </w:p>
    <w:p w14:paraId="422FF5C2" w14:textId="44766BC4" w:rsidR="00C31324" w:rsidRDefault="00C31324" w:rsidP="00AF0CB5">
      <w:r w:rsidRPr="00215F09">
        <w:rPr>
          <w:lang w:val="fr-FR"/>
        </w:rPr>
        <w:t>Point</w:t>
      </w:r>
      <w:r w:rsidR="00597A42">
        <w:rPr>
          <w:lang w:val="fr-FR"/>
        </w:rPr>
        <w:t> </w:t>
      </w:r>
      <w:r w:rsidRPr="00215F09">
        <w:rPr>
          <w:lang w:val="fr-FR"/>
        </w:rPr>
        <w:t>5</w:t>
      </w:r>
      <w:r w:rsidR="00597A42">
        <w:rPr>
          <w:lang w:val="fr-FR"/>
        </w:rPr>
        <w:t> </w:t>
      </w:r>
      <w:r w:rsidRPr="00215F09">
        <w:rPr>
          <w:lang w:val="fr-FR"/>
        </w:rPr>
        <w:t>a) de l</w:t>
      </w:r>
      <w:r w:rsidR="00597A42">
        <w:rPr>
          <w:lang w:val="fr-FR"/>
        </w:rPr>
        <w:t>’</w:t>
      </w:r>
      <w:r w:rsidRPr="00215F09">
        <w:rPr>
          <w:lang w:val="fr-FR"/>
        </w:rPr>
        <w:t>ordre du jour provisoire</w:t>
      </w:r>
    </w:p>
    <w:p w14:paraId="6A006978" w14:textId="215B6848" w:rsidR="00C31324" w:rsidRPr="00215F09" w:rsidRDefault="00C31324" w:rsidP="00C31324">
      <w:pPr>
        <w:rPr>
          <w:b/>
          <w:bCs/>
          <w:lang w:val="fr-FR"/>
        </w:rPr>
      </w:pPr>
      <w:r w:rsidRPr="00215F09">
        <w:rPr>
          <w:b/>
          <w:bCs/>
          <w:lang w:val="fr-FR"/>
        </w:rPr>
        <w:t>Propositions d</w:t>
      </w:r>
      <w:r w:rsidR="00597A42">
        <w:rPr>
          <w:b/>
          <w:bCs/>
          <w:lang w:val="fr-FR"/>
        </w:rPr>
        <w:t>’</w:t>
      </w:r>
      <w:r w:rsidRPr="00215F09">
        <w:rPr>
          <w:b/>
          <w:bCs/>
          <w:lang w:val="fr-FR"/>
        </w:rPr>
        <w:t>amendements au RID, à l</w:t>
      </w:r>
      <w:r w:rsidR="00597A42">
        <w:rPr>
          <w:b/>
          <w:bCs/>
          <w:lang w:val="fr-FR"/>
        </w:rPr>
        <w:t>’</w:t>
      </w:r>
      <w:r w:rsidRPr="00215F09">
        <w:rPr>
          <w:b/>
          <w:bCs/>
          <w:lang w:val="fr-FR"/>
        </w:rPr>
        <w:t xml:space="preserve">ADR </w:t>
      </w:r>
      <w:r>
        <w:rPr>
          <w:b/>
          <w:bCs/>
          <w:lang w:val="fr-FR"/>
        </w:rPr>
        <w:br/>
      </w:r>
      <w:r w:rsidRPr="00215F09">
        <w:rPr>
          <w:b/>
          <w:bCs/>
          <w:lang w:val="fr-FR"/>
        </w:rPr>
        <w:t>et à l</w:t>
      </w:r>
      <w:r w:rsidR="00597A42">
        <w:rPr>
          <w:b/>
          <w:bCs/>
          <w:lang w:val="fr-FR"/>
        </w:rPr>
        <w:t>’</w:t>
      </w:r>
      <w:r w:rsidRPr="00215F09">
        <w:rPr>
          <w:b/>
          <w:bCs/>
          <w:lang w:val="fr-FR"/>
        </w:rPr>
        <w:t>ADN</w:t>
      </w:r>
      <w:r w:rsidR="00597A42">
        <w:rPr>
          <w:b/>
          <w:bCs/>
          <w:lang w:val="fr-FR"/>
        </w:rPr>
        <w:t> </w:t>
      </w:r>
      <w:r w:rsidRPr="00215F09">
        <w:rPr>
          <w:b/>
          <w:bCs/>
          <w:lang w:val="fr-FR"/>
        </w:rPr>
        <w:t>: questions en suspens</w:t>
      </w:r>
    </w:p>
    <w:p w14:paraId="2CDB0C7E" w14:textId="759E35C1" w:rsidR="00C31324" w:rsidRPr="00215F09" w:rsidRDefault="00C31324" w:rsidP="00C31324">
      <w:pPr>
        <w:pStyle w:val="HChG"/>
        <w:rPr>
          <w:lang w:val="fr-FR"/>
        </w:rPr>
      </w:pPr>
      <w:r w:rsidRPr="00215F09">
        <w:rPr>
          <w:lang w:val="fr-FR"/>
        </w:rPr>
        <w:tab/>
      </w:r>
      <w:r w:rsidRPr="00215F09">
        <w:rPr>
          <w:lang w:val="fr-FR"/>
        </w:rPr>
        <w:tab/>
        <w:t>Proposition d</w:t>
      </w:r>
      <w:r w:rsidR="00597A42">
        <w:rPr>
          <w:lang w:val="fr-FR"/>
        </w:rPr>
        <w:t>’</w:t>
      </w:r>
      <w:r w:rsidRPr="00215F09">
        <w:rPr>
          <w:lang w:val="fr-FR"/>
        </w:rPr>
        <w:t>amendement au nota concernant la norme EN ISO 18119:2018 au 6.2.3.5.1 et au 6.2.4.2 du RID et de l</w:t>
      </w:r>
      <w:r w:rsidR="00597A42">
        <w:rPr>
          <w:lang w:val="fr-FR"/>
        </w:rPr>
        <w:t>’</w:t>
      </w:r>
      <w:r w:rsidRPr="00215F09">
        <w:rPr>
          <w:lang w:val="fr-FR"/>
        </w:rPr>
        <w:t>ADR</w:t>
      </w:r>
    </w:p>
    <w:p w14:paraId="03911285" w14:textId="00176189" w:rsidR="00F9573C" w:rsidRDefault="00C31324" w:rsidP="00C31324">
      <w:pPr>
        <w:pStyle w:val="H1G"/>
        <w:rPr>
          <w:vertAlign w:val="superscript"/>
          <w:lang w:val="fr-FR"/>
        </w:rPr>
      </w:pPr>
      <w:r w:rsidRPr="00215F09">
        <w:rPr>
          <w:lang w:val="fr-FR"/>
        </w:rPr>
        <w:tab/>
      </w:r>
      <w:r w:rsidRPr="00215F09">
        <w:rPr>
          <w:lang w:val="fr-FR"/>
        </w:rPr>
        <w:tab/>
        <w:t>Communication de l</w:t>
      </w:r>
      <w:r w:rsidR="00597A42">
        <w:rPr>
          <w:lang w:val="fr-FR"/>
        </w:rPr>
        <w:t>’</w:t>
      </w:r>
      <w:r w:rsidRPr="00215F09">
        <w:rPr>
          <w:lang w:val="fr-FR"/>
        </w:rPr>
        <w:t>Association européenne des gaz industriels (EIGA)</w:t>
      </w:r>
      <w:r w:rsidRPr="00C3132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C31324">
        <w:rPr>
          <w:b w:val="0"/>
          <w:bCs/>
          <w:vertAlign w:val="superscript"/>
          <w:lang w:val="fr-FR"/>
        </w:rPr>
        <w:t>,</w:t>
      </w:r>
      <w:r w:rsidRPr="00C31324">
        <w:rPr>
          <w:b w:val="0"/>
          <w:bCs/>
          <w:sz w:val="20"/>
          <w:lang w:val="fr-FR"/>
        </w:rPr>
        <w:t xml:space="preserve"> </w:t>
      </w:r>
      <w:r w:rsidRPr="00C31324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Pr="00C31324">
        <w:rPr>
          <w:b w:val="0"/>
          <w:bCs/>
          <w:sz w:val="20"/>
          <w:vertAlign w:val="superscript"/>
          <w:lang w:val="fr-FR"/>
        </w:rPr>
        <w:t>,</w:t>
      </w:r>
      <w:r w:rsidRPr="00C31324">
        <w:rPr>
          <w:b w:val="0"/>
          <w:bCs/>
          <w:sz w:val="20"/>
          <w:lang w:val="fr-FR"/>
        </w:rPr>
        <w:t xml:space="preserve"> </w:t>
      </w:r>
      <w:r w:rsidRPr="00C31324">
        <w:rPr>
          <w:rStyle w:val="FootnoteReference"/>
          <w:b w:val="0"/>
          <w:bCs/>
          <w:sz w:val="20"/>
          <w:vertAlign w:val="baseline"/>
        </w:rPr>
        <w:footnoteReference w:customMarkFollows="1" w:id="4"/>
        <w:t>***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C31324" w14:paraId="18636A16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F93E920" w14:textId="77777777" w:rsidR="00C31324" w:rsidRDefault="00C31324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C31324" w14:paraId="73A24D09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8E99267" w14:textId="0FF0D979" w:rsidR="00C31324" w:rsidRDefault="00C31324" w:rsidP="003F1443">
            <w:pPr>
              <w:pStyle w:val="SingleTxtG"/>
              <w:tabs>
                <w:tab w:val="left" w:pos="3402"/>
              </w:tabs>
              <w:spacing w:before="120"/>
              <w:ind w:left="3402" w:hanging="2268"/>
            </w:pPr>
            <w:r w:rsidRPr="00215F09">
              <w:rPr>
                <w:b/>
                <w:bCs/>
                <w:lang w:val="fr-FR"/>
              </w:rPr>
              <w:t>Résumé analytique</w:t>
            </w:r>
            <w:r>
              <w:rPr>
                <w:b/>
                <w:bCs/>
                <w:lang w:val="fr-FR"/>
              </w:rPr>
              <w:t> </w:t>
            </w:r>
            <w:r w:rsidRPr="00215F09">
              <w:rPr>
                <w:b/>
                <w:bCs/>
                <w:lang w:val="fr-FR"/>
              </w:rPr>
              <w:t>:</w:t>
            </w:r>
            <w:r w:rsidRPr="00215F09">
              <w:rPr>
                <w:lang w:val="fr-FR"/>
              </w:rPr>
              <w:tab/>
              <w:t>La présente proposition d</w:t>
            </w:r>
            <w:r w:rsidR="00597A42">
              <w:rPr>
                <w:lang w:val="fr-FR"/>
              </w:rPr>
              <w:t>’</w:t>
            </w:r>
            <w:r w:rsidRPr="00215F09">
              <w:rPr>
                <w:lang w:val="fr-FR"/>
              </w:rPr>
              <w:t xml:space="preserve">amendement vise à permettre, </w:t>
            </w:r>
            <w:r>
              <w:rPr>
                <w:lang w:val="fr-FR"/>
              </w:rPr>
              <w:t>au moyen d</w:t>
            </w:r>
            <w:r w:rsidR="00597A42">
              <w:rPr>
                <w:lang w:val="fr-FR"/>
              </w:rPr>
              <w:t>’</w:t>
            </w:r>
            <w:r w:rsidRPr="00215F09">
              <w:rPr>
                <w:lang w:val="fr-FR"/>
              </w:rPr>
              <w:t xml:space="preserve">une simple </w:t>
            </w:r>
            <w:r>
              <w:rPr>
                <w:lang w:val="fr-FR"/>
              </w:rPr>
              <w:t>tolérance</w:t>
            </w:r>
            <w:r w:rsidRPr="00215F09">
              <w:rPr>
                <w:lang w:val="fr-FR"/>
              </w:rPr>
              <w:t>, que les bouteilles et tubes sans soudure soient déclarés sûrs dans le cadre des contrôles périodiques lorsque l</w:t>
            </w:r>
            <w:r w:rsidR="00597A42">
              <w:rPr>
                <w:lang w:val="fr-FR"/>
              </w:rPr>
              <w:t>’</w:t>
            </w:r>
            <w:r w:rsidRPr="00215F09">
              <w:rPr>
                <w:lang w:val="fr-FR"/>
              </w:rPr>
              <w:t>épaisseur de leur paroi est inférieure, dans une certaine mesure</w:t>
            </w:r>
            <w:r>
              <w:rPr>
                <w:lang w:val="fr-FR"/>
              </w:rPr>
              <w:t xml:space="preserve"> et dans une zone limitée</w:t>
            </w:r>
            <w:r w:rsidRPr="00215F09">
              <w:rPr>
                <w:lang w:val="fr-FR"/>
              </w:rPr>
              <w:t>, à l</w:t>
            </w:r>
            <w:r w:rsidR="00597A42">
              <w:rPr>
                <w:lang w:val="fr-FR"/>
              </w:rPr>
              <w:t>’</w:t>
            </w:r>
            <w:r w:rsidRPr="00215F09">
              <w:rPr>
                <w:lang w:val="fr-FR"/>
              </w:rPr>
              <w:t>épaisseur minimale garantie.</w:t>
            </w:r>
          </w:p>
        </w:tc>
      </w:tr>
      <w:tr w:rsidR="00C31324" w:rsidRPr="00C31324" w14:paraId="02C82014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714E5AF" w14:textId="5B75214E" w:rsidR="00C31324" w:rsidRDefault="00C31324" w:rsidP="003F1443">
            <w:pPr>
              <w:pStyle w:val="SingleTxtG"/>
              <w:tabs>
                <w:tab w:val="left" w:pos="3402"/>
              </w:tabs>
              <w:spacing w:before="120" w:after="0"/>
              <w:ind w:left="3402" w:hanging="2268"/>
              <w:rPr>
                <w:lang w:val="fr-FR"/>
              </w:rPr>
            </w:pPr>
            <w:r w:rsidRPr="00215F09">
              <w:rPr>
                <w:b/>
                <w:bCs/>
                <w:lang w:val="fr-FR"/>
              </w:rPr>
              <w:t>Documents de référence</w:t>
            </w:r>
            <w:r>
              <w:rPr>
                <w:b/>
                <w:bCs/>
                <w:lang w:val="fr-FR"/>
              </w:rPr>
              <w:t> </w:t>
            </w:r>
            <w:r w:rsidRPr="00215F09">
              <w:rPr>
                <w:b/>
                <w:bCs/>
                <w:lang w:val="fr-FR"/>
              </w:rPr>
              <w:t>:</w:t>
            </w:r>
            <w:r w:rsidRPr="00215F09">
              <w:rPr>
                <w:lang w:val="fr-FR"/>
              </w:rPr>
              <w:tab/>
              <w:t xml:space="preserve">ECE/TRANS/WP.15/AC.1/2020/63 ; </w:t>
            </w:r>
            <w:r>
              <w:rPr>
                <w:lang w:val="fr-FR"/>
              </w:rPr>
              <w:br/>
            </w:r>
            <w:r w:rsidRPr="00215F09">
              <w:rPr>
                <w:lang w:val="fr-FR"/>
              </w:rPr>
              <w:t>Documents informels INF.50 et INF.51 de la session de septembre 2020 de la Réunion commune ;</w:t>
            </w:r>
          </w:p>
          <w:p w14:paraId="3B91B758" w14:textId="71EE430A" w:rsidR="00C31324" w:rsidRDefault="00C31324" w:rsidP="00C31324">
            <w:pPr>
              <w:pStyle w:val="SingleTxtG"/>
              <w:tabs>
                <w:tab w:val="left" w:pos="3402"/>
              </w:tabs>
              <w:spacing w:after="0"/>
              <w:ind w:left="3402"/>
              <w:rPr>
                <w:lang w:val="fr-FR"/>
              </w:rPr>
            </w:pPr>
            <w:r w:rsidRPr="00215F09">
              <w:rPr>
                <w:lang w:val="fr-FR"/>
              </w:rPr>
              <w:t>ECE/TRANS/WP.15/AC.1/158, par.</w:t>
            </w:r>
            <w:r w:rsidR="003F1443">
              <w:rPr>
                <w:lang w:val="fr-FR"/>
              </w:rPr>
              <w:t> </w:t>
            </w:r>
            <w:r w:rsidRPr="00215F09">
              <w:rPr>
                <w:lang w:val="fr-FR"/>
              </w:rPr>
              <w:t xml:space="preserve">17 ; </w:t>
            </w:r>
          </w:p>
          <w:p w14:paraId="3A429317" w14:textId="534289B3" w:rsidR="00C31324" w:rsidRPr="00215F09" w:rsidRDefault="00C31324" w:rsidP="00C31324">
            <w:pPr>
              <w:pStyle w:val="SingleTxtG"/>
              <w:tabs>
                <w:tab w:val="left" w:pos="3402"/>
              </w:tabs>
              <w:spacing w:after="0"/>
              <w:ind w:left="3402"/>
              <w:rPr>
                <w:b/>
                <w:lang w:val="fr-FR"/>
              </w:rPr>
            </w:pPr>
            <w:r w:rsidRPr="00215F09">
              <w:rPr>
                <w:lang w:val="fr-FR"/>
              </w:rPr>
              <w:t>Document informel INF.16 de la session de septembre 2021 de la Réunion commune</w:t>
            </w:r>
            <w:r>
              <w:rPr>
                <w:lang w:val="fr-FR"/>
              </w:rPr>
              <w:t> </w:t>
            </w:r>
            <w:r w:rsidRPr="00215F09">
              <w:rPr>
                <w:lang w:val="fr-FR"/>
              </w:rPr>
              <w:t>;</w:t>
            </w:r>
          </w:p>
          <w:p w14:paraId="2711A2B6" w14:textId="13370FAA" w:rsidR="00C31324" w:rsidRPr="00215F09" w:rsidRDefault="00C31324" w:rsidP="00C31324">
            <w:pPr>
              <w:pStyle w:val="SingleTxtG"/>
              <w:tabs>
                <w:tab w:val="left" w:pos="3402"/>
              </w:tabs>
              <w:spacing w:after="0"/>
              <w:ind w:left="3402"/>
              <w:rPr>
                <w:lang w:val="fr-FR"/>
              </w:rPr>
            </w:pPr>
            <w:r w:rsidRPr="00215F09">
              <w:rPr>
                <w:lang w:val="fr-FR"/>
              </w:rPr>
              <w:t>Document informel INF.24 de la session de mars 2021 de la Réunion commune</w:t>
            </w:r>
            <w:r>
              <w:rPr>
                <w:lang w:val="fr-FR"/>
              </w:rPr>
              <w:t> </w:t>
            </w:r>
            <w:r w:rsidRPr="00215F09">
              <w:rPr>
                <w:lang w:val="fr-FR"/>
              </w:rPr>
              <w:t>;</w:t>
            </w:r>
          </w:p>
          <w:p w14:paraId="58BA6BD8" w14:textId="6B8D4740" w:rsidR="00C31324" w:rsidRPr="00C31324" w:rsidRDefault="00C31324" w:rsidP="00C31324">
            <w:pPr>
              <w:pStyle w:val="SingleTxtG"/>
              <w:tabs>
                <w:tab w:val="left" w:pos="3402"/>
              </w:tabs>
              <w:ind w:left="3402"/>
              <w:rPr>
                <w:lang w:val="en-US"/>
              </w:rPr>
            </w:pPr>
            <w:r w:rsidRPr="00B37953">
              <w:rPr>
                <w:lang w:val="en-US"/>
              </w:rPr>
              <w:t xml:space="preserve">ECE/TRANS/WP.15/AC.1/160, </w:t>
            </w:r>
            <w:r w:rsidRPr="003F1443">
              <w:rPr>
                <w:lang w:val="en-US"/>
              </w:rPr>
              <w:t>annexe</w:t>
            </w:r>
            <w:r w:rsidR="003F1443" w:rsidRPr="003F1443">
              <w:rPr>
                <w:lang w:val="en-US"/>
              </w:rPr>
              <w:t> </w:t>
            </w:r>
            <w:r w:rsidRPr="00B37953">
              <w:rPr>
                <w:lang w:val="en-US"/>
              </w:rPr>
              <w:t>II.</w:t>
            </w:r>
          </w:p>
        </w:tc>
      </w:tr>
      <w:tr w:rsidR="00C31324" w:rsidRPr="00C31324" w14:paraId="1F2950D9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4724762" w14:textId="77777777" w:rsidR="00C31324" w:rsidRPr="00C31324" w:rsidRDefault="00C31324">
            <w:pPr>
              <w:rPr>
                <w:lang w:val="en-US"/>
              </w:rPr>
            </w:pPr>
          </w:p>
        </w:tc>
      </w:tr>
    </w:tbl>
    <w:p w14:paraId="0D144309" w14:textId="4E7212E0" w:rsidR="00C31324" w:rsidRDefault="00C31324" w:rsidP="00C31324">
      <w:pPr>
        <w:rPr>
          <w:lang w:val="en-US"/>
        </w:rPr>
      </w:pPr>
      <w:r>
        <w:rPr>
          <w:lang w:val="en-US"/>
        </w:rPr>
        <w:br w:type="page"/>
      </w:r>
    </w:p>
    <w:p w14:paraId="08A46868" w14:textId="77777777" w:rsidR="00C31324" w:rsidRPr="00215F09" w:rsidRDefault="00C31324" w:rsidP="00C31324">
      <w:pPr>
        <w:pStyle w:val="HChG"/>
        <w:rPr>
          <w:lang w:val="fr-FR"/>
        </w:rPr>
      </w:pPr>
      <w:r w:rsidRPr="00B37953">
        <w:rPr>
          <w:lang w:val="en-US"/>
        </w:rPr>
        <w:lastRenderedPageBreak/>
        <w:tab/>
      </w:r>
      <w:r w:rsidRPr="00B37953">
        <w:rPr>
          <w:lang w:val="en-US"/>
        </w:rPr>
        <w:tab/>
      </w:r>
      <w:r w:rsidRPr="00215F09">
        <w:rPr>
          <w:lang w:val="fr-FR"/>
        </w:rPr>
        <w:t>Introduction</w:t>
      </w:r>
    </w:p>
    <w:p w14:paraId="26462471" w14:textId="7FE214FE" w:rsidR="00C31324" w:rsidRPr="00215F09" w:rsidRDefault="00C31324" w:rsidP="00C31324">
      <w:pPr>
        <w:pStyle w:val="SingleTxtG"/>
        <w:rPr>
          <w:lang w:val="fr-FR"/>
        </w:rPr>
      </w:pPr>
      <w:r w:rsidRPr="00215F09">
        <w:rPr>
          <w:lang w:val="fr-FR"/>
        </w:rPr>
        <w:t>1.</w:t>
      </w:r>
      <w:r w:rsidRPr="00215F09">
        <w:rPr>
          <w:lang w:val="fr-FR"/>
        </w:rPr>
        <w:tab/>
        <w:t>Lorsque le document ECE/TRANS/WP.15/AC.1/2020/63 a été présenté à la Réunion commune, en septembre 2020, les délégations n</w:t>
      </w:r>
      <w:r w:rsidR="00597A42">
        <w:rPr>
          <w:lang w:val="fr-FR"/>
        </w:rPr>
        <w:t>’</w:t>
      </w:r>
      <w:r w:rsidRPr="00215F09">
        <w:rPr>
          <w:lang w:val="fr-FR"/>
        </w:rPr>
        <w:t>étaient pas disposées à adopter la proposition y figurant et ont demandé un complément d</w:t>
      </w:r>
      <w:r w:rsidR="00597A42">
        <w:rPr>
          <w:lang w:val="fr-FR"/>
        </w:rPr>
        <w:t>’</w:t>
      </w:r>
      <w:r w:rsidRPr="00215F09">
        <w:rPr>
          <w:lang w:val="fr-FR"/>
        </w:rPr>
        <w:t>information, notamment sur la formation des inspecteurs. L</w:t>
      </w:r>
      <w:r w:rsidR="00597A42">
        <w:rPr>
          <w:lang w:val="fr-FR"/>
        </w:rPr>
        <w:t>’</w:t>
      </w:r>
      <w:r w:rsidRPr="00215F09">
        <w:rPr>
          <w:lang w:val="fr-FR"/>
        </w:rPr>
        <w:t>EIGA s</w:t>
      </w:r>
      <w:r w:rsidR="00597A42">
        <w:rPr>
          <w:lang w:val="fr-FR"/>
        </w:rPr>
        <w:t>’</w:t>
      </w:r>
      <w:r w:rsidRPr="00215F09">
        <w:rPr>
          <w:lang w:val="fr-FR"/>
        </w:rPr>
        <w:t>est engagée à poursuivre la réflexion afin d</w:t>
      </w:r>
      <w:r w:rsidR="00597A42">
        <w:rPr>
          <w:lang w:val="fr-FR"/>
        </w:rPr>
        <w:t>’</w:t>
      </w:r>
      <w:r w:rsidRPr="00215F09">
        <w:rPr>
          <w:lang w:val="fr-FR"/>
        </w:rPr>
        <w:t>étoffer cette proposition.</w:t>
      </w:r>
    </w:p>
    <w:p w14:paraId="6BF0C18A" w14:textId="778BA927" w:rsidR="00C31324" w:rsidRPr="00215F09" w:rsidRDefault="00C31324" w:rsidP="00C31324">
      <w:pPr>
        <w:pStyle w:val="SingleTxtG"/>
        <w:rPr>
          <w:lang w:val="fr-FR"/>
        </w:rPr>
      </w:pPr>
      <w:r w:rsidRPr="00215F09">
        <w:rPr>
          <w:lang w:val="fr-FR"/>
        </w:rPr>
        <w:t>2.</w:t>
      </w:r>
      <w:r w:rsidRPr="00215F09">
        <w:rPr>
          <w:lang w:val="fr-FR"/>
        </w:rPr>
        <w:tab/>
        <w:t xml:space="preserve">La proposition initiale visait à supprimer complétement la </w:t>
      </w:r>
      <w:r>
        <w:rPr>
          <w:lang w:val="fr-FR"/>
        </w:rPr>
        <w:t>phrase excluant</w:t>
      </w:r>
      <w:r w:rsidRPr="00215F09">
        <w:rPr>
          <w:lang w:val="fr-FR"/>
        </w:rPr>
        <w:t xml:space="preserve"> l</w:t>
      </w:r>
      <w:r w:rsidR="00597A42">
        <w:rPr>
          <w:lang w:val="fr-FR"/>
        </w:rPr>
        <w:t>’</w:t>
      </w:r>
      <w:r w:rsidRPr="00215F09">
        <w:rPr>
          <w:lang w:val="fr-FR"/>
        </w:rPr>
        <w:t>application de</w:t>
      </w:r>
      <w:r>
        <w:rPr>
          <w:lang w:val="fr-FR"/>
        </w:rPr>
        <w:t>s dispositions</w:t>
      </w:r>
      <w:r w:rsidRPr="00215F09">
        <w:rPr>
          <w:lang w:val="fr-FR"/>
        </w:rPr>
        <w:t xml:space="preserve"> de l</w:t>
      </w:r>
      <w:r w:rsidR="00597A42">
        <w:rPr>
          <w:lang w:val="fr-FR"/>
        </w:rPr>
        <w:t>’</w:t>
      </w:r>
      <w:r w:rsidRPr="00215F09">
        <w:rPr>
          <w:lang w:val="fr-FR"/>
        </w:rPr>
        <w:t>annexe B de la norme EN ISO 18119:2018 qui permettai</w:t>
      </w:r>
      <w:r>
        <w:rPr>
          <w:lang w:val="fr-FR"/>
        </w:rPr>
        <w:t>en</w:t>
      </w:r>
      <w:r w:rsidRPr="00215F09">
        <w:rPr>
          <w:lang w:val="fr-FR"/>
        </w:rPr>
        <w:t>t que des épaisseurs de paroi inférieures au minimum garanti soient acceptées dans le cadre du contrôle périodique. Dans le présent document, il est</w:t>
      </w:r>
      <w:r>
        <w:rPr>
          <w:lang w:val="fr-FR"/>
        </w:rPr>
        <w:t xml:space="preserve"> </w:t>
      </w:r>
      <w:r w:rsidRPr="00215F09">
        <w:rPr>
          <w:lang w:val="fr-FR"/>
        </w:rPr>
        <w:t>proposé d</w:t>
      </w:r>
      <w:r w:rsidR="00597A42">
        <w:rPr>
          <w:lang w:val="fr-FR"/>
        </w:rPr>
        <w:t>’</w:t>
      </w:r>
      <w:r w:rsidRPr="00215F09">
        <w:rPr>
          <w:lang w:val="fr-FR"/>
        </w:rPr>
        <w:t>appliquer l</w:t>
      </w:r>
      <w:r w:rsidR="00597A42">
        <w:rPr>
          <w:lang w:val="fr-FR"/>
        </w:rPr>
        <w:t>’</w:t>
      </w:r>
      <w:r w:rsidRPr="00215F09">
        <w:rPr>
          <w:lang w:val="fr-FR"/>
        </w:rPr>
        <w:t>annexe B dans une moindre mesure, de façon à limiter la taille et le type de défaut acceptables.</w:t>
      </w:r>
    </w:p>
    <w:p w14:paraId="0E3DB7B5" w14:textId="77777777" w:rsidR="00C31324" w:rsidRPr="00215F09" w:rsidRDefault="00C31324" w:rsidP="00C31324">
      <w:pPr>
        <w:pStyle w:val="HChG"/>
        <w:rPr>
          <w:lang w:val="fr-FR"/>
        </w:rPr>
      </w:pPr>
      <w:r w:rsidRPr="00215F09">
        <w:rPr>
          <w:lang w:val="fr-FR"/>
        </w:rPr>
        <w:tab/>
      </w:r>
      <w:r w:rsidRPr="00215F09">
        <w:rPr>
          <w:lang w:val="fr-FR"/>
        </w:rPr>
        <w:tab/>
        <w:t>Contexte</w:t>
      </w:r>
    </w:p>
    <w:p w14:paraId="70BD55DF" w14:textId="4A98CC78" w:rsidR="00C31324" w:rsidRPr="00215F09" w:rsidRDefault="00C31324" w:rsidP="00C31324">
      <w:pPr>
        <w:pStyle w:val="SingleTxtG"/>
        <w:rPr>
          <w:lang w:val="fr-FR"/>
        </w:rPr>
      </w:pPr>
      <w:r w:rsidRPr="00215F09">
        <w:rPr>
          <w:lang w:val="fr-FR"/>
        </w:rPr>
        <w:t>3.</w:t>
      </w:r>
      <w:r w:rsidRPr="00215F09">
        <w:rPr>
          <w:lang w:val="fr-FR"/>
        </w:rPr>
        <w:tab/>
        <w:t>Le RID et l</w:t>
      </w:r>
      <w:r w:rsidR="00597A42">
        <w:rPr>
          <w:lang w:val="fr-FR"/>
        </w:rPr>
        <w:t>’</w:t>
      </w:r>
      <w:r w:rsidRPr="00215F09">
        <w:rPr>
          <w:lang w:val="fr-FR"/>
        </w:rPr>
        <w:t xml:space="preserve">ADR prévoient depuis longtemps une tolérance applicable aux épaisseurs de paroi inférieures au minimum garanti dans le cadre des contrôles périodiques. La note de bas de page b figurant dans le tableau C2 de la norme EN 1968:2002 contient les </w:t>
      </w:r>
      <w:r>
        <w:rPr>
          <w:lang w:val="fr-FR"/>
        </w:rPr>
        <w:t>dispositions</w:t>
      </w:r>
      <w:r w:rsidRPr="00215F09">
        <w:rPr>
          <w:lang w:val="fr-FR"/>
        </w:rPr>
        <w:t xml:space="preserve"> suivantes :</w:t>
      </w:r>
    </w:p>
    <w:p w14:paraId="2A9431EA" w14:textId="61B94D29" w:rsidR="00C31324" w:rsidRPr="00215F09" w:rsidRDefault="00C02DAE" w:rsidP="00C31324">
      <w:pPr>
        <w:pStyle w:val="SingleTxtG"/>
        <w:ind w:left="1701"/>
        <w:rPr>
          <w:i/>
          <w:iCs/>
          <w:lang w:val="fr-FR"/>
        </w:rPr>
      </w:pPr>
      <w:r>
        <w:rPr>
          <w:i/>
          <w:iCs/>
          <w:lang w:val="fr-FR"/>
        </w:rPr>
        <w:t>« </w:t>
      </w:r>
      <w:r w:rsidR="00C31324" w:rsidRPr="00215F09">
        <w:rPr>
          <w:i/>
          <w:iCs/>
          <w:lang w:val="fr-FR"/>
        </w:rPr>
        <w:t>Si la corrosion a atteint les limites définies en matière de profondeur ou d</w:t>
      </w:r>
      <w:r w:rsidR="00597A42">
        <w:rPr>
          <w:i/>
          <w:iCs/>
          <w:lang w:val="fr-FR"/>
        </w:rPr>
        <w:t>’</w:t>
      </w:r>
      <w:r w:rsidR="00C31324" w:rsidRPr="00215F09">
        <w:rPr>
          <w:i/>
          <w:iCs/>
          <w:lang w:val="fr-FR"/>
        </w:rPr>
        <w:t>étendue, il convient de vérifier l</w:t>
      </w:r>
      <w:r w:rsidR="00597A42">
        <w:rPr>
          <w:i/>
          <w:iCs/>
          <w:lang w:val="fr-FR"/>
        </w:rPr>
        <w:t>’</w:t>
      </w:r>
      <w:r w:rsidR="00C31324" w:rsidRPr="00215F09">
        <w:rPr>
          <w:i/>
          <w:iCs/>
          <w:lang w:val="fr-FR"/>
        </w:rPr>
        <w:t>épaisseur de paroi restante au moyen d</w:t>
      </w:r>
      <w:r w:rsidR="00597A42">
        <w:rPr>
          <w:i/>
          <w:iCs/>
          <w:lang w:val="fr-FR"/>
        </w:rPr>
        <w:t>’</w:t>
      </w:r>
      <w:r w:rsidR="00C31324" w:rsidRPr="00215F09">
        <w:rPr>
          <w:i/>
          <w:iCs/>
          <w:lang w:val="fr-FR"/>
        </w:rPr>
        <w:t>un appareil à ultrasons.</w:t>
      </w:r>
      <w:r w:rsidR="00C31324" w:rsidRPr="00215F09">
        <w:rPr>
          <w:lang w:val="fr-FR"/>
        </w:rPr>
        <w:t xml:space="preserve"> </w:t>
      </w:r>
      <w:r w:rsidR="00C31324" w:rsidRPr="00215F09">
        <w:rPr>
          <w:i/>
          <w:iCs/>
          <w:lang w:val="fr-FR"/>
        </w:rPr>
        <w:t>L</w:t>
      </w:r>
      <w:r w:rsidR="00597A42">
        <w:rPr>
          <w:i/>
          <w:iCs/>
          <w:lang w:val="fr-FR"/>
        </w:rPr>
        <w:t>’</w:t>
      </w:r>
      <w:r w:rsidR="00C31324" w:rsidRPr="00215F09">
        <w:rPr>
          <w:i/>
          <w:iCs/>
          <w:lang w:val="fr-FR"/>
        </w:rPr>
        <w:t>épaisseur de paroi peut être inférieure à la valeur minimale, sous réserve de l</w:t>
      </w:r>
      <w:r w:rsidR="00597A42">
        <w:rPr>
          <w:i/>
          <w:iCs/>
          <w:lang w:val="fr-FR"/>
        </w:rPr>
        <w:t>’</w:t>
      </w:r>
      <w:r w:rsidR="00C31324" w:rsidRPr="00215F09">
        <w:rPr>
          <w:i/>
          <w:iCs/>
          <w:lang w:val="fr-FR"/>
        </w:rPr>
        <w:t>accord de l</w:t>
      </w:r>
      <w:r w:rsidR="00597A42">
        <w:rPr>
          <w:i/>
          <w:iCs/>
          <w:lang w:val="fr-FR"/>
        </w:rPr>
        <w:t>’</w:t>
      </w:r>
      <w:r w:rsidR="00C31324" w:rsidRPr="00215F09">
        <w:rPr>
          <w:i/>
          <w:iCs/>
          <w:lang w:val="fr-FR"/>
        </w:rPr>
        <w:t>organisme de contrôle, par exemple dans le cas de petites piqûres isolées (profondeur et étendue limitées).</w:t>
      </w:r>
      <w:r w:rsidR="00C31324" w:rsidRPr="00215F09">
        <w:rPr>
          <w:lang w:val="fr-FR"/>
        </w:rPr>
        <w:t xml:space="preserve"> </w:t>
      </w:r>
      <w:r w:rsidR="00C31324" w:rsidRPr="00215F09">
        <w:rPr>
          <w:i/>
          <w:iCs/>
          <w:lang w:val="fr-FR"/>
        </w:rPr>
        <w:t>Aux fins de l</w:t>
      </w:r>
      <w:r w:rsidR="00597A42">
        <w:rPr>
          <w:i/>
          <w:iCs/>
          <w:lang w:val="fr-FR"/>
        </w:rPr>
        <w:t>’</w:t>
      </w:r>
      <w:r w:rsidR="00C31324" w:rsidRPr="00215F09">
        <w:rPr>
          <w:i/>
          <w:iCs/>
          <w:lang w:val="fr-FR"/>
        </w:rPr>
        <w:t>application des critères de rejet du présent tableau, les conditions d</w:t>
      </w:r>
      <w:r w:rsidR="00597A42">
        <w:rPr>
          <w:i/>
          <w:iCs/>
          <w:lang w:val="fr-FR"/>
        </w:rPr>
        <w:t>’</w:t>
      </w:r>
      <w:r w:rsidR="00C31324" w:rsidRPr="00215F09">
        <w:rPr>
          <w:i/>
          <w:iCs/>
          <w:lang w:val="fr-FR"/>
        </w:rPr>
        <w:t>utilisation des bouteilles, le degré de gravité du défaut et les coefficients de sécurité liés à la conception doivent être pris en compte.</w:t>
      </w:r>
      <w:r>
        <w:rPr>
          <w:i/>
          <w:iCs/>
          <w:lang w:val="fr-FR"/>
        </w:rPr>
        <w:t> ».</w:t>
      </w:r>
    </w:p>
    <w:p w14:paraId="124BB90C" w14:textId="59A75113" w:rsidR="00C31324" w:rsidRPr="00215F09" w:rsidRDefault="00C31324" w:rsidP="00C31324">
      <w:pPr>
        <w:pStyle w:val="SingleTxtG"/>
        <w:rPr>
          <w:lang w:val="fr-FR"/>
        </w:rPr>
      </w:pPr>
      <w:r w:rsidRPr="00215F09">
        <w:rPr>
          <w:lang w:val="fr-FR"/>
        </w:rPr>
        <w:t>Dans la pratique, les organismes de contrôle ont été peu enclins à se prononcer en s</w:t>
      </w:r>
      <w:r w:rsidR="00597A42">
        <w:rPr>
          <w:lang w:val="fr-FR"/>
        </w:rPr>
        <w:t>’</w:t>
      </w:r>
      <w:r w:rsidRPr="00215F09">
        <w:rPr>
          <w:lang w:val="fr-FR"/>
        </w:rPr>
        <w:t>appuyant sur des critères aussi généraux.</w:t>
      </w:r>
    </w:p>
    <w:p w14:paraId="7E06CF6E" w14:textId="15F97F62" w:rsidR="00C31324" w:rsidRPr="00215F09" w:rsidRDefault="00C31324" w:rsidP="00C31324">
      <w:pPr>
        <w:pStyle w:val="SingleTxtG"/>
        <w:rPr>
          <w:lang w:val="fr-FR"/>
        </w:rPr>
      </w:pPr>
      <w:r w:rsidRPr="00215F09">
        <w:rPr>
          <w:lang w:val="fr-FR"/>
        </w:rPr>
        <w:t>4.</w:t>
      </w:r>
      <w:r w:rsidRPr="00215F09">
        <w:rPr>
          <w:lang w:val="fr-FR"/>
        </w:rPr>
        <w:tab/>
        <w:t xml:space="preserve">Pour établir des critères plus précis, les fabricants ont investi dans des travaux de recherche étayés par des essais approfondis, qui ont donné lieu à la publication du rapport technique ISO/TR 22694:2008, </w:t>
      </w:r>
      <w:r w:rsidRPr="00215F09">
        <w:rPr>
          <w:i/>
          <w:iCs/>
          <w:lang w:val="fr-FR"/>
        </w:rPr>
        <w:t>Bouteilles à gaz − Méthodes d</w:t>
      </w:r>
      <w:r w:rsidR="00597A42">
        <w:rPr>
          <w:i/>
          <w:iCs/>
          <w:lang w:val="fr-FR"/>
        </w:rPr>
        <w:t>’</w:t>
      </w:r>
      <w:r w:rsidRPr="00215F09">
        <w:rPr>
          <w:i/>
          <w:iCs/>
          <w:lang w:val="fr-FR"/>
        </w:rPr>
        <w:t>établissement des critères d</w:t>
      </w:r>
      <w:r w:rsidR="00597A42">
        <w:rPr>
          <w:i/>
          <w:iCs/>
          <w:lang w:val="fr-FR"/>
        </w:rPr>
        <w:t>’</w:t>
      </w:r>
      <w:r w:rsidRPr="00215F09">
        <w:rPr>
          <w:i/>
          <w:iCs/>
          <w:lang w:val="fr-FR"/>
        </w:rPr>
        <w:t>acceptation/de rejet des défauts dans les bouteilles en acier et en alliages d</w:t>
      </w:r>
      <w:r w:rsidR="00597A42">
        <w:rPr>
          <w:i/>
          <w:iCs/>
          <w:lang w:val="fr-FR"/>
        </w:rPr>
        <w:t>’</w:t>
      </w:r>
      <w:r w:rsidRPr="00215F09">
        <w:rPr>
          <w:i/>
          <w:iCs/>
          <w:lang w:val="fr-FR"/>
        </w:rPr>
        <w:t>aluminium, sans soudure, lors des contrôles et essais périodiques</w:t>
      </w:r>
      <w:r w:rsidRPr="00215F09">
        <w:rPr>
          <w:lang w:val="fr-FR"/>
        </w:rPr>
        <w:t>. Ces travaux ont contribué à l</w:t>
      </w:r>
      <w:r w:rsidR="00597A42">
        <w:rPr>
          <w:lang w:val="fr-FR"/>
        </w:rPr>
        <w:t>’</w:t>
      </w:r>
      <w:r w:rsidRPr="00215F09">
        <w:rPr>
          <w:lang w:val="fr-FR"/>
        </w:rPr>
        <w:t>élaboration de l</w:t>
      </w:r>
      <w:r w:rsidR="00597A42">
        <w:rPr>
          <w:lang w:val="fr-FR"/>
        </w:rPr>
        <w:t>’</w:t>
      </w:r>
      <w:r w:rsidRPr="00215F09">
        <w:rPr>
          <w:lang w:val="fr-FR"/>
        </w:rPr>
        <w:t>annexe B de la norme ISO 18119:2018.</w:t>
      </w:r>
    </w:p>
    <w:p w14:paraId="6650B980" w14:textId="786B758B" w:rsidR="00C31324" w:rsidRPr="00215F09" w:rsidRDefault="00C31324" w:rsidP="00C31324">
      <w:pPr>
        <w:pStyle w:val="SingleTxtG"/>
        <w:rPr>
          <w:lang w:val="fr-FR"/>
        </w:rPr>
      </w:pPr>
      <w:r w:rsidRPr="00215F09">
        <w:rPr>
          <w:lang w:val="fr-FR"/>
        </w:rPr>
        <w:t>5.</w:t>
      </w:r>
      <w:r w:rsidRPr="00215F09">
        <w:rPr>
          <w:lang w:val="fr-FR"/>
        </w:rPr>
        <w:tab/>
        <w:t>Les fabricants procèdent à un examen ultrasonique, qui permet d</w:t>
      </w:r>
      <w:r w:rsidR="00597A42">
        <w:rPr>
          <w:lang w:val="fr-FR"/>
        </w:rPr>
        <w:t>’</w:t>
      </w:r>
      <w:r w:rsidRPr="00215F09">
        <w:rPr>
          <w:lang w:val="fr-FR"/>
        </w:rPr>
        <w:t>effectuer un contrôle complet des bouteilles et des tubes sans soudure et de rejeter automatiquement ceux dont l</w:t>
      </w:r>
      <w:r w:rsidR="00597A42">
        <w:rPr>
          <w:lang w:val="fr-FR"/>
        </w:rPr>
        <w:t>’</w:t>
      </w:r>
      <w:r w:rsidRPr="00215F09">
        <w:rPr>
          <w:lang w:val="fr-FR"/>
        </w:rPr>
        <w:t>épaisseur de paroi est inférieure au minimum. Cet examen entraîne le rejet d</w:t>
      </w:r>
      <w:r w:rsidR="00597A42">
        <w:rPr>
          <w:lang w:val="fr-FR"/>
        </w:rPr>
        <w:t>’</w:t>
      </w:r>
      <w:r w:rsidRPr="00215F09">
        <w:rPr>
          <w:lang w:val="fr-FR"/>
        </w:rPr>
        <w:t>un plus grand nombre de bouteilles et de tubes qu</w:t>
      </w:r>
      <w:r w:rsidR="00597A42">
        <w:rPr>
          <w:lang w:val="fr-FR"/>
        </w:rPr>
        <w:t>’</w:t>
      </w:r>
      <w:r w:rsidRPr="00215F09">
        <w:rPr>
          <w:lang w:val="fr-FR"/>
        </w:rPr>
        <w:t>un examen visuel, car il permet de détecter des variations d</w:t>
      </w:r>
      <w:r w:rsidR="00597A42">
        <w:rPr>
          <w:lang w:val="fr-FR"/>
        </w:rPr>
        <w:t>’</w:t>
      </w:r>
      <w:r w:rsidRPr="00215F09">
        <w:rPr>
          <w:lang w:val="fr-FR"/>
        </w:rPr>
        <w:t>épaisseur mineures telles que des piqûres isolées qui, autrement, passeraient inaperçues ou seraient considérées comme trop petites pour présenter un risque.</w:t>
      </w:r>
    </w:p>
    <w:p w14:paraId="41E95E28" w14:textId="454AAD32" w:rsidR="00C31324" w:rsidRPr="00215F09" w:rsidRDefault="00C31324" w:rsidP="00C31324">
      <w:pPr>
        <w:pStyle w:val="SingleTxtG"/>
        <w:rPr>
          <w:lang w:val="fr-FR"/>
        </w:rPr>
      </w:pPr>
      <w:r w:rsidRPr="00215F09">
        <w:rPr>
          <w:lang w:val="fr-FR"/>
        </w:rPr>
        <w:t>6.</w:t>
      </w:r>
      <w:r w:rsidRPr="00215F09">
        <w:rPr>
          <w:lang w:val="fr-FR"/>
        </w:rPr>
        <w:tab/>
        <w:t>Les fabricants sont mécontents de devoir mettre au rebut des bouteilles dont on sait qu</w:t>
      </w:r>
      <w:r w:rsidR="00597A42">
        <w:rPr>
          <w:lang w:val="fr-FR"/>
        </w:rPr>
        <w:t>’</w:t>
      </w:r>
      <w:r w:rsidRPr="00215F09">
        <w:rPr>
          <w:lang w:val="fr-FR"/>
        </w:rPr>
        <w:t>elles sont sûres, ce qui représente non seulement une perte économique, mais aussi un préjudice à l</w:t>
      </w:r>
      <w:r w:rsidR="00597A42">
        <w:rPr>
          <w:lang w:val="fr-FR"/>
        </w:rPr>
        <w:t>’</w:t>
      </w:r>
      <w:r w:rsidRPr="00215F09">
        <w:rPr>
          <w:lang w:val="fr-FR"/>
        </w:rPr>
        <w:t xml:space="preserve">environnement facile à éviter. La présente proposition prévoit une règle simple destinée à évaluer la sûreté des bouteilles et des tubes, qui peut être facilement comprise et </w:t>
      </w:r>
      <w:r>
        <w:rPr>
          <w:lang w:val="fr-FR"/>
        </w:rPr>
        <w:t>appliquée</w:t>
      </w:r>
      <w:r w:rsidRPr="00215F09">
        <w:rPr>
          <w:lang w:val="fr-FR"/>
        </w:rPr>
        <w:t xml:space="preserve"> par les organismes de contrôle ayant suivi la formation axée sur les prescriptions énoncées dans la norme EN ISO 18119 pour la réalisation de nouveaux essais.</w:t>
      </w:r>
    </w:p>
    <w:p w14:paraId="30CE0BA2" w14:textId="77777777" w:rsidR="00C31324" w:rsidRPr="00215F09" w:rsidRDefault="00C31324" w:rsidP="00CF40EC">
      <w:pPr>
        <w:pStyle w:val="HChG"/>
        <w:rPr>
          <w:lang w:val="fr-FR"/>
        </w:rPr>
      </w:pPr>
      <w:r w:rsidRPr="00215F09">
        <w:rPr>
          <w:lang w:val="fr-FR"/>
        </w:rPr>
        <w:lastRenderedPageBreak/>
        <w:tab/>
      </w:r>
      <w:r w:rsidRPr="00215F09">
        <w:rPr>
          <w:lang w:val="fr-FR"/>
        </w:rPr>
        <w:tab/>
        <w:t>Proposition</w:t>
      </w:r>
    </w:p>
    <w:p w14:paraId="6BA11D4A" w14:textId="11017A61" w:rsidR="00C31324" w:rsidRPr="00215F09" w:rsidRDefault="00C31324" w:rsidP="00CF40EC">
      <w:pPr>
        <w:pStyle w:val="SingleTxtG"/>
        <w:keepNext/>
        <w:rPr>
          <w:lang w:val="fr-FR"/>
        </w:rPr>
      </w:pPr>
      <w:r w:rsidRPr="00215F09">
        <w:rPr>
          <w:lang w:val="fr-FR"/>
        </w:rPr>
        <w:t>7.</w:t>
      </w:r>
      <w:r w:rsidRPr="00215F09">
        <w:rPr>
          <w:lang w:val="fr-FR"/>
        </w:rPr>
        <w:tab/>
        <w:t>L</w:t>
      </w:r>
      <w:r w:rsidR="00597A42">
        <w:rPr>
          <w:lang w:val="fr-FR"/>
        </w:rPr>
        <w:t>’</w:t>
      </w:r>
      <w:r w:rsidRPr="00215F09">
        <w:rPr>
          <w:lang w:val="fr-FR"/>
        </w:rPr>
        <w:t>EIGA propose les modifications suivantes (le nouveau texte est souligné) :</w:t>
      </w:r>
    </w:p>
    <w:p w14:paraId="1EED9F1D" w14:textId="2D6233CB" w:rsidR="00C31324" w:rsidRPr="00215F09" w:rsidRDefault="00C31324" w:rsidP="00CF40EC">
      <w:pPr>
        <w:pStyle w:val="SingleTxtG"/>
        <w:keepNext/>
        <w:rPr>
          <w:lang w:val="fr-FR"/>
        </w:rPr>
      </w:pPr>
      <w:r w:rsidRPr="00215F09">
        <w:rPr>
          <w:lang w:val="fr-FR"/>
        </w:rPr>
        <w:t>6.2.3.5.1</w:t>
      </w:r>
      <w:r w:rsidRPr="00215F09">
        <w:rPr>
          <w:lang w:val="fr-FR"/>
        </w:rPr>
        <w:tab/>
      </w:r>
      <w:r w:rsidRPr="00215F09">
        <w:rPr>
          <w:b/>
          <w:bCs/>
          <w:i/>
          <w:iCs/>
          <w:lang w:val="fr-FR"/>
        </w:rPr>
        <w:t>NOTA 3</w:t>
      </w:r>
      <w:r w:rsidRPr="00215F09">
        <w:rPr>
          <w:lang w:val="fr-FR"/>
        </w:rPr>
        <w:t>, dernière phrase, lire</w:t>
      </w:r>
      <w:r>
        <w:rPr>
          <w:lang w:val="fr-FR"/>
        </w:rPr>
        <w:t> </w:t>
      </w:r>
      <w:r w:rsidRPr="00215F09">
        <w:rPr>
          <w:lang w:val="fr-FR"/>
        </w:rPr>
        <w:t>:</w:t>
      </w:r>
    </w:p>
    <w:p w14:paraId="1CFDDF7F" w14:textId="3E45B9CE" w:rsidR="00C31324" w:rsidRPr="00215F09" w:rsidRDefault="00C31324" w:rsidP="00CF40EC">
      <w:pPr>
        <w:pStyle w:val="SingleTxtG"/>
        <w:keepNext/>
        <w:rPr>
          <w:lang w:val="fr-FR"/>
        </w:rPr>
      </w:pPr>
      <w:r w:rsidRPr="00215F09">
        <w:rPr>
          <w:lang w:val="fr-FR"/>
        </w:rPr>
        <w:t>«</w:t>
      </w:r>
      <w:r>
        <w:rPr>
          <w:lang w:val="fr-FR"/>
        </w:rPr>
        <w:t> </w:t>
      </w:r>
      <w:r w:rsidRPr="00215F09">
        <w:rPr>
          <w:lang w:val="fr-FR"/>
        </w:rPr>
        <w:t>Nonobstant l</w:t>
      </w:r>
      <w:r w:rsidR="00597A42">
        <w:rPr>
          <w:lang w:val="fr-FR"/>
        </w:rPr>
        <w:t>’</w:t>
      </w:r>
      <w:r w:rsidRPr="00215F09">
        <w:rPr>
          <w:lang w:val="fr-FR"/>
        </w:rPr>
        <w:t>article B.1 de cette norme, toutes les bouteilles et tubes dont l</w:t>
      </w:r>
      <w:r w:rsidR="00597A42">
        <w:rPr>
          <w:lang w:val="fr-FR"/>
        </w:rPr>
        <w:t>’</w:t>
      </w:r>
      <w:r w:rsidRPr="00215F09">
        <w:rPr>
          <w:lang w:val="fr-FR"/>
        </w:rPr>
        <w:t>épaisseur de paroi est inférieure à l</w:t>
      </w:r>
      <w:r w:rsidR="00597A42">
        <w:rPr>
          <w:lang w:val="fr-FR"/>
        </w:rPr>
        <w:t>’</w:t>
      </w:r>
      <w:r w:rsidRPr="00215F09">
        <w:rPr>
          <w:lang w:val="fr-FR"/>
        </w:rPr>
        <w:t>épaisseur de paroi minimale de calcul doivent être rejetés</w:t>
      </w:r>
      <w:r w:rsidRPr="00215F09">
        <w:rPr>
          <w:u w:val="single"/>
          <w:lang w:val="fr-FR"/>
        </w:rPr>
        <w:t>, un</w:t>
      </w:r>
      <w:r>
        <w:rPr>
          <w:u w:val="single"/>
          <w:lang w:val="fr-FR"/>
        </w:rPr>
        <w:t>e</w:t>
      </w:r>
      <w:r w:rsidRPr="00215F09">
        <w:rPr>
          <w:u w:val="single"/>
          <w:lang w:val="fr-FR"/>
        </w:rPr>
        <w:t xml:space="preserve"> </w:t>
      </w:r>
      <w:r>
        <w:rPr>
          <w:u w:val="single"/>
          <w:lang w:val="fr-FR"/>
        </w:rPr>
        <w:t>marge d</w:t>
      </w:r>
      <w:r w:rsidR="00597A42">
        <w:rPr>
          <w:u w:val="single"/>
          <w:lang w:val="fr-FR"/>
        </w:rPr>
        <w:t>’</w:t>
      </w:r>
      <w:r>
        <w:rPr>
          <w:u w:val="single"/>
          <w:lang w:val="fr-FR"/>
        </w:rPr>
        <w:t xml:space="preserve">erreur </w:t>
      </w:r>
      <w:r w:rsidRPr="00215F09">
        <w:rPr>
          <w:u w:val="single"/>
          <w:lang w:val="fr-FR"/>
        </w:rPr>
        <w:t>de mesure de 2 % étant permis</w:t>
      </w:r>
      <w:r>
        <w:rPr>
          <w:u w:val="single"/>
          <w:lang w:val="fr-FR"/>
        </w:rPr>
        <w:t>e</w:t>
      </w:r>
      <w:r w:rsidRPr="00215F09">
        <w:rPr>
          <w:u w:val="single"/>
          <w:lang w:val="fr-FR"/>
        </w:rPr>
        <w:t xml:space="preserve"> pour l</w:t>
      </w:r>
      <w:r w:rsidR="00597A42">
        <w:rPr>
          <w:u w:val="single"/>
          <w:lang w:val="fr-FR"/>
        </w:rPr>
        <w:t>’</w:t>
      </w:r>
      <w:r w:rsidRPr="00215F09">
        <w:rPr>
          <w:u w:val="single"/>
          <w:lang w:val="fr-FR"/>
        </w:rPr>
        <w:t>examen ultrasonique.</w:t>
      </w:r>
      <w:r>
        <w:rPr>
          <w:u w:val="single"/>
          <w:lang w:val="fr-FR"/>
        </w:rPr>
        <w:t> </w:t>
      </w:r>
      <w:r w:rsidRPr="00215F09">
        <w:rPr>
          <w:lang w:val="fr-FR"/>
        </w:rPr>
        <w:t>».</w:t>
      </w:r>
    </w:p>
    <w:p w14:paraId="5273DB4F" w14:textId="0937A6A1" w:rsidR="00C31324" w:rsidRPr="00215F09" w:rsidRDefault="00C31324" w:rsidP="00C31324">
      <w:pPr>
        <w:pStyle w:val="SingleTxtG"/>
        <w:rPr>
          <w:lang w:val="fr-FR"/>
        </w:rPr>
      </w:pPr>
      <w:r w:rsidRPr="00215F09">
        <w:rPr>
          <w:lang w:val="fr-FR"/>
        </w:rPr>
        <w:t>6.2.4.2</w:t>
      </w:r>
      <w:r w:rsidRPr="00215F09">
        <w:rPr>
          <w:lang w:val="fr-FR"/>
        </w:rPr>
        <w:tab/>
      </w:r>
      <w:r w:rsidRPr="00215F09">
        <w:rPr>
          <w:lang w:val="fr-FR"/>
        </w:rPr>
        <w:tab/>
        <w:t>Rubrique du tableau consacrée à la norme EN ISO 18119:2018, colonne 2, NOTA, lire</w:t>
      </w:r>
      <w:r w:rsidR="00763CB7">
        <w:rPr>
          <w:lang w:val="fr-FR"/>
        </w:rPr>
        <w:t> </w:t>
      </w:r>
      <w:r w:rsidRPr="00215F09">
        <w:rPr>
          <w:lang w:val="fr-FR"/>
        </w:rPr>
        <w:t>:</w:t>
      </w:r>
    </w:p>
    <w:p w14:paraId="41B14D2D" w14:textId="42E8019E" w:rsidR="00C31324" w:rsidRPr="00215F09" w:rsidRDefault="00C31324" w:rsidP="00C31324">
      <w:pPr>
        <w:pStyle w:val="SingleTxtG"/>
        <w:rPr>
          <w:lang w:val="fr-FR"/>
        </w:rPr>
      </w:pPr>
      <w:r w:rsidRPr="00215F09">
        <w:rPr>
          <w:lang w:val="fr-FR"/>
        </w:rPr>
        <w:t>«</w:t>
      </w:r>
      <w:r>
        <w:rPr>
          <w:lang w:val="fr-FR"/>
        </w:rPr>
        <w:t> </w:t>
      </w:r>
      <w:r w:rsidRPr="00215F09">
        <w:rPr>
          <w:lang w:val="fr-FR"/>
        </w:rPr>
        <w:t>NOTA :</w:t>
      </w:r>
      <w:r w:rsidR="00C02DAE">
        <w:rPr>
          <w:lang w:val="fr-FR"/>
        </w:rPr>
        <w:t xml:space="preserve"> </w:t>
      </w:r>
      <w:r w:rsidRPr="00215F09">
        <w:rPr>
          <w:lang w:val="fr-FR"/>
        </w:rPr>
        <w:t>Nonobstant l</w:t>
      </w:r>
      <w:r w:rsidR="00597A42">
        <w:rPr>
          <w:lang w:val="fr-FR"/>
        </w:rPr>
        <w:t>’</w:t>
      </w:r>
      <w:r w:rsidRPr="00215F09">
        <w:rPr>
          <w:lang w:val="fr-FR"/>
        </w:rPr>
        <w:t>article B.1 de cette norme, toutes les bouteilles et tubes dont l</w:t>
      </w:r>
      <w:r w:rsidR="00597A42">
        <w:rPr>
          <w:lang w:val="fr-FR"/>
        </w:rPr>
        <w:t>’</w:t>
      </w:r>
      <w:r w:rsidRPr="00215F09">
        <w:rPr>
          <w:lang w:val="fr-FR"/>
        </w:rPr>
        <w:t>épaisseur de paroi est inférieure à l</w:t>
      </w:r>
      <w:r w:rsidR="00597A42">
        <w:rPr>
          <w:lang w:val="fr-FR"/>
        </w:rPr>
        <w:t>’</w:t>
      </w:r>
      <w:r w:rsidRPr="00215F09">
        <w:rPr>
          <w:lang w:val="fr-FR"/>
        </w:rPr>
        <w:t>épaisseur de paroi minimale de calcul doivent être rejetés</w:t>
      </w:r>
      <w:r w:rsidRPr="00215F09">
        <w:rPr>
          <w:u w:val="single"/>
          <w:lang w:val="fr-FR"/>
        </w:rPr>
        <w:t>, un</w:t>
      </w:r>
      <w:r>
        <w:rPr>
          <w:u w:val="single"/>
          <w:lang w:val="fr-FR"/>
        </w:rPr>
        <w:t>e</w:t>
      </w:r>
      <w:r w:rsidRPr="00215F09">
        <w:rPr>
          <w:u w:val="single"/>
          <w:lang w:val="fr-FR"/>
        </w:rPr>
        <w:t xml:space="preserve"> </w:t>
      </w:r>
      <w:r>
        <w:rPr>
          <w:u w:val="single"/>
          <w:lang w:val="fr-FR"/>
        </w:rPr>
        <w:t>marge d</w:t>
      </w:r>
      <w:r w:rsidR="00597A42">
        <w:rPr>
          <w:u w:val="single"/>
          <w:lang w:val="fr-FR"/>
        </w:rPr>
        <w:t>’</w:t>
      </w:r>
      <w:r>
        <w:rPr>
          <w:u w:val="single"/>
          <w:lang w:val="fr-FR"/>
        </w:rPr>
        <w:t>erreur</w:t>
      </w:r>
      <w:r w:rsidRPr="00215F09">
        <w:rPr>
          <w:u w:val="single"/>
          <w:lang w:val="fr-FR"/>
        </w:rPr>
        <w:t xml:space="preserve"> de mesure de 2</w:t>
      </w:r>
      <w:r>
        <w:rPr>
          <w:u w:val="single"/>
          <w:lang w:val="fr-FR"/>
        </w:rPr>
        <w:t> </w:t>
      </w:r>
      <w:r w:rsidRPr="00215F09">
        <w:rPr>
          <w:u w:val="single"/>
          <w:lang w:val="fr-FR"/>
        </w:rPr>
        <w:t>% étant permis</w:t>
      </w:r>
      <w:r>
        <w:rPr>
          <w:u w:val="single"/>
          <w:lang w:val="fr-FR"/>
        </w:rPr>
        <w:t>e</w:t>
      </w:r>
      <w:r w:rsidRPr="00215F09">
        <w:rPr>
          <w:u w:val="single"/>
          <w:lang w:val="fr-FR"/>
        </w:rPr>
        <w:t xml:space="preserve"> pour l</w:t>
      </w:r>
      <w:r w:rsidR="00597A42">
        <w:rPr>
          <w:u w:val="single"/>
          <w:lang w:val="fr-FR"/>
        </w:rPr>
        <w:t>’</w:t>
      </w:r>
      <w:r w:rsidRPr="00215F09">
        <w:rPr>
          <w:u w:val="single"/>
          <w:lang w:val="fr-FR"/>
        </w:rPr>
        <w:t>examen ultrasonique.</w:t>
      </w:r>
      <w:r>
        <w:rPr>
          <w:lang w:val="fr-FR"/>
        </w:rPr>
        <w:t> </w:t>
      </w:r>
      <w:r w:rsidRPr="00215F09">
        <w:rPr>
          <w:lang w:val="fr-FR"/>
        </w:rPr>
        <w:t>».</w:t>
      </w:r>
    </w:p>
    <w:p w14:paraId="49EA8B44" w14:textId="480180D8" w:rsidR="00C31324" w:rsidRPr="00215F09" w:rsidRDefault="00C31324" w:rsidP="00C31324">
      <w:pPr>
        <w:pStyle w:val="HChG"/>
        <w:rPr>
          <w:lang w:val="fr-FR"/>
        </w:rPr>
      </w:pPr>
      <w:r w:rsidRPr="00215F09">
        <w:rPr>
          <w:lang w:val="fr-FR"/>
        </w:rPr>
        <w:tab/>
      </w:r>
      <w:r w:rsidRPr="00215F09">
        <w:rPr>
          <w:lang w:val="fr-FR"/>
        </w:rPr>
        <w:tab/>
        <w:t>Justification</w:t>
      </w:r>
    </w:p>
    <w:p w14:paraId="094B0627" w14:textId="79BFE12B" w:rsidR="00C31324" w:rsidRDefault="00C31324" w:rsidP="00C31324">
      <w:pPr>
        <w:pStyle w:val="SingleTxtG"/>
        <w:rPr>
          <w:lang w:val="fr-FR"/>
        </w:rPr>
      </w:pPr>
      <w:r w:rsidRPr="00215F09">
        <w:rPr>
          <w:lang w:val="fr-FR"/>
        </w:rPr>
        <w:t>8.</w:t>
      </w:r>
      <w:r w:rsidRPr="00215F09">
        <w:rPr>
          <w:lang w:val="fr-FR"/>
        </w:rPr>
        <w:tab/>
        <w:t>Les sondes ultrasoniques disponibles sur le marché ont une précision de +/- 0,1</w:t>
      </w:r>
      <w:r w:rsidR="00763CB7">
        <w:rPr>
          <w:lang w:val="fr-FR"/>
        </w:rPr>
        <w:t> </w:t>
      </w:r>
      <w:r w:rsidRPr="00215F09">
        <w:rPr>
          <w:lang w:val="fr-FR"/>
        </w:rPr>
        <w:t>mm. La valeur mesurée est donc supérieure ou inférieure de 0,1 mm à l</w:t>
      </w:r>
      <w:r w:rsidR="00597A42">
        <w:rPr>
          <w:lang w:val="fr-FR"/>
        </w:rPr>
        <w:t>’</w:t>
      </w:r>
      <w:r w:rsidRPr="00215F09">
        <w:rPr>
          <w:lang w:val="fr-FR"/>
        </w:rPr>
        <w:t>épaisseur réelle de la paroi. Pour une épaisseur de paroi typique de 5</w:t>
      </w:r>
      <w:r w:rsidR="00763CB7">
        <w:rPr>
          <w:lang w:val="fr-FR"/>
        </w:rPr>
        <w:t> </w:t>
      </w:r>
      <w:r w:rsidRPr="00215F09">
        <w:rPr>
          <w:lang w:val="fr-FR"/>
        </w:rPr>
        <w:t>mm, cela représente +/-2</w:t>
      </w:r>
      <w:r w:rsidR="00763CB7">
        <w:rPr>
          <w:lang w:val="fr-FR"/>
        </w:rPr>
        <w:t> </w:t>
      </w:r>
      <w:r w:rsidRPr="00215F09">
        <w:rPr>
          <w:lang w:val="fr-FR"/>
        </w:rPr>
        <w:t>%. En outre, il a été établi, dans le rapport technique ISO TR 22694:2008, que la sécurité d</w:t>
      </w:r>
      <w:r w:rsidR="00597A42">
        <w:rPr>
          <w:lang w:val="fr-FR"/>
        </w:rPr>
        <w:t>’</w:t>
      </w:r>
      <w:r w:rsidRPr="00215F09">
        <w:rPr>
          <w:lang w:val="fr-FR"/>
        </w:rPr>
        <w:t>utilisation des bouteilles n</w:t>
      </w:r>
      <w:r w:rsidR="00597A42">
        <w:rPr>
          <w:lang w:val="fr-FR"/>
        </w:rPr>
        <w:t>’</w:t>
      </w:r>
      <w:r w:rsidRPr="00215F09">
        <w:rPr>
          <w:lang w:val="fr-FR"/>
        </w:rPr>
        <w:t>était pas compromise par des écarts allant jusqu</w:t>
      </w:r>
      <w:r w:rsidR="00597A42">
        <w:rPr>
          <w:lang w:val="fr-FR"/>
        </w:rPr>
        <w:t>’</w:t>
      </w:r>
      <w:r w:rsidRPr="00215F09">
        <w:rPr>
          <w:lang w:val="fr-FR"/>
        </w:rPr>
        <w:t>à 5 %.</w:t>
      </w:r>
    </w:p>
    <w:p w14:paraId="52C44266" w14:textId="4170416A" w:rsidR="00C31324" w:rsidRPr="00C31324" w:rsidRDefault="00C31324" w:rsidP="00C3132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324" w:rsidRPr="00C31324" w:rsidSect="00C313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F36D6" w14:textId="77777777" w:rsidR="00654ECD" w:rsidRDefault="00654ECD" w:rsidP="00F95C08">
      <w:pPr>
        <w:spacing w:line="240" w:lineRule="auto"/>
      </w:pPr>
    </w:p>
  </w:endnote>
  <w:endnote w:type="continuationSeparator" w:id="0">
    <w:p w14:paraId="7001D61B" w14:textId="77777777" w:rsidR="00654ECD" w:rsidRPr="00AC3823" w:rsidRDefault="00654ECD" w:rsidP="00AC3823">
      <w:pPr>
        <w:pStyle w:val="Footer"/>
      </w:pPr>
    </w:p>
  </w:endnote>
  <w:endnote w:type="continuationNotice" w:id="1">
    <w:p w14:paraId="6D507407" w14:textId="77777777" w:rsidR="00654ECD" w:rsidRDefault="00654E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72FF" w14:textId="53CB8912" w:rsidR="00C31324" w:rsidRPr="00C31324" w:rsidRDefault="00C31324" w:rsidP="00C31324">
    <w:pPr>
      <w:pStyle w:val="Footer"/>
      <w:tabs>
        <w:tab w:val="right" w:pos="9638"/>
      </w:tabs>
    </w:pPr>
    <w:r w:rsidRPr="00C31324">
      <w:rPr>
        <w:b/>
        <w:sz w:val="18"/>
      </w:rPr>
      <w:fldChar w:fldCharType="begin"/>
    </w:r>
    <w:r w:rsidRPr="00C31324">
      <w:rPr>
        <w:b/>
        <w:sz w:val="18"/>
      </w:rPr>
      <w:instrText xml:space="preserve"> PAGE  \* MERGEFORMAT </w:instrText>
    </w:r>
    <w:r w:rsidRPr="00C31324">
      <w:rPr>
        <w:b/>
        <w:sz w:val="18"/>
      </w:rPr>
      <w:fldChar w:fldCharType="separate"/>
    </w:r>
    <w:r w:rsidRPr="00C31324">
      <w:rPr>
        <w:b/>
        <w:noProof/>
        <w:sz w:val="18"/>
      </w:rPr>
      <w:t>2</w:t>
    </w:r>
    <w:r w:rsidRPr="00C31324">
      <w:rPr>
        <w:b/>
        <w:sz w:val="18"/>
      </w:rPr>
      <w:fldChar w:fldCharType="end"/>
    </w:r>
    <w:r>
      <w:rPr>
        <w:b/>
        <w:sz w:val="18"/>
      </w:rPr>
      <w:tab/>
    </w:r>
    <w:r>
      <w:t>GE.21-19032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402F" w14:textId="4D6C9911" w:rsidR="00C31324" w:rsidRPr="00C31324" w:rsidRDefault="00C31324" w:rsidP="00C31324">
    <w:pPr>
      <w:pStyle w:val="Footer"/>
      <w:tabs>
        <w:tab w:val="right" w:pos="9638"/>
      </w:tabs>
      <w:rPr>
        <w:b/>
        <w:sz w:val="18"/>
      </w:rPr>
    </w:pPr>
    <w:r>
      <w:t>GE.21-19032</w:t>
    </w:r>
    <w:r>
      <w:tab/>
    </w:r>
    <w:r w:rsidRPr="00C31324">
      <w:rPr>
        <w:b/>
        <w:sz w:val="18"/>
      </w:rPr>
      <w:fldChar w:fldCharType="begin"/>
    </w:r>
    <w:r w:rsidRPr="00C31324">
      <w:rPr>
        <w:b/>
        <w:sz w:val="18"/>
      </w:rPr>
      <w:instrText xml:space="preserve"> PAGE  \* MERGEFORMAT </w:instrText>
    </w:r>
    <w:r w:rsidRPr="00C31324">
      <w:rPr>
        <w:b/>
        <w:sz w:val="18"/>
      </w:rPr>
      <w:fldChar w:fldCharType="separate"/>
    </w:r>
    <w:r w:rsidRPr="00C31324">
      <w:rPr>
        <w:b/>
        <w:noProof/>
        <w:sz w:val="18"/>
      </w:rPr>
      <w:t>3</w:t>
    </w:r>
    <w:r w:rsidRPr="00C313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5FADE" w14:textId="4BBABCF2" w:rsidR="007F20FA" w:rsidRPr="00C31324" w:rsidRDefault="00C31324" w:rsidP="00C3132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B20E5B1" wp14:editId="3BB91E6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21-19032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53ED348" wp14:editId="6D3305F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CB7">
      <w:rPr>
        <w:sz w:val="20"/>
      </w:rPr>
      <w:t xml:space="preserve">    200122    210122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37F8E" w14:textId="77777777" w:rsidR="00654ECD" w:rsidRPr="00AC3823" w:rsidRDefault="00654EC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991FAB" w14:textId="77777777" w:rsidR="00654ECD" w:rsidRPr="00AC3823" w:rsidRDefault="00654EC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42D12D6" w14:textId="77777777" w:rsidR="00654ECD" w:rsidRPr="00AC3823" w:rsidRDefault="00654ECD">
      <w:pPr>
        <w:spacing w:line="240" w:lineRule="auto"/>
        <w:rPr>
          <w:sz w:val="2"/>
          <w:szCs w:val="2"/>
        </w:rPr>
      </w:pPr>
    </w:p>
  </w:footnote>
  <w:footnote w:id="2">
    <w:p w14:paraId="3B171441" w14:textId="72FE359A" w:rsidR="00C31324" w:rsidRPr="00C31324" w:rsidRDefault="00C31324">
      <w:pPr>
        <w:pStyle w:val="FootnoteText"/>
      </w:pPr>
      <w:r>
        <w:rPr>
          <w:rStyle w:val="FootnoteReference"/>
        </w:rPr>
        <w:tab/>
      </w:r>
      <w:r w:rsidRPr="00C3132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A/76/6 (Sect.</w:t>
      </w:r>
      <w:r w:rsidR="003F1443">
        <w:rPr>
          <w:lang w:val="fr-FR"/>
        </w:rPr>
        <w:t> </w:t>
      </w:r>
      <w:r>
        <w:rPr>
          <w:lang w:val="fr-FR"/>
        </w:rPr>
        <w:t>20), par.</w:t>
      </w:r>
      <w:r w:rsidR="003F1443">
        <w:rPr>
          <w:lang w:val="fr-FR"/>
        </w:rPr>
        <w:t> </w:t>
      </w:r>
      <w:r>
        <w:rPr>
          <w:lang w:val="fr-FR"/>
        </w:rPr>
        <w:t>20.76.</w:t>
      </w:r>
    </w:p>
  </w:footnote>
  <w:footnote w:id="3">
    <w:p w14:paraId="117624BF" w14:textId="42AE88B7" w:rsidR="00C31324" w:rsidRPr="00C31324" w:rsidRDefault="00C31324">
      <w:pPr>
        <w:pStyle w:val="FootnoteText"/>
      </w:pPr>
      <w:r>
        <w:rPr>
          <w:rStyle w:val="FootnoteReference"/>
        </w:rPr>
        <w:tab/>
      </w:r>
      <w:r w:rsidRPr="00C31324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</w:t>
      </w:r>
      <w:r w:rsidR="00597A42">
        <w:rPr>
          <w:lang w:val="fr-FR"/>
        </w:rPr>
        <w:t>’</w:t>
      </w:r>
      <w:r>
        <w:rPr>
          <w:lang w:val="fr-FR"/>
        </w:rPr>
        <w:t>Organisation intergouvernementale pour les transports internationaux ferroviaires (OTIF) sous la cote OTIF/RID/RC/2022/8.</w:t>
      </w:r>
    </w:p>
  </w:footnote>
  <w:footnote w:id="4">
    <w:p w14:paraId="17B782A3" w14:textId="25753532" w:rsidR="00C31324" w:rsidRPr="00C31324" w:rsidRDefault="00C31324">
      <w:pPr>
        <w:pStyle w:val="FootnoteText"/>
      </w:pPr>
      <w:r>
        <w:rPr>
          <w:rStyle w:val="FootnoteReference"/>
        </w:rPr>
        <w:tab/>
      </w:r>
      <w:r w:rsidRPr="00C31324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497C" w14:textId="0A83729C" w:rsidR="00C31324" w:rsidRPr="00C31324" w:rsidRDefault="00431A8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74E37">
      <w:t>ECE/TRANS/WP.15/AC.1/2022/8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E9DF" w14:textId="2A98BF98" w:rsidR="00C31324" w:rsidRPr="00C31324" w:rsidRDefault="00431A84" w:rsidP="00C3132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74E37">
      <w:t>ECE/TRANS/WP.15/AC.1/2022/8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C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74E37"/>
    <w:rsid w:val="003916DE"/>
    <w:rsid w:val="003F1443"/>
    <w:rsid w:val="00421996"/>
    <w:rsid w:val="00431A84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97A42"/>
    <w:rsid w:val="00654ECD"/>
    <w:rsid w:val="0071601D"/>
    <w:rsid w:val="00763CB7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628B0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02DAE"/>
    <w:rsid w:val="00C31324"/>
    <w:rsid w:val="00C97039"/>
    <w:rsid w:val="00CE0003"/>
    <w:rsid w:val="00CF40EC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2163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02D72"/>
  <w15:docId w15:val="{245539DA-5766-480E-B62B-C67BE37B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3132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ECE/TRANS/WP.15/AC.1/2022/8</vt:lpstr>
    </vt:vector>
  </TitlesOfParts>
  <Company>DCM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ECE/TRANS/WP.15/AC.1/2022/8</dc:title>
  <dc:subject/>
  <dc:creator>Julien OKRZESIK</dc:creator>
  <cp:keywords/>
  <cp:lastModifiedBy>Christine Barrio-Champeau</cp:lastModifiedBy>
  <cp:revision>2</cp:revision>
  <cp:lastPrinted>2022-01-21T08:35:00Z</cp:lastPrinted>
  <dcterms:created xsi:type="dcterms:W3CDTF">2022-01-21T10:06:00Z</dcterms:created>
  <dcterms:modified xsi:type="dcterms:W3CDTF">2022-01-21T10:06:00Z</dcterms:modified>
</cp:coreProperties>
</file>