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F078B7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7F09CF" w14:textId="77777777" w:rsidR="002D5AAC" w:rsidRDefault="002D5AAC" w:rsidP="006944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CA83C77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D249227" w14:textId="000DA712" w:rsidR="002D5AAC" w:rsidRDefault="0069442A" w:rsidP="0069442A">
            <w:pPr>
              <w:jc w:val="right"/>
            </w:pPr>
            <w:r w:rsidRPr="0069442A">
              <w:rPr>
                <w:sz w:val="40"/>
              </w:rPr>
              <w:t>ECE</w:t>
            </w:r>
            <w:r>
              <w:t>/TRANS/WP.15/AC.1/2022/20</w:t>
            </w:r>
          </w:p>
        </w:tc>
      </w:tr>
      <w:tr w:rsidR="002D5AAC" w:rsidRPr="0069442A" w14:paraId="2C6B531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F7DBE33" w14:textId="52ACCF46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28A58C5" wp14:editId="5A72F9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F69B4B" w14:textId="6E2ACD51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12222D" w14:textId="77777777" w:rsidR="002D5AAC" w:rsidRDefault="006944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13E6817" w14:textId="77777777" w:rsidR="0069442A" w:rsidRDefault="0069442A" w:rsidP="006944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December 2021</w:t>
            </w:r>
          </w:p>
          <w:p w14:paraId="618F5A31" w14:textId="77777777" w:rsidR="0069442A" w:rsidRDefault="0069442A" w:rsidP="006944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0B07453" w14:textId="06001969" w:rsidR="0069442A" w:rsidRPr="008D53B6" w:rsidRDefault="0069442A" w:rsidP="006944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C5F8960" w14:textId="67329DC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833BC88" w14:textId="210C1BDF" w:rsidR="0069442A" w:rsidRPr="0069442A" w:rsidRDefault="0069442A" w:rsidP="0069442A">
      <w:pPr>
        <w:spacing w:before="120" w:after="120"/>
        <w:rPr>
          <w:sz w:val="28"/>
          <w:szCs w:val="28"/>
        </w:rPr>
      </w:pPr>
      <w:r w:rsidRPr="0069442A">
        <w:rPr>
          <w:sz w:val="28"/>
          <w:szCs w:val="28"/>
        </w:rPr>
        <w:t>Комитет по внутреннему транспорту</w:t>
      </w:r>
    </w:p>
    <w:p w14:paraId="43D46886" w14:textId="51A974B0" w:rsidR="0069442A" w:rsidRPr="0069442A" w:rsidRDefault="0069442A" w:rsidP="0069442A">
      <w:pPr>
        <w:spacing w:before="120" w:after="120"/>
        <w:rPr>
          <w:b/>
          <w:sz w:val="24"/>
          <w:szCs w:val="24"/>
        </w:rPr>
      </w:pPr>
      <w:r w:rsidRPr="0069442A">
        <w:rPr>
          <w:b/>
          <w:bCs/>
          <w:sz w:val="24"/>
          <w:szCs w:val="24"/>
        </w:rPr>
        <w:t>Рабочая группа по перевозкам опасных грузов</w:t>
      </w:r>
    </w:p>
    <w:p w14:paraId="46BAC295" w14:textId="22923956" w:rsidR="0069442A" w:rsidRPr="0069442A" w:rsidRDefault="0069442A" w:rsidP="0069442A">
      <w:pPr>
        <w:rPr>
          <w:b/>
        </w:rPr>
      </w:pPr>
      <w:r w:rsidRPr="0069442A"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 w:rsidRPr="0069442A">
        <w:rPr>
          <w:b/>
          <w:bCs/>
        </w:rPr>
        <w:t>и Рабочей группы по перевозкам опасных грузов</w:t>
      </w:r>
    </w:p>
    <w:p w14:paraId="05C7A92C" w14:textId="21F62A56" w:rsidR="0069442A" w:rsidRPr="0069442A" w:rsidRDefault="0069442A" w:rsidP="0069442A">
      <w:r w:rsidRPr="0069442A">
        <w:t>Берн, 14–18 марта 2022 года</w:t>
      </w:r>
    </w:p>
    <w:p w14:paraId="57B1A4B2" w14:textId="458F6CBA" w:rsidR="0069442A" w:rsidRPr="0069442A" w:rsidRDefault="0069442A" w:rsidP="0069442A">
      <w:r w:rsidRPr="0069442A">
        <w:t>Пункт 5 а) предварительной повестки дня</w:t>
      </w:r>
    </w:p>
    <w:p w14:paraId="347A46B0" w14:textId="17763E9C" w:rsidR="0069442A" w:rsidRPr="0069442A" w:rsidRDefault="0069442A" w:rsidP="0069442A">
      <w:pPr>
        <w:rPr>
          <w:b/>
          <w:bCs/>
        </w:rPr>
      </w:pPr>
      <w:r w:rsidRPr="0069442A">
        <w:rPr>
          <w:b/>
          <w:bCs/>
        </w:rPr>
        <w:t xml:space="preserve">Предложения о внесении поправок в МПОГ/ДОПОГ/ВОПОГ: </w:t>
      </w:r>
      <w:r>
        <w:rPr>
          <w:b/>
          <w:bCs/>
        </w:rPr>
        <w:br/>
      </w:r>
      <w:r w:rsidRPr="0069442A">
        <w:rPr>
          <w:b/>
          <w:bCs/>
        </w:rPr>
        <w:t>нерассмотренные вопросы</w:t>
      </w:r>
    </w:p>
    <w:p w14:paraId="51F6AE12" w14:textId="20E1394D" w:rsidR="0069442A" w:rsidRPr="0069442A" w:rsidRDefault="0069442A" w:rsidP="0069442A">
      <w:pPr>
        <w:pStyle w:val="HChG"/>
      </w:pPr>
      <w:r w:rsidRPr="0069442A">
        <w:tab/>
      </w:r>
      <w:r w:rsidRPr="0069442A">
        <w:tab/>
        <w:t>Перевозка электроэнергетических систем, содержащих литий-ионные батареи</w:t>
      </w:r>
    </w:p>
    <w:p w14:paraId="7F80C419" w14:textId="4C843C37" w:rsidR="0069442A" w:rsidRDefault="0069442A" w:rsidP="0069442A">
      <w:pPr>
        <w:pStyle w:val="H1G"/>
        <w:rPr>
          <w:b w:val="0"/>
          <w:bCs/>
          <w:sz w:val="20"/>
        </w:rPr>
      </w:pPr>
      <w:r w:rsidRPr="0069442A">
        <w:t xml:space="preserve"> </w:t>
      </w:r>
      <w:r w:rsidRPr="0069442A">
        <w:tab/>
      </w:r>
      <w:r w:rsidRPr="0069442A">
        <w:tab/>
        <w:t>Передано правительством Швеции</w:t>
      </w:r>
      <w:r w:rsidRPr="00227A0F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>
        <w:rPr>
          <w:b w:val="0"/>
          <w:bCs/>
          <w:sz w:val="20"/>
          <w:vertAlign w:val="superscript"/>
        </w:rPr>
        <w:t xml:space="preserve">, </w:t>
      </w:r>
      <w:r w:rsidRPr="0069442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>
        <w:rPr>
          <w:b w:val="0"/>
          <w:bCs/>
          <w:sz w:val="20"/>
          <w:vertAlign w:val="superscript"/>
        </w:rPr>
        <w:t xml:space="preserve">, </w:t>
      </w:r>
      <w:r w:rsidRPr="0069442A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69442A" w:rsidRPr="0069442A" w14:paraId="722D1408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103591F5" w14:textId="77777777" w:rsidR="0069442A" w:rsidRPr="0069442A" w:rsidRDefault="0069442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69442A">
              <w:rPr>
                <w:rFonts w:cs="Times New Roman"/>
              </w:rPr>
              <w:tab/>
            </w:r>
            <w:r w:rsidRPr="0069442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69442A" w:rsidRPr="0069442A" w14:paraId="60AFC47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666614E" w14:textId="47678FB2" w:rsidR="0069442A" w:rsidRPr="0069442A" w:rsidRDefault="0069442A" w:rsidP="00B66308">
            <w:pPr>
              <w:pStyle w:val="SingleTxtG"/>
              <w:tabs>
                <w:tab w:val="left" w:pos="3962"/>
              </w:tabs>
              <w:ind w:left="3962" w:hanging="2828"/>
            </w:pPr>
            <w:r w:rsidRPr="0069442A">
              <w:rPr>
                <w:b/>
                <w:bCs/>
              </w:rPr>
              <w:t>Существо предложения:</w:t>
            </w:r>
            <w:r>
              <w:rPr>
                <w:b/>
                <w:bCs/>
              </w:rPr>
              <w:tab/>
            </w:r>
            <w:r w:rsidRPr="0069442A">
              <w:t xml:space="preserve">Уточнить и разработать соответствующие положения по перевозке и условия для перевозки электроэнергетических систем, содержащих </w:t>
            </w:r>
            <w:r w:rsidR="00E90A46">
              <w:br/>
            </w:r>
            <w:r w:rsidRPr="0069442A">
              <w:t>литий-ионные батареи, автомобильным и железнодорожным транспортом.</w:t>
            </w:r>
          </w:p>
        </w:tc>
      </w:tr>
      <w:tr w:rsidR="0069442A" w:rsidRPr="0069442A" w14:paraId="2486885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06BD991" w14:textId="74A90E98" w:rsidR="0069442A" w:rsidRPr="0069442A" w:rsidRDefault="0069442A" w:rsidP="00B66308">
            <w:pPr>
              <w:pStyle w:val="SingleTxtG"/>
              <w:tabs>
                <w:tab w:val="left" w:pos="3962"/>
              </w:tabs>
              <w:ind w:left="3962" w:hanging="2828"/>
              <w:rPr>
                <w:b/>
                <w:bCs/>
              </w:rPr>
            </w:pPr>
            <w:r w:rsidRPr="0069442A">
              <w:rPr>
                <w:b/>
                <w:bCs/>
              </w:rPr>
              <w:t>Предлагаемое решение:</w:t>
            </w:r>
            <w:r>
              <w:rPr>
                <w:b/>
                <w:bCs/>
              </w:rPr>
              <w:tab/>
            </w:r>
            <w:r w:rsidRPr="0069442A">
              <w:t>Включить подходящие положения по перевозке электроэнергетических систем, содержащих литий-ионные батареи.</w:t>
            </w:r>
          </w:p>
        </w:tc>
      </w:tr>
      <w:tr w:rsidR="0069442A" w:rsidRPr="0069442A" w14:paraId="7F904423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2115FAD" w14:textId="77777777" w:rsidR="0069442A" w:rsidRPr="0069442A" w:rsidRDefault="0069442A" w:rsidP="00850215">
            <w:pPr>
              <w:rPr>
                <w:rFonts w:cs="Times New Roman"/>
              </w:rPr>
            </w:pPr>
          </w:p>
        </w:tc>
      </w:tr>
    </w:tbl>
    <w:p w14:paraId="29C1B944" w14:textId="10F1EA35" w:rsidR="0069442A" w:rsidRPr="0069442A" w:rsidRDefault="0069442A" w:rsidP="0069442A">
      <w:pPr>
        <w:pStyle w:val="HChG"/>
      </w:pPr>
      <w:r w:rsidRPr="0069442A">
        <w:tab/>
      </w:r>
      <w:r w:rsidRPr="0069442A">
        <w:tab/>
        <w:t>Введение</w:t>
      </w:r>
    </w:p>
    <w:p w14:paraId="07ED3F79" w14:textId="440D45EB" w:rsidR="0069442A" w:rsidRPr="0069442A" w:rsidRDefault="00E90A46" w:rsidP="0069442A">
      <w:pPr>
        <w:pStyle w:val="SingleTxtG"/>
        <w:rPr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289E4F" wp14:editId="76073278">
            <wp:simplePos x="0" y="0"/>
            <wp:positionH relativeFrom="column">
              <wp:posOffset>5629910</wp:posOffset>
            </wp:positionH>
            <wp:positionV relativeFrom="paragraph">
              <wp:posOffset>1811020</wp:posOffset>
            </wp:positionV>
            <wp:extent cx="628650" cy="628650"/>
            <wp:effectExtent l="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42A" w:rsidRPr="0069442A">
        <w:t>1.</w:t>
      </w:r>
      <w:r w:rsidR="0069442A" w:rsidRPr="0069442A">
        <w:tab/>
        <w:t xml:space="preserve">На последней сессии Совместного совещания в сентябре 2021 года </w:t>
      </w:r>
      <w:r w:rsidR="00BF7467">
        <w:br/>
      </w:r>
      <w:r w:rsidR="0069442A" w:rsidRPr="0069442A">
        <w:t xml:space="preserve">Швеция подняла вопрос о подходящих положениях по перевозке электроэнергетических систем, содержащих литий-ионные батареи (документ </w:t>
      </w:r>
      <w:hyperlink r:id="rId9" w:history="1">
        <w:r w:rsidR="0069442A" w:rsidRPr="0069442A">
          <w:rPr>
            <w:rStyle w:val="Hyperlink"/>
          </w:rPr>
          <w:t>ECE/TRANS/WP.15/AC.1/2021/32</w:t>
        </w:r>
      </w:hyperlink>
      <w:r w:rsidR="0069442A" w:rsidRPr="0069442A">
        <w:t xml:space="preserve">). В связи с предложением Швеции был высказан ряд замечаний о необходимости и срочности внесения поправок в положения МПОГ/ДОПОГ, касающиеся перевозки мобильных электроэнергетических систем. </w:t>
      </w:r>
      <w:r w:rsidR="0069442A" w:rsidRPr="0069442A">
        <w:lastRenderedPageBreak/>
        <w:t>С</w:t>
      </w:r>
      <w:r w:rsidR="00BF7467">
        <w:t> </w:t>
      </w:r>
      <w:r w:rsidR="0069442A" w:rsidRPr="0069442A">
        <w:t>учетом замечаний, полученных в ходе указанного совещания, было подготовлено пересмотренное предложение, которое представлено нынешнему совещанию.</w:t>
      </w:r>
    </w:p>
    <w:p w14:paraId="33A8A94C" w14:textId="34066004" w:rsidR="0069442A" w:rsidRPr="0069442A" w:rsidRDefault="0069442A" w:rsidP="0069442A">
      <w:pPr>
        <w:pStyle w:val="SingleTxtG"/>
      </w:pPr>
      <w:r w:rsidRPr="0069442A">
        <w:t>2.</w:t>
      </w:r>
      <w:r w:rsidRPr="0069442A">
        <w:tab/>
        <w:t xml:space="preserve">За последние несколько лет использование мобильных электроэнергетических систем значительно возросло. Эта тенденция, вероятнее всего, сохранится и получит еще большее развитие, особенно учитывая глобальную деятельность и цель постепенного отказа от ископаемых видов топлива и перехода к низкоуглеродным источникам энергии. Цель и законодательство, выдвинутые Европейской комиссией и описанные на веб-странице </w:t>
      </w:r>
      <w:hyperlink r:id="rId10" w:history="1">
        <w:r w:rsidRPr="0069442A">
          <w:rPr>
            <w:rStyle w:val="Hyperlink"/>
          </w:rPr>
          <w:t>https://ec.europa.eu/environment/topics/waste-and-recycling/batteries-and-accumulators_en</w:t>
        </w:r>
      </w:hyperlink>
      <w:r w:rsidRPr="0069442A">
        <w:t>, являются одним из примеров текущих действий по облегчению и ускорению этого перехода.</w:t>
      </w:r>
    </w:p>
    <w:p w14:paraId="6873A61E" w14:textId="13E5A97E" w:rsidR="0069442A" w:rsidRPr="0069442A" w:rsidRDefault="0069442A" w:rsidP="0069442A">
      <w:pPr>
        <w:pStyle w:val="SingleTxtG"/>
      </w:pPr>
      <w:r w:rsidRPr="0069442A">
        <w:t>3.</w:t>
      </w:r>
      <w:r w:rsidRPr="0069442A">
        <w:tab/>
        <w:t>Мобильные электроэнергетические системы могут состоять из литиевых батарей, прикрепленных к внутренней структуре контейнеров. Кроме того, это могут быть системы, закрепленные и зафиксированные на прицепах, содержащие литий-ионные батареи и другое оборудование, необходимое для их функционирования. В</w:t>
      </w:r>
      <w:r w:rsidR="000F782C">
        <w:t> </w:t>
      </w:r>
      <w:r w:rsidRPr="0069442A">
        <w:t>некоторых случаях на прицепе может быть закреплена только одна большая литий-ионная батарея.</w:t>
      </w:r>
    </w:p>
    <w:p w14:paraId="37B8C11D" w14:textId="7ED4B81B" w:rsidR="0069442A" w:rsidRDefault="0069442A" w:rsidP="0069442A">
      <w:pPr>
        <w:pStyle w:val="SingleTxtG"/>
      </w:pPr>
      <w:r w:rsidRPr="0069442A">
        <w:t>4.</w:t>
      </w:r>
      <w:r w:rsidRPr="0069442A">
        <w:tab/>
        <w:t>Такие системы используются, например, для обеспечения электроэнергией электрифицированных машин и навесов на строительных площадках. В примере на рис. 1 ниже энергетическая система состоит из шести батарей с индивидуальной емкостью 20 кВт·ч, общей емкостью 120 кВт·ч. Вес энергетической системы без прицепа составляет около 3000 кг.</w:t>
      </w:r>
    </w:p>
    <w:p w14:paraId="41A7D999" w14:textId="10A07B7A" w:rsidR="000F782C" w:rsidRPr="0069442A" w:rsidRDefault="000F782C" w:rsidP="0069442A">
      <w:pPr>
        <w:pStyle w:val="SingleTxtG"/>
      </w:pPr>
      <w:r w:rsidRPr="0069442A">
        <w:rPr>
          <w:noProof/>
          <w:lang w:val="de-DE"/>
        </w:rPr>
        <w:drawing>
          <wp:inline distT="0" distB="0" distL="0" distR="0" wp14:anchorId="77ADB9DB" wp14:editId="7C8F7A20">
            <wp:extent cx="4598105" cy="2072901"/>
            <wp:effectExtent l="0" t="0" r="0" b="3810"/>
            <wp:docPr id="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3" b="16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105" cy="207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065851" w14:textId="77777777" w:rsidR="0069442A" w:rsidRPr="0069442A" w:rsidRDefault="0069442A" w:rsidP="000F782C">
      <w:pPr>
        <w:pStyle w:val="SingleTxtG"/>
        <w:tabs>
          <w:tab w:val="clear" w:pos="1701"/>
          <w:tab w:val="clear" w:pos="2268"/>
          <w:tab w:val="left" w:pos="5670"/>
        </w:tabs>
      </w:pPr>
      <w:r w:rsidRPr="0069442A">
        <w:tab/>
      </w:r>
      <w:r w:rsidRPr="0069442A">
        <w:rPr>
          <w:b/>
          <w:bCs/>
        </w:rPr>
        <w:t>Рис. 1</w:t>
      </w:r>
      <w:r w:rsidRPr="0069442A">
        <w:t xml:space="preserve"> </w:t>
      </w:r>
      <w:r w:rsidRPr="0069442A">
        <w:tab/>
      </w:r>
      <w:r w:rsidRPr="0069442A">
        <w:rPr>
          <w:b/>
          <w:bCs/>
        </w:rPr>
        <w:t>Рис. 2</w:t>
      </w:r>
    </w:p>
    <w:p w14:paraId="077706A7" w14:textId="1ABCFFA0" w:rsidR="0069442A" w:rsidRPr="0069442A" w:rsidRDefault="0069442A" w:rsidP="0069442A">
      <w:pPr>
        <w:pStyle w:val="SingleTxtG"/>
      </w:pPr>
      <w:r w:rsidRPr="0069442A">
        <w:t>5.</w:t>
      </w:r>
      <w:r w:rsidRPr="0069442A">
        <w:tab/>
        <w:t xml:space="preserve">Швеция считает, что эти системы следует отнести к </w:t>
      </w:r>
      <w:r w:rsidR="000F782C">
        <w:t>№ ООН </w:t>
      </w:r>
      <w:r w:rsidRPr="0069442A">
        <w:t>3536 — батареи литиевые, установленные в грузовой транспортной единице, и тогда будет обеспечено более или менее полное регулирование перевозки этих систем. Определение грузовой транспортной единицы, содержащееся в главе 1.2, гласит следующее:</w:t>
      </w:r>
    </w:p>
    <w:p w14:paraId="7C46E55E" w14:textId="5913BAB0" w:rsidR="0069442A" w:rsidRPr="0069442A" w:rsidRDefault="0069442A" w:rsidP="0069442A">
      <w:pPr>
        <w:pStyle w:val="SingleTxtG"/>
        <w:rPr>
          <w:i/>
        </w:rPr>
      </w:pPr>
      <w:r w:rsidRPr="0069442A">
        <w:t>«</w:t>
      </w:r>
      <w:r w:rsidR="000F782C" w:rsidRPr="00BF7467">
        <w:t>"</w:t>
      </w:r>
      <w:r w:rsidRPr="0069442A">
        <w:rPr>
          <w:i/>
          <w:iCs/>
        </w:rPr>
        <w:t>Грузовая транспортная единица</w:t>
      </w:r>
      <w:r w:rsidR="000F782C" w:rsidRPr="00BF7467">
        <w:t>"</w:t>
      </w:r>
      <w:r w:rsidRPr="0069442A">
        <w:rPr>
          <w:i/>
          <w:iCs/>
        </w:rPr>
        <w:t xml:space="preserve"> означает транспортное средство, вагон, контейнер, контейнер-цистерну, переносную цистерну или МЭГК.</w:t>
      </w:r>
      <w:r w:rsidRPr="0069442A">
        <w:t>»</w:t>
      </w:r>
      <w:r w:rsidRPr="0069442A">
        <w:rPr>
          <w:i/>
          <w:iCs/>
        </w:rPr>
        <w:t>.</w:t>
      </w:r>
    </w:p>
    <w:p w14:paraId="46DA49E6" w14:textId="31C60A5E" w:rsidR="0069442A" w:rsidRPr="0069442A" w:rsidRDefault="0069442A" w:rsidP="0069442A">
      <w:pPr>
        <w:pStyle w:val="SingleTxtG"/>
      </w:pPr>
      <w:r w:rsidRPr="0069442A">
        <w:t>6.</w:t>
      </w:r>
      <w:r w:rsidRPr="0069442A">
        <w:tab/>
        <w:t xml:space="preserve">Номеру ООН 3536 назначено специальное положение 389, в котором указано, что позиция под </w:t>
      </w:r>
      <w:r w:rsidR="000F782C">
        <w:t>№ ООН </w:t>
      </w:r>
      <w:r w:rsidRPr="0069442A">
        <w:t>3536 «применяется только в отношении грузовых транспортных единиц, в которых установлены литий-ионные батареи или литий-металлические батареи и которые предназначены только для обеспечения электроэнергией внешних потребителей.». Однако специальное положение 389 допускает освобождение батарей, по отдельности установленных в грузовых транспортных единицах, только от действия требований в отношении маркировки и знаков опасности. Все остальные требования применимы, например требования в отношении документации на опасные грузы, оборудования, находящегося в грузовой транспортной единице, и подготовки водителей.</w:t>
      </w:r>
    </w:p>
    <w:p w14:paraId="3F51D50C" w14:textId="52C96AA9" w:rsidR="0069442A" w:rsidRPr="0069442A" w:rsidRDefault="0069442A" w:rsidP="000F782C">
      <w:pPr>
        <w:pStyle w:val="SingleTxtG"/>
        <w:keepLines/>
      </w:pPr>
      <w:r w:rsidRPr="0069442A">
        <w:lastRenderedPageBreak/>
        <w:t>7.</w:t>
      </w:r>
      <w:r w:rsidRPr="0069442A">
        <w:tab/>
        <w:t xml:space="preserve">В ДОПОГ/МПОГ 2023 года </w:t>
      </w:r>
      <w:r w:rsidR="000F782C">
        <w:t>№ ООН </w:t>
      </w:r>
      <w:r w:rsidRPr="0069442A">
        <w:t xml:space="preserve">3536 будет отнесен к транспортной категории 2 (см. приложение II к докладу </w:t>
      </w:r>
      <w:hyperlink r:id="rId12" w:history="1">
        <w:r w:rsidRPr="0069442A">
          <w:rPr>
            <w:rStyle w:val="Hyperlink"/>
          </w:rPr>
          <w:t>ECE/TRANS/WP.15/AC.1/158</w:t>
        </w:r>
      </w:hyperlink>
      <w:r w:rsidRPr="0069442A">
        <w:t>), что означает, что положения о перевозке в соответствии с подразделом 1.1.3.6 буд</w:t>
      </w:r>
      <w:r w:rsidR="00BF7467">
        <w:t>у</w:t>
      </w:r>
      <w:r w:rsidRPr="0069442A">
        <w:t>т применимы в отношении энергетических систем общей массой до 333 кг.</w:t>
      </w:r>
    </w:p>
    <w:p w14:paraId="4166F4B1" w14:textId="6CAC3B18" w:rsidR="0069442A" w:rsidRPr="0069442A" w:rsidRDefault="0069442A" w:rsidP="0069442A">
      <w:pPr>
        <w:pStyle w:val="SingleTxtG"/>
      </w:pPr>
      <w:r w:rsidRPr="0069442A">
        <w:t>8.</w:t>
      </w:r>
      <w:r w:rsidRPr="0069442A">
        <w:tab/>
        <w:t xml:space="preserve">Швеция считает, что для наземной перевозки </w:t>
      </w:r>
      <w:r w:rsidR="000F782C">
        <w:t>№ ООН </w:t>
      </w:r>
      <w:r w:rsidRPr="0069442A">
        <w:t>3536 следует предусмотреть некоторые дополнительные изъятия, аналогичные специальному положению 363, которое назначено двигателям и машинам (</w:t>
      </w:r>
      <w:r w:rsidR="000F782C">
        <w:t>№ ООН </w:t>
      </w:r>
      <w:r w:rsidRPr="0069442A">
        <w:t xml:space="preserve">3528, 3529, 3530). Швеция предлагает ввести в ДОПОГ/МПОГ новое специальное положение для </w:t>
      </w:r>
      <w:r w:rsidR="000F782C">
        <w:t>№ ООН </w:t>
      </w:r>
      <w:r w:rsidRPr="0069442A">
        <w:t>3536, в котором будут указаны все применимые положения, касающиеся автомобильной и железнодорожной перевозки. На последнем совещании определенную поддержку получила идея использования не массы батареи, а</w:t>
      </w:r>
      <w:r w:rsidR="00BF7467">
        <w:t> </w:t>
      </w:r>
      <w:r w:rsidRPr="0069442A">
        <w:t xml:space="preserve">энергоемкости систем в качестве порогового значения. Поэтому Швеция предлагает, чтобы в тех случаях, когда общая энергоемкость превышает 100 кВт·ч, грузовые транспортные единицы, отнесенные к </w:t>
      </w:r>
      <w:r w:rsidR="000F782C">
        <w:t>№ ООН </w:t>
      </w:r>
      <w:r w:rsidRPr="0069442A">
        <w:t>3536, снабжались табличками оранжевого цвета и большими знаками опасности, а также сопровождались транспортным документом.</w:t>
      </w:r>
    </w:p>
    <w:p w14:paraId="25C60125" w14:textId="067489D5" w:rsidR="0069442A" w:rsidRPr="0069442A" w:rsidRDefault="0069442A" w:rsidP="0069442A">
      <w:pPr>
        <w:pStyle w:val="SingleTxtG"/>
      </w:pPr>
      <w:r w:rsidRPr="0069442A">
        <w:t>9.</w:t>
      </w:r>
      <w:r w:rsidRPr="0069442A">
        <w:tab/>
        <w:t>Предел энергоемкости основан на содержании энергии в батареях, используемых в автомобилях Tesla (</w:t>
      </w:r>
      <w:hyperlink r:id="rId13" w:anchor="Battery" w:history="1">
        <w:r w:rsidRPr="0069442A">
          <w:rPr>
            <w:rStyle w:val="Hyperlink"/>
            <w:spacing w:val="-4"/>
          </w:rPr>
          <w:t>https://en.wikipedia.org/wiki/Tesla_Model_S#Battery</w:t>
        </w:r>
      </w:hyperlink>
      <w:r w:rsidRPr="0069442A">
        <w:t xml:space="preserve">), при этом, конечно, могут обсуждаться и другие значения. Для информации </w:t>
      </w:r>
      <w:r w:rsidR="000F782C">
        <w:br/>
      </w:r>
      <w:r w:rsidRPr="0069442A">
        <w:t xml:space="preserve">следует отметить, что на рынке имеются большегрузные электрические грузовики </w:t>
      </w:r>
      <w:r w:rsidR="000F782C">
        <w:br/>
      </w:r>
      <w:r w:rsidRPr="0069442A">
        <w:t xml:space="preserve">с пятью или шестью аккумуляторными блоками. Каждый аккумуляторный блок </w:t>
      </w:r>
      <w:r w:rsidR="000F782C">
        <w:br/>
      </w:r>
      <w:r w:rsidRPr="0069442A">
        <w:t>имеет общую энергоемкость 90</w:t>
      </w:r>
      <w:r w:rsidR="000F782C">
        <w:t> </w:t>
      </w:r>
      <w:r w:rsidRPr="0069442A">
        <w:t xml:space="preserve">кВт·ч, что означает совокупную энергоемкость </w:t>
      </w:r>
      <w:r w:rsidR="000F782C">
        <w:br/>
      </w:r>
      <w:r w:rsidRPr="0069442A">
        <w:t>450</w:t>
      </w:r>
      <w:r w:rsidR="000F782C">
        <w:t> </w:t>
      </w:r>
      <w:r w:rsidRPr="0069442A">
        <w:t>кВт·ч или 540</w:t>
      </w:r>
      <w:r w:rsidR="000F782C">
        <w:t> </w:t>
      </w:r>
      <w:r w:rsidRPr="0069442A">
        <w:t>кВт·ч (</w:t>
      </w:r>
      <w:hyperlink r:id="rId14" w:history="1">
        <w:r w:rsidRPr="0069442A">
          <w:rPr>
            <w:rStyle w:val="Hyperlink"/>
          </w:rPr>
          <w:t>https://www.volvotrucks.com/en-en/trucks/alternative-fuels/electric-trucks/faq.html</w:t>
        </w:r>
      </w:hyperlink>
      <w:r w:rsidRPr="0069442A">
        <w:t xml:space="preserve">). Удельная энергоемкость (объемная плотность энергии) литий-ионных батарей зависит от типа батареи, а также от будущих технических усовершенствований. Среднее значение 800 Вт·ч/л для батарей означает удельную энергоемкость 2,88 МДж/л (800 Вт·ч/л*3600 (1 Вт·ч = 3600 джоулей [Дж])). Это значение можно найти на (стр. 58 и далее): </w:t>
      </w:r>
      <w:hyperlink r:id="rId15" w:history="1">
        <w:r w:rsidRPr="0069442A">
          <w:rPr>
            <w:rStyle w:val="Hyperlink"/>
          </w:rPr>
          <w:t>https://ec.europa.eu/energy/topics/technology-and-innovation/batteries-europe/news-articles-and-publications/sra_en</w:t>
        </w:r>
      </w:hyperlink>
      <w:r w:rsidRPr="0069442A">
        <w:t>.</w:t>
      </w:r>
    </w:p>
    <w:p w14:paraId="3826AFEC" w14:textId="6A4253D2" w:rsidR="0069442A" w:rsidRPr="0069442A" w:rsidRDefault="0069442A" w:rsidP="0069442A">
      <w:pPr>
        <w:pStyle w:val="SingleTxtG"/>
      </w:pPr>
      <w:r w:rsidRPr="0069442A">
        <w:t>10.</w:t>
      </w:r>
      <w:r w:rsidRPr="0069442A">
        <w:tab/>
        <w:t>По сравнению с другими видами топлива это значение энергоемкости является низким, и поэтому Швеция считает, что такое изъятие может быть оправданным. Перечень значений энергоемкости для других видов топлива приведен в подразделе</w:t>
      </w:r>
      <w:r w:rsidR="000F782C">
        <w:t> </w:t>
      </w:r>
      <w:r w:rsidRPr="0069442A">
        <w:t>1.1.3.2 ДОПОГ.</w:t>
      </w:r>
    </w:p>
    <w:p w14:paraId="3F37D583" w14:textId="77777777" w:rsidR="0069442A" w:rsidRPr="0069442A" w:rsidRDefault="0069442A" w:rsidP="0069442A">
      <w:pPr>
        <w:pStyle w:val="SingleTxtG"/>
      </w:pPr>
      <w:r w:rsidRPr="0069442A">
        <w:t>11.</w:t>
      </w:r>
      <w:r w:rsidRPr="0069442A">
        <w:tab/>
        <w:t>Конкретные требования, касающиеся соблюдения положений пункта 2.2.9.1.7 о батареях и крепления груза, которые в настоящее время содержатся в специальном положении 389, по-прежнему должны применяться и поэтому переносятся из специального положения 389 в новое специальное положение. Как следствие, специальное положение 389 может быть исключено из ДОПОГ/МПОГ. Никакие другие положения не должны применяться.</w:t>
      </w:r>
    </w:p>
    <w:p w14:paraId="5C06E831" w14:textId="266402C1" w:rsidR="0069442A" w:rsidRPr="0069442A" w:rsidRDefault="0069442A" w:rsidP="0069442A">
      <w:pPr>
        <w:pStyle w:val="SingleTxtG"/>
      </w:pPr>
      <w:r w:rsidRPr="0069442A">
        <w:t>12.</w:t>
      </w:r>
      <w:r w:rsidRPr="0069442A">
        <w:tab/>
        <w:t xml:space="preserve">Как было заявлено на последней сессии Совместного совещания в сентябре 2021 года, Швеция считает, что этот вид перевозок больше распространен на суше и что существует срочная необходимость в разработке соответствующих положений. Они необязательно должны быть такими же строгими, как для морских перевозок, </w:t>
      </w:r>
      <w:r w:rsidR="00BF7467">
        <w:br/>
      </w:r>
      <w:r w:rsidRPr="0069442A">
        <w:t xml:space="preserve">и поэтому этот вопрос должен обсуждаться Совместным совещанием, а не Подкомитетом экспертов ООН по перевозке опасных грузов. Поскольку необходимо найти решение для срочной ситуации с наземными перевозками, Швеция считает нецелесообразным дожидаться результатов конкретной дискуссии о надлежащем отгрузочном наименовании для </w:t>
      </w:r>
      <w:r w:rsidR="000F782C">
        <w:t>№ ООН </w:t>
      </w:r>
      <w:r w:rsidRPr="0069442A">
        <w:t xml:space="preserve">3536, которая ведется в Подкомитете экспертов ООН. Швеция считает, что для мультимодальных перевозок достаточно действующего специального положения 389, содержащегося в публикации «Рекомендации ООН по перевозке опасных грузов </w:t>
      </w:r>
      <w:r w:rsidR="00961933">
        <w:t>—</w:t>
      </w:r>
      <w:r w:rsidRPr="0069442A">
        <w:t xml:space="preserve"> Типовые правила» (пересмотренный вариант 2021 года).</w:t>
      </w:r>
    </w:p>
    <w:p w14:paraId="10068555" w14:textId="77777777" w:rsidR="0069442A" w:rsidRPr="0069442A" w:rsidRDefault="0069442A" w:rsidP="000F782C">
      <w:pPr>
        <w:pStyle w:val="HChG"/>
      </w:pPr>
      <w:r w:rsidRPr="0069442A">
        <w:lastRenderedPageBreak/>
        <w:tab/>
      </w:r>
      <w:r w:rsidRPr="0069442A">
        <w:tab/>
        <w:t>Предложения</w:t>
      </w:r>
    </w:p>
    <w:p w14:paraId="6535C613" w14:textId="65C21E55" w:rsidR="0069442A" w:rsidRPr="0069442A" w:rsidRDefault="000F782C" w:rsidP="00E7547A">
      <w:pPr>
        <w:pStyle w:val="H1G"/>
        <w:spacing w:before="240"/>
      </w:pPr>
      <w:r>
        <w:tab/>
      </w:r>
      <w:r>
        <w:tab/>
      </w:r>
      <w:r w:rsidR="0069442A" w:rsidRPr="0069442A">
        <w:t>Предложение 1</w:t>
      </w:r>
    </w:p>
    <w:p w14:paraId="5AFCA995" w14:textId="77777777" w:rsidR="0069442A" w:rsidRPr="0069442A" w:rsidRDefault="0069442A" w:rsidP="0069442A">
      <w:pPr>
        <w:pStyle w:val="SingleTxtG"/>
      </w:pPr>
      <w:r w:rsidRPr="0069442A">
        <w:t>13.</w:t>
      </w:r>
      <w:r w:rsidRPr="0069442A">
        <w:tab/>
        <w:t>В главу 3.3 включить новое специальное положение следующего содержания:</w:t>
      </w:r>
    </w:p>
    <w:p w14:paraId="2A029B70" w14:textId="77777777" w:rsidR="0069442A" w:rsidRPr="0069442A" w:rsidRDefault="0069442A" w:rsidP="000F782C">
      <w:pPr>
        <w:pStyle w:val="SingleTxtG"/>
        <w:ind w:left="1701" w:hanging="567"/>
        <w:rPr>
          <w:bCs/>
        </w:rPr>
      </w:pPr>
      <w:r w:rsidRPr="0069442A">
        <w:t>«6XX</w:t>
      </w:r>
      <w:r w:rsidRPr="0069442A">
        <w:tab/>
        <w:t>Данная позиция применяется только в отношении грузовых транспортных единиц, в которых установлены литий-ионные батареи или литий-металлические батареи и которые предназначены только для обеспечения электроэнергией внешних потребителей. Никакие другие требования ДОПОГ/МПОГ не применяются, за исключением следующих положений:</w:t>
      </w:r>
    </w:p>
    <w:p w14:paraId="4111D727" w14:textId="4473297C" w:rsidR="0069442A" w:rsidRPr="0069442A" w:rsidRDefault="0069442A" w:rsidP="000F782C">
      <w:pPr>
        <w:pStyle w:val="SingleTxtG"/>
        <w:ind w:left="1701" w:hanging="567"/>
      </w:pPr>
      <w:r w:rsidRPr="0069442A">
        <w:tab/>
        <w:t>[a)]</w:t>
      </w:r>
      <w:r w:rsidRPr="0069442A">
        <w:tab/>
        <w:t>Литиевые батареи должны отвечать положениям пункта 2.2.9.1.7 a)–g) и должны быть снабжены необходимыми системами для предотвращения избыточного заряда и разряда между батареями. Батареи должны быть надежно прикреплены к внутренней структуре грузовой транспортной единицы (например, посредством размещения на полках, в шкафах и т.</w:t>
      </w:r>
      <w:r w:rsidR="000F782C">
        <w:t> </w:t>
      </w:r>
      <w:r w:rsidRPr="0069442A">
        <w:t>д.) таким образом, чтобы исключалась возможность короткого замыкания, случайного срабатывания и значительного перемещения по отношению к грузовой транспортной единице при толчках, нагрузках и вибрации, обычно возникающих в ходе перевозки.</w:t>
      </w:r>
    </w:p>
    <w:p w14:paraId="6477C73C" w14:textId="77777777" w:rsidR="0069442A" w:rsidRPr="0069442A" w:rsidRDefault="0069442A" w:rsidP="000F782C">
      <w:pPr>
        <w:pStyle w:val="SingleTxtG"/>
        <w:ind w:left="1701" w:hanging="567"/>
      </w:pPr>
      <w:r w:rsidRPr="0069442A">
        <w:tab/>
        <w:t>[b)]</w:t>
      </w:r>
      <w:r w:rsidRPr="0069442A">
        <w:tab/>
        <w:t>Опасные грузы, необходимые для безопасного и надлежащего функционирования грузовой транспортной единицы (например, системы пожаротушения и кондиционирования воздуха), должны быть надлежащим образом прикреплены к грузовой транспортной единице или установлены в ней и, кроме того, не подпадают под действие ДОПОГ/МПОГ. Опасные грузы, которые не являются необходимыми для безопасного и надлежащего функционирования грузовой транспортной единицы, не должны перевозиться в данной грузовой транспортной единице. Батареи, находящиеся внутри грузовой транспортной единицы, не подпадают под действие требований в отношении маркировки и знаков опасности.</w:t>
      </w:r>
    </w:p>
    <w:p w14:paraId="7AE2FA08" w14:textId="77777777" w:rsidR="000F782C" w:rsidRDefault="0069442A" w:rsidP="000F782C">
      <w:pPr>
        <w:pStyle w:val="SingleTxtG"/>
        <w:ind w:left="1701" w:hanging="567"/>
      </w:pPr>
      <w:r w:rsidRPr="0069442A">
        <w:tab/>
        <w:t>[c)]</w:t>
      </w:r>
      <w:r w:rsidRPr="0069442A">
        <w:tab/>
        <w:t>Если максимальная общая энергоемкость превышает 100 кВт·ч, грузовая транспортная единица должна быть снабжена табличками оранжевого цвета в соответствии с подразделом 5.3.2.2 и большими знаками опасности в соответствии с подразделом 5.3.1.1 на двух противоположных боковых сторонах, а также требуется транспортный документ в соответствии с разделом</w:t>
      </w:r>
      <w:r w:rsidR="000F782C">
        <w:t> </w:t>
      </w:r>
      <w:r w:rsidRPr="0069442A">
        <w:t xml:space="preserve">5.4.1. В транспортном документе должна быть сделана следующая дополнительная запись: </w:t>
      </w:r>
    </w:p>
    <w:p w14:paraId="6223415B" w14:textId="709EEE7A" w:rsidR="0069442A" w:rsidRPr="0069442A" w:rsidRDefault="000F782C" w:rsidP="000F782C">
      <w:pPr>
        <w:pStyle w:val="SingleTxtG"/>
        <w:ind w:left="1701" w:hanging="567"/>
      </w:pPr>
      <w:r>
        <w:tab/>
        <w:t>"</w:t>
      </w:r>
      <w:r w:rsidR="0069442A" w:rsidRPr="0069442A">
        <w:t>Перевозка в соответствии со специальным положением 6ХХ</w:t>
      </w:r>
      <w:r>
        <w:t>"</w:t>
      </w:r>
      <w:r w:rsidR="0069442A" w:rsidRPr="0069442A">
        <w:t xml:space="preserve">.». </w:t>
      </w:r>
    </w:p>
    <w:p w14:paraId="775FAD06" w14:textId="6E4B30D2" w:rsidR="0069442A" w:rsidRPr="0069442A" w:rsidRDefault="000F782C" w:rsidP="00E7547A">
      <w:pPr>
        <w:pStyle w:val="H1G"/>
        <w:spacing w:before="240"/>
      </w:pPr>
      <w:r>
        <w:tab/>
      </w:r>
      <w:r>
        <w:tab/>
      </w:r>
      <w:r w:rsidR="0069442A" w:rsidRPr="0069442A">
        <w:t>Предложение 2</w:t>
      </w:r>
    </w:p>
    <w:p w14:paraId="2C7DB3FF" w14:textId="5DCA0346" w:rsidR="0069442A" w:rsidRPr="0069442A" w:rsidRDefault="0069442A" w:rsidP="0069442A">
      <w:pPr>
        <w:pStyle w:val="SingleTxtG"/>
      </w:pPr>
      <w:r w:rsidRPr="0069442A">
        <w:t>14.</w:t>
      </w:r>
      <w:r w:rsidRPr="0069442A">
        <w:tab/>
        <w:t>В главе 3.2 включить новое специальное положение 6XX в колонку 6 таблицы</w:t>
      </w:r>
      <w:r w:rsidR="00246513">
        <w:t> </w:t>
      </w:r>
      <w:r w:rsidRPr="0069442A">
        <w:t xml:space="preserve">А против позиции для </w:t>
      </w:r>
      <w:r w:rsidR="000F782C">
        <w:t>№ ООН </w:t>
      </w:r>
      <w:r w:rsidRPr="0069442A">
        <w:t>3536.</w:t>
      </w:r>
    </w:p>
    <w:p w14:paraId="6D6EF801" w14:textId="7E8A6736" w:rsidR="0069442A" w:rsidRPr="0069442A" w:rsidRDefault="000F782C" w:rsidP="00E7547A">
      <w:pPr>
        <w:pStyle w:val="H1G"/>
        <w:spacing w:before="240"/>
      </w:pPr>
      <w:r>
        <w:tab/>
      </w:r>
      <w:r>
        <w:tab/>
      </w:r>
      <w:r w:rsidR="0069442A" w:rsidRPr="0069442A">
        <w:t>Сопутствующие поправки</w:t>
      </w:r>
    </w:p>
    <w:p w14:paraId="552D2B4F" w14:textId="77777777" w:rsidR="0069442A" w:rsidRPr="0069442A" w:rsidRDefault="0069442A" w:rsidP="0069442A">
      <w:pPr>
        <w:pStyle w:val="SingleTxtG"/>
      </w:pPr>
      <w:r w:rsidRPr="0069442A">
        <w:t>15.</w:t>
      </w:r>
      <w:r w:rsidRPr="0069442A">
        <w:tab/>
        <w:t>Изменить первое примечание в пункте 2.2.9.1.7 следующим образом (новый текст подчеркнут, исключенный текст зачеркнут):</w:t>
      </w:r>
    </w:p>
    <w:p w14:paraId="40E353BC" w14:textId="49FCC72D" w:rsidR="0069442A" w:rsidRPr="0069442A" w:rsidRDefault="0069442A" w:rsidP="0069442A">
      <w:pPr>
        <w:pStyle w:val="SingleTxtG"/>
      </w:pPr>
      <w:r w:rsidRPr="0069442A">
        <w:t>«</w:t>
      </w:r>
      <w:r w:rsidRPr="0069442A">
        <w:rPr>
          <w:b/>
          <w:bCs/>
          <w:i/>
          <w:iCs/>
        </w:rPr>
        <w:t>ПРИМЕЧАНИЕ:</w:t>
      </w:r>
      <w:r w:rsidRPr="0069442A">
        <w:t xml:space="preserve"> </w:t>
      </w:r>
      <w:r w:rsidRPr="0069442A">
        <w:tab/>
      </w:r>
      <w:r w:rsidR="00246513">
        <w:tab/>
      </w:r>
      <w:r w:rsidR="00246513">
        <w:tab/>
      </w:r>
      <w:r w:rsidRPr="0069442A">
        <w:rPr>
          <w:i/>
          <w:iCs/>
        </w:rPr>
        <w:t xml:space="preserve">В отношении </w:t>
      </w:r>
      <w:r w:rsidR="000F782C">
        <w:rPr>
          <w:i/>
          <w:iCs/>
        </w:rPr>
        <w:t>№ ООН </w:t>
      </w:r>
      <w:r w:rsidRPr="0069442A">
        <w:rPr>
          <w:i/>
          <w:iCs/>
        </w:rPr>
        <w:t xml:space="preserve">3536 БАТАРЕИ ЛИТИЕВЫЕ, УСТАНОВЛЕННЫЕ В ГРУЗОВОЙ ТРАНСПОРТНОЙ ЕДИНИЦЕ, см. специальное положение </w:t>
      </w:r>
      <w:r w:rsidRPr="0069442A">
        <w:rPr>
          <w:i/>
          <w:iCs/>
          <w:u w:val="single"/>
        </w:rPr>
        <w:t>6XX</w:t>
      </w:r>
      <w:r w:rsidRPr="0069442A">
        <w:rPr>
          <w:i/>
          <w:iCs/>
        </w:rPr>
        <w:t xml:space="preserve"> </w:t>
      </w:r>
      <w:r w:rsidRPr="0069442A">
        <w:rPr>
          <w:i/>
          <w:iCs/>
          <w:strike/>
        </w:rPr>
        <w:t>389</w:t>
      </w:r>
      <w:r w:rsidRPr="0069442A">
        <w:rPr>
          <w:i/>
          <w:iCs/>
        </w:rPr>
        <w:t xml:space="preserve"> главы 3.3.</w:t>
      </w:r>
      <w:r w:rsidRPr="0069442A">
        <w:t>».</w:t>
      </w:r>
    </w:p>
    <w:p w14:paraId="6C102B8F" w14:textId="1EA679C1" w:rsidR="0069442A" w:rsidRPr="0069442A" w:rsidRDefault="0069442A" w:rsidP="0069442A">
      <w:pPr>
        <w:pStyle w:val="SingleTxtG"/>
      </w:pPr>
      <w:r w:rsidRPr="0069442A">
        <w:t xml:space="preserve">Исключить специальное положение 389 в колонке 6 таблицы А против позиции для </w:t>
      </w:r>
      <w:r w:rsidR="000F782C">
        <w:t>№ ООН </w:t>
      </w:r>
      <w:r w:rsidRPr="0069442A">
        <w:t>3536.</w:t>
      </w:r>
    </w:p>
    <w:p w14:paraId="43640C1A" w14:textId="7399B3C2" w:rsidR="0069442A" w:rsidRPr="0069442A" w:rsidRDefault="0069442A" w:rsidP="0069442A">
      <w:pPr>
        <w:pStyle w:val="SingleTxtG"/>
      </w:pPr>
      <w:r w:rsidRPr="0069442A">
        <w:t>В пункте 3.3.1 изменить специальное положение 389 следующим образом:</w:t>
      </w:r>
    </w:p>
    <w:p w14:paraId="27F826B4" w14:textId="77777777" w:rsidR="00E7547A" w:rsidRDefault="0069442A" w:rsidP="00E7547A">
      <w:pPr>
        <w:pStyle w:val="SingleTxtG"/>
      </w:pPr>
      <w:r w:rsidRPr="0069442A">
        <w:t>«389</w:t>
      </w:r>
      <w:r w:rsidRPr="0069442A">
        <w:tab/>
        <w:t>(Исключено)».</w:t>
      </w:r>
    </w:p>
    <w:p w14:paraId="285AC0E6" w14:textId="4228880D" w:rsidR="0069442A" w:rsidRPr="0069442A" w:rsidRDefault="0069442A" w:rsidP="00E7547A">
      <w:pPr>
        <w:pStyle w:val="HChG"/>
      </w:pPr>
      <w:r w:rsidRPr="0069442A">
        <w:br w:type="page"/>
      </w:r>
      <w:r w:rsidRPr="0069442A">
        <w:lastRenderedPageBreak/>
        <w:t>Приложение</w:t>
      </w:r>
    </w:p>
    <w:p w14:paraId="3CA6FC6A" w14:textId="7CC02EA3" w:rsidR="0069442A" w:rsidRPr="0069442A" w:rsidRDefault="000F782C" w:rsidP="000F782C">
      <w:pPr>
        <w:pStyle w:val="H1G"/>
      </w:pPr>
      <w:r>
        <w:tab/>
      </w:r>
      <w:r>
        <w:tab/>
      </w:r>
      <w:r w:rsidR="0069442A" w:rsidRPr="0069442A">
        <w:t>Веб-сайты с дополнительной информацией об энергетических системах</w:t>
      </w:r>
    </w:p>
    <w:p w14:paraId="6D2E4592" w14:textId="77777777" w:rsidR="0069442A" w:rsidRPr="0069442A" w:rsidRDefault="00F95E3E" w:rsidP="0069442A">
      <w:pPr>
        <w:pStyle w:val="SingleTxtG"/>
      </w:pPr>
      <w:hyperlink r:id="rId16" w:history="1">
        <w:r w:rsidR="0069442A" w:rsidRPr="0069442A">
          <w:rPr>
            <w:rStyle w:val="Hyperlink"/>
            <w:lang w:val="en-GB"/>
          </w:rPr>
          <w:t>https</w:t>
        </w:r>
        <w:r w:rsidR="0069442A" w:rsidRPr="0069442A">
          <w:rPr>
            <w:rStyle w:val="Hyperlink"/>
          </w:rPr>
          <w:t>://</w:t>
        </w:r>
        <w:r w:rsidR="0069442A" w:rsidRPr="0069442A">
          <w:rPr>
            <w:rStyle w:val="Hyperlink"/>
            <w:lang w:val="en-GB"/>
          </w:rPr>
          <w:t>www</w:t>
        </w:r>
        <w:r w:rsidR="0069442A" w:rsidRPr="0069442A">
          <w:rPr>
            <w:rStyle w:val="Hyperlink"/>
          </w:rPr>
          <w:t>.</w:t>
        </w:r>
        <w:r w:rsidR="0069442A" w:rsidRPr="0069442A">
          <w:rPr>
            <w:rStyle w:val="Hyperlink"/>
            <w:lang w:val="en-GB"/>
          </w:rPr>
          <w:t>tillquist</w:t>
        </w:r>
        <w:r w:rsidR="0069442A" w:rsidRPr="0069442A">
          <w:rPr>
            <w:rStyle w:val="Hyperlink"/>
          </w:rPr>
          <w:t>.</w:t>
        </w:r>
        <w:r w:rsidR="0069442A" w:rsidRPr="0069442A">
          <w:rPr>
            <w:rStyle w:val="Hyperlink"/>
            <w:lang w:val="en-GB"/>
          </w:rPr>
          <w:t>com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en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energy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energy</w:t>
        </w:r>
        <w:r w:rsidR="0069442A" w:rsidRPr="0069442A">
          <w:rPr>
            <w:rStyle w:val="Hyperlink"/>
          </w:rPr>
          <w:t>-</w:t>
        </w:r>
        <w:r w:rsidR="0069442A" w:rsidRPr="0069442A">
          <w:rPr>
            <w:rStyle w:val="Hyperlink"/>
            <w:lang w:val="en-GB"/>
          </w:rPr>
          <w:t>storage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ees</w:t>
        </w:r>
        <w:r w:rsidR="0069442A" w:rsidRPr="0069442A">
          <w:rPr>
            <w:rStyle w:val="Hyperlink"/>
          </w:rPr>
          <w:t>-</w:t>
        </w:r>
        <w:r w:rsidR="0069442A" w:rsidRPr="0069442A">
          <w:rPr>
            <w:rStyle w:val="Hyperlink"/>
            <w:lang w:val="en-GB"/>
          </w:rPr>
          <w:t>energy</w:t>
        </w:r>
        <w:r w:rsidR="0069442A" w:rsidRPr="0069442A">
          <w:rPr>
            <w:rStyle w:val="Hyperlink"/>
          </w:rPr>
          <w:t>-</w:t>
        </w:r>
        <w:r w:rsidR="0069442A" w:rsidRPr="0069442A">
          <w:rPr>
            <w:rStyle w:val="Hyperlink"/>
            <w:lang w:val="en-GB"/>
          </w:rPr>
          <w:t>storage</w:t>
        </w:r>
        <w:r w:rsidR="0069442A" w:rsidRPr="0069442A">
          <w:rPr>
            <w:rStyle w:val="Hyperlink"/>
          </w:rPr>
          <w:t>-</w:t>
        </w:r>
        <w:r w:rsidR="0069442A" w:rsidRPr="0069442A">
          <w:rPr>
            <w:rStyle w:val="Hyperlink"/>
            <w:lang w:val="en-GB"/>
          </w:rPr>
          <w:t>systems</w:t>
        </w:r>
      </w:hyperlink>
    </w:p>
    <w:p w14:paraId="232FF4CB" w14:textId="77777777" w:rsidR="0069442A" w:rsidRPr="0069442A" w:rsidRDefault="00F95E3E" w:rsidP="0069442A">
      <w:pPr>
        <w:pStyle w:val="SingleTxtG"/>
      </w:pPr>
      <w:hyperlink r:id="rId17" w:history="1">
        <w:r w:rsidR="0069442A" w:rsidRPr="0069442A">
          <w:rPr>
            <w:rStyle w:val="Hyperlink"/>
            <w:lang w:val="en-GB"/>
          </w:rPr>
          <w:t>https</w:t>
        </w:r>
        <w:r w:rsidR="0069442A" w:rsidRPr="0069442A">
          <w:rPr>
            <w:rStyle w:val="Hyperlink"/>
          </w:rPr>
          <w:t>://</w:t>
        </w:r>
        <w:r w:rsidR="0069442A" w:rsidRPr="0069442A">
          <w:rPr>
            <w:rStyle w:val="Hyperlink"/>
            <w:lang w:val="en-GB"/>
          </w:rPr>
          <w:t>www</w:t>
        </w:r>
        <w:r w:rsidR="0069442A" w:rsidRPr="0069442A">
          <w:rPr>
            <w:rStyle w:val="Hyperlink"/>
          </w:rPr>
          <w:t>.</w:t>
        </w:r>
        <w:r w:rsidR="0069442A" w:rsidRPr="0069442A">
          <w:rPr>
            <w:rStyle w:val="Hyperlink"/>
            <w:lang w:val="en-GB"/>
          </w:rPr>
          <w:t>atlascopco</w:t>
        </w:r>
        <w:r w:rsidR="0069442A" w:rsidRPr="0069442A">
          <w:rPr>
            <w:rStyle w:val="Hyperlink"/>
          </w:rPr>
          <w:t>.</w:t>
        </w:r>
        <w:r w:rsidR="0069442A" w:rsidRPr="0069442A">
          <w:rPr>
            <w:rStyle w:val="Hyperlink"/>
            <w:lang w:val="en-GB"/>
          </w:rPr>
          <w:t>com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sv</w:t>
        </w:r>
        <w:r w:rsidR="0069442A" w:rsidRPr="0069442A">
          <w:rPr>
            <w:rStyle w:val="Hyperlink"/>
          </w:rPr>
          <w:t>-</w:t>
        </w:r>
        <w:r w:rsidR="0069442A" w:rsidRPr="0069442A">
          <w:rPr>
            <w:rStyle w:val="Hyperlink"/>
            <w:lang w:val="en-GB"/>
          </w:rPr>
          <w:t>se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construction</w:t>
        </w:r>
        <w:r w:rsidR="0069442A" w:rsidRPr="0069442A">
          <w:rPr>
            <w:rStyle w:val="Hyperlink"/>
          </w:rPr>
          <w:t>-</w:t>
        </w:r>
        <w:r w:rsidR="0069442A" w:rsidRPr="0069442A">
          <w:rPr>
            <w:rStyle w:val="Hyperlink"/>
            <w:lang w:val="en-GB"/>
          </w:rPr>
          <w:t>equipment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products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energy</w:t>
        </w:r>
        <w:r w:rsidR="0069442A" w:rsidRPr="0069442A">
          <w:rPr>
            <w:rStyle w:val="Hyperlink"/>
          </w:rPr>
          <w:t>-</w:t>
        </w:r>
        <w:r w:rsidR="0069442A" w:rsidRPr="0069442A">
          <w:rPr>
            <w:rStyle w:val="Hyperlink"/>
            <w:lang w:val="en-GB"/>
          </w:rPr>
          <w:t>storage</w:t>
        </w:r>
        <w:r w:rsidR="0069442A" w:rsidRPr="0069442A">
          <w:rPr>
            <w:rStyle w:val="Hyperlink"/>
          </w:rPr>
          <w:t>-</w:t>
        </w:r>
        <w:r w:rsidR="0069442A" w:rsidRPr="0069442A">
          <w:rPr>
            <w:rStyle w:val="Hyperlink"/>
            <w:lang w:val="en-GB"/>
          </w:rPr>
          <w:t>systems</w:t>
        </w:r>
        <w:r w:rsidR="0069442A" w:rsidRPr="0069442A">
          <w:rPr>
            <w:rStyle w:val="Hyperlink"/>
          </w:rPr>
          <w:t>/</w:t>
        </w:r>
        <w:r w:rsidR="0069442A" w:rsidRPr="0069442A">
          <w:rPr>
            <w:rStyle w:val="Hyperlink"/>
            <w:lang w:val="en-GB"/>
          </w:rPr>
          <w:t>large</w:t>
        </w:r>
      </w:hyperlink>
    </w:p>
    <w:p w14:paraId="73F075B4" w14:textId="069DCD8B" w:rsidR="0069442A" w:rsidRPr="0069442A" w:rsidRDefault="000F782C" w:rsidP="000F782C">
      <w:pPr>
        <w:pStyle w:val="H1G"/>
      </w:pPr>
      <w:r>
        <w:tab/>
      </w:r>
      <w:r>
        <w:tab/>
      </w:r>
      <w:r w:rsidR="0069442A" w:rsidRPr="0069442A">
        <w:t>Сравнение между новым специальным положением и</w:t>
      </w:r>
      <w:r w:rsidR="00F54939">
        <w:t> </w:t>
      </w:r>
      <w:r w:rsidR="0069442A" w:rsidRPr="0069442A">
        <w:t xml:space="preserve">существующим специальным положением 389 </w:t>
      </w:r>
      <w:r w:rsidR="00F54939">
        <w:br/>
      </w:r>
      <w:r w:rsidR="0069442A" w:rsidRPr="0069442A">
        <w:t>(новый текст выделен жирным шрифтом)</w:t>
      </w:r>
    </w:p>
    <w:p w14:paraId="6AE07799" w14:textId="77777777" w:rsidR="0069442A" w:rsidRPr="0069442A" w:rsidRDefault="0069442A" w:rsidP="000F782C">
      <w:pPr>
        <w:pStyle w:val="SingleTxtG"/>
        <w:ind w:left="1701" w:hanging="567"/>
        <w:rPr>
          <w:b/>
          <w:bCs/>
        </w:rPr>
      </w:pPr>
      <w:r w:rsidRPr="0069442A">
        <w:t>«6XX</w:t>
      </w:r>
      <w:r w:rsidRPr="0069442A">
        <w:tab/>
        <w:t xml:space="preserve">Данная позиция применяется только в отношении грузовых транспортных единиц, в которых установлены литий-ионные батареи или литий-металлические батареи и которые предназначены только для обеспечения электроэнергией внешних потребителей. </w:t>
      </w:r>
      <w:r w:rsidRPr="0069442A">
        <w:rPr>
          <w:b/>
          <w:bCs/>
        </w:rPr>
        <w:t>Никакие другие требования ДОПОГ/МПОГ не применяются, за исключением следующих положений:</w:t>
      </w:r>
    </w:p>
    <w:p w14:paraId="40590711" w14:textId="667D6046" w:rsidR="0069442A" w:rsidRPr="0069442A" w:rsidRDefault="00247583" w:rsidP="000F782C">
      <w:pPr>
        <w:pStyle w:val="SingleTxtG"/>
        <w:ind w:left="1701" w:hanging="567"/>
      </w:pPr>
      <w:r>
        <w:tab/>
      </w:r>
      <w:r w:rsidR="0069442A" w:rsidRPr="0069442A">
        <w:t>Литиевые батареи должны отвечать положениям пункта 2.2.9.1.7 a)–g) и должны быть снабжены необходимыми системами для предотвращения избыточного заряда и разряда между батареями. Батареи должны быть надежно прикреплены к внутренней структуре грузовой транспортной единицы (например, посредством размещения на полках, в шкафах и т. д.) таким образом, чтобы исключалась возможность короткого замыкания, случайного срабатывания и значительного перемещения по отношению к грузовой транспортной единице при толчках, нагрузках и вибрации, обычно возникающих в ходе перевозки. Опасные грузы, необходимые для безопасного и надлежащего функционирования грузовой транспортной единицы (например, системы пожаротушения и кондиционирования воздуха), должны быть надлежащим образом прикреплены к грузовой транспортной единице или установлены в ней и, кроме того, не подпадают под действие ДОПОГ/МПОГ. Опасные грузы, которые не являются необходимыми для безопасного и надлежащего функционирования грузовой транспортной единицы, не должны перевозиться в данной грузовой транспортной единице. Батареи, находящиеся внутри грузовой транспортной единицы, не подпадают под действие требований в отношении маркировки и знаков опасности.</w:t>
      </w:r>
    </w:p>
    <w:p w14:paraId="3270F2F7" w14:textId="6097EC9D" w:rsidR="0069442A" w:rsidRPr="0069442A" w:rsidRDefault="00247583" w:rsidP="000F782C">
      <w:pPr>
        <w:pStyle w:val="SingleTxtG"/>
        <w:ind w:left="1701" w:hanging="567"/>
      </w:pPr>
      <w:r>
        <w:rPr>
          <w:b/>
          <w:bCs/>
        </w:rPr>
        <w:tab/>
      </w:r>
      <w:r w:rsidR="0069442A" w:rsidRPr="0069442A">
        <w:rPr>
          <w:b/>
          <w:bCs/>
        </w:rPr>
        <w:t>Если максимальная общая энергоемкость превышает 100 кВт·ч,</w:t>
      </w:r>
      <w:r w:rsidR="0069442A" w:rsidRPr="0069442A">
        <w:t xml:space="preserve"> грузовая транспортная единица должна быть снабжена табличками оранжевого цвета в соответствии с подразделом 5.3.2.2 и большими знаками опасности в соответствии с подразделом 5.3.1.1 на двух противоположных боковых сторонах</w:t>
      </w:r>
      <w:r w:rsidR="0069442A" w:rsidRPr="0069442A">
        <w:rPr>
          <w:b/>
          <w:bCs/>
        </w:rPr>
        <w:t>, а также требуется транспортный документ в соответствии с разделом 5.4.1</w:t>
      </w:r>
      <w:r w:rsidR="0069442A" w:rsidRPr="0069442A">
        <w:t xml:space="preserve">. </w:t>
      </w:r>
      <w:r w:rsidR="0069442A" w:rsidRPr="0069442A">
        <w:rPr>
          <w:b/>
          <w:bCs/>
        </w:rPr>
        <w:t xml:space="preserve">В транспортном документе должна быть сделана следующая дополнительная запись: </w:t>
      </w:r>
      <w:r>
        <w:rPr>
          <w:b/>
          <w:bCs/>
        </w:rPr>
        <w:t>"</w:t>
      </w:r>
      <w:r w:rsidR="0069442A" w:rsidRPr="0069442A">
        <w:rPr>
          <w:b/>
          <w:bCs/>
        </w:rPr>
        <w:t>Перевозка в соответствии со специальным положением ХХХ</w:t>
      </w:r>
      <w:r>
        <w:rPr>
          <w:b/>
          <w:bCs/>
        </w:rPr>
        <w:t>"</w:t>
      </w:r>
      <w:r w:rsidR="0069442A" w:rsidRPr="0069442A">
        <w:rPr>
          <w:b/>
          <w:bCs/>
        </w:rPr>
        <w:t>.</w:t>
      </w:r>
      <w:r w:rsidR="0069442A" w:rsidRPr="0069442A">
        <w:t>».</w:t>
      </w:r>
    </w:p>
    <w:p w14:paraId="440453B5" w14:textId="3F5D2BEF" w:rsidR="00E12C5F" w:rsidRPr="00247583" w:rsidRDefault="00247583" w:rsidP="00247583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247583" w:rsidSect="0069442A">
      <w:headerReference w:type="even" r:id="rId18"/>
      <w:headerReference w:type="default" r:id="rId19"/>
      <w:footerReference w:type="even" r:id="rId20"/>
      <w:footerReference w:type="default" r:id="rId21"/>
      <w:footerReference w:type="first" r:id="rId2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1B07" w14:textId="77777777" w:rsidR="002E49CB" w:rsidRPr="00A312BC" w:rsidRDefault="002E49CB" w:rsidP="00A312BC"/>
  </w:endnote>
  <w:endnote w:type="continuationSeparator" w:id="0">
    <w:p w14:paraId="2130EA2A" w14:textId="77777777" w:rsidR="002E49CB" w:rsidRPr="00A312BC" w:rsidRDefault="002E49C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DEF0F" w14:textId="5258A09A" w:rsidR="0069442A" w:rsidRPr="0069442A" w:rsidRDefault="0069442A">
    <w:pPr>
      <w:pStyle w:val="Footer"/>
    </w:pPr>
    <w:r w:rsidRPr="0069442A">
      <w:rPr>
        <w:b/>
        <w:sz w:val="18"/>
      </w:rPr>
      <w:fldChar w:fldCharType="begin"/>
    </w:r>
    <w:r w:rsidRPr="0069442A">
      <w:rPr>
        <w:b/>
        <w:sz w:val="18"/>
      </w:rPr>
      <w:instrText xml:space="preserve"> PAGE  \* MERGEFORMAT </w:instrText>
    </w:r>
    <w:r w:rsidRPr="0069442A">
      <w:rPr>
        <w:b/>
        <w:sz w:val="18"/>
      </w:rPr>
      <w:fldChar w:fldCharType="separate"/>
    </w:r>
    <w:r w:rsidRPr="0069442A">
      <w:rPr>
        <w:b/>
        <w:noProof/>
        <w:sz w:val="18"/>
      </w:rPr>
      <w:t>2</w:t>
    </w:r>
    <w:r w:rsidRPr="0069442A">
      <w:rPr>
        <w:b/>
        <w:sz w:val="18"/>
      </w:rPr>
      <w:fldChar w:fldCharType="end"/>
    </w:r>
    <w:r>
      <w:rPr>
        <w:b/>
        <w:sz w:val="18"/>
      </w:rPr>
      <w:tab/>
    </w:r>
    <w:r>
      <w:t>GE.21-19727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AB617" w14:textId="550B7D9C" w:rsidR="0069442A" w:rsidRPr="0069442A" w:rsidRDefault="0069442A" w:rsidP="0069442A">
    <w:pPr>
      <w:pStyle w:val="Footer"/>
      <w:tabs>
        <w:tab w:val="clear" w:pos="9639"/>
        <w:tab w:val="right" w:pos="9638"/>
      </w:tabs>
      <w:rPr>
        <w:b/>
        <w:sz w:val="18"/>
      </w:rPr>
    </w:pPr>
    <w:r>
      <w:t>GE.21-19727</w:t>
    </w:r>
    <w:r>
      <w:tab/>
    </w:r>
    <w:r w:rsidRPr="0069442A">
      <w:rPr>
        <w:b/>
        <w:sz w:val="18"/>
      </w:rPr>
      <w:fldChar w:fldCharType="begin"/>
    </w:r>
    <w:r w:rsidRPr="0069442A">
      <w:rPr>
        <w:b/>
        <w:sz w:val="18"/>
      </w:rPr>
      <w:instrText xml:space="preserve"> PAGE  \* MERGEFORMAT </w:instrText>
    </w:r>
    <w:r w:rsidRPr="0069442A">
      <w:rPr>
        <w:b/>
        <w:sz w:val="18"/>
      </w:rPr>
      <w:fldChar w:fldCharType="separate"/>
    </w:r>
    <w:r w:rsidRPr="0069442A">
      <w:rPr>
        <w:b/>
        <w:noProof/>
        <w:sz w:val="18"/>
      </w:rPr>
      <w:t>3</w:t>
    </w:r>
    <w:r w:rsidRPr="006944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C1A05" w14:textId="2FC8EEEF" w:rsidR="00042B72" w:rsidRPr="008F2594" w:rsidRDefault="0069442A" w:rsidP="0069442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99E6CC4" wp14:editId="1F34979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21-19727  (R)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140CC" wp14:editId="53DEC990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2F10D" id="AutoShape 1" o:spid="_x0000_s1026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" filled="f" stroked="f">
              <o:lock v:ext="edit" aspectratio="t"/>
              <w10:wrap anchorx="margin" anchory="margin"/>
            </v:rect>
          </w:pict>
        </mc:Fallback>
      </mc:AlternateContent>
    </w:r>
    <w:r w:rsidR="008F2594">
      <w:t xml:space="preserve">   </w:t>
    </w:r>
    <w:r w:rsidR="008F2594">
      <w:rPr>
        <w:lang w:val="en-US"/>
      </w:rPr>
      <w:t>140122   200122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37DBE" w14:textId="77777777" w:rsidR="002E49CB" w:rsidRPr="001075E9" w:rsidRDefault="002E49C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FB615DA" w14:textId="77777777" w:rsidR="002E49CB" w:rsidRDefault="002E49C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9E3247" w14:textId="34DF4EEA" w:rsidR="0069442A" w:rsidRPr="0069442A" w:rsidRDefault="0069442A">
      <w:pPr>
        <w:pStyle w:val="FootnoteText"/>
        <w:rPr>
          <w:sz w:val="20"/>
        </w:rPr>
      </w:pPr>
      <w:r>
        <w:tab/>
      </w:r>
      <w:r w:rsidRPr="0069442A">
        <w:rPr>
          <w:rStyle w:val="FootnoteReference"/>
          <w:sz w:val="20"/>
          <w:vertAlign w:val="baseline"/>
        </w:rPr>
        <w:t>*</w:t>
      </w:r>
      <w:r w:rsidRPr="0069442A">
        <w:rPr>
          <w:rStyle w:val="FootnoteReference"/>
          <w:vertAlign w:val="baseline"/>
        </w:rPr>
        <w:tab/>
      </w:r>
      <w:r>
        <w:t>A/76/6 (разд. 20), п. 20.76.</w:t>
      </w:r>
    </w:p>
  </w:footnote>
  <w:footnote w:id="2">
    <w:p w14:paraId="2E40FF19" w14:textId="7886E751" w:rsidR="0069442A" w:rsidRPr="0069442A" w:rsidRDefault="0069442A">
      <w:pPr>
        <w:pStyle w:val="FootnoteText"/>
        <w:rPr>
          <w:sz w:val="20"/>
        </w:rPr>
      </w:pPr>
      <w:r>
        <w:tab/>
      </w:r>
      <w:r w:rsidRPr="0069442A">
        <w:rPr>
          <w:rStyle w:val="FootnoteReference"/>
          <w:sz w:val="20"/>
          <w:vertAlign w:val="baseline"/>
        </w:rPr>
        <w:t>**</w:t>
      </w:r>
      <w:r w:rsidRPr="0069442A">
        <w:rPr>
          <w:rStyle w:val="FootnoteReference"/>
          <w:vertAlign w:val="baseline"/>
        </w:rPr>
        <w:tab/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OTIF/RID/RC/2022/20.</w:t>
      </w:r>
    </w:p>
  </w:footnote>
  <w:footnote w:id="3">
    <w:p w14:paraId="0EE0E009" w14:textId="3E4EA254" w:rsidR="0069442A" w:rsidRPr="0069442A" w:rsidRDefault="0069442A">
      <w:pPr>
        <w:pStyle w:val="FootnoteText"/>
        <w:rPr>
          <w:sz w:val="20"/>
        </w:rPr>
      </w:pPr>
      <w:r>
        <w:tab/>
      </w:r>
      <w:r w:rsidRPr="0069442A">
        <w:rPr>
          <w:rStyle w:val="FootnoteReference"/>
          <w:sz w:val="20"/>
          <w:vertAlign w:val="baseline"/>
        </w:rPr>
        <w:t>***</w:t>
      </w:r>
      <w:r w:rsidRPr="0069442A">
        <w:rPr>
          <w:rStyle w:val="FootnoteReference"/>
          <w:vertAlign w:val="baseline"/>
        </w:rPr>
        <w:tab/>
      </w:r>
      <w:r>
        <w:t>Настоящий документ был запланирован к изданию после установленного срока в силу обстоятельств, не зависящих от представившей его стороны.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9C11C" w14:textId="7CC8F31E" w:rsidR="0069442A" w:rsidRPr="0069442A" w:rsidRDefault="009051B9">
    <w:pPr>
      <w:pStyle w:val="Header"/>
    </w:pPr>
    <w:fldSimple w:instr=" TITLE  \* MERGEFORMAT ">
      <w:r>
        <w:t>ECE/TRANS/WP.15/AC.1/2022/20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8CAFE" w14:textId="2BFABF31" w:rsidR="0069442A" w:rsidRPr="0069442A" w:rsidRDefault="009051B9" w:rsidP="0069442A">
    <w:pPr>
      <w:pStyle w:val="Header"/>
      <w:jc w:val="right"/>
    </w:pPr>
    <w:fldSimple w:instr=" TITLE  \* MERGEFORMAT ">
      <w:r>
        <w:t>ECE/TRANS/WP.15/AC.1/2022/20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B"/>
    <w:rsid w:val="00033EE1"/>
    <w:rsid w:val="00042B72"/>
    <w:rsid w:val="000558BD"/>
    <w:rsid w:val="000B57E7"/>
    <w:rsid w:val="000B6373"/>
    <w:rsid w:val="000C05B3"/>
    <w:rsid w:val="000E4E5B"/>
    <w:rsid w:val="000F09DF"/>
    <w:rsid w:val="000F61B2"/>
    <w:rsid w:val="000F782C"/>
    <w:rsid w:val="001075E9"/>
    <w:rsid w:val="0014152F"/>
    <w:rsid w:val="00180183"/>
    <w:rsid w:val="0018024D"/>
    <w:rsid w:val="0018649F"/>
    <w:rsid w:val="00196389"/>
    <w:rsid w:val="001B3EF6"/>
    <w:rsid w:val="001C7A89"/>
    <w:rsid w:val="00227A0F"/>
    <w:rsid w:val="00246513"/>
    <w:rsid w:val="00247583"/>
    <w:rsid w:val="00255343"/>
    <w:rsid w:val="0027151D"/>
    <w:rsid w:val="002A2EFC"/>
    <w:rsid w:val="002B0106"/>
    <w:rsid w:val="002B74B1"/>
    <w:rsid w:val="002C0E18"/>
    <w:rsid w:val="002D5AAC"/>
    <w:rsid w:val="002E49CB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33D95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664A"/>
    <w:rsid w:val="00617A43"/>
    <w:rsid w:val="006345DB"/>
    <w:rsid w:val="00640F49"/>
    <w:rsid w:val="00680D03"/>
    <w:rsid w:val="00681A10"/>
    <w:rsid w:val="0069442A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2594"/>
    <w:rsid w:val="008F7609"/>
    <w:rsid w:val="009051B9"/>
    <w:rsid w:val="00906890"/>
    <w:rsid w:val="00911BE4"/>
    <w:rsid w:val="00951972"/>
    <w:rsid w:val="009608F3"/>
    <w:rsid w:val="0096193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66308"/>
    <w:rsid w:val="00BC18B2"/>
    <w:rsid w:val="00BD33EE"/>
    <w:rsid w:val="00BE1CC7"/>
    <w:rsid w:val="00BF746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7547A"/>
    <w:rsid w:val="00E90A46"/>
    <w:rsid w:val="00EA2C9F"/>
    <w:rsid w:val="00EA420E"/>
    <w:rsid w:val="00ED0BDA"/>
    <w:rsid w:val="00EE142A"/>
    <w:rsid w:val="00EF1360"/>
    <w:rsid w:val="00EF3220"/>
    <w:rsid w:val="00F2523A"/>
    <w:rsid w:val="00F43903"/>
    <w:rsid w:val="00F54939"/>
    <w:rsid w:val="00F94155"/>
    <w:rsid w:val="00F95E3E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B540986"/>
  <w15:docId w15:val="{BD45798B-1E31-40D8-8B42-4FB4F69D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9442A"/>
    <w:rPr>
      <w:color w:val="605E5C"/>
      <w:shd w:val="clear" w:color="auto" w:fill="E1DFDD"/>
    </w:rPr>
  </w:style>
  <w:style w:type="character" w:customStyle="1" w:styleId="SingleTxtGChar">
    <w:name w:val="_ Single Txt_G Char"/>
    <w:link w:val="SingleTxtG"/>
    <w:rsid w:val="0069442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n.wikipedia.org/wiki/Tesla_Model_S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hyperlink" Target="http://undocs.org/ru/ECE/TRANS/WP.15/AC.1/158" TargetMode="External"/><Relationship Id="rId17" Type="http://schemas.openxmlformats.org/officeDocument/2006/relationships/hyperlink" Target="https://www.atlascopco.com/sv-se/construction-equipment/products/energy-storage-systems/larg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llquist.com/en/energy/energy-storage/ees-energy-storage-system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energy/topics/technology-and-innovation/batteries-europe/news-articles-and-publications/sra_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c.europa.eu/environment/topics/waste-and-recycling/batteries-and-accumulators_en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undocs.org/ru/ECE/TRANS/WP.15/AC.1/2021/32" TargetMode="External"/><Relationship Id="rId14" Type="http://schemas.openxmlformats.org/officeDocument/2006/relationships/hyperlink" Target="https://www.volvotrucks.com/en-en/trucks/alternative-fuels/electric-trucks/faq.html" TargetMode="External"/><Relationship Id="rId22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1544</Words>
  <Characters>12128</Characters>
  <Application>Microsoft Office Word</Application>
  <DocSecurity>0</DocSecurity>
  <Lines>101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ECE/TRANS/WP.15/AC.1/2022/20</vt:lpstr>
      <vt:lpstr>A/</vt:lpstr>
      <vt:lpstr>A/</vt:lpstr>
    </vt:vector>
  </TitlesOfParts>
  <Company>DCM</Company>
  <LinksUpToDate>false</LinksUpToDate>
  <CharactersWithSpaces>13645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ECE/TRANS/WP.15/AC.1/2022/20</dc:title>
  <dc:subject/>
  <dc:creator>Larisa MAYKOVSKAYA</dc:creator>
  <cp:keywords/>
  <dc:description/>
  <cp:lastModifiedBy>Christine Barrio-Champeau</cp:lastModifiedBy>
  <cp:revision>2</cp:revision>
  <cp:lastPrinted>2022-01-20T15:23:00Z</cp:lastPrinted>
  <dcterms:created xsi:type="dcterms:W3CDTF">2022-01-20T17:59:00Z</dcterms:created>
  <dcterms:modified xsi:type="dcterms:W3CDTF">2022-01-20T17:59:00Z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