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D2AF9DE" w14:textId="77777777" w:rsidTr="00C97039">
        <w:trPr>
          <w:trHeight w:hRule="exact" w:val="851"/>
        </w:trPr>
        <w:tc>
          <w:tcPr>
            <w:tcW w:w="1276" w:type="dxa"/>
            <w:tcBorders>
              <w:bottom w:val="single" w:sz="4" w:space="0" w:color="auto"/>
            </w:tcBorders>
          </w:tcPr>
          <w:p w14:paraId="205D5028" w14:textId="77777777" w:rsidR="00F35BAF" w:rsidRPr="00DB58B5" w:rsidRDefault="00F35BAF" w:rsidP="00FB0C40"/>
        </w:tc>
        <w:tc>
          <w:tcPr>
            <w:tcW w:w="2268" w:type="dxa"/>
            <w:tcBorders>
              <w:bottom w:val="single" w:sz="4" w:space="0" w:color="auto"/>
            </w:tcBorders>
            <w:vAlign w:val="bottom"/>
          </w:tcPr>
          <w:p w14:paraId="36D8C10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723A15" w14:textId="41B0316B" w:rsidR="00F35BAF" w:rsidRPr="00DB58B5" w:rsidRDefault="00FB0C40" w:rsidP="00FB0C40">
            <w:pPr>
              <w:jc w:val="right"/>
            </w:pPr>
            <w:r w:rsidRPr="00FB0C40">
              <w:rPr>
                <w:sz w:val="40"/>
              </w:rPr>
              <w:t>ECE</w:t>
            </w:r>
            <w:r>
              <w:t>/TRANS/WP.15/AC.1/2022/16</w:t>
            </w:r>
          </w:p>
        </w:tc>
      </w:tr>
      <w:tr w:rsidR="00F35BAF" w:rsidRPr="00DB58B5" w14:paraId="479BD86F" w14:textId="77777777" w:rsidTr="00C97039">
        <w:trPr>
          <w:trHeight w:hRule="exact" w:val="2835"/>
        </w:trPr>
        <w:tc>
          <w:tcPr>
            <w:tcW w:w="1276" w:type="dxa"/>
            <w:tcBorders>
              <w:top w:val="single" w:sz="4" w:space="0" w:color="auto"/>
              <w:bottom w:val="single" w:sz="12" w:space="0" w:color="auto"/>
            </w:tcBorders>
          </w:tcPr>
          <w:p w14:paraId="14C08302" w14:textId="77777777" w:rsidR="00F35BAF" w:rsidRPr="00DB58B5" w:rsidRDefault="00F35BAF" w:rsidP="00C97039">
            <w:pPr>
              <w:spacing w:before="120"/>
              <w:jc w:val="center"/>
            </w:pPr>
            <w:r>
              <w:rPr>
                <w:noProof/>
                <w:lang w:eastAsia="fr-CH"/>
              </w:rPr>
              <w:drawing>
                <wp:inline distT="0" distB="0" distL="0" distR="0" wp14:anchorId="3D473E94" wp14:editId="713882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6E908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D9ACE3" w14:textId="77777777" w:rsidR="00F35BAF" w:rsidRDefault="00FB0C40" w:rsidP="00C97039">
            <w:pPr>
              <w:spacing w:before="240"/>
            </w:pPr>
            <w:r>
              <w:t xml:space="preserve">Distr. </w:t>
            </w:r>
            <w:proofErr w:type="gramStart"/>
            <w:r>
              <w:t>générale</w:t>
            </w:r>
            <w:proofErr w:type="gramEnd"/>
          </w:p>
          <w:p w14:paraId="1BBB6F6F" w14:textId="77777777" w:rsidR="00FB0C40" w:rsidRDefault="00FB0C40" w:rsidP="00FB0C40">
            <w:pPr>
              <w:spacing w:line="240" w:lineRule="exact"/>
            </w:pPr>
            <w:r>
              <w:t>22 décembre 2021</w:t>
            </w:r>
          </w:p>
          <w:p w14:paraId="608D4037" w14:textId="77777777" w:rsidR="00FB0C40" w:rsidRDefault="00FB0C40" w:rsidP="00FB0C40">
            <w:pPr>
              <w:spacing w:line="240" w:lineRule="exact"/>
            </w:pPr>
            <w:r>
              <w:t>Français</w:t>
            </w:r>
          </w:p>
          <w:p w14:paraId="04ABA314" w14:textId="6E99F497" w:rsidR="00FB0C40" w:rsidRPr="00DB58B5" w:rsidRDefault="00FB0C40" w:rsidP="00FB0C40">
            <w:pPr>
              <w:spacing w:line="240" w:lineRule="exact"/>
            </w:pPr>
            <w:r>
              <w:t>Original : anglais</w:t>
            </w:r>
          </w:p>
        </w:tc>
      </w:tr>
    </w:tbl>
    <w:p w14:paraId="40CAED92" w14:textId="77777777" w:rsidR="007F20FA" w:rsidRPr="000312C0" w:rsidRDefault="007F20FA" w:rsidP="007F20FA">
      <w:pPr>
        <w:spacing w:before="120"/>
        <w:rPr>
          <w:b/>
          <w:sz w:val="28"/>
          <w:szCs w:val="28"/>
        </w:rPr>
      </w:pPr>
      <w:r w:rsidRPr="000312C0">
        <w:rPr>
          <w:b/>
          <w:sz w:val="28"/>
          <w:szCs w:val="28"/>
        </w:rPr>
        <w:t>Commission économique pour l’Europe</w:t>
      </w:r>
    </w:p>
    <w:p w14:paraId="4408CC4F" w14:textId="77777777" w:rsidR="007F20FA" w:rsidRDefault="007F20FA" w:rsidP="007F20FA">
      <w:pPr>
        <w:spacing w:before="120"/>
        <w:rPr>
          <w:sz w:val="28"/>
          <w:szCs w:val="28"/>
        </w:rPr>
      </w:pPr>
      <w:r w:rsidRPr="00685843">
        <w:rPr>
          <w:sz w:val="28"/>
          <w:szCs w:val="28"/>
        </w:rPr>
        <w:t>Comité des transports intérieurs</w:t>
      </w:r>
    </w:p>
    <w:p w14:paraId="6DD69EA4" w14:textId="77777777" w:rsidR="00FB0C40" w:rsidRPr="009E01B8" w:rsidRDefault="00FB0C40" w:rsidP="00AF0CB5">
      <w:pPr>
        <w:spacing w:before="120"/>
        <w:rPr>
          <w:b/>
          <w:sz w:val="24"/>
          <w:szCs w:val="24"/>
        </w:rPr>
      </w:pPr>
      <w:r w:rsidRPr="009E01B8">
        <w:rPr>
          <w:b/>
          <w:sz w:val="24"/>
          <w:szCs w:val="24"/>
        </w:rPr>
        <w:t>Groupe de travail des transports de marchandises dangereuses</w:t>
      </w:r>
    </w:p>
    <w:p w14:paraId="5D90DDFB" w14:textId="77777777" w:rsidR="00FB0C40" w:rsidRPr="00926E87" w:rsidRDefault="00FB0C40"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3308F64" w14:textId="77777777" w:rsidR="00FB0C40" w:rsidRPr="00767B88" w:rsidRDefault="00FB0C40" w:rsidP="00FB0C40">
      <w:pPr>
        <w:rPr>
          <w:color w:val="000000" w:themeColor="text1"/>
          <w:lang w:val="fr-FR"/>
        </w:rPr>
      </w:pPr>
      <w:r w:rsidRPr="00767B88">
        <w:rPr>
          <w:lang w:val="fr-FR"/>
        </w:rPr>
        <w:t>Berne, 14-18 mars 2022</w:t>
      </w:r>
    </w:p>
    <w:p w14:paraId="78F99563" w14:textId="77777777" w:rsidR="00FB0C40" w:rsidRPr="00767B88" w:rsidRDefault="00FB0C40" w:rsidP="00FB0C40">
      <w:pPr>
        <w:rPr>
          <w:color w:val="000000" w:themeColor="text1"/>
          <w:lang w:val="fr-FR"/>
        </w:rPr>
      </w:pPr>
      <w:r w:rsidRPr="00767B88">
        <w:rPr>
          <w:lang w:val="fr-FR"/>
        </w:rPr>
        <w:t>Point 2 de l</w:t>
      </w:r>
      <w:r>
        <w:rPr>
          <w:lang w:val="fr-FR"/>
        </w:rPr>
        <w:t>’</w:t>
      </w:r>
      <w:r w:rsidRPr="00767B88">
        <w:rPr>
          <w:lang w:val="fr-FR"/>
        </w:rPr>
        <w:t>ordre du jour provisoire</w:t>
      </w:r>
    </w:p>
    <w:p w14:paraId="19E501A9" w14:textId="77777777" w:rsidR="00FB0C40" w:rsidRPr="00767B88" w:rsidRDefault="00FB0C40" w:rsidP="00FB0C40">
      <w:pPr>
        <w:rPr>
          <w:b/>
          <w:bCs/>
          <w:color w:val="000000" w:themeColor="text1"/>
          <w:lang w:val="fr-FR"/>
        </w:rPr>
      </w:pPr>
      <w:r w:rsidRPr="00767B88">
        <w:rPr>
          <w:b/>
          <w:bCs/>
          <w:lang w:val="fr-FR"/>
        </w:rPr>
        <w:t>Citernes</w:t>
      </w:r>
    </w:p>
    <w:p w14:paraId="017D8332" w14:textId="5C24E15F" w:rsidR="00FB0C40" w:rsidRPr="00767B88" w:rsidRDefault="00FB0C40" w:rsidP="00262892">
      <w:pPr>
        <w:pStyle w:val="HChG"/>
        <w:rPr>
          <w:color w:val="000000" w:themeColor="text1"/>
          <w:lang w:val="fr-FR"/>
        </w:rPr>
      </w:pPr>
      <w:r w:rsidRPr="00767B88">
        <w:rPr>
          <w:lang w:val="fr-FR"/>
        </w:rPr>
        <w:tab/>
      </w:r>
      <w:r w:rsidRPr="00767B88">
        <w:rPr>
          <w:lang w:val="fr-FR"/>
        </w:rPr>
        <w:tab/>
        <w:t xml:space="preserve">Obturateurs à fermeture automatique instantanée </w:t>
      </w:r>
      <w:r w:rsidR="00262892">
        <w:rPr>
          <w:lang w:val="fr-FR"/>
        </w:rPr>
        <w:br/>
      </w:r>
      <w:r w:rsidRPr="00767B88">
        <w:rPr>
          <w:lang w:val="fr-FR"/>
        </w:rPr>
        <w:t xml:space="preserve">sur les raccords à la phase vapeur des citernes </w:t>
      </w:r>
      <w:r w:rsidR="00262892">
        <w:rPr>
          <w:lang w:val="fr-FR"/>
        </w:rPr>
        <w:br/>
      </w:r>
      <w:r w:rsidRPr="00767B88">
        <w:rPr>
          <w:lang w:val="fr-FR"/>
        </w:rPr>
        <w:t xml:space="preserve">cryogéniques </w:t>
      </w:r>
      <w:r>
        <w:rPr>
          <w:lang w:val="fr-FR"/>
        </w:rPr>
        <w:t>transportant des</w:t>
      </w:r>
      <w:r w:rsidRPr="00767B88">
        <w:rPr>
          <w:lang w:val="fr-FR"/>
        </w:rPr>
        <w:t xml:space="preserve"> gaz inflammables</w:t>
      </w:r>
    </w:p>
    <w:p w14:paraId="471EBDA0" w14:textId="3EB9427A" w:rsidR="00FB0C40" w:rsidRPr="00262892" w:rsidRDefault="00FB0C40" w:rsidP="00262892">
      <w:pPr>
        <w:pStyle w:val="H1G"/>
        <w:rPr>
          <w:b w:val="0"/>
          <w:bCs/>
          <w:sz w:val="20"/>
        </w:rPr>
      </w:pPr>
      <w:r w:rsidRPr="00767B88">
        <w:rPr>
          <w:lang w:val="fr-FR"/>
        </w:rPr>
        <w:tab/>
      </w:r>
      <w:r w:rsidRPr="00767B88">
        <w:rPr>
          <w:lang w:val="fr-FR"/>
        </w:rPr>
        <w:tab/>
        <w:t>Communication du Gouvernement néerlandais</w:t>
      </w:r>
      <w:r w:rsidRPr="00262892">
        <w:rPr>
          <w:rStyle w:val="FootnoteReference"/>
          <w:b w:val="0"/>
          <w:bCs/>
          <w:sz w:val="20"/>
          <w:vertAlign w:val="baseline"/>
          <w:lang w:val="fr-FR"/>
        </w:rPr>
        <w:footnoteReference w:customMarkFollows="1" w:id="2"/>
        <w:t>*</w:t>
      </w:r>
      <w:r w:rsidRPr="00262892">
        <w:rPr>
          <w:b w:val="0"/>
          <w:bCs/>
          <w:sz w:val="20"/>
          <w:vertAlign w:val="superscript"/>
          <w:lang w:val="fr-FR"/>
        </w:rPr>
        <w:t>,</w:t>
      </w:r>
      <w:r w:rsidR="00262892">
        <w:rPr>
          <w:b w:val="0"/>
          <w:bCs/>
          <w:sz w:val="20"/>
          <w:lang w:val="fr-FR"/>
        </w:rPr>
        <w:t xml:space="preserve"> </w:t>
      </w:r>
      <w:r w:rsidRPr="00262892">
        <w:rPr>
          <w:rStyle w:val="FootnoteReference"/>
          <w:b w:val="0"/>
          <w:bCs/>
          <w:sz w:val="20"/>
          <w:vertAlign w:val="baseline"/>
          <w:lang w:val="fr-FR"/>
        </w:rPr>
        <w:footnoteReference w:customMarkFollows="1" w:id="3"/>
        <w:t>**</w:t>
      </w:r>
      <w:r w:rsidRPr="00262892">
        <w:rPr>
          <w:b w:val="0"/>
          <w:bCs/>
          <w:sz w:val="20"/>
          <w:vertAlign w:val="superscript"/>
          <w:lang w:val="fr-FR"/>
        </w:rPr>
        <w:t>,</w:t>
      </w:r>
      <w:r w:rsidRPr="00262892">
        <w:rPr>
          <w:b w:val="0"/>
          <w:bCs/>
          <w:sz w:val="20"/>
          <w:lang w:val="fr-FR"/>
        </w:rPr>
        <w:t xml:space="preserve"> </w:t>
      </w:r>
      <w:r w:rsidR="00262892" w:rsidRPr="00262892">
        <w:rPr>
          <w:rStyle w:val="FootnoteReference"/>
          <w:b w:val="0"/>
          <w:bCs/>
          <w:sz w:val="20"/>
          <w:vertAlign w:val="baseline"/>
        </w:rPr>
        <w:footnoteReference w:customMarkFollows="1" w:id="4"/>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B0C40" w14:paraId="7C0C348C" w14:textId="77777777" w:rsidTr="001D4C54">
        <w:trPr>
          <w:jc w:val="center"/>
        </w:trPr>
        <w:tc>
          <w:tcPr>
            <w:tcW w:w="9637" w:type="dxa"/>
            <w:shd w:val="clear" w:color="auto" w:fill="auto"/>
          </w:tcPr>
          <w:p w14:paraId="428ED19C" w14:textId="77777777" w:rsidR="00FB0C40" w:rsidRDefault="00FB0C40" w:rsidP="001D4C54">
            <w:pPr>
              <w:spacing w:before="240" w:after="120"/>
              <w:ind w:left="255"/>
              <w:rPr>
                <w:i/>
                <w:sz w:val="24"/>
              </w:rPr>
            </w:pPr>
            <w:r>
              <w:rPr>
                <w:i/>
                <w:sz w:val="24"/>
              </w:rPr>
              <w:t>Résumé</w:t>
            </w:r>
          </w:p>
        </w:tc>
      </w:tr>
      <w:tr w:rsidR="00FB0C40" w14:paraId="322442B5" w14:textId="77777777" w:rsidTr="001D4C54">
        <w:trPr>
          <w:jc w:val="center"/>
        </w:trPr>
        <w:tc>
          <w:tcPr>
            <w:tcW w:w="9637" w:type="dxa"/>
            <w:shd w:val="clear" w:color="auto" w:fill="auto"/>
          </w:tcPr>
          <w:p w14:paraId="7B48C7C1" w14:textId="14E7092D" w:rsidR="00FB0C40" w:rsidRDefault="00FB0C40" w:rsidP="001D4C54">
            <w:pPr>
              <w:pStyle w:val="SingleTxtG"/>
              <w:ind w:left="3402" w:hanging="2268"/>
            </w:pPr>
            <w:r w:rsidRPr="005B035D">
              <w:rPr>
                <w:b/>
                <w:bCs/>
                <w:lang w:val="fr-FR"/>
              </w:rPr>
              <w:t>Résumé analytique</w:t>
            </w:r>
            <w:r>
              <w:rPr>
                <w:b/>
                <w:bCs/>
                <w:lang w:val="fr-FR"/>
              </w:rPr>
              <w:t> </w:t>
            </w:r>
            <w:r w:rsidRPr="005B035D">
              <w:rPr>
                <w:b/>
                <w:bCs/>
                <w:lang w:val="fr-FR"/>
              </w:rPr>
              <w:t>:</w:t>
            </w:r>
            <w:r w:rsidRPr="005B035D">
              <w:rPr>
                <w:lang w:val="fr-FR"/>
              </w:rPr>
              <w:tab/>
            </w:r>
            <w:r w:rsidRPr="00FB0C40">
              <w:rPr>
                <w:lang w:val="fr-FR"/>
              </w:rPr>
              <w:t>Il devrait être possible d’arrêter les fuites incontrôlées de gaz dues à des événements involontaires lors de la manipulation des citernes. Pour arrêter ces fuites, les ouvertures des citernes à gaz utilisées pendant la manipulation devraient être équipées d’obturateurs à fermeture automatique instantanée. De tels obturateurs sont installés sur la plupart des citernes, mais de nouveaux modèles de citernes destinés au transport de gaz liquéfiés réfrigérés, comme le gaz naturel liquéfié (GNL), qui arrivent sur le marché n’en sont pas équipés.</w:t>
            </w:r>
          </w:p>
        </w:tc>
      </w:tr>
      <w:tr w:rsidR="00FB0C40" w14:paraId="455B87B9" w14:textId="77777777" w:rsidTr="001D4C54">
        <w:trPr>
          <w:jc w:val="center"/>
        </w:trPr>
        <w:tc>
          <w:tcPr>
            <w:tcW w:w="9637" w:type="dxa"/>
            <w:shd w:val="clear" w:color="auto" w:fill="auto"/>
          </w:tcPr>
          <w:p w14:paraId="341FDC84" w14:textId="4C0BCB87" w:rsidR="00FB0C40" w:rsidRPr="005B035D" w:rsidRDefault="00FB0C40" w:rsidP="001D4C54">
            <w:pPr>
              <w:pStyle w:val="SingleTxtG"/>
              <w:ind w:left="3402" w:hanging="2268"/>
              <w:rPr>
                <w:b/>
                <w:bCs/>
                <w:lang w:val="fr-FR"/>
              </w:rPr>
            </w:pPr>
            <w:r w:rsidRPr="005B035D">
              <w:rPr>
                <w:b/>
                <w:bCs/>
                <w:lang w:val="fr-FR"/>
              </w:rPr>
              <w:t>Mesures à prendre</w:t>
            </w:r>
            <w:r>
              <w:rPr>
                <w:b/>
                <w:bCs/>
                <w:lang w:val="fr-FR"/>
              </w:rPr>
              <w:t> :</w:t>
            </w:r>
            <w:r w:rsidRPr="005B035D">
              <w:rPr>
                <w:b/>
                <w:bCs/>
                <w:lang w:val="fr-FR"/>
              </w:rPr>
              <w:tab/>
            </w:r>
            <w:r w:rsidRPr="00FB0C40">
              <w:rPr>
                <w:lang w:val="fr-FR"/>
              </w:rPr>
              <w:t>Empêcher l’agrément de nouvelles citernes qui ne sont pas conformes aux principes de sécurité de base et adopter des mesures transitoires appropriées pour les citernes existantes.</w:t>
            </w:r>
          </w:p>
        </w:tc>
      </w:tr>
      <w:tr w:rsidR="00FB0C40" w14:paraId="3F933F1E" w14:textId="77777777" w:rsidTr="001D4C54">
        <w:trPr>
          <w:jc w:val="center"/>
        </w:trPr>
        <w:tc>
          <w:tcPr>
            <w:tcW w:w="9637" w:type="dxa"/>
            <w:shd w:val="clear" w:color="auto" w:fill="auto"/>
          </w:tcPr>
          <w:p w14:paraId="6372A0E4" w14:textId="7C3B59E3" w:rsidR="00FB0C40" w:rsidRPr="005B035D" w:rsidRDefault="00FB0C40" w:rsidP="001D4C54">
            <w:pPr>
              <w:pStyle w:val="SingleTxtG"/>
              <w:ind w:left="3402" w:hanging="2268"/>
              <w:rPr>
                <w:b/>
                <w:bCs/>
                <w:lang w:val="fr-FR"/>
              </w:rPr>
            </w:pPr>
            <w:r w:rsidRPr="005B035D">
              <w:rPr>
                <w:b/>
                <w:bCs/>
                <w:lang w:val="fr-FR"/>
              </w:rPr>
              <w:t>Documents connexes</w:t>
            </w:r>
            <w:r>
              <w:rPr>
                <w:b/>
                <w:bCs/>
                <w:lang w:val="fr-FR"/>
              </w:rPr>
              <w:t> </w:t>
            </w:r>
            <w:r w:rsidRPr="005B035D">
              <w:rPr>
                <w:b/>
                <w:bCs/>
                <w:lang w:val="fr-FR"/>
              </w:rPr>
              <w:t>:</w:t>
            </w:r>
            <w:r w:rsidRPr="005B035D">
              <w:rPr>
                <w:b/>
                <w:bCs/>
                <w:lang w:val="fr-FR"/>
              </w:rPr>
              <w:tab/>
            </w:r>
            <w:r w:rsidRPr="00FB0C40">
              <w:rPr>
                <w:lang w:val="fr-FR"/>
              </w:rPr>
              <w:t>Document informel INF.13 (session d’automne 2020 de la Réunion commune), document ECE/TRANS/WP.15/AC.1/</w:t>
            </w:r>
            <w:r w:rsidR="00262892">
              <w:rPr>
                <w:lang w:val="fr-FR"/>
              </w:rPr>
              <w:br/>
            </w:r>
            <w:r w:rsidRPr="00FB0C40">
              <w:rPr>
                <w:lang w:val="fr-FR"/>
              </w:rPr>
              <w:t>2021/11, document informel INF.32 (session d’automne 2021 de la Réunion commune).</w:t>
            </w:r>
          </w:p>
        </w:tc>
      </w:tr>
      <w:tr w:rsidR="00FB0C40" w14:paraId="241B998B" w14:textId="77777777" w:rsidTr="001D4C54">
        <w:trPr>
          <w:jc w:val="center"/>
        </w:trPr>
        <w:tc>
          <w:tcPr>
            <w:tcW w:w="9637" w:type="dxa"/>
            <w:shd w:val="clear" w:color="auto" w:fill="auto"/>
          </w:tcPr>
          <w:p w14:paraId="0EE93825" w14:textId="77777777" w:rsidR="00FB0C40" w:rsidRDefault="00FB0C40" w:rsidP="001D4C54"/>
        </w:tc>
      </w:tr>
    </w:tbl>
    <w:p w14:paraId="2E91020B" w14:textId="77777777" w:rsidR="00FB0C40" w:rsidRPr="00767B88" w:rsidRDefault="00FB0C40" w:rsidP="00262892">
      <w:pPr>
        <w:pStyle w:val="HChG"/>
        <w:rPr>
          <w:lang w:val="fr-FR"/>
        </w:rPr>
      </w:pPr>
      <w:r w:rsidRPr="00767B88">
        <w:rPr>
          <w:lang w:val="fr-FR"/>
        </w:rPr>
        <w:lastRenderedPageBreak/>
        <w:tab/>
      </w:r>
      <w:r w:rsidRPr="00767B88">
        <w:rPr>
          <w:lang w:val="fr-FR"/>
        </w:rPr>
        <w:tab/>
        <w:t>Introduction</w:t>
      </w:r>
    </w:p>
    <w:p w14:paraId="0C0837D1" w14:textId="77777777" w:rsidR="00FB0C40" w:rsidRPr="00767B88" w:rsidRDefault="00FB0C40" w:rsidP="00FB0C40">
      <w:pPr>
        <w:pStyle w:val="SingleTxtG"/>
        <w:rPr>
          <w:lang w:val="fr-FR"/>
        </w:rPr>
      </w:pPr>
      <w:r w:rsidRPr="00767B88">
        <w:rPr>
          <w:lang w:val="fr-FR"/>
        </w:rPr>
        <w:t>1.</w:t>
      </w:r>
      <w:r w:rsidRPr="00767B88">
        <w:rPr>
          <w:lang w:val="fr-FR"/>
        </w:rPr>
        <w:tab/>
        <w:t>Sur la base des conclusions de conseillers en sécurité s</w:t>
      </w:r>
      <w:r>
        <w:rPr>
          <w:lang w:val="fr-FR"/>
        </w:rPr>
        <w:t>’</w:t>
      </w:r>
      <w:r w:rsidRPr="00767B88">
        <w:rPr>
          <w:lang w:val="fr-FR"/>
        </w:rPr>
        <w:t>intéressant à la manipulation des citernes à GNL, les Pays-Bas ont été informés du fait que les nouveaux modèles n</w:t>
      </w:r>
      <w:r>
        <w:rPr>
          <w:lang w:val="fr-FR"/>
        </w:rPr>
        <w:t>’</w:t>
      </w:r>
      <w:r w:rsidRPr="00767B88">
        <w:rPr>
          <w:lang w:val="fr-FR"/>
        </w:rPr>
        <w:t>étaient plus équipés d</w:t>
      </w:r>
      <w:r>
        <w:rPr>
          <w:lang w:val="fr-FR"/>
        </w:rPr>
        <w:t>’</w:t>
      </w:r>
      <w:r w:rsidRPr="00767B88">
        <w:rPr>
          <w:lang w:val="fr-FR"/>
        </w:rPr>
        <w:t>obturateurs à fermeture automatique placés sur l</w:t>
      </w:r>
      <w:r>
        <w:rPr>
          <w:lang w:val="fr-FR"/>
        </w:rPr>
        <w:t>’</w:t>
      </w:r>
      <w:r w:rsidRPr="00767B88">
        <w:rPr>
          <w:lang w:val="fr-FR"/>
        </w:rPr>
        <w:t>ouverture utilisée pour réguler la pression dans la citerne pendant le remplissage et la vidange. Après enquête, cette évolution découlait d</w:t>
      </w:r>
      <w:r>
        <w:rPr>
          <w:lang w:val="fr-FR"/>
        </w:rPr>
        <w:t>’</w:t>
      </w:r>
      <w:r w:rsidRPr="00767B88">
        <w:rPr>
          <w:lang w:val="fr-FR"/>
        </w:rPr>
        <w:t>une interprétation possible des dispositions, à savoir du fait de déterminer si cette ouverture ou cette ligne était considérée ou non comme une ligne de remplissage ou de vidange.</w:t>
      </w:r>
    </w:p>
    <w:p w14:paraId="3251FBE8" w14:textId="77777777" w:rsidR="00FB0C40" w:rsidRPr="00767B88" w:rsidRDefault="00FB0C40" w:rsidP="00FB0C40">
      <w:pPr>
        <w:pStyle w:val="SingleTxtG"/>
        <w:rPr>
          <w:lang w:val="fr-FR"/>
        </w:rPr>
      </w:pPr>
      <w:r w:rsidRPr="00767B88">
        <w:rPr>
          <w:lang w:val="fr-FR"/>
        </w:rPr>
        <w:t>2.</w:t>
      </w:r>
      <w:r w:rsidRPr="00767B88">
        <w:rPr>
          <w:lang w:val="fr-FR"/>
        </w:rPr>
        <w:tab/>
        <w:t>La capacité d</w:t>
      </w:r>
      <w:r>
        <w:rPr>
          <w:lang w:val="fr-FR"/>
        </w:rPr>
        <w:t>’</w:t>
      </w:r>
      <w:r w:rsidRPr="00767B88">
        <w:rPr>
          <w:lang w:val="fr-FR"/>
        </w:rPr>
        <w:t>arrêter la fuite du gaz en cas d</w:t>
      </w:r>
      <w:r>
        <w:rPr>
          <w:lang w:val="fr-FR"/>
        </w:rPr>
        <w:t>’</w:t>
      </w:r>
      <w:r w:rsidRPr="00767B88">
        <w:rPr>
          <w:lang w:val="fr-FR"/>
        </w:rPr>
        <w:t>événement involontaire, comme la rupture d</w:t>
      </w:r>
      <w:r>
        <w:rPr>
          <w:lang w:val="fr-FR"/>
        </w:rPr>
        <w:t>’</w:t>
      </w:r>
      <w:r w:rsidRPr="00767B88">
        <w:rPr>
          <w:lang w:val="fr-FR"/>
        </w:rPr>
        <w:t>une canalisation ou d</w:t>
      </w:r>
      <w:r>
        <w:rPr>
          <w:lang w:val="fr-FR"/>
        </w:rPr>
        <w:t>’</w:t>
      </w:r>
      <w:r w:rsidRPr="00767B88">
        <w:rPr>
          <w:lang w:val="fr-FR"/>
        </w:rPr>
        <w:t>un tuyau, ou un incendie, est un aspect essentiel de la sécurité, en particulier pour les gaz inflammables et toxiques. Le transport de gaz liquéfiés réfrigérés inflammables n</w:t>
      </w:r>
      <w:r>
        <w:rPr>
          <w:lang w:val="fr-FR"/>
        </w:rPr>
        <w:t>’</w:t>
      </w:r>
      <w:r w:rsidRPr="00767B88">
        <w:rPr>
          <w:lang w:val="fr-FR"/>
        </w:rPr>
        <w:t>est pas nouveau, mais la quantité transportée augmente en raison de la demande de gaz naturel, et des problèmes du même ordre se poseront probablement à l</w:t>
      </w:r>
      <w:r>
        <w:rPr>
          <w:lang w:val="fr-FR"/>
        </w:rPr>
        <w:t>’</w:t>
      </w:r>
      <w:r w:rsidRPr="00767B88">
        <w:rPr>
          <w:lang w:val="fr-FR"/>
        </w:rPr>
        <w:t>avenir pour l</w:t>
      </w:r>
      <w:r>
        <w:rPr>
          <w:lang w:val="fr-FR"/>
        </w:rPr>
        <w:t>’</w:t>
      </w:r>
      <w:r w:rsidRPr="00767B88">
        <w:rPr>
          <w:lang w:val="fr-FR"/>
        </w:rPr>
        <w:t>hydrogène liquéfié.</w:t>
      </w:r>
    </w:p>
    <w:p w14:paraId="0E39C8DA" w14:textId="6D7977E0" w:rsidR="00FB0C40" w:rsidRPr="00767B88" w:rsidRDefault="00FB0C40" w:rsidP="00FB0C40">
      <w:pPr>
        <w:pStyle w:val="SingleTxtG"/>
        <w:rPr>
          <w:lang w:val="fr-FR"/>
        </w:rPr>
      </w:pPr>
      <w:r w:rsidRPr="00767B88">
        <w:rPr>
          <w:lang w:val="fr-FR"/>
        </w:rPr>
        <w:t>3.</w:t>
      </w:r>
      <w:r w:rsidRPr="00767B88">
        <w:rPr>
          <w:lang w:val="fr-FR"/>
        </w:rPr>
        <w:tab/>
        <w:t>L</w:t>
      </w:r>
      <w:r>
        <w:rPr>
          <w:lang w:val="fr-FR"/>
        </w:rPr>
        <w:t>’</w:t>
      </w:r>
      <w:r w:rsidRPr="00767B88">
        <w:rPr>
          <w:lang w:val="fr-FR"/>
        </w:rPr>
        <w:t>examen initial de cette question a commencé avec la soumission du document informel INF.13 à la session d</w:t>
      </w:r>
      <w:r>
        <w:rPr>
          <w:lang w:val="fr-FR"/>
        </w:rPr>
        <w:t>’</w:t>
      </w:r>
      <w:r w:rsidRPr="00767B88">
        <w:rPr>
          <w:lang w:val="fr-FR"/>
        </w:rPr>
        <w:t xml:space="preserve">automne 2020 de la Réunion commune. Bien que le principe ait été </w:t>
      </w:r>
      <w:r>
        <w:rPr>
          <w:lang w:val="fr-FR"/>
        </w:rPr>
        <w:t>admis</w:t>
      </w:r>
      <w:r w:rsidRPr="00767B88">
        <w:rPr>
          <w:lang w:val="fr-FR"/>
        </w:rPr>
        <w:t>, il a été proposé de restructurer le 6.8.3.2 de manière à le rendre plus clair et à résoudre ce problème. Au cours de l</w:t>
      </w:r>
      <w:r>
        <w:rPr>
          <w:lang w:val="fr-FR"/>
        </w:rPr>
        <w:t>’</w:t>
      </w:r>
      <w:r w:rsidRPr="00767B88">
        <w:rPr>
          <w:lang w:val="fr-FR"/>
        </w:rPr>
        <w:t>examen du document ECE/TRANS/WP.15/AC.1/</w:t>
      </w:r>
      <w:r w:rsidR="00262892">
        <w:rPr>
          <w:lang w:val="fr-FR"/>
        </w:rPr>
        <w:br/>
      </w:r>
      <w:r w:rsidRPr="00767B88">
        <w:rPr>
          <w:lang w:val="fr-FR"/>
        </w:rPr>
        <w:t>2021/11 établi à cet effet, il a été jugé utile de développer cette proposition, en particulier en traitant les questions du transport de l</w:t>
      </w:r>
      <w:r>
        <w:rPr>
          <w:lang w:val="fr-FR"/>
        </w:rPr>
        <w:t>’</w:t>
      </w:r>
      <w:r w:rsidRPr="00767B88">
        <w:rPr>
          <w:lang w:val="fr-FR"/>
        </w:rPr>
        <w:t xml:space="preserve">hydrogène liquéfié réfrigéré, des mesures transitoires appropriées, ainsi que des citernes </w:t>
      </w:r>
      <w:r>
        <w:rPr>
          <w:lang w:val="fr-FR"/>
        </w:rPr>
        <w:t>mobiles</w:t>
      </w:r>
      <w:r w:rsidRPr="00767B88">
        <w:rPr>
          <w:lang w:val="fr-FR"/>
        </w:rPr>
        <w:t xml:space="preserve"> utilisées conformément au 6.7. Il a été décidé de mettre en place un groupe de travail spécial mais, pour diverses raisons, celui-ci n</w:t>
      </w:r>
      <w:r>
        <w:rPr>
          <w:lang w:val="fr-FR"/>
        </w:rPr>
        <w:t>’</w:t>
      </w:r>
      <w:r w:rsidRPr="00767B88">
        <w:rPr>
          <w:lang w:val="fr-FR"/>
        </w:rPr>
        <w:t>a pas été créé avant la date limite de soumission des documents officiels destinés à la session de mars 2022 de la Réunion commune.</w:t>
      </w:r>
    </w:p>
    <w:p w14:paraId="59DB174E" w14:textId="77777777" w:rsidR="00FB0C40" w:rsidRPr="00767B88" w:rsidRDefault="00FB0C40" w:rsidP="00FB0C40">
      <w:pPr>
        <w:pStyle w:val="SingleTxtG"/>
        <w:rPr>
          <w:lang w:val="fr-FR"/>
        </w:rPr>
      </w:pPr>
      <w:r w:rsidRPr="00767B88">
        <w:rPr>
          <w:lang w:val="fr-FR"/>
        </w:rPr>
        <w:t>4.</w:t>
      </w:r>
      <w:r w:rsidRPr="00767B88">
        <w:rPr>
          <w:lang w:val="fr-FR"/>
        </w:rPr>
        <w:tab/>
        <w:t>Les Pays-Bas sont d</w:t>
      </w:r>
      <w:r>
        <w:rPr>
          <w:lang w:val="fr-FR"/>
        </w:rPr>
        <w:t>’</w:t>
      </w:r>
      <w:r w:rsidRPr="00767B88">
        <w:rPr>
          <w:lang w:val="fr-FR"/>
        </w:rPr>
        <w:t>avis que cette question est trop importante pour attendre le résultat des prochains débats et la restructuration du 6.8.3.2, et qu</w:t>
      </w:r>
      <w:r>
        <w:rPr>
          <w:lang w:val="fr-FR"/>
        </w:rPr>
        <w:t>’</w:t>
      </w:r>
      <w:r w:rsidRPr="00767B88">
        <w:rPr>
          <w:lang w:val="fr-FR"/>
        </w:rPr>
        <w:t>elle devrait être résolue dans l</w:t>
      </w:r>
      <w:r>
        <w:rPr>
          <w:lang w:val="fr-FR"/>
        </w:rPr>
        <w:t>’</w:t>
      </w:r>
      <w:r w:rsidRPr="00767B88">
        <w:rPr>
          <w:lang w:val="fr-FR"/>
        </w:rPr>
        <w:t>édition 2023 du RID et de l</w:t>
      </w:r>
      <w:r>
        <w:rPr>
          <w:lang w:val="fr-FR"/>
        </w:rPr>
        <w:t>’</w:t>
      </w:r>
      <w:r w:rsidRPr="00767B88">
        <w:rPr>
          <w:lang w:val="fr-FR"/>
        </w:rPr>
        <w:t>ADR, au moins pour ce qui concerne le chapitre 6.8. Les amendements ci-après sont proposés.</w:t>
      </w:r>
    </w:p>
    <w:p w14:paraId="4519E972" w14:textId="77777777" w:rsidR="00FB0C40" w:rsidRPr="00767B88" w:rsidRDefault="00FB0C40" w:rsidP="00262892">
      <w:pPr>
        <w:pStyle w:val="HChG"/>
        <w:rPr>
          <w:lang w:val="fr-FR"/>
        </w:rPr>
      </w:pPr>
      <w:r w:rsidRPr="00767B88">
        <w:rPr>
          <w:lang w:val="fr-FR"/>
        </w:rPr>
        <w:tab/>
      </w:r>
      <w:r w:rsidRPr="00767B88">
        <w:rPr>
          <w:lang w:val="fr-FR"/>
        </w:rPr>
        <w:tab/>
        <w:t>Propositions</w:t>
      </w:r>
    </w:p>
    <w:p w14:paraId="0E1D99A7" w14:textId="77777777" w:rsidR="00FB0C40" w:rsidRPr="00767B88" w:rsidRDefault="00FB0C40" w:rsidP="00FB0C40">
      <w:pPr>
        <w:pStyle w:val="SingleTxtG"/>
        <w:rPr>
          <w:lang w:val="fr-FR"/>
        </w:rPr>
      </w:pPr>
      <w:r w:rsidRPr="00767B88">
        <w:rPr>
          <w:lang w:val="fr-FR"/>
        </w:rPr>
        <w:t>Au 6.8.4 b), Équipements (TE), insérer une nouvelle disposition spéciale TE libellée comme suit :</w:t>
      </w:r>
    </w:p>
    <w:p w14:paraId="209C49FA" w14:textId="0F211B8B" w:rsidR="00FB0C40" w:rsidRPr="00767B88" w:rsidRDefault="00FB0C40" w:rsidP="00262892">
      <w:pPr>
        <w:pStyle w:val="SingleTxtG"/>
        <w:ind w:left="2268" w:hanging="1134"/>
        <w:rPr>
          <w:i/>
          <w:lang w:val="fr-FR"/>
        </w:rPr>
      </w:pPr>
      <w:r w:rsidRPr="00767B88">
        <w:rPr>
          <w:lang w:val="fr-FR"/>
        </w:rPr>
        <w:t>« </w:t>
      </w:r>
      <w:proofErr w:type="spellStart"/>
      <w:r w:rsidRPr="00767B88">
        <w:rPr>
          <w:lang w:val="fr-FR"/>
        </w:rPr>
        <w:t>TExy</w:t>
      </w:r>
      <w:proofErr w:type="spellEnd"/>
      <w:r w:rsidRPr="00767B88">
        <w:rPr>
          <w:lang w:val="fr-FR"/>
        </w:rPr>
        <w:t> :</w:t>
      </w:r>
      <w:r w:rsidRPr="00767B88">
        <w:rPr>
          <w:lang w:val="fr-FR"/>
        </w:rPr>
        <w:tab/>
        <w:t>Les raccordements</w:t>
      </w:r>
      <w:r w:rsidRPr="00767B88">
        <w:rPr>
          <w:i/>
          <w:iCs/>
          <w:lang w:val="fr-FR"/>
        </w:rPr>
        <w:t xml:space="preserve"> </w:t>
      </w:r>
      <w:r w:rsidRPr="00767B88">
        <w:rPr>
          <w:lang w:val="fr-FR"/>
        </w:rPr>
        <w:t xml:space="preserve">de la citerne </w:t>
      </w:r>
      <w:r>
        <w:rPr>
          <w:lang w:val="fr-FR"/>
        </w:rPr>
        <w:t>à la</w:t>
      </w:r>
      <w:r w:rsidRPr="00767B88">
        <w:rPr>
          <w:lang w:val="fr-FR"/>
        </w:rPr>
        <w:t xml:space="preserve"> phase vapeur qui sont destinés à la manipulation (remplissage/vidange) de gaz liquéfiés réfrigérés inflammables doivent être équipés d</w:t>
      </w:r>
      <w:r>
        <w:rPr>
          <w:lang w:val="fr-FR"/>
        </w:rPr>
        <w:t>’</w:t>
      </w:r>
      <w:r w:rsidRPr="00767B88">
        <w:rPr>
          <w:lang w:val="fr-FR"/>
        </w:rPr>
        <w:t>un obturateur</w:t>
      </w:r>
      <w:r w:rsidRPr="00767B88">
        <w:rPr>
          <w:b/>
          <w:bCs/>
          <w:lang w:val="fr-FR"/>
        </w:rPr>
        <w:t xml:space="preserve"> </w:t>
      </w:r>
      <w:r w:rsidRPr="00767B88">
        <w:rPr>
          <w:lang w:val="fr-FR"/>
        </w:rPr>
        <w:t>à fermeture automatique instantanée (voir 6.8.3.2.3) situé le plus près possible de la citerne. »</w:t>
      </w:r>
      <w:r w:rsidR="00262892">
        <w:rPr>
          <w:lang w:val="fr-FR"/>
        </w:rPr>
        <w:t>.</w:t>
      </w:r>
    </w:p>
    <w:p w14:paraId="26CEB90A" w14:textId="48BB5A88" w:rsidR="00FB0C40" w:rsidRPr="00767B88" w:rsidRDefault="00FB0C40" w:rsidP="00262892">
      <w:pPr>
        <w:pStyle w:val="SingleTxtG"/>
        <w:rPr>
          <w:iCs/>
          <w:lang w:val="fr-FR"/>
        </w:rPr>
      </w:pPr>
      <w:r w:rsidRPr="00767B88">
        <w:rPr>
          <w:lang w:val="fr-FR"/>
        </w:rPr>
        <w:t>Dans le tableau A du chapitre 3.2, insérer « </w:t>
      </w:r>
      <w:proofErr w:type="spellStart"/>
      <w:r w:rsidRPr="00767B88">
        <w:rPr>
          <w:lang w:val="fr-FR"/>
        </w:rPr>
        <w:t>TExy</w:t>
      </w:r>
      <w:proofErr w:type="spellEnd"/>
      <w:r w:rsidRPr="00767B88">
        <w:rPr>
          <w:lang w:val="fr-FR"/>
        </w:rPr>
        <w:t xml:space="preserve"> » dans la colonne 13 pour les </w:t>
      </w:r>
      <w:r w:rsidR="00262892">
        <w:rPr>
          <w:lang w:val="fr-FR"/>
        </w:rPr>
        <w:t>Nos </w:t>
      </w:r>
      <w:r w:rsidRPr="00767B88">
        <w:rPr>
          <w:lang w:val="fr-FR"/>
        </w:rPr>
        <w:t>ONU</w:t>
      </w:r>
      <w:r w:rsidR="00262892">
        <w:rPr>
          <w:lang w:val="fr-FR"/>
        </w:rPr>
        <w:t> </w:t>
      </w:r>
      <w:r w:rsidRPr="00767B88">
        <w:rPr>
          <w:lang w:val="fr-FR"/>
        </w:rPr>
        <w:t>1961, 1966, 1972 et 3312.</w:t>
      </w:r>
    </w:p>
    <w:p w14:paraId="639D7778" w14:textId="77777777" w:rsidR="00FB0C40" w:rsidRPr="00767B88" w:rsidRDefault="00FB0C40" w:rsidP="00262892">
      <w:pPr>
        <w:pStyle w:val="SingleTxtG"/>
        <w:rPr>
          <w:lang w:val="fr-FR"/>
        </w:rPr>
      </w:pPr>
      <w:r w:rsidRPr="00767B88">
        <w:rPr>
          <w:lang w:val="fr-FR"/>
        </w:rPr>
        <w:t xml:space="preserve">Au chapitre 1.6, ajouter une nouvelle mesure transitoire </w:t>
      </w:r>
      <w:r>
        <w:rPr>
          <w:lang w:val="fr-FR"/>
        </w:rPr>
        <w:t>(</w:t>
      </w:r>
      <w:r w:rsidRPr="00767B88">
        <w:rPr>
          <w:lang w:val="fr-FR"/>
        </w:rPr>
        <w:t>1.6.3.x/1.6.</w:t>
      </w:r>
      <w:proofErr w:type="gramStart"/>
      <w:r w:rsidRPr="00767B88">
        <w:rPr>
          <w:lang w:val="fr-FR"/>
        </w:rPr>
        <w:t>4.y</w:t>
      </w:r>
      <w:proofErr w:type="gramEnd"/>
      <w:r>
        <w:rPr>
          <w:lang w:val="fr-FR"/>
        </w:rPr>
        <w:t>)</w:t>
      </w:r>
      <w:r w:rsidRPr="00767B88">
        <w:rPr>
          <w:lang w:val="fr-FR"/>
        </w:rPr>
        <w:t xml:space="preserve"> libellée comme suit :</w:t>
      </w:r>
    </w:p>
    <w:p w14:paraId="2AFD1155" w14:textId="51FD098A" w:rsidR="00FB0C40" w:rsidRPr="00767B88" w:rsidRDefault="00FB0C40" w:rsidP="00262892">
      <w:pPr>
        <w:pStyle w:val="SingleTxtG"/>
        <w:ind w:left="2268" w:hanging="1134"/>
        <w:rPr>
          <w:iCs/>
          <w:lang w:val="fr-FR"/>
        </w:rPr>
      </w:pPr>
      <w:r w:rsidRPr="00767B88">
        <w:rPr>
          <w:lang w:val="fr-FR"/>
        </w:rPr>
        <w:t>«</w:t>
      </w:r>
      <w:r w:rsidR="00262892">
        <w:rPr>
          <w:lang w:val="fr-FR"/>
        </w:rPr>
        <w:t> </w:t>
      </w:r>
      <w:r w:rsidRPr="00767B88">
        <w:rPr>
          <w:lang w:val="fr-FR"/>
        </w:rPr>
        <w:t>1.6.3.x</w:t>
      </w:r>
      <w:r w:rsidRPr="00767B88">
        <w:rPr>
          <w:lang w:val="fr-FR"/>
        </w:rPr>
        <w:tab/>
        <w:t>Les wagons-citernes/Les citernes fixes (véhicules-citernes) et les citernes démontables qui ont été construits/construites avant le 1</w:t>
      </w:r>
      <w:r w:rsidRPr="00767B88">
        <w:rPr>
          <w:vertAlign w:val="superscript"/>
          <w:lang w:val="fr-FR"/>
        </w:rPr>
        <w:t>er</w:t>
      </w:r>
      <w:r w:rsidRPr="00767B88">
        <w:rPr>
          <w:lang w:val="fr-FR"/>
        </w:rPr>
        <w:t xml:space="preserve"> juillet 2023 conformément aux prescriptions applicables jusqu</w:t>
      </w:r>
      <w:r>
        <w:rPr>
          <w:lang w:val="fr-FR"/>
        </w:rPr>
        <w:t>’</w:t>
      </w:r>
      <w:r w:rsidRPr="00767B88">
        <w:rPr>
          <w:lang w:val="fr-FR"/>
        </w:rPr>
        <w:t xml:space="preserve">au 31 décembre 2022, mais qui ne sont pas conformes aux prescriptions de la disposition spéciale </w:t>
      </w:r>
      <w:proofErr w:type="spellStart"/>
      <w:r w:rsidRPr="00767B88">
        <w:rPr>
          <w:lang w:val="fr-FR"/>
        </w:rPr>
        <w:t>TExy</w:t>
      </w:r>
      <w:proofErr w:type="spellEnd"/>
      <w:r w:rsidRPr="00767B88">
        <w:rPr>
          <w:lang w:val="fr-FR"/>
        </w:rPr>
        <w:t xml:space="preserve"> du 6.8.4 b) applicable à partir du 1</w:t>
      </w:r>
      <w:r w:rsidRPr="00767B88">
        <w:rPr>
          <w:vertAlign w:val="superscript"/>
          <w:lang w:val="fr-FR"/>
        </w:rPr>
        <w:t>er</w:t>
      </w:r>
      <w:r w:rsidRPr="00767B88">
        <w:rPr>
          <w:lang w:val="fr-FR"/>
        </w:rPr>
        <w:t xml:space="preserve"> janvier 2023, pourront continuer à être utilisés pour le </w:t>
      </w:r>
      <w:r w:rsidR="00262892">
        <w:rPr>
          <w:lang w:val="fr-FR"/>
        </w:rPr>
        <w:t>No</w:t>
      </w:r>
      <w:r w:rsidRPr="00767B88">
        <w:rPr>
          <w:lang w:val="fr-FR"/>
        </w:rPr>
        <w:t xml:space="preserve"> ONU 1966, et pourront continuer à être utilisés pour les </w:t>
      </w:r>
      <w:r w:rsidR="00262892">
        <w:rPr>
          <w:lang w:val="fr-FR"/>
        </w:rPr>
        <w:t>Nos </w:t>
      </w:r>
      <w:r w:rsidRPr="00767B88">
        <w:rPr>
          <w:lang w:val="fr-FR"/>
        </w:rPr>
        <w:t>ONU</w:t>
      </w:r>
      <w:r w:rsidR="00262892">
        <w:rPr>
          <w:lang w:val="fr-FR"/>
        </w:rPr>
        <w:t> </w:t>
      </w:r>
      <w:r w:rsidRPr="00767B88">
        <w:rPr>
          <w:lang w:val="fr-FR"/>
        </w:rPr>
        <w:t>1961, 1972 et 3312 jusqu</w:t>
      </w:r>
      <w:r>
        <w:rPr>
          <w:lang w:val="fr-FR"/>
        </w:rPr>
        <w:t>’</w:t>
      </w:r>
      <w:r w:rsidRPr="00767B88">
        <w:rPr>
          <w:lang w:val="fr-FR"/>
        </w:rPr>
        <w:t>au premier contrôle périodique effectué après le 1</w:t>
      </w:r>
      <w:r w:rsidRPr="00767B88">
        <w:rPr>
          <w:vertAlign w:val="superscript"/>
          <w:lang w:val="fr-FR"/>
        </w:rPr>
        <w:t>er</w:t>
      </w:r>
      <w:r w:rsidRPr="00767B88">
        <w:rPr>
          <w:lang w:val="fr-FR"/>
        </w:rPr>
        <w:t xml:space="preserve"> janvier 2025 conformément au 6.8.3.4.6. »</w:t>
      </w:r>
      <w:r w:rsidR="00262892">
        <w:rPr>
          <w:lang w:val="fr-FR"/>
        </w:rPr>
        <w:t>.</w:t>
      </w:r>
    </w:p>
    <w:p w14:paraId="498EC272" w14:textId="619829E7" w:rsidR="00FB0C40" w:rsidRPr="00767B88" w:rsidRDefault="00FB0C40" w:rsidP="00262892">
      <w:pPr>
        <w:pStyle w:val="SingleTxtG"/>
        <w:ind w:left="2268" w:hanging="1134"/>
        <w:rPr>
          <w:iCs/>
          <w:u w:val="single"/>
          <w:lang w:val="fr-FR"/>
        </w:rPr>
      </w:pPr>
      <w:r w:rsidRPr="00767B88">
        <w:rPr>
          <w:lang w:val="fr-FR"/>
        </w:rPr>
        <w:t>« 1.6.4.y</w:t>
      </w:r>
      <w:r w:rsidRPr="00767B88">
        <w:rPr>
          <w:lang w:val="fr-FR"/>
        </w:rPr>
        <w:tab/>
        <w:t>Les conteneurs-citernes construits avant le 1</w:t>
      </w:r>
      <w:r w:rsidRPr="00767B88">
        <w:rPr>
          <w:vertAlign w:val="superscript"/>
          <w:lang w:val="fr-FR"/>
        </w:rPr>
        <w:t>er</w:t>
      </w:r>
      <w:r w:rsidRPr="00767B88">
        <w:rPr>
          <w:lang w:val="fr-FR"/>
        </w:rPr>
        <w:t xml:space="preserve"> juillet 2023 conformément aux prescriptions applicables jusqu</w:t>
      </w:r>
      <w:r>
        <w:rPr>
          <w:lang w:val="fr-FR"/>
        </w:rPr>
        <w:t>’</w:t>
      </w:r>
      <w:r w:rsidRPr="00767B88">
        <w:rPr>
          <w:lang w:val="fr-FR"/>
        </w:rPr>
        <w:t xml:space="preserve">au 31 décembre 2022, mais qui ne sont pas conformes aux prescriptions de la disposition spéciale </w:t>
      </w:r>
      <w:proofErr w:type="spellStart"/>
      <w:r w:rsidRPr="00767B88">
        <w:rPr>
          <w:lang w:val="fr-FR"/>
        </w:rPr>
        <w:t>TExy</w:t>
      </w:r>
      <w:proofErr w:type="spellEnd"/>
      <w:r w:rsidRPr="00767B88">
        <w:rPr>
          <w:lang w:val="fr-FR"/>
        </w:rPr>
        <w:t xml:space="preserve"> du 6.8.4 b) applicable à partir du 1</w:t>
      </w:r>
      <w:r w:rsidRPr="00767B88">
        <w:rPr>
          <w:vertAlign w:val="superscript"/>
          <w:lang w:val="fr-FR"/>
        </w:rPr>
        <w:t>er</w:t>
      </w:r>
      <w:r w:rsidRPr="00767B88">
        <w:rPr>
          <w:lang w:val="fr-FR"/>
        </w:rPr>
        <w:t xml:space="preserve"> janvier 2023, pourront continuer à être utilisés pour </w:t>
      </w:r>
      <w:r w:rsidRPr="00767B88">
        <w:rPr>
          <w:lang w:val="fr-FR"/>
        </w:rPr>
        <w:lastRenderedPageBreak/>
        <w:t xml:space="preserve">le </w:t>
      </w:r>
      <w:r w:rsidR="00262892">
        <w:rPr>
          <w:lang w:val="fr-FR"/>
        </w:rPr>
        <w:t>No</w:t>
      </w:r>
      <w:r w:rsidRPr="00767B88">
        <w:rPr>
          <w:lang w:val="fr-FR"/>
        </w:rPr>
        <w:t xml:space="preserve"> ONU 1966, et pourront continuer à être utilisés pour les </w:t>
      </w:r>
      <w:r w:rsidR="00262892">
        <w:rPr>
          <w:lang w:val="fr-FR"/>
        </w:rPr>
        <w:t>Nos</w:t>
      </w:r>
      <w:r w:rsidRPr="00767B88">
        <w:rPr>
          <w:lang w:val="fr-FR"/>
        </w:rPr>
        <w:t xml:space="preserve"> ONU 1961, 1972 et 3312 jusqu</w:t>
      </w:r>
      <w:r>
        <w:rPr>
          <w:lang w:val="fr-FR"/>
        </w:rPr>
        <w:t>’</w:t>
      </w:r>
      <w:r w:rsidRPr="00767B88">
        <w:rPr>
          <w:lang w:val="fr-FR"/>
        </w:rPr>
        <w:t>au premier contrôle périodique effectué après le 1</w:t>
      </w:r>
      <w:r w:rsidRPr="00767B88">
        <w:rPr>
          <w:vertAlign w:val="superscript"/>
          <w:lang w:val="fr-FR"/>
        </w:rPr>
        <w:t>er</w:t>
      </w:r>
      <w:r w:rsidRPr="00767B88">
        <w:rPr>
          <w:lang w:val="fr-FR"/>
        </w:rPr>
        <w:t xml:space="preserve"> janvier 2025 conformément au 6.8.3.4.6. »</w:t>
      </w:r>
      <w:r w:rsidR="00262892">
        <w:rPr>
          <w:lang w:val="fr-FR"/>
        </w:rPr>
        <w:t>.</w:t>
      </w:r>
    </w:p>
    <w:p w14:paraId="04C65DB8" w14:textId="77777777" w:rsidR="00FB0C40" w:rsidRPr="00767B88" w:rsidRDefault="00FB0C40" w:rsidP="00262892">
      <w:pPr>
        <w:pStyle w:val="HChG"/>
        <w:rPr>
          <w:iCs/>
          <w:szCs w:val="28"/>
          <w:lang w:val="fr-FR"/>
        </w:rPr>
      </w:pPr>
      <w:r w:rsidRPr="00767B88">
        <w:rPr>
          <w:lang w:val="fr-FR"/>
        </w:rPr>
        <w:tab/>
      </w:r>
      <w:r w:rsidRPr="00767B88">
        <w:rPr>
          <w:lang w:val="fr-FR"/>
        </w:rPr>
        <w:tab/>
        <w:t>Justification</w:t>
      </w:r>
    </w:p>
    <w:p w14:paraId="49060833" w14:textId="77777777" w:rsidR="00FB0C40" w:rsidRPr="00767B88" w:rsidRDefault="00FB0C40" w:rsidP="00FB0C40">
      <w:pPr>
        <w:pStyle w:val="SingleTxtG"/>
        <w:rPr>
          <w:lang w:val="fr-FR"/>
        </w:rPr>
      </w:pPr>
      <w:r w:rsidRPr="00767B88">
        <w:rPr>
          <w:lang w:val="fr-FR"/>
        </w:rPr>
        <w:t>5.</w:t>
      </w:r>
      <w:r w:rsidRPr="00767B88">
        <w:rPr>
          <w:lang w:val="fr-FR"/>
        </w:rPr>
        <w:tab/>
        <w:t>L</w:t>
      </w:r>
      <w:r>
        <w:rPr>
          <w:lang w:val="fr-FR"/>
        </w:rPr>
        <w:t>’</w:t>
      </w:r>
      <w:r w:rsidRPr="00767B88">
        <w:rPr>
          <w:lang w:val="fr-FR"/>
        </w:rPr>
        <w:t>installation d</w:t>
      </w:r>
      <w:r>
        <w:rPr>
          <w:lang w:val="fr-FR"/>
        </w:rPr>
        <w:t>’</w:t>
      </w:r>
      <w:r w:rsidRPr="00767B88">
        <w:rPr>
          <w:lang w:val="fr-FR"/>
        </w:rPr>
        <w:t>un obturateur à fermeture automatique instantanée est essentielle. Toutefois, plusieurs éléments de détail supplémentaires doivent être examinés plus avant et faire l</w:t>
      </w:r>
      <w:r>
        <w:rPr>
          <w:lang w:val="fr-FR"/>
        </w:rPr>
        <w:t>’</w:t>
      </w:r>
      <w:r w:rsidRPr="00767B88">
        <w:rPr>
          <w:lang w:val="fr-FR"/>
        </w:rPr>
        <w:t>objet d</w:t>
      </w:r>
      <w:r>
        <w:rPr>
          <w:lang w:val="fr-FR"/>
        </w:rPr>
        <w:t>’</w:t>
      </w:r>
      <w:r w:rsidRPr="00767B88">
        <w:rPr>
          <w:lang w:val="fr-FR"/>
        </w:rPr>
        <w:t>une décision. Pour permettre cet examen, la date à laquelle les citernes existantes doivent être modifiées est fixée au 1</w:t>
      </w:r>
      <w:r w:rsidRPr="00767B88">
        <w:rPr>
          <w:vertAlign w:val="superscript"/>
          <w:lang w:val="fr-FR"/>
        </w:rPr>
        <w:t>er</w:t>
      </w:r>
      <w:r w:rsidRPr="00767B88">
        <w:rPr>
          <w:lang w:val="fr-FR"/>
        </w:rPr>
        <w:t xml:space="preserve"> janvier 2025.</w:t>
      </w:r>
    </w:p>
    <w:p w14:paraId="07757AC0" w14:textId="2F9A3AC4" w:rsidR="00FB0C40" w:rsidRPr="00767B88" w:rsidRDefault="00FB0C40" w:rsidP="00FB0C40">
      <w:pPr>
        <w:pStyle w:val="SingleTxtG"/>
        <w:rPr>
          <w:lang w:val="fr-FR"/>
        </w:rPr>
      </w:pPr>
      <w:r w:rsidRPr="00767B88">
        <w:rPr>
          <w:lang w:val="fr-FR"/>
        </w:rPr>
        <w:t>6.</w:t>
      </w:r>
      <w:r w:rsidRPr="00767B88">
        <w:rPr>
          <w:lang w:val="fr-FR"/>
        </w:rPr>
        <w:tab/>
        <w:t>Les citernes cryogéniques (isolées sous vide) sont équipées, en raison de leur conception et de leur fonctionnement, d</w:t>
      </w:r>
      <w:r>
        <w:rPr>
          <w:lang w:val="fr-FR"/>
        </w:rPr>
        <w:t>’</w:t>
      </w:r>
      <w:r w:rsidRPr="00767B88">
        <w:rPr>
          <w:lang w:val="fr-FR"/>
        </w:rPr>
        <w:t>obturateurs situés non pas sur le réservoir lui-même, mais à l</w:t>
      </w:r>
      <w:r>
        <w:rPr>
          <w:lang w:val="fr-FR"/>
        </w:rPr>
        <w:t>’</w:t>
      </w:r>
      <w:r w:rsidRPr="00767B88">
        <w:rPr>
          <w:lang w:val="fr-FR"/>
        </w:rPr>
        <w:t>extérieur de la jaquette d</w:t>
      </w:r>
      <w:r>
        <w:rPr>
          <w:lang w:val="fr-FR"/>
        </w:rPr>
        <w:t>’</w:t>
      </w:r>
      <w:r w:rsidRPr="00767B88">
        <w:rPr>
          <w:lang w:val="fr-FR"/>
        </w:rPr>
        <w:t>isolation sous vide. En raison des basses températures et de l</w:t>
      </w:r>
      <w:r>
        <w:rPr>
          <w:lang w:val="fr-FR"/>
        </w:rPr>
        <w:t>’</w:t>
      </w:r>
      <w:r w:rsidRPr="00767B88">
        <w:rPr>
          <w:lang w:val="fr-FR"/>
        </w:rPr>
        <w:t>espace limité, en particulier pour l</w:t>
      </w:r>
      <w:r>
        <w:rPr>
          <w:lang w:val="fr-FR"/>
        </w:rPr>
        <w:t>’</w:t>
      </w:r>
      <w:r w:rsidRPr="00767B88">
        <w:rPr>
          <w:lang w:val="fr-FR"/>
        </w:rPr>
        <w:t>hydrogène liquéfié réfrigéré, il peut être nécessaire d</w:t>
      </w:r>
      <w:r>
        <w:rPr>
          <w:lang w:val="fr-FR"/>
        </w:rPr>
        <w:t>’</w:t>
      </w:r>
      <w:r w:rsidRPr="00767B88">
        <w:rPr>
          <w:lang w:val="fr-FR"/>
        </w:rPr>
        <w:t>adopter une approche différente. Par conséquent, et compte tenu du nombre limité de citernes en circulation pour</w:t>
      </w:r>
      <w:r w:rsidRPr="00767B88">
        <w:rPr>
          <w:b/>
          <w:bCs/>
          <w:lang w:val="fr-FR"/>
        </w:rPr>
        <w:t xml:space="preserve"> </w:t>
      </w:r>
      <w:r w:rsidRPr="00767B88">
        <w:rPr>
          <w:lang w:val="fr-FR"/>
        </w:rPr>
        <w:t xml:space="preserve">le </w:t>
      </w:r>
      <w:r w:rsidR="00262892">
        <w:rPr>
          <w:lang w:val="fr-FR"/>
        </w:rPr>
        <w:t>No</w:t>
      </w:r>
      <w:r w:rsidRPr="00767B88">
        <w:rPr>
          <w:lang w:val="fr-FR"/>
        </w:rPr>
        <w:t xml:space="preserve"> ONU 1966, ce type de citernes ne peut faire l</w:t>
      </w:r>
      <w:r>
        <w:rPr>
          <w:lang w:val="fr-FR"/>
        </w:rPr>
        <w:t>’</w:t>
      </w:r>
      <w:r w:rsidRPr="00767B88">
        <w:rPr>
          <w:lang w:val="fr-FR"/>
        </w:rPr>
        <w:t>objet d</w:t>
      </w:r>
      <w:r>
        <w:rPr>
          <w:lang w:val="fr-FR"/>
        </w:rPr>
        <w:t>’</w:t>
      </w:r>
      <w:r w:rsidRPr="00767B88">
        <w:rPr>
          <w:lang w:val="fr-FR"/>
        </w:rPr>
        <w:t>une modification pour le moment.</w:t>
      </w:r>
    </w:p>
    <w:p w14:paraId="40F2D2A5" w14:textId="6B2DAB98" w:rsidR="00FB0C40" w:rsidRPr="00767B88" w:rsidRDefault="00FB0C40" w:rsidP="00FB0C40">
      <w:pPr>
        <w:pStyle w:val="SingleTxtG"/>
        <w:rPr>
          <w:lang w:val="fr-FR"/>
        </w:rPr>
      </w:pPr>
      <w:r w:rsidRPr="00767B88">
        <w:rPr>
          <w:lang w:val="fr-FR"/>
        </w:rPr>
        <w:t>7.</w:t>
      </w:r>
      <w:r w:rsidRPr="00767B88">
        <w:rPr>
          <w:lang w:val="fr-FR"/>
        </w:rPr>
        <w:tab/>
        <w:t>Au cours de ses débats, le groupe de travail informel des citernes, qui s</w:t>
      </w:r>
      <w:r>
        <w:rPr>
          <w:lang w:val="fr-FR"/>
        </w:rPr>
        <w:t>’</w:t>
      </w:r>
      <w:r w:rsidRPr="00767B88">
        <w:rPr>
          <w:lang w:val="fr-FR"/>
        </w:rPr>
        <w:t xml:space="preserve">est réuni en </w:t>
      </w:r>
      <w:proofErr w:type="gramStart"/>
      <w:r w:rsidRPr="00767B88">
        <w:rPr>
          <w:lang w:val="fr-FR"/>
        </w:rPr>
        <w:t>ligne</w:t>
      </w:r>
      <w:proofErr w:type="gramEnd"/>
      <w:r w:rsidRPr="00767B88">
        <w:rPr>
          <w:lang w:val="fr-FR"/>
        </w:rPr>
        <w:t xml:space="preserve"> le 14 décembre 2021, a pris acte du fait que le </w:t>
      </w:r>
      <w:r w:rsidR="00262892">
        <w:rPr>
          <w:lang w:val="fr-FR"/>
        </w:rPr>
        <w:t>No</w:t>
      </w:r>
      <w:r w:rsidRPr="00767B88">
        <w:rPr>
          <w:lang w:val="fr-FR"/>
        </w:rPr>
        <w:t xml:space="preserve"> ONU 1961 Éthane liquide réfrigéré et le </w:t>
      </w:r>
      <w:r w:rsidR="00262892">
        <w:rPr>
          <w:lang w:val="fr-FR"/>
        </w:rPr>
        <w:t>No</w:t>
      </w:r>
      <w:r w:rsidRPr="00767B88">
        <w:rPr>
          <w:lang w:val="fr-FR"/>
        </w:rPr>
        <w:t xml:space="preserve"> ONU 3312 Gaz liquide réfrigéré inflammable, </w:t>
      </w:r>
      <w:proofErr w:type="spellStart"/>
      <w:r>
        <w:rPr>
          <w:lang w:val="fr-FR"/>
        </w:rPr>
        <w:t>n.s.a</w:t>
      </w:r>
      <w:proofErr w:type="spellEnd"/>
      <w:r w:rsidRPr="00767B88">
        <w:rPr>
          <w:lang w:val="fr-FR"/>
        </w:rPr>
        <w:t xml:space="preserve">, seraient également concernés. </w:t>
      </w:r>
    </w:p>
    <w:p w14:paraId="3E87D4F0" w14:textId="77777777" w:rsidR="00FB0C40" w:rsidRPr="00767B88" w:rsidRDefault="00FB0C40" w:rsidP="00FB0C40">
      <w:pPr>
        <w:spacing w:before="240"/>
        <w:jc w:val="center"/>
        <w:rPr>
          <w:u w:val="single"/>
          <w:lang w:val="fr-FR"/>
        </w:rPr>
      </w:pPr>
      <w:r w:rsidRPr="00767B88">
        <w:rPr>
          <w:u w:val="single"/>
          <w:lang w:val="fr-FR"/>
        </w:rPr>
        <w:tab/>
      </w:r>
      <w:r w:rsidRPr="00767B88">
        <w:rPr>
          <w:u w:val="single"/>
          <w:lang w:val="fr-FR"/>
        </w:rPr>
        <w:tab/>
      </w:r>
      <w:r w:rsidRPr="00767B88">
        <w:rPr>
          <w:u w:val="single"/>
          <w:lang w:val="fr-FR"/>
        </w:rPr>
        <w:tab/>
      </w:r>
    </w:p>
    <w:p w14:paraId="6B86C340" w14:textId="77777777" w:rsidR="00F9573C" w:rsidRPr="00FB0C40" w:rsidRDefault="00F9573C" w:rsidP="00FB0C40">
      <w:pPr>
        <w:spacing w:before="120"/>
        <w:rPr>
          <w:lang w:val="fr-FR"/>
        </w:rPr>
      </w:pPr>
    </w:p>
    <w:sectPr w:rsidR="00F9573C" w:rsidRPr="00FB0C40" w:rsidSect="00FB0C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2D63" w14:textId="77777777" w:rsidR="0017282E" w:rsidRDefault="0017282E" w:rsidP="00F95C08">
      <w:pPr>
        <w:spacing w:line="240" w:lineRule="auto"/>
      </w:pPr>
    </w:p>
  </w:endnote>
  <w:endnote w:type="continuationSeparator" w:id="0">
    <w:p w14:paraId="210C0EBD" w14:textId="77777777" w:rsidR="0017282E" w:rsidRPr="00AC3823" w:rsidRDefault="0017282E" w:rsidP="00AC3823">
      <w:pPr>
        <w:pStyle w:val="Footer"/>
      </w:pPr>
    </w:p>
  </w:endnote>
  <w:endnote w:type="continuationNotice" w:id="1">
    <w:p w14:paraId="5C56891E" w14:textId="77777777" w:rsidR="0017282E" w:rsidRDefault="001728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FB30" w14:textId="2FAFEC76" w:rsidR="00FB0C40" w:rsidRPr="00FB0C40" w:rsidRDefault="00FB0C40" w:rsidP="00FB0C40">
    <w:pPr>
      <w:pStyle w:val="Footer"/>
      <w:tabs>
        <w:tab w:val="right" w:pos="9638"/>
      </w:tabs>
    </w:pPr>
    <w:r w:rsidRPr="00FB0C40">
      <w:rPr>
        <w:b/>
        <w:sz w:val="18"/>
      </w:rPr>
      <w:fldChar w:fldCharType="begin"/>
    </w:r>
    <w:r w:rsidRPr="00FB0C40">
      <w:rPr>
        <w:b/>
        <w:sz w:val="18"/>
      </w:rPr>
      <w:instrText xml:space="preserve"> PAGE  \* MERGEFORMAT </w:instrText>
    </w:r>
    <w:r w:rsidRPr="00FB0C40">
      <w:rPr>
        <w:b/>
        <w:sz w:val="18"/>
      </w:rPr>
      <w:fldChar w:fldCharType="separate"/>
    </w:r>
    <w:r w:rsidRPr="00FB0C40">
      <w:rPr>
        <w:b/>
        <w:noProof/>
        <w:sz w:val="18"/>
      </w:rPr>
      <w:t>2</w:t>
    </w:r>
    <w:r w:rsidRPr="00FB0C40">
      <w:rPr>
        <w:b/>
        <w:sz w:val="18"/>
      </w:rPr>
      <w:fldChar w:fldCharType="end"/>
    </w:r>
    <w:r>
      <w:rPr>
        <w:b/>
        <w:sz w:val="18"/>
      </w:rPr>
      <w:tab/>
    </w:r>
    <w:r>
      <w:t>GE.21-19500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966E" w14:textId="31DAFFA4" w:rsidR="00FB0C40" w:rsidRPr="00FB0C40" w:rsidRDefault="00FB0C40" w:rsidP="00FB0C40">
    <w:pPr>
      <w:pStyle w:val="Footer"/>
      <w:tabs>
        <w:tab w:val="right" w:pos="9638"/>
      </w:tabs>
      <w:rPr>
        <w:b/>
        <w:sz w:val="18"/>
      </w:rPr>
    </w:pPr>
    <w:r>
      <w:t>GE.21-19500</w:t>
    </w:r>
    <w:r>
      <w:tab/>
    </w:r>
    <w:r w:rsidRPr="00FB0C40">
      <w:rPr>
        <w:b/>
        <w:sz w:val="18"/>
      </w:rPr>
      <w:fldChar w:fldCharType="begin"/>
    </w:r>
    <w:r w:rsidRPr="00FB0C40">
      <w:rPr>
        <w:b/>
        <w:sz w:val="18"/>
      </w:rPr>
      <w:instrText xml:space="preserve"> PAGE  \* MERGEFORMAT </w:instrText>
    </w:r>
    <w:r w:rsidRPr="00FB0C40">
      <w:rPr>
        <w:b/>
        <w:sz w:val="18"/>
      </w:rPr>
      <w:fldChar w:fldCharType="separate"/>
    </w:r>
    <w:r w:rsidRPr="00FB0C40">
      <w:rPr>
        <w:b/>
        <w:noProof/>
        <w:sz w:val="18"/>
      </w:rPr>
      <w:t>3</w:t>
    </w:r>
    <w:r w:rsidRPr="00FB0C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CE80" w14:textId="615C6C41" w:rsidR="007F20FA" w:rsidRPr="00FB0C40" w:rsidRDefault="00FB0C40" w:rsidP="00FB0C4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A97892" wp14:editId="5AB194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19500  (</w:t>
    </w:r>
    <w:proofErr w:type="gramEnd"/>
    <w:r>
      <w:rPr>
        <w:sz w:val="20"/>
      </w:rPr>
      <w:t>F)</w:t>
    </w:r>
    <w:r>
      <w:rPr>
        <w:noProof/>
        <w:sz w:val="20"/>
      </w:rPr>
      <w:drawing>
        <wp:anchor distT="0" distB="0" distL="114300" distR="114300" simplePos="0" relativeHeight="251660288" behindDoc="0" locked="0" layoutInCell="1" allowOverlap="1" wp14:anchorId="4E405E5C" wp14:editId="6CF0D6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190122    190122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D81F" w14:textId="77777777" w:rsidR="0017282E" w:rsidRPr="00AC3823" w:rsidRDefault="0017282E" w:rsidP="00AC3823">
      <w:pPr>
        <w:pStyle w:val="Footer"/>
        <w:tabs>
          <w:tab w:val="right" w:pos="2155"/>
        </w:tabs>
        <w:spacing w:after="80" w:line="240" w:lineRule="atLeast"/>
        <w:ind w:left="680"/>
        <w:rPr>
          <w:u w:val="single"/>
        </w:rPr>
      </w:pPr>
      <w:r>
        <w:rPr>
          <w:u w:val="single"/>
        </w:rPr>
        <w:tab/>
      </w:r>
    </w:p>
  </w:footnote>
  <w:footnote w:type="continuationSeparator" w:id="0">
    <w:p w14:paraId="4D91795C" w14:textId="77777777" w:rsidR="0017282E" w:rsidRPr="00AC3823" w:rsidRDefault="0017282E" w:rsidP="00AC3823">
      <w:pPr>
        <w:pStyle w:val="Footer"/>
        <w:tabs>
          <w:tab w:val="right" w:pos="2155"/>
        </w:tabs>
        <w:spacing w:after="80" w:line="240" w:lineRule="atLeast"/>
        <w:ind w:left="680"/>
        <w:rPr>
          <w:u w:val="single"/>
        </w:rPr>
      </w:pPr>
      <w:r>
        <w:rPr>
          <w:u w:val="single"/>
        </w:rPr>
        <w:tab/>
      </w:r>
    </w:p>
  </w:footnote>
  <w:footnote w:type="continuationNotice" w:id="1">
    <w:p w14:paraId="7C88D3C0" w14:textId="77777777" w:rsidR="0017282E" w:rsidRPr="00AC3823" w:rsidRDefault="0017282E">
      <w:pPr>
        <w:spacing w:line="240" w:lineRule="auto"/>
        <w:rPr>
          <w:sz w:val="2"/>
          <w:szCs w:val="2"/>
        </w:rPr>
      </w:pPr>
    </w:p>
  </w:footnote>
  <w:footnote w:id="2">
    <w:p w14:paraId="015D8044" w14:textId="7BA4AAFC" w:rsidR="00FB0C40" w:rsidRPr="00E4532C" w:rsidRDefault="00FB0C40" w:rsidP="00FB0C40">
      <w:pPr>
        <w:pStyle w:val="FootnoteText"/>
        <w:rPr>
          <w:sz w:val="20"/>
        </w:rPr>
      </w:pPr>
      <w:r>
        <w:rPr>
          <w:lang w:val="fr-FR"/>
        </w:rPr>
        <w:tab/>
      </w:r>
      <w:r w:rsidRPr="00262892">
        <w:rPr>
          <w:sz w:val="20"/>
          <w:lang w:val="fr-FR"/>
        </w:rPr>
        <w:t>*</w:t>
      </w:r>
      <w:r>
        <w:rPr>
          <w:lang w:val="fr-FR"/>
        </w:rPr>
        <w:tab/>
        <w:t>A/76/6 (Sect.</w:t>
      </w:r>
      <w:r w:rsidR="00262892">
        <w:rPr>
          <w:lang w:val="fr-FR"/>
        </w:rPr>
        <w:t xml:space="preserve"> </w:t>
      </w:r>
      <w:r>
        <w:rPr>
          <w:lang w:val="fr-FR"/>
        </w:rPr>
        <w:t>20), par. 20.76.</w:t>
      </w:r>
    </w:p>
  </w:footnote>
  <w:footnote w:id="3">
    <w:p w14:paraId="7B0E672C" w14:textId="77777777" w:rsidR="00FB0C40" w:rsidRPr="00E4532C" w:rsidRDefault="00FB0C40" w:rsidP="00FB0C40">
      <w:pPr>
        <w:pStyle w:val="FootnoteText"/>
        <w:rPr>
          <w:sz w:val="20"/>
        </w:rPr>
      </w:pPr>
      <w:r>
        <w:rPr>
          <w:lang w:val="fr-FR"/>
        </w:rPr>
        <w:tab/>
      </w:r>
      <w:r w:rsidRPr="00262892">
        <w:rPr>
          <w:sz w:val="20"/>
          <w:lang w:val="fr-FR"/>
        </w:rPr>
        <w:t>**</w:t>
      </w:r>
      <w:r>
        <w:rPr>
          <w:lang w:val="fr-FR"/>
        </w:rPr>
        <w:tab/>
      </w:r>
      <w:r>
        <w:rPr>
          <w:lang w:val="fr-FR"/>
        </w:rPr>
        <w:tab/>
        <w:t>Diffusée par l’Organisation intergouvernementale pour les transports internationaux ferroviaires sous la cote OTIF/RID/RC/2022/16.</w:t>
      </w:r>
    </w:p>
  </w:footnote>
  <w:footnote w:id="4">
    <w:p w14:paraId="6E573C25" w14:textId="30DE75CF" w:rsidR="00262892" w:rsidRPr="00262892" w:rsidRDefault="00262892">
      <w:pPr>
        <w:pStyle w:val="FootnoteText"/>
      </w:pPr>
      <w:r>
        <w:rPr>
          <w:rStyle w:val="FootnoteReference"/>
        </w:rPr>
        <w:tab/>
      </w:r>
      <w:r w:rsidRPr="00262892">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9F84" w14:textId="109F5C8E" w:rsidR="00FB0C40" w:rsidRPr="00FB0C40" w:rsidRDefault="00C43C18">
    <w:pPr>
      <w:pStyle w:val="Header"/>
    </w:pPr>
    <w:r>
      <w:fldChar w:fldCharType="begin"/>
    </w:r>
    <w:r>
      <w:instrText xml:space="preserve"> TITLE  \* MERGEFORMAT </w:instrText>
    </w:r>
    <w:r>
      <w:fldChar w:fldCharType="separate"/>
    </w:r>
    <w:r w:rsidR="00FB0C40">
      <w:t>ECE/TRANS/WP.15/AC.1/2022/16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9D21" w14:textId="44F6D99C" w:rsidR="00FB0C40" w:rsidRPr="00FB0C40" w:rsidRDefault="00C43C18" w:rsidP="00FB0C40">
    <w:pPr>
      <w:pStyle w:val="Header"/>
      <w:jc w:val="right"/>
    </w:pPr>
    <w:r>
      <w:fldChar w:fldCharType="begin"/>
    </w:r>
    <w:r>
      <w:instrText xml:space="preserve"> TITLE  \* MERGEFORMAT </w:instrText>
    </w:r>
    <w:r>
      <w:fldChar w:fldCharType="separate"/>
    </w:r>
    <w:r w:rsidR="00FB0C40">
      <w:t>ECE/TRANS/WP.15/AC.1/2022/16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2E"/>
    <w:rsid w:val="00017F94"/>
    <w:rsid w:val="00023842"/>
    <w:rsid w:val="000334F9"/>
    <w:rsid w:val="00045FEB"/>
    <w:rsid w:val="0007796D"/>
    <w:rsid w:val="000B7790"/>
    <w:rsid w:val="00111F2F"/>
    <w:rsid w:val="0014365E"/>
    <w:rsid w:val="00143C66"/>
    <w:rsid w:val="0017282E"/>
    <w:rsid w:val="00176178"/>
    <w:rsid w:val="001F525A"/>
    <w:rsid w:val="00201148"/>
    <w:rsid w:val="00223272"/>
    <w:rsid w:val="0024779E"/>
    <w:rsid w:val="00257168"/>
    <w:rsid w:val="00262892"/>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612"/>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43C18"/>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B0C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C1F95"/>
  <w15:docId w15:val="{9352D85F-BF1F-4C94-A5E5-8BEA6BF7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B0C4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ECE/TRANS/WP.15/AC.1/2022/16</vt:lpstr>
    </vt:vector>
  </TitlesOfParts>
  <Company>DCM</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ECE/TRANS/WP.15/AC.1/2022/16</dc:title>
  <dc:subject/>
  <dc:creator>Sandrine CLERE</dc:creator>
  <cp:keywords/>
  <cp:lastModifiedBy>Christine Barrio-Champeau</cp:lastModifiedBy>
  <cp:revision>2</cp:revision>
  <cp:lastPrinted>2014-05-14T10:59:00Z</cp:lastPrinted>
  <dcterms:created xsi:type="dcterms:W3CDTF">2022-01-19T10:28:00Z</dcterms:created>
  <dcterms:modified xsi:type="dcterms:W3CDTF">2022-01-19T10:28:00Z</dcterms:modified>
</cp:coreProperties>
</file>