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D7B99CF" w14:textId="77777777" w:rsidTr="00C97039">
        <w:trPr>
          <w:trHeight w:hRule="exact" w:val="851"/>
        </w:trPr>
        <w:tc>
          <w:tcPr>
            <w:tcW w:w="1276" w:type="dxa"/>
            <w:tcBorders>
              <w:bottom w:val="single" w:sz="4" w:space="0" w:color="auto"/>
            </w:tcBorders>
          </w:tcPr>
          <w:p w14:paraId="5A14EF1B" w14:textId="77777777" w:rsidR="00F35BAF" w:rsidRPr="00DB58B5" w:rsidRDefault="00F35BAF" w:rsidP="004A197B"/>
        </w:tc>
        <w:tc>
          <w:tcPr>
            <w:tcW w:w="2268" w:type="dxa"/>
            <w:tcBorders>
              <w:bottom w:val="single" w:sz="4" w:space="0" w:color="auto"/>
            </w:tcBorders>
            <w:vAlign w:val="bottom"/>
          </w:tcPr>
          <w:p w14:paraId="7025C8A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90AE4C" w14:textId="032B976A" w:rsidR="00F35BAF" w:rsidRPr="00DB58B5" w:rsidRDefault="004A197B" w:rsidP="004A197B">
            <w:pPr>
              <w:jc w:val="right"/>
            </w:pPr>
            <w:r w:rsidRPr="004A197B">
              <w:rPr>
                <w:sz w:val="40"/>
              </w:rPr>
              <w:t>ECE</w:t>
            </w:r>
            <w:r>
              <w:t>/TRANS/WP.15/AC.1/2022/14</w:t>
            </w:r>
          </w:p>
        </w:tc>
      </w:tr>
      <w:tr w:rsidR="00F35BAF" w:rsidRPr="00DB58B5" w14:paraId="50B24B9A" w14:textId="77777777" w:rsidTr="00C97039">
        <w:trPr>
          <w:trHeight w:hRule="exact" w:val="2835"/>
        </w:trPr>
        <w:tc>
          <w:tcPr>
            <w:tcW w:w="1276" w:type="dxa"/>
            <w:tcBorders>
              <w:top w:val="single" w:sz="4" w:space="0" w:color="auto"/>
              <w:bottom w:val="single" w:sz="12" w:space="0" w:color="auto"/>
            </w:tcBorders>
          </w:tcPr>
          <w:p w14:paraId="39C8924F" w14:textId="77777777" w:rsidR="00F35BAF" w:rsidRPr="00DB58B5" w:rsidRDefault="00F35BAF" w:rsidP="00C97039">
            <w:pPr>
              <w:spacing w:before="120"/>
              <w:jc w:val="center"/>
            </w:pPr>
            <w:r>
              <w:rPr>
                <w:noProof/>
                <w:lang w:eastAsia="fr-CH"/>
              </w:rPr>
              <w:drawing>
                <wp:inline distT="0" distB="0" distL="0" distR="0" wp14:anchorId="054EBD85" wp14:editId="38C959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A1C12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E10B37" w14:textId="77777777" w:rsidR="00F35BAF" w:rsidRDefault="004A197B" w:rsidP="00C97039">
            <w:pPr>
              <w:spacing w:before="240"/>
            </w:pPr>
            <w:r>
              <w:t>Distr. générale</w:t>
            </w:r>
          </w:p>
          <w:p w14:paraId="3E9F8096" w14:textId="77777777" w:rsidR="004A197B" w:rsidRDefault="004A197B" w:rsidP="004A197B">
            <w:pPr>
              <w:spacing w:line="240" w:lineRule="exact"/>
            </w:pPr>
            <w:r>
              <w:t>21 décembre 2021</w:t>
            </w:r>
          </w:p>
          <w:p w14:paraId="549CE1B4" w14:textId="77777777" w:rsidR="004A197B" w:rsidRDefault="004A197B" w:rsidP="004A197B">
            <w:pPr>
              <w:spacing w:line="240" w:lineRule="exact"/>
            </w:pPr>
            <w:r>
              <w:t>Français</w:t>
            </w:r>
          </w:p>
          <w:p w14:paraId="7E7B066C" w14:textId="059B7168" w:rsidR="004A197B" w:rsidRPr="00DB58B5" w:rsidRDefault="004A197B" w:rsidP="004A197B">
            <w:pPr>
              <w:spacing w:line="240" w:lineRule="exact"/>
            </w:pPr>
            <w:r>
              <w:t>Original : anglais</w:t>
            </w:r>
          </w:p>
        </w:tc>
      </w:tr>
    </w:tbl>
    <w:p w14:paraId="630B4236" w14:textId="4F0CB0BE" w:rsidR="007F20FA" w:rsidRPr="000312C0" w:rsidRDefault="007F20FA" w:rsidP="007F20FA">
      <w:pPr>
        <w:spacing w:before="120"/>
        <w:rPr>
          <w:b/>
          <w:sz w:val="28"/>
          <w:szCs w:val="28"/>
        </w:rPr>
      </w:pPr>
      <w:r w:rsidRPr="000312C0">
        <w:rPr>
          <w:b/>
          <w:sz w:val="28"/>
          <w:szCs w:val="28"/>
        </w:rPr>
        <w:t>Commission économique pour l</w:t>
      </w:r>
      <w:r w:rsidR="002C1EEC">
        <w:rPr>
          <w:b/>
          <w:sz w:val="28"/>
          <w:szCs w:val="28"/>
        </w:rPr>
        <w:t>’</w:t>
      </w:r>
      <w:r w:rsidRPr="000312C0">
        <w:rPr>
          <w:b/>
          <w:sz w:val="28"/>
          <w:szCs w:val="28"/>
        </w:rPr>
        <w:t>Europe</w:t>
      </w:r>
    </w:p>
    <w:p w14:paraId="41F807B4" w14:textId="77777777" w:rsidR="007F20FA" w:rsidRDefault="007F20FA" w:rsidP="007F20FA">
      <w:pPr>
        <w:spacing w:before="120"/>
        <w:rPr>
          <w:sz w:val="28"/>
          <w:szCs w:val="28"/>
        </w:rPr>
      </w:pPr>
      <w:r w:rsidRPr="00685843">
        <w:rPr>
          <w:sz w:val="28"/>
          <w:szCs w:val="28"/>
        </w:rPr>
        <w:t>Comité des transports intérieurs</w:t>
      </w:r>
    </w:p>
    <w:p w14:paraId="789E39AA" w14:textId="77777777" w:rsidR="004A197B" w:rsidRPr="009E01B8" w:rsidRDefault="004A197B" w:rsidP="00AF0CB5">
      <w:pPr>
        <w:spacing w:before="120"/>
        <w:rPr>
          <w:b/>
          <w:sz w:val="24"/>
          <w:szCs w:val="24"/>
        </w:rPr>
      </w:pPr>
      <w:r w:rsidRPr="009E01B8">
        <w:rPr>
          <w:b/>
          <w:sz w:val="24"/>
          <w:szCs w:val="24"/>
        </w:rPr>
        <w:t>Groupe de travail des transports de marchandises dangereuses</w:t>
      </w:r>
    </w:p>
    <w:p w14:paraId="691736E6" w14:textId="5DC3C19B" w:rsidR="004A197B" w:rsidRPr="00926E87" w:rsidRDefault="004A197B" w:rsidP="00AF0CB5">
      <w:pPr>
        <w:spacing w:before="120"/>
        <w:rPr>
          <w:b/>
        </w:rPr>
      </w:pPr>
      <w:r w:rsidRPr="00926E87">
        <w:rPr>
          <w:b/>
        </w:rPr>
        <w:t>Réunion commune de la Commission d</w:t>
      </w:r>
      <w:r w:rsidR="002C1EEC">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51F861D" w14:textId="77777777" w:rsidR="004A197B" w:rsidRPr="006F2AAD" w:rsidRDefault="004A197B" w:rsidP="004A197B">
      <w:pPr>
        <w:spacing w:before="120"/>
        <w:rPr>
          <w:lang w:val="fr-FR"/>
        </w:rPr>
      </w:pPr>
      <w:r w:rsidRPr="006F2AAD">
        <w:rPr>
          <w:lang w:val="fr-FR"/>
        </w:rPr>
        <w:t>Berne, 14-18 mars 2022</w:t>
      </w:r>
    </w:p>
    <w:p w14:paraId="2568C819" w14:textId="780CF12D" w:rsidR="004A197B" w:rsidRPr="006F2AAD" w:rsidRDefault="004A197B" w:rsidP="004A197B">
      <w:pPr>
        <w:rPr>
          <w:lang w:val="fr-FR"/>
        </w:rPr>
      </w:pPr>
      <w:r w:rsidRPr="006F2AAD">
        <w:rPr>
          <w:lang w:val="fr-FR"/>
        </w:rPr>
        <w:t>Point 5 b) de l</w:t>
      </w:r>
      <w:r w:rsidR="002C1EEC">
        <w:rPr>
          <w:lang w:val="fr-FR"/>
        </w:rPr>
        <w:t>’</w:t>
      </w:r>
      <w:r w:rsidRPr="006F2AAD">
        <w:rPr>
          <w:lang w:val="fr-FR"/>
        </w:rPr>
        <w:t>ordre du jour provisoire</w:t>
      </w:r>
    </w:p>
    <w:p w14:paraId="3FD13E73" w14:textId="114ABC11" w:rsidR="004A197B" w:rsidRPr="006F2AAD" w:rsidRDefault="004A197B" w:rsidP="004A197B">
      <w:pPr>
        <w:rPr>
          <w:b/>
          <w:bCs/>
          <w:lang w:val="fr-FR"/>
        </w:rPr>
      </w:pPr>
      <w:r w:rsidRPr="006F2AAD">
        <w:rPr>
          <w:b/>
          <w:bCs/>
          <w:lang w:val="fr-FR"/>
        </w:rPr>
        <w:t>Propositions d</w:t>
      </w:r>
      <w:r w:rsidR="002C1EEC">
        <w:rPr>
          <w:b/>
          <w:bCs/>
          <w:lang w:val="fr-FR"/>
        </w:rPr>
        <w:t>’</w:t>
      </w:r>
      <w:r w:rsidRPr="006F2AAD">
        <w:rPr>
          <w:b/>
          <w:bCs/>
          <w:lang w:val="fr-FR"/>
        </w:rPr>
        <w:t>amendements au RID, à l</w:t>
      </w:r>
      <w:r w:rsidR="002C1EEC">
        <w:rPr>
          <w:b/>
          <w:bCs/>
          <w:lang w:val="fr-FR"/>
        </w:rPr>
        <w:t>’</w:t>
      </w:r>
      <w:r w:rsidRPr="006F2AAD">
        <w:rPr>
          <w:b/>
          <w:bCs/>
          <w:lang w:val="fr-FR"/>
        </w:rPr>
        <w:t>ADR et à l</w:t>
      </w:r>
      <w:r w:rsidR="002C1EEC">
        <w:rPr>
          <w:b/>
          <w:bCs/>
          <w:lang w:val="fr-FR"/>
        </w:rPr>
        <w:t>’</w:t>
      </w:r>
      <w:r w:rsidRPr="006F2AAD">
        <w:rPr>
          <w:b/>
          <w:bCs/>
          <w:lang w:val="fr-FR"/>
        </w:rPr>
        <w:t>ADN :</w:t>
      </w:r>
    </w:p>
    <w:p w14:paraId="595593AC" w14:textId="77777777" w:rsidR="004A197B" w:rsidRPr="006F2AAD" w:rsidRDefault="004A197B" w:rsidP="004A197B">
      <w:pPr>
        <w:rPr>
          <w:b/>
          <w:bCs/>
          <w:lang w:val="fr-FR"/>
        </w:rPr>
      </w:pPr>
      <w:r w:rsidRPr="006F2AAD">
        <w:rPr>
          <w:b/>
          <w:bCs/>
          <w:lang w:val="fr-FR"/>
        </w:rPr>
        <w:t>Nouvelles propositions</w:t>
      </w:r>
    </w:p>
    <w:p w14:paraId="430F1BC7" w14:textId="5AB2A94B" w:rsidR="004A197B" w:rsidRPr="006F2AAD" w:rsidRDefault="004A197B" w:rsidP="004A197B">
      <w:pPr>
        <w:pStyle w:val="HChG"/>
        <w:rPr>
          <w:lang w:val="fr-FR"/>
        </w:rPr>
      </w:pPr>
      <w:r w:rsidRPr="006F2AAD">
        <w:rPr>
          <w:lang w:val="fr-FR"/>
        </w:rPr>
        <w:tab/>
      </w:r>
      <w:r w:rsidRPr="006F2AAD">
        <w:rPr>
          <w:lang w:val="fr-FR"/>
        </w:rPr>
        <w:tab/>
        <w:t xml:space="preserve">Section 1.10.4 </w:t>
      </w:r>
      <w:r w:rsidR="00AB77FC">
        <w:rPr>
          <w:lang w:val="fr-FR"/>
        </w:rPr>
        <w:t>−</w:t>
      </w:r>
      <w:r w:rsidRPr="006F2AAD">
        <w:rPr>
          <w:lang w:val="fr-FR"/>
        </w:rPr>
        <w:t xml:space="preserve"> texte </w:t>
      </w:r>
      <w:r w:rsidRPr="004A197B">
        <w:t>faisant</w:t>
      </w:r>
      <w:r w:rsidRPr="006F2AAD">
        <w:rPr>
          <w:lang w:val="fr-FR"/>
        </w:rPr>
        <w:t xml:space="preserve"> référence au 1.1.3.6</w:t>
      </w:r>
    </w:p>
    <w:p w14:paraId="4BC44075" w14:textId="5C43BDE3" w:rsidR="00F9573C" w:rsidRDefault="004A197B" w:rsidP="004A197B">
      <w:pPr>
        <w:pStyle w:val="H1G"/>
        <w:rPr>
          <w:b w:val="0"/>
          <w:bCs/>
          <w:sz w:val="20"/>
        </w:rPr>
      </w:pPr>
      <w:r w:rsidRPr="006F2AAD">
        <w:rPr>
          <w:lang w:val="fr-FR"/>
        </w:rPr>
        <w:tab/>
      </w:r>
      <w:r w:rsidRPr="006F2AAD">
        <w:rPr>
          <w:lang w:val="fr-FR"/>
        </w:rPr>
        <w:tab/>
        <w:t>Communication des Gouvernements norvégien et suédois</w:t>
      </w:r>
      <w:r w:rsidRPr="004A197B">
        <w:rPr>
          <w:rStyle w:val="FootnoteReference"/>
          <w:b w:val="0"/>
          <w:bCs/>
          <w:sz w:val="20"/>
          <w:vertAlign w:val="baseline"/>
        </w:rPr>
        <w:footnoteReference w:customMarkFollows="1" w:id="2"/>
        <w:t>*</w:t>
      </w:r>
      <w:r w:rsidRPr="004A197B">
        <w:rPr>
          <w:rStyle w:val="FootnoteReference"/>
          <w:b w:val="0"/>
          <w:bCs/>
          <w:position w:val="6"/>
          <w:sz w:val="20"/>
          <w:vertAlign w:val="baseline"/>
        </w:rPr>
        <w:t>,</w:t>
      </w:r>
      <w:r w:rsidRPr="004A197B">
        <w:rPr>
          <w:b w:val="0"/>
          <w:bCs/>
          <w:sz w:val="20"/>
        </w:rPr>
        <w:t xml:space="preserve"> </w:t>
      </w:r>
      <w:r w:rsidRPr="004A197B">
        <w:rPr>
          <w:rStyle w:val="FootnoteReference"/>
          <w:b w:val="0"/>
          <w:bCs/>
          <w:sz w:val="20"/>
          <w:vertAlign w:val="baseline"/>
        </w:rPr>
        <w:footnoteReference w:customMarkFollows="1" w:id="3"/>
        <w:t>**</w:t>
      </w:r>
      <w:r w:rsidRPr="004A197B">
        <w:rPr>
          <w:rStyle w:val="FootnoteReference"/>
          <w:b w:val="0"/>
          <w:bCs/>
          <w:position w:val="6"/>
          <w:sz w:val="20"/>
          <w:vertAlign w:val="baseline"/>
        </w:rPr>
        <w:t>,</w:t>
      </w:r>
      <w:r w:rsidRPr="004A197B">
        <w:rPr>
          <w:b w:val="0"/>
          <w:bCs/>
          <w:sz w:val="20"/>
        </w:rPr>
        <w:t xml:space="preserve"> </w:t>
      </w:r>
      <w:r w:rsidRPr="004A197B">
        <w:rPr>
          <w:rStyle w:val="FootnoteReference"/>
          <w:b w:val="0"/>
          <w:bCs/>
          <w:sz w:val="20"/>
          <w:vertAlign w:val="baseline"/>
        </w:rPr>
        <w:footnoteReference w:customMarkFollows="1" w:id="4"/>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A197B" w14:paraId="553A55CE" w14:textId="77777777" w:rsidTr="004A197B">
        <w:trPr>
          <w:jc w:val="center"/>
        </w:trPr>
        <w:tc>
          <w:tcPr>
            <w:tcW w:w="9628" w:type="dxa"/>
            <w:shd w:val="clear" w:color="auto" w:fill="auto"/>
          </w:tcPr>
          <w:p w14:paraId="66EE0B74" w14:textId="77777777" w:rsidR="004A197B" w:rsidRDefault="004A197B">
            <w:pPr>
              <w:spacing w:before="240" w:after="120"/>
              <w:ind w:left="255"/>
              <w:rPr>
                <w:i/>
                <w:sz w:val="24"/>
              </w:rPr>
            </w:pPr>
            <w:r>
              <w:rPr>
                <w:i/>
                <w:sz w:val="24"/>
              </w:rPr>
              <w:t>Résumé</w:t>
            </w:r>
          </w:p>
        </w:tc>
      </w:tr>
      <w:tr w:rsidR="004A197B" w14:paraId="5CD53FCE" w14:textId="77777777" w:rsidTr="004A197B">
        <w:trPr>
          <w:jc w:val="center"/>
        </w:trPr>
        <w:tc>
          <w:tcPr>
            <w:tcW w:w="9628" w:type="dxa"/>
            <w:shd w:val="clear" w:color="auto" w:fill="auto"/>
          </w:tcPr>
          <w:p w14:paraId="39FA928F" w14:textId="36FAC981" w:rsidR="004A197B" w:rsidRPr="004A197B" w:rsidRDefault="004A197B" w:rsidP="007C0003">
            <w:pPr>
              <w:spacing w:after="120"/>
              <w:ind w:left="3402" w:right="1134" w:hanging="2268"/>
              <w:jc w:val="both"/>
              <w:rPr>
                <w:lang w:val="fr-FR"/>
              </w:rPr>
            </w:pPr>
            <w:r w:rsidRPr="006F2AAD">
              <w:rPr>
                <w:b/>
                <w:bCs/>
                <w:lang w:val="fr-FR"/>
              </w:rPr>
              <w:t>Résumé analytique :</w:t>
            </w:r>
            <w:r w:rsidRPr="006F2AAD">
              <w:rPr>
                <w:lang w:val="fr-FR"/>
              </w:rPr>
              <w:tab/>
              <w:t>La première phrase de la section 1.10.4 exempte de l</w:t>
            </w:r>
            <w:r w:rsidR="002C1EEC">
              <w:rPr>
                <w:lang w:val="fr-FR"/>
              </w:rPr>
              <w:t>’</w:t>
            </w:r>
            <w:r w:rsidRPr="006F2AAD">
              <w:rPr>
                <w:lang w:val="fr-FR"/>
              </w:rPr>
              <w:t>application du chapitre 1.10 les marchandises dangereuses transportées conformément au 1.1.3.6. Cependant, lorsque le 1.1.3.6 s</w:t>
            </w:r>
            <w:r w:rsidR="002C1EEC">
              <w:rPr>
                <w:lang w:val="fr-FR"/>
              </w:rPr>
              <w:t>’</w:t>
            </w:r>
            <w:r w:rsidRPr="006F2AAD">
              <w:rPr>
                <w:lang w:val="fr-FR"/>
              </w:rPr>
              <w:t>applique, le 1.10.4 ne s</w:t>
            </w:r>
            <w:r w:rsidR="002C1EEC">
              <w:rPr>
                <w:lang w:val="fr-FR"/>
              </w:rPr>
              <w:t>’</w:t>
            </w:r>
            <w:r w:rsidRPr="006F2AAD">
              <w:rPr>
                <w:lang w:val="fr-FR"/>
              </w:rPr>
              <w:t>applique pas. Cette phrase est donc redondante.</w:t>
            </w:r>
          </w:p>
        </w:tc>
      </w:tr>
      <w:tr w:rsidR="004A197B" w14:paraId="6DA0D022" w14:textId="77777777" w:rsidTr="004A197B">
        <w:trPr>
          <w:jc w:val="center"/>
        </w:trPr>
        <w:tc>
          <w:tcPr>
            <w:tcW w:w="9628" w:type="dxa"/>
            <w:shd w:val="clear" w:color="auto" w:fill="auto"/>
          </w:tcPr>
          <w:p w14:paraId="5D0A425D" w14:textId="76D13F74" w:rsidR="004A197B" w:rsidRPr="006F2AAD" w:rsidRDefault="004A197B" w:rsidP="007C0003">
            <w:pPr>
              <w:tabs>
                <w:tab w:val="left" w:pos="3260"/>
              </w:tabs>
              <w:spacing w:after="120"/>
              <w:ind w:left="3402" w:right="1134"/>
              <w:jc w:val="both"/>
              <w:rPr>
                <w:b/>
                <w:bCs/>
                <w:lang w:val="fr-FR"/>
              </w:rPr>
            </w:pPr>
            <w:r w:rsidRPr="006F2AAD">
              <w:rPr>
                <w:lang w:val="fr-FR"/>
              </w:rPr>
              <w:t>La deuxième phrase du 1.10.4 traite des transports en vrac ou en citerne de marchandises dont les volumes ne sont pas supérieurs à ceux prévus au 1.1.3.6. Cette exemption semble incohérente.</w:t>
            </w:r>
          </w:p>
        </w:tc>
      </w:tr>
      <w:tr w:rsidR="004A197B" w14:paraId="35395ADB" w14:textId="77777777" w:rsidTr="004A197B">
        <w:trPr>
          <w:jc w:val="center"/>
        </w:trPr>
        <w:tc>
          <w:tcPr>
            <w:tcW w:w="9628" w:type="dxa"/>
            <w:shd w:val="clear" w:color="auto" w:fill="auto"/>
          </w:tcPr>
          <w:p w14:paraId="1D86AFA6" w14:textId="77777777" w:rsidR="00082BF9" w:rsidRDefault="004A197B" w:rsidP="00082BF9">
            <w:pPr>
              <w:ind w:left="3402" w:right="1134" w:hanging="2268"/>
              <w:jc w:val="both"/>
              <w:rPr>
                <w:lang w:val="fr-FR"/>
              </w:rPr>
            </w:pPr>
            <w:r w:rsidRPr="006F2AAD">
              <w:rPr>
                <w:b/>
                <w:bCs/>
                <w:lang w:val="fr-FR"/>
              </w:rPr>
              <w:t>Mesures à prendre</w:t>
            </w:r>
            <w:r w:rsidR="007C0003">
              <w:rPr>
                <w:b/>
                <w:bCs/>
                <w:lang w:val="fr-FR"/>
              </w:rPr>
              <w:t> :</w:t>
            </w:r>
            <w:r w:rsidRPr="006F2AAD">
              <w:rPr>
                <w:lang w:val="fr-FR"/>
              </w:rPr>
              <w:tab/>
              <w:t>Supprimer la première phrase de la section 1.10.4.</w:t>
            </w:r>
          </w:p>
          <w:p w14:paraId="040B0131" w14:textId="32E05B04" w:rsidR="004A197B" w:rsidRPr="006F2AAD" w:rsidRDefault="004A197B" w:rsidP="00082BF9">
            <w:pPr>
              <w:tabs>
                <w:tab w:val="left" w:pos="3260"/>
              </w:tabs>
              <w:spacing w:after="120"/>
              <w:ind w:left="3402" w:right="1134"/>
              <w:jc w:val="both"/>
              <w:rPr>
                <w:lang w:val="fr-FR"/>
              </w:rPr>
            </w:pPr>
            <w:r w:rsidRPr="006F2AAD">
              <w:rPr>
                <w:lang w:val="fr-FR"/>
              </w:rPr>
              <w:t xml:space="preserve">Examiner la deuxième phrase </w:t>
            </w:r>
            <w:r>
              <w:rPr>
                <w:lang w:val="fr-FR"/>
              </w:rPr>
              <w:t xml:space="preserve">de la section </w:t>
            </w:r>
            <w:r w:rsidRPr="006F2AAD">
              <w:rPr>
                <w:lang w:val="fr-FR"/>
              </w:rPr>
              <w:t>1.10.4</w:t>
            </w:r>
            <w:r>
              <w:rPr>
                <w:lang w:val="fr-FR"/>
              </w:rPr>
              <w:t xml:space="preserve"> en vue de son éventuelle suppression</w:t>
            </w:r>
            <w:r w:rsidRPr="006F2AAD">
              <w:rPr>
                <w:lang w:val="fr-FR"/>
              </w:rPr>
              <w:t>.</w:t>
            </w:r>
          </w:p>
        </w:tc>
      </w:tr>
      <w:tr w:rsidR="004A197B" w14:paraId="4C66A0B7" w14:textId="77777777" w:rsidTr="004A197B">
        <w:trPr>
          <w:jc w:val="center"/>
        </w:trPr>
        <w:tc>
          <w:tcPr>
            <w:tcW w:w="9628" w:type="dxa"/>
            <w:shd w:val="clear" w:color="auto" w:fill="auto"/>
          </w:tcPr>
          <w:p w14:paraId="7BFDA317" w14:textId="77777777" w:rsidR="004A197B" w:rsidRDefault="004A197B"/>
        </w:tc>
      </w:tr>
    </w:tbl>
    <w:p w14:paraId="7DEB2392" w14:textId="77777777" w:rsidR="004A197B" w:rsidRPr="006F2AAD" w:rsidRDefault="004A197B" w:rsidP="004A197B">
      <w:pPr>
        <w:pStyle w:val="HChG"/>
        <w:rPr>
          <w:lang w:val="fr-FR"/>
        </w:rPr>
      </w:pPr>
      <w:r w:rsidRPr="006F2AAD">
        <w:rPr>
          <w:lang w:val="fr-FR"/>
        </w:rPr>
        <w:tab/>
      </w:r>
      <w:r w:rsidRPr="006F2AAD">
        <w:rPr>
          <w:lang w:val="fr-FR"/>
        </w:rPr>
        <w:tab/>
      </w:r>
      <w:r w:rsidRPr="006F2AAD">
        <w:rPr>
          <w:bCs/>
          <w:lang w:val="fr-FR"/>
        </w:rPr>
        <w:t>Introduction</w:t>
      </w:r>
    </w:p>
    <w:p w14:paraId="40C09D1D" w14:textId="01DE99A5" w:rsidR="004A197B" w:rsidRPr="006F2AAD" w:rsidRDefault="004A197B" w:rsidP="004A197B">
      <w:pPr>
        <w:pStyle w:val="SingleTxtG"/>
        <w:rPr>
          <w:lang w:val="fr-FR"/>
        </w:rPr>
      </w:pPr>
      <w:r w:rsidRPr="006F2AAD">
        <w:rPr>
          <w:lang w:val="fr-FR"/>
        </w:rPr>
        <w:t>1.</w:t>
      </w:r>
      <w:r w:rsidRPr="006F2AAD">
        <w:rPr>
          <w:lang w:val="fr-FR"/>
        </w:rPr>
        <w:tab/>
      </w:r>
      <w:r w:rsidR="00082BF9">
        <w:rPr>
          <w:lang w:val="fr-FR"/>
        </w:rPr>
        <w:t>À</w:t>
      </w:r>
      <w:r w:rsidRPr="006F2AAD">
        <w:rPr>
          <w:lang w:val="fr-FR"/>
        </w:rPr>
        <w:t xml:space="preserve"> la 110</w:t>
      </w:r>
      <w:r w:rsidRPr="006F2AAD">
        <w:rPr>
          <w:vertAlign w:val="superscript"/>
          <w:lang w:val="fr-FR"/>
        </w:rPr>
        <w:t>e</w:t>
      </w:r>
      <w:r w:rsidRPr="006F2AAD">
        <w:rPr>
          <w:lang w:val="fr-FR"/>
        </w:rPr>
        <w:t xml:space="preserve"> session du Groupe de travail des transports de marchandises dangereuses (WP.15), la Norvège et la Suède ont soumis le document </w:t>
      </w:r>
      <w:hyperlink r:id="rId8" w:history="1">
        <w:r w:rsidRPr="007C0003">
          <w:rPr>
            <w:rStyle w:val="Hyperlink"/>
            <w:lang w:val="fr-FR"/>
          </w:rPr>
          <w:t>ECE/TRANS/WP.15/2021/8</w:t>
        </w:r>
      </w:hyperlink>
      <w:r w:rsidRPr="006F2AAD">
        <w:rPr>
          <w:lang w:val="fr-FR"/>
        </w:rPr>
        <w:t xml:space="preserve">. La proposition y figurant traitait des marchandises qui sont répertoriées comme des </w:t>
      </w:r>
      <w:r w:rsidRPr="006F2AAD">
        <w:rPr>
          <w:lang w:val="fr-FR"/>
        </w:rPr>
        <w:lastRenderedPageBreak/>
        <w:t xml:space="preserve">marchandises dangereuses à haut risque à partir de 0 kg (tableau 1.10.3.1.2), mais qui peuvent être transportées conformément au 1.1.3.6 sans </w:t>
      </w:r>
      <w:r>
        <w:rPr>
          <w:lang w:val="fr-FR"/>
        </w:rPr>
        <w:t>qu</w:t>
      </w:r>
      <w:r w:rsidR="002C1EEC">
        <w:rPr>
          <w:lang w:val="fr-FR"/>
        </w:rPr>
        <w:t>’</w:t>
      </w:r>
      <w:r>
        <w:rPr>
          <w:lang w:val="fr-FR"/>
        </w:rPr>
        <w:t xml:space="preserve">il faille </w:t>
      </w:r>
      <w:r w:rsidRPr="006F2AAD">
        <w:rPr>
          <w:lang w:val="fr-FR"/>
        </w:rPr>
        <w:t>appliquer le chapitre 1.10.</w:t>
      </w:r>
    </w:p>
    <w:p w14:paraId="38582BCA" w14:textId="754697A5" w:rsidR="004A197B" w:rsidRPr="006F2AAD" w:rsidRDefault="004A197B" w:rsidP="004A197B">
      <w:pPr>
        <w:pStyle w:val="SingleTxtG"/>
        <w:rPr>
          <w:lang w:val="fr-FR"/>
        </w:rPr>
      </w:pPr>
      <w:r w:rsidRPr="006F2AAD">
        <w:rPr>
          <w:lang w:val="fr-FR"/>
        </w:rPr>
        <w:t>2.</w:t>
      </w:r>
      <w:r w:rsidRPr="006F2AAD">
        <w:rPr>
          <w:lang w:val="fr-FR"/>
        </w:rPr>
        <w:tab/>
        <w:t>Ce document avait pour objet d</w:t>
      </w:r>
      <w:r w:rsidR="002C1EEC">
        <w:rPr>
          <w:lang w:val="fr-FR"/>
        </w:rPr>
        <w:t>’</w:t>
      </w:r>
      <w:r w:rsidRPr="006F2AAD">
        <w:rPr>
          <w:lang w:val="fr-FR"/>
        </w:rPr>
        <w:t xml:space="preserve">accroître le niveau de sécurité </w:t>
      </w:r>
      <w:r>
        <w:rPr>
          <w:lang w:val="fr-FR"/>
        </w:rPr>
        <w:t xml:space="preserve">pour les </w:t>
      </w:r>
      <w:r w:rsidRPr="007C0003">
        <w:rPr>
          <w:lang w:val="fr-FR"/>
        </w:rPr>
        <w:t>matières et objets susmentionnés. Une proposition révisée, prenant en considération les vues</w:t>
      </w:r>
      <w:r w:rsidRPr="006F2AAD">
        <w:rPr>
          <w:lang w:val="fr-FR"/>
        </w:rPr>
        <w:t xml:space="preserve"> des autres délégations, sera soumise à la prochaine session du WP.15.</w:t>
      </w:r>
    </w:p>
    <w:p w14:paraId="2994BE73" w14:textId="62BB8A56" w:rsidR="004A197B" w:rsidRPr="006F2AAD" w:rsidRDefault="004A197B" w:rsidP="004A197B">
      <w:pPr>
        <w:pStyle w:val="SingleTxtG"/>
        <w:rPr>
          <w:lang w:val="fr-FR"/>
        </w:rPr>
      </w:pPr>
      <w:r w:rsidRPr="006F2AAD">
        <w:rPr>
          <w:lang w:val="fr-FR"/>
        </w:rPr>
        <w:t>3.</w:t>
      </w:r>
      <w:r w:rsidRPr="006F2AAD">
        <w:rPr>
          <w:lang w:val="fr-FR"/>
        </w:rPr>
        <w:tab/>
        <w:t>Le document soumis au WP.15 contient une proposition d</w:t>
      </w:r>
      <w:r w:rsidR="002C1EEC">
        <w:rPr>
          <w:lang w:val="fr-FR"/>
        </w:rPr>
        <w:t>’</w:t>
      </w:r>
      <w:r w:rsidRPr="006F2AAD">
        <w:rPr>
          <w:lang w:val="fr-FR"/>
        </w:rPr>
        <w:t xml:space="preserve">amendement de conséquence à la section 1.10.4. Cependant, le WP.15 a noté que le texte du 1.10.4 est le même dans le RID, ce qui signifie </w:t>
      </w:r>
      <w:r>
        <w:rPr>
          <w:lang w:val="fr-FR"/>
        </w:rPr>
        <w:t>que l</w:t>
      </w:r>
      <w:r w:rsidR="002C1EEC">
        <w:rPr>
          <w:lang w:val="fr-FR"/>
        </w:rPr>
        <w:t>’</w:t>
      </w:r>
      <w:r w:rsidRPr="006F2AAD">
        <w:rPr>
          <w:lang w:val="fr-FR"/>
        </w:rPr>
        <w:t xml:space="preserve">amendement </w:t>
      </w:r>
      <w:r>
        <w:rPr>
          <w:lang w:val="fr-FR"/>
        </w:rPr>
        <w:t xml:space="preserve">visé </w:t>
      </w:r>
      <w:r w:rsidRPr="006F2AAD">
        <w:rPr>
          <w:lang w:val="fr-FR"/>
        </w:rPr>
        <w:t>devrait être examiné par la Réunion commune.</w:t>
      </w:r>
    </w:p>
    <w:p w14:paraId="4A5B01FE" w14:textId="77777777" w:rsidR="004A197B" w:rsidRPr="006F2AAD" w:rsidRDefault="004A197B" w:rsidP="004A197B">
      <w:pPr>
        <w:pStyle w:val="HChG"/>
        <w:ind w:firstLine="0"/>
        <w:rPr>
          <w:lang w:val="fr-FR"/>
        </w:rPr>
      </w:pPr>
      <w:r w:rsidRPr="006F2AAD">
        <w:rPr>
          <w:bCs/>
          <w:lang w:val="fr-FR"/>
        </w:rPr>
        <w:t>Contexte</w:t>
      </w:r>
    </w:p>
    <w:p w14:paraId="20683A4D" w14:textId="77777777" w:rsidR="004A197B" w:rsidRPr="006F2AAD" w:rsidRDefault="004A197B" w:rsidP="004A197B">
      <w:pPr>
        <w:pStyle w:val="SingleTxtG"/>
        <w:rPr>
          <w:lang w:val="fr-FR"/>
        </w:rPr>
      </w:pPr>
      <w:r w:rsidRPr="006F2AAD">
        <w:rPr>
          <w:lang w:val="fr-FR"/>
        </w:rPr>
        <w:t>4.</w:t>
      </w:r>
      <w:r w:rsidRPr="006F2AAD">
        <w:rPr>
          <w:lang w:val="fr-FR"/>
        </w:rPr>
        <w:tab/>
        <w:t>Le présent document traite des deux premières phrases du 1.10.4, qui portent sur les transports effectués conformément au 1.1.3.6. Le texte du 1.10.4 figure dans la section « Propositions » ci-après.</w:t>
      </w:r>
    </w:p>
    <w:p w14:paraId="59916B52" w14:textId="3FC4296C" w:rsidR="004A197B" w:rsidRPr="006F2AAD" w:rsidRDefault="004A197B" w:rsidP="004A197B">
      <w:pPr>
        <w:pStyle w:val="SingleTxtG"/>
        <w:rPr>
          <w:lang w:val="fr-FR"/>
        </w:rPr>
      </w:pPr>
      <w:r w:rsidRPr="006F2AAD">
        <w:rPr>
          <w:lang w:val="fr-FR"/>
        </w:rPr>
        <w:t>5.</w:t>
      </w:r>
      <w:r w:rsidRPr="006F2AAD">
        <w:rPr>
          <w:lang w:val="fr-FR"/>
        </w:rPr>
        <w:tab/>
      </w:r>
      <w:r w:rsidRPr="006F2AAD">
        <w:rPr>
          <w:u w:val="single"/>
          <w:lang w:val="fr-FR"/>
        </w:rPr>
        <w:t>En ce qui concerne la première phrase</w:t>
      </w:r>
      <w:r w:rsidRPr="006F2AAD">
        <w:rPr>
          <w:lang w:val="fr-FR"/>
        </w:rPr>
        <w:t xml:space="preserve">, la Suède et la Norvège estiment que </w:t>
      </w:r>
      <w:r>
        <w:rPr>
          <w:lang w:val="fr-FR"/>
        </w:rPr>
        <w:t xml:space="preserve">le </w:t>
      </w:r>
      <w:r w:rsidRPr="006F2AAD">
        <w:rPr>
          <w:lang w:val="fr-FR"/>
        </w:rPr>
        <w:t>texte est redondant. La section 1.10.4 ne s</w:t>
      </w:r>
      <w:r w:rsidR="002C1EEC">
        <w:rPr>
          <w:lang w:val="fr-FR"/>
        </w:rPr>
        <w:t>’</w:t>
      </w:r>
      <w:r w:rsidRPr="006F2AAD">
        <w:rPr>
          <w:lang w:val="fr-FR"/>
        </w:rPr>
        <w:t>applique pas aux transports effectués conformément au 1.1.3.6, sauf pour les numéros ONU énoncés dans la phrase visée. Cependant, cela est déjà précisé au 1.1.3.6. Ainsi, la première phrase ne fait que répéter ce qui est déjà indiqué au premier tiret du 1.1.3.6.2. En ce qui concerne le secteur ferroviaire, les transports effectués conformément au 1.1.3.6 sont directement liés à l</w:t>
      </w:r>
      <w:r w:rsidR="002C1EEC">
        <w:rPr>
          <w:lang w:val="fr-FR"/>
        </w:rPr>
        <w:t>’</w:t>
      </w:r>
      <w:r w:rsidRPr="006F2AAD">
        <w:rPr>
          <w:lang w:val="fr-FR"/>
        </w:rPr>
        <w:t>alinéa c) du 1.1.3.1, ce qui signifie qu</w:t>
      </w:r>
      <w:r w:rsidR="002C1EEC">
        <w:rPr>
          <w:lang w:val="fr-FR"/>
        </w:rPr>
        <w:t>’</w:t>
      </w:r>
      <w:r w:rsidRPr="006F2AAD">
        <w:rPr>
          <w:lang w:val="fr-FR"/>
        </w:rPr>
        <w:t>ils sont exemptés de toutes les autres dispositions du RID.</w:t>
      </w:r>
    </w:p>
    <w:p w14:paraId="3ACF1057" w14:textId="31A5B162" w:rsidR="004A197B" w:rsidRPr="006F2AAD" w:rsidRDefault="004A197B" w:rsidP="004A197B">
      <w:pPr>
        <w:pStyle w:val="SingleTxtG"/>
        <w:rPr>
          <w:u w:val="single"/>
          <w:lang w:val="fr-FR"/>
        </w:rPr>
      </w:pPr>
      <w:r w:rsidRPr="006F2AAD">
        <w:rPr>
          <w:lang w:val="fr-FR"/>
        </w:rPr>
        <w:t>6.</w:t>
      </w:r>
      <w:r w:rsidRPr="006F2AAD">
        <w:rPr>
          <w:lang w:val="fr-FR"/>
        </w:rPr>
        <w:tab/>
      </w:r>
      <w:r w:rsidRPr="006F2AAD">
        <w:rPr>
          <w:u w:val="single"/>
          <w:lang w:val="fr-FR"/>
        </w:rPr>
        <w:t>La deuxième phrase</w:t>
      </w:r>
      <w:r w:rsidRPr="006F2AAD">
        <w:rPr>
          <w:lang w:val="fr-FR"/>
        </w:rPr>
        <w:t xml:space="preserve"> du 1.10.4 exempte de l</w:t>
      </w:r>
      <w:r w:rsidR="002C1EEC">
        <w:rPr>
          <w:lang w:val="fr-FR"/>
        </w:rPr>
        <w:t>’</w:t>
      </w:r>
      <w:r w:rsidRPr="006F2AAD">
        <w:rPr>
          <w:lang w:val="fr-FR"/>
        </w:rPr>
        <w:t>application du chapitre 1.10 les marchandises transportées en vrac ou en citerne si les quantités ne sont pas supérieures à celles prévues au 1.1.3.6.3. En ce qui concerne les transports routiers et ferroviaires, le transport de marchandises dangereuses en vrac ou en citerne n</w:t>
      </w:r>
      <w:r w:rsidR="002C1EEC">
        <w:rPr>
          <w:lang w:val="fr-FR"/>
        </w:rPr>
        <w:t>’</w:t>
      </w:r>
      <w:r w:rsidRPr="006F2AAD">
        <w:rPr>
          <w:lang w:val="fr-FR"/>
        </w:rPr>
        <w:t>est pas autorisé</w:t>
      </w:r>
      <w:r>
        <w:rPr>
          <w:lang w:val="fr-FR"/>
        </w:rPr>
        <w:t>,</w:t>
      </w:r>
      <w:r w:rsidRPr="006F2AAD">
        <w:rPr>
          <w:lang w:val="fr-FR"/>
        </w:rPr>
        <w:t xml:space="preserve"> conformément au 1.1.3.6. Par conséquent, il semble incohérent d</w:t>
      </w:r>
      <w:r w:rsidR="002C1EEC">
        <w:rPr>
          <w:lang w:val="fr-FR"/>
        </w:rPr>
        <w:t>’</w:t>
      </w:r>
      <w:r w:rsidRPr="006F2AAD">
        <w:rPr>
          <w:lang w:val="fr-FR"/>
        </w:rPr>
        <w:t xml:space="preserve">autoriser une exemption qui se réfère aux quantités spécifiées au 1.1.3.6. Toutefois, la Norvège et la Suède ne se souviennent pas de la raison </w:t>
      </w:r>
      <w:r>
        <w:rPr>
          <w:lang w:val="fr-FR"/>
        </w:rPr>
        <w:t xml:space="preserve">pour laquelle </w:t>
      </w:r>
      <w:r w:rsidRPr="006F2AAD">
        <w:rPr>
          <w:lang w:val="fr-FR"/>
        </w:rPr>
        <w:t xml:space="preserve">cette possibilité </w:t>
      </w:r>
      <w:r>
        <w:rPr>
          <w:lang w:val="fr-FR"/>
        </w:rPr>
        <w:t xml:space="preserve">a été introduite </w:t>
      </w:r>
      <w:r w:rsidRPr="006F2AAD">
        <w:rPr>
          <w:lang w:val="fr-FR"/>
        </w:rPr>
        <w:t>et accueilleraient donc avec intérêt tout éclaircissement de la Réunion commune à ce sujet.</w:t>
      </w:r>
    </w:p>
    <w:p w14:paraId="34B2B47F" w14:textId="77777777" w:rsidR="004A197B" w:rsidRPr="006F2AAD" w:rsidRDefault="004A197B" w:rsidP="004A197B">
      <w:pPr>
        <w:pStyle w:val="HChG"/>
        <w:rPr>
          <w:lang w:val="fr-FR"/>
        </w:rPr>
      </w:pPr>
      <w:r w:rsidRPr="006F2AAD">
        <w:rPr>
          <w:lang w:val="fr-FR"/>
        </w:rPr>
        <w:tab/>
      </w:r>
      <w:r w:rsidRPr="006F2AAD">
        <w:rPr>
          <w:lang w:val="fr-FR"/>
        </w:rPr>
        <w:tab/>
      </w:r>
      <w:r w:rsidRPr="00D10258">
        <w:rPr>
          <w:bCs/>
          <w:lang w:val="fr-FR"/>
        </w:rPr>
        <w:t>Propositions</w:t>
      </w:r>
    </w:p>
    <w:p w14:paraId="46C32C46" w14:textId="77777777" w:rsidR="004A197B" w:rsidRPr="006F2AAD" w:rsidRDefault="004A197B" w:rsidP="00E55E6A">
      <w:pPr>
        <w:spacing w:after="120"/>
        <w:rPr>
          <w:u w:val="single"/>
          <w:lang w:val="fr-FR"/>
        </w:rPr>
      </w:pPr>
      <w:r w:rsidRPr="006F2AAD">
        <w:rPr>
          <w:lang w:val="fr-FR"/>
        </w:rPr>
        <w:tab/>
      </w:r>
      <w:r w:rsidRPr="006F2AAD">
        <w:rPr>
          <w:lang w:val="fr-FR"/>
        </w:rPr>
        <w:tab/>
      </w:r>
      <w:r w:rsidRPr="006F2AAD">
        <w:rPr>
          <w:u w:val="single"/>
          <w:lang w:val="fr-FR"/>
        </w:rPr>
        <w:t>Première proposition</w:t>
      </w:r>
    </w:p>
    <w:p w14:paraId="488665DA" w14:textId="77777777" w:rsidR="004A197B" w:rsidRPr="006F2AAD" w:rsidRDefault="004A197B" w:rsidP="00E55E6A">
      <w:pPr>
        <w:pStyle w:val="SingleTxtG"/>
        <w:rPr>
          <w:lang w:val="fr-FR"/>
        </w:rPr>
      </w:pPr>
      <w:r w:rsidRPr="006F2AAD">
        <w:rPr>
          <w:lang w:val="fr-FR"/>
        </w:rPr>
        <w:t>7.</w:t>
      </w:r>
      <w:r w:rsidRPr="006F2AAD">
        <w:rPr>
          <w:lang w:val="fr-FR"/>
        </w:rPr>
        <w:tab/>
        <w:t>Supprimer la première phrase de</w:t>
      </w:r>
      <w:r w:rsidRPr="006F2AAD">
        <w:rPr>
          <w:i/>
          <w:iCs/>
          <w:lang w:val="fr-FR"/>
        </w:rPr>
        <w:t xml:space="preserve"> </w:t>
      </w:r>
      <w:r w:rsidRPr="006F2AAD">
        <w:rPr>
          <w:lang w:val="fr-FR"/>
        </w:rPr>
        <w:t>la section 1.10.4.</w:t>
      </w:r>
    </w:p>
    <w:p w14:paraId="66FE2FAA" w14:textId="77777777" w:rsidR="004A197B" w:rsidRPr="006F2AAD" w:rsidRDefault="004A197B" w:rsidP="004A197B">
      <w:pPr>
        <w:pStyle w:val="SingleTxtG"/>
        <w:rPr>
          <w:u w:val="single"/>
          <w:lang w:val="fr-FR"/>
        </w:rPr>
      </w:pPr>
      <w:r w:rsidRPr="006F2AAD">
        <w:rPr>
          <w:u w:val="single"/>
          <w:lang w:val="fr-FR"/>
        </w:rPr>
        <w:t>Deuxième proposition</w:t>
      </w:r>
    </w:p>
    <w:p w14:paraId="407773EF" w14:textId="77777777" w:rsidR="004A197B" w:rsidRPr="006F2AAD" w:rsidRDefault="004A197B" w:rsidP="004A197B">
      <w:pPr>
        <w:pStyle w:val="SingleTxtG"/>
        <w:rPr>
          <w:lang w:val="fr-FR"/>
        </w:rPr>
      </w:pPr>
      <w:r w:rsidRPr="006F2AAD">
        <w:rPr>
          <w:lang w:val="fr-FR"/>
        </w:rPr>
        <w:t>8.</w:t>
      </w:r>
      <w:r w:rsidRPr="006F2AAD">
        <w:rPr>
          <w:lang w:val="fr-FR"/>
        </w:rPr>
        <w:tab/>
        <w:t>Il est proposé de supprimer la deuxième phrase, mais elle est maintenue entre crochets pour être examinée séparément.</w:t>
      </w:r>
    </w:p>
    <w:p w14:paraId="41A7763C" w14:textId="77777777" w:rsidR="004A197B" w:rsidRPr="006F2AAD" w:rsidRDefault="004A197B" w:rsidP="004A197B">
      <w:pPr>
        <w:pStyle w:val="SingleTxtG"/>
        <w:rPr>
          <w:lang w:val="fr-FR"/>
        </w:rPr>
      </w:pPr>
      <w:r w:rsidRPr="006F2AAD">
        <w:rPr>
          <w:lang w:val="fr-FR"/>
        </w:rPr>
        <w:t>Modifier le texte de la section 1.10.4 comme suit (les modifications sont soulignées ou biffées) :</w:t>
      </w:r>
    </w:p>
    <w:p w14:paraId="506FB08A" w14:textId="77777777" w:rsidR="004A197B" w:rsidRPr="006F2AAD" w:rsidRDefault="004A197B" w:rsidP="004A197B">
      <w:pPr>
        <w:spacing w:before="120" w:after="120"/>
        <w:ind w:left="1701" w:right="1117" w:hanging="567"/>
        <w:rPr>
          <w:bCs/>
          <w:lang w:val="fr-FR"/>
        </w:rPr>
      </w:pPr>
      <w:r w:rsidRPr="006F2AAD">
        <w:rPr>
          <w:lang w:val="fr-FR"/>
        </w:rPr>
        <w:t>(ADR :)</w:t>
      </w:r>
    </w:p>
    <w:p w14:paraId="67D488AE" w14:textId="35BB70AC" w:rsidR="004A197B" w:rsidRPr="006F2AAD" w:rsidRDefault="004A197B" w:rsidP="004A197B">
      <w:pPr>
        <w:pStyle w:val="SingleTxtG"/>
        <w:rPr>
          <w:lang w:val="fr-FR"/>
        </w:rPr>
      </w:pPr>
      <w:r>
        <w:rPr>
          <w:lang w:val="fr-FR"/>
        </w:rPr>
        <w:t>« </w:t>
      </w:r>
      <w:r w:rsidRPr="006F2AAD">
        <w:rPr>
          <w:strike/>
          <w:lang w:val="fr-FR"/>
        </w:rPr>
        <w:t>Conformément aux dispositions du 1.1.3.6, les prescriptions des 1.10.1, 1.10.2, 1.10.3 et 8.1.2.1 d) ne s</w:t>
      </w:r>
      <w:r w:rsidR="002C1EEC">
        <w:rPr>
          <w:strike/>
          <w:lang w:val="fr-FR"/>
        </w:rPr>
        <w:t>’</w:t>
      </w:r>
      <w:r w:rsidRPr="006F2AAD">
        <w:rPr>
          <w:strike/>
          <w:lang w:val="fr-FR"/>
        </w:rPr>
        <w:t>appliquent pas lorsque les quantités transportées en colis à bord d</w:t>
      </w:r>
      <w:r w:rsidR="002C1EEC">
        <w:rPr>
          <w:strike/>
          <w:lang w:val="fr-FR"/>
        </w:rPr>
        <w:t>’</w:t>
      </w:r>
      <w:r w:rsidRPr="006F2AAD">
        <w:rPr>
          <w:strike/>
          <w:lang w:val="fr-FR"/>
        </w:rPr>
        <w:t>une unité de transport ne sont pas supérieures à celles prévues au 1.1.3.6.3, à l</w:t>
      </w:r>
      <w:r w:rsidR="002C1EEC">
        <w:rPr>
          <w:strike/>
          <w:lang w:val="fr-FR"/>
        </w:rPr>
        <w:t>’</w:t>
      </w:r>
      <w:r w:rsidRPr="006F2AAD">
        <w:rPr>
          <w:strike/>
          <w:lang w:val="fr-FR"/>
        </w:rPr>
        <w:t>exception des Nos</w:t>
      </w:r>
      <w:r w:rsidR="00183F84">
        <w:rPr>
          <w:strike/>
          <w:lang w:val="fr-FR"/>
        </w:rPr>
        <w:t> </w:t>
      </w:r>
      <w:r w:rsidRPr="006F2AAD">
        <w:rPr>
          <w:strike/>
          <w:lang w:val="fr-FR"/>
        </w:rPr>
        <w:t>ONU</w:t>
      </w:r>
      <w:r w:rsidR="00183F84">
        <w:rPr>
          <w:strike/>
          <w:lang w:val="fr-FR"/>
        </w:rPr>
        <w:t> </w:t>
      </w:r>
      <w:r w:rsidRPr="006F2AAD">
        <w:rPr>
          <w:strike/>
          <w:lang w:val="fr-FR"/>
        </w:rPr>
        <w:t>0029, 0030, 0059, 0065, 0073, 0104, 0237, 0255, 0267, 0288, 0289, 0290, 0360, 0361, 0364, 0365, 0366, 0439, 0440, 0441, 0455, 0456, 0500, 0512 et 0513 et à l</w:t>
      </w:r>
      <w:r w:rsidR="002C1EEC">
        <w:rPr>
          <w:strike/>
          <w:lang w:val="fr-FR"/>
        </w:rPr>
        <w:t>’</w:t>
      </w:r>
      <w:r w:rsidRPr="006F2AAD">
        <w:rPr>
          <w:strike/>
          <w:lang w:val="fr-FR"/>
        </w:rPr>
        <w:t xml:space="preserve">exception des Nos ONU 2910 et 2911 si </w:t>
      </w:r>
      <w:r>
        <w:rPr>
          <w:strike/>
          <w:lang w:val="fr-FR"/>
        </w:rPr>
        <w:t xml:space="preserve">le niveau </w:t>
      </w:r>
      <w:r w:rsidRPr="006F2AAD">
        <w:rPr>
          <w:strike/>
          <w:lang w:val="fr-FR"/>
        </w:rPr>
        <w:t>d</w:t>
      </w:r>
      <w:r w:rsidR="002C1EEC">
        <w:rPr>
          <w:strike/>
          <w:lang w:val="fr-FR"/>
        </w:rPr>
        <w:t>’</w:t>
      </w:r>
      <w:r w:rsidRPr="006F2AAD">
        <w:rPr>
          <w:strike/>
          <w:lang w:val="fr-FR"/>
        </w:rPr>
        <w:t>activité dépasse la valeur A₂ (voir premier tiret du 1.1.3.6.2).</w:t>
      </w:r>
      <w:r w:rsidRPr="006F2AAD">
        <w:rPr>
          <w:lang w:val="fr-FR"/>
        </w:rPr>
        <w:t>[En outre, les prescriptions des 1.10.1, 1.10.2, 1.10.3 et 8.1.2.1 d) ne s</w:t>
      </w:r>
      <w:r w:rsidR="002C1EEC">
        <w:rPr>
          <w:lang w:val="fr-FR"/>
        </w:rPr>
        <w:t>’</w:t>
      </w:r>
      <w:r w:rsidRPr="006F2AAD">
        <w:rPr>
          <w:lang w:val="fr-FR"/>
        </w:rPr>
        <w:t>appliquent pas lorsque les quantités transportées en citerne ou en vrac à bord d</w:t>
      </w:r>
      <w:r w:rsidR="002C1EEC">
        <w:rPr>
          <w:lang w:val="fr-FR"/>
        </w:rPr>
        <w:t>’</w:t>
      </w:r>
      <w:r w:rsidRPr="006F2AAD">
        <w:rPr>
          <w:lang w:val="fr-FR"/>
        </w:rPr>
        <w:t>une unité de transport ne sont pas supérieures à celles prévues au 1.1.3.6.3.] En outre, les dispositions du présent chapitre ne s</w:t>
      </w:r>
      <w:r w:rsidR="002C1EEC">
        <w:rPr>
          <w:lang w:val="fr-FR"/>
        </w:rPr>
        <w:t>’</w:t>
      </w:r>
      <w:r w:rsidRPr="006F2AAD">
        <w:rPr>
          <w:lang w:val="fr-FR"/>
        </w:rPr>
        <w:t>appliquent pas au transport du No ONU 2912 MATIÈRES RADIOACTIVES DE FAIBLE ACTIVITÉ SPÉCIFIQUE (LSA-I) et du No ONU 2913 MATIÈRES RADIOACTIVES, OBJETS CONTAMINÉS SUPERFICIELLEMENT (SCO-I)</w:t>
      </w:r>
      <w:r>
        <w:rPr>
          <w:lang w:val="fr-FR"/>
        </w:rPr>
        <w:t>. ».</w:t>
      </w:r>
    </w:p>
    <w:p w14:paraId="5F8C604A" w14:textId="77777777" w:rsidR="004A197B" w:rsidRPr="006F2AAD" w:rsidRDefault="004A197B" w:rsidP="004A197B">
      <w:pPr>
        <w:spacing w:before="120" w:after="120"/>
        <w:ind w:left="1701" w:right="1117" w:hanging="567"/>
        <w:rPr>
          <w:bCs/>
          <w:lang w:val="fr-FR"/>
        </w:rPr>
      </w:pPr>
      <w:r w:rsidRPr="006F2AAD">
        <w:rPr>
          <w:lang w:val="fr-FR"/>
        </w:rPr>
        <w:t>(RID :)</w:t>
      </w:r>
    </w:p>
    <w:p w14:paraId="2756D1FF" w14:textId="72DE4768" w:rsidR="004A197B" w:rsidRPr="006F2AAD" w:rsidRDefault="004A197B" w:rsidP="004A197B">
      <w:pPr>
        <w:spacing w:after="200"/>
        <w:ind w:left="1134" w:right="1134"/>
        <w:jc w:val="both"/>
        <w:rPr>
          <w:lang w:val="fr-FR"/>
        </w:rPr>
      </w:pPr>
      <w:r>
        <w:rPr>
          <w:lang w:val="fr-FR"/>
        </w:rPr>
        <w:t>« </w:t>
      </w:r>
      <w:r w:rsidRPr="0009203C">
        <w:rPr>
          <w:strike/>
          <w:lang w:val="fr-FR"/>
        </w:rPr>
        <w:t>À l</w:t>
      </w:r>
      <w:r w:rsidR="002C1EEC">
        <w:rPr>
          <w:strike/>
          <w:lang w:val="fr-FR"/>
        </w:rPr>
        <w:t>’</w:t>
      </w:r>
      <w:r w:rsidRPr="0009203C">
        <w:rPr>
          <w:strike/>
          <w:lang w:val="fr-FR"/>
        </w:rPr>
        <w:t>exception des Nos</w:t>
      </w:r>
      <w:r>
        <w:rPr>
          <w:strike/>
          <w:lang w:val="fr-FR"/>
        </w:rPr>
        <w:t xml:space="preserve"> </w:t>
      </w:r>
      <w:r w:rsidRPr="0009203C">
        <w:rPr>
          <w:strike/>
          <w:lang w:val="fr-FR"/>
        </w:rPr>
        <w:t>ONU</w:t>
      </w:r>
      <w:r>
        <w:rPr>
          <w:strike/>
          <w:lang w:val="fr-FR"/>
        </w:rPr>
        <w:t xml:space="preserve"> </w:t>
      </w:r>
      <w:r w:rsidRPr="0009203C">
        <w:rPr>
          <w:strike/>
          <w:lang w:val="fr-FR"/>
        </w:rPr>
        <w:t>0029,</w:t>
      </w:r>
      <w:r>
        <w:rPr>
          <w:strike/>
          <w:lang w:val="fr-FR"/>
        </w:rPr>
        <w:t xml:space="preserve"> </w:t>
      </w:r>
      <w:r w:rsidRPr="0009203C">
        <w:rPr>
          <w:strike/>
          <w:lang w:val="fr-FR"/>
        </w:rPr>
        <w:t>0030,</w:t>
      </w:r>
      <w:r>
        <w:rPr>
          <w:strike/>
          <w:lang w:val="fr-FR"/>
        </w:rPr>
        <w:t xml:space="preserve"> </w:t>
      </w:r>
      <w:r w:rsidRPr="0009203C">
        <w:rPr>
          <w:strike/>
          <w:lang w:val="fr-FR"/>
        </w:rPr>
        <w:t>0059,</w:t>
      </w:r>
      <w:r>
        <w:rPr>
          <w:strike/>
          <w:lang w:val="fr-FR"/>
        </w:rPr>
        <w:t xml:space="preserve"> </w:t>
      </w:r>
      <w:r w:rsidRPr="0009203C">
        <w:rPr>
          <w:strike/>
          <w:lang w:val="fr-FR"/>
        </w:rPr>
        <w:t>0065,</w:t>
      </w:r>
      <w:r>
        <w:rPr>
          <w:strike/>
          <w:lang w:val="fr-FR"/>
        </w:rPr>
        <w:t xml:space="preserve"> </w:t>
      </w:r>
      <w:r w:rsidRPr="0009203C">
        <w:rPr>
          <w:strike/>
          <w:lang w:val="fr-FR"/>
        </w:rPr>
        <w:t>0073,</w:t>
      </w:r>
      <w:r>
        <w:rPr>
          <w:strike/>
          <w:lang w:val="fr-FR"/>
        </w:rPr>
        <w:t xml:space="preserve"> </w:t>
      </w:r>
      <w:r w:rsidRPr="0009203C">
        <w:rPr>
          <w:strike/>
          <w:lang w:val="fr-FR"/>
        </w:rPr>
        <w:t>0104,</w:t>
      </w:r>
      <w:r>
        <w:rPr>
          <w:strike/>
          <w:lang w:val="fr-FR"/>
        </w:rPr>
        <w:t xml:space="preserve"> </w:t>
      </w:r>
      <w:r w:rsidRPr="0009203C">
        <w:rPr>
          <w:strike/>
          <w:lang w:val="fr-FR"/>
        </w:rPr>
        <w:t>0237,</w:t>
      </w:r>
      <w:r>
        <w:rPr>
          <w:strike/>
          <w:lang w:val="fr-FR"/>
        </w:rPr>
        <w:t xml:space="preserve"> </w:t>
      </w:r>
      <w:r w:rsidRPr="0009203C">
        <w:rPr>
          <w:strike/>
          <w:lang w:val="fr-FR"/>
        </w:rPr>
        <w:t>0255,</w:t>
      </w:r>
      <w:r>
        <w:rPr>
          <w:strike/>
          <w:lang w:val="fr-FR"/>
        </w:rPr>
        <w:t xml:space="preserve"> </w:t>
      </w:r>
      <w:r w:rsidRPr="0009203C">
        <w:rPr>
          <w:strike/>
          <w:lang w:val="fr-FR"/>
        </w:rPr>
        <w:t>0267,</w:t>
      </w:r>
      <w:r>
        <w:rPr>
          <w:strike/>
          <w:lang w:val="fr-FR"/>
        </w:rPr>
        <w:t xml:space="preserve"> </w:t>
      </w:r>
      <w:r w:rsidRPr="0009203C">
        <w:rPr>
          <w:strike/>
          <w:lang w:val="fr-FR"/>
        </w:rPr>
        <w:t>0288,</w:t>
      </w:r>
      <w:r>
        <w:rPr>
          <w:strike/>
          <w:lang w:val="fr-FR"/>
        </w:rPr>
        <w:t xml:space="preserve"> </w:t>
      </w:r>
      <w:r w:rsidRPr="0009203C">
        <w:rPr>
          <w:strike/>
          <w:lang w:val="fr-FR"/>
        </w:rPr>
        <w:t>0289,</w:t>
      </w:r>
      <w:r>
        <w:rPr>
          <w:strike/>
          <w:lang w:val="fr-FR"/>
        </w:rPr>
        <w:t xml:space="preserve"> </w:t>
      </w:r>
      <w:r w:rsidRPr="0009203C">
        <w:rPr>
          <w:strike/>
          <w:lang w:val="fr-FR"/>
        </w:rPr>
        <w:t>0290,</w:t>
      </w:r>
      <w:r>
        <w:rPr>
          <w:strike/>
          <w:lang w:val="fr-FR"/>
        </w:rPr>
        <w:t xml:space="preserve"> </w:t>
      </w:r>
      <w:r w:rsidRPr="0009203C">
        <w:rPr>
          <w:strike/>
          <w:lang w:val="fr-FR"/>
        </w:rPr>
        <w:t>0360,</w:t>
      </w:r>
      <w:r>
        <w:rPr>
          <w:strike/>
          <w:lang w:val="fr-FR"/>
        </w:rPr>
        <w:t xml:space="preserve"> </w:t>
      </w:r>
      <w:r w:rsidRPr="0009203C">
        <w:rPr>
          <w:strike/>
          <w:lang w:val="fr-FR"/>
        </w:rPr>
        <w:t>0361,</w:t>
      </w:r>
      <w:r>
        <w:rPr>
          <w:strike/>
          <w:lang w:val="fr-FR"/>
        </w:rPr>
        <w:t xml:space="preserve"> </w:t>
      </w:r>
      <w:r w:rsidRPr="0009203C">
        <w:rPr>
          <w:strike/>
          <w:lang w:val="fr-FR"/>
        </w:rPr>
        <w:t>0364,</w:t>
      </w:r>
      <w:r>
        <w:rPr>
          <w:strike/>
          <w:lang w:val="fr-FR"/>
        </w:rPr>
        <w:t xml:space="preserve"> </w:t>
      </w:r>
      <w:r w:rsidRPr="0009203C">
        <w:rPr>
          <w:strike/>
          <w:lang w:val="fr-FR"/>
        </w:rPr>
        <w:t>0365,</w:t>
      </w:r>
      <w:r>
        <w:rPr>
          <w:strike/>
          <w:lang w:val="fr-FR"/>
        </w:rPr>
        <w:t xml:space="preserve"> </w:t>
      </w:r>
      <w:r w:rsidRPr="0009203C">
        <w:rPr>
          <w:strike/>
          <w:lang w:val="fr-FR"/>
        </w:rPr>
        <w:t>0366,</w:t>
      </w:r>
      <w:r>
        <w:rPr>
          <w:strike/>
          <w:lang w:val="fr-FR"/>
        </w:rPr>
        <w:t xml:space="preserve"> </w:t>
      </w:r>
      <w:r w:rsidRPr="0009203C">
        <w:rPr>
          <w:strike/>
          <w:lang w:val="fr-FR"/>
        </w:rPr>
        <w:t>0439,</w:t>
      </w:r>
      <w:r>
        <w:rPr>
          <w:strike/>
          <w:lang w:val="fr-FR"/>
        </w:rPr>
        <w:t xml:space="preserve"> </w:t>
      </w:r>
      <w:r w:rsidRPr="0009203C">
        <w:rPr>
          <w:strike/>
          <w:lang w:val="fr-FR"/>
        </w:rPr>
        <w:t>0440,</w:t>
      </w:r>
      <w:r>
        <w:rPr>
          <w:strike/>
          <w:lang w:val="fr-FR"/>
        </w:rPr>
        <w:t xml:space="preserve"> </w:t>
      </w:r>
      <w:r w:rsidRPr="0009203C">
        <w:rPr>
          <w:strike/>
          <w:lang w:val="fr-FR"/>
        </w:rPr>
        <w:t>0441,</w:t>
      </w:r>
      <w:r>
        <w:rPr>
          <w:strike/>
          <w:lang w:val="fr-FR"/>
        </w:rPr>
        <w:t xml:space="preserve"> </w:t>
      </w:r>
      <w:r w:rsidRPr="0009203C">
        <w:rPr>
          <w:strike/>
          <w:lang w:val="fr-FR"/>
        </w:rPr>
        <w:t>0455,</w:t>
      </w:r>
      <w:r>
        <w:rPr>
          <w:strike/>
          <w:lang w:val="fr-FR"/>
        </w:rPr>
        <w:t xml:space="preserve"> </w:t>
      </w:r>
      <w:r w:rsidRPr="0009203C">
        <w:rPr>
          <w:strike/>
          <w:lang w:val="fr-FR"/>
        </w:rPr>
        <w:t>0456,</w:t>
      </w:r>
      <w:r>
        <w:rPr>
          <w:strike/>
          <w:lang w:val="fr-FR"/>
        </w:rPr>
        <w:t xml:space="preserve"> </w:t>
      </w:r>
      <w:r w:rsidRPr="0009203C">
        <w:rPr>
          <w:strike/>
          <w:lang w:val="fr-FR"/>
        </w:rPr>
        <w:t>0500,</w:t>
      </w:r>
      <w:r>
        <w:rPr>
          <w:strike/>
          <w:lang w:val="fr-FR"/>
        </w:rPr>
        <w:t xml:space="preserve"> </w:t>
      </w:r>
      <w:r w:rsidRPr="0009203C">
        <w:rPr>
          <w:strike/>
          <w:lang w:val="fr-FR"/>
        </w:rPr>
        <w:t>0512</w:t>
      </w:r>
      <w:r>
        <w:rPr>
          <w:strike/>
          <w:lang w:val="fr-FR"/>
        </w:rPr>
        <w:t xml:space="preserve"> </w:t>
      </w:r>
      <w:r w:rsidRPr="0009203C">
        <w:rPr>
          <w:strike/>
          <w:lang w:val="fr-FR"/>
        </w:rPr>
        <w:t>et</w:t>
      </w:r>
      <w:r>
        <w:rPr>
          <w:strike/>
          <w:lang w:val="fr-FR"/>
        </w:rPr>
        <w:t xml:space="preserve"> </w:t>
      </w:r>
      <w:r w:rsidRPr="0009203C">
        <w:rPr>
          <w:strike/>
          <w:lang w:val="fr-FR"/>
        </w:rPr>
        <w:t>0513</w:t>
      </w:r>
      <w:r>
        <w:rPr>
          <w:strike/>
          <w:lang w:val="fr-FR"/>
        </w:rPr>
        <w:t xml:space="preserve"> </w:t>
      </w:r>
      <w:r w:rsidRPr="0009203C">
        <w:rPr>
          <w:strike/>
          <w:lang w:val="fr-FR"/>
        </w:rPr>
        <w:t>et</w:t>
      </w:r>
      <w:r>
        <w:rPr>
          <w:strike/>
          <w:lang w:val="fr-FR"/>
        </w:rPr>
        <w:t xml:space="preserve"> </w:t>
      </w:r>
      <w:r w:rsidRPr="0009203C">
        <w:rPr>
          <w:strike/>
          <w:lang w:val="fr-FR"/>
        </w:rPr>
        <w:t>à</w:t>
      </w:r>
      <w:r>
        <w:rPr>
          <w:strike/>
          <w:lang w:val="fr-FR"/>
        </w:rPr>
        <w:t xml:space="preserve"> </w:t>
      </w:r>
      <w:r w:rsidRPr="0009203C">
        <w:rPr>
          <w:strike/>
          <w:lang w:val="fr-FR"/>
        </w:rPr>
        <w:t>l</w:t>
      </w:r>
      <w:r w:rsidR="002C1EEC">
        <w:rPr>
          <w:strike/>
          <w:lang w:val="fr-FR"/>
        </w:rPr>
        <w:t>’</w:t>
      </w:r>
      <w:r w:rsidRPr="0009203C">
        <w:rPr>
          <w:strike/>
          <w:lang w:val="fr-FR"/>
        </w:rPr>
        <w:t>exception des</w:t>
      </w:r>
      <w:r>
        <w:rPr>
          <w:strike/>
          <w:lang w:val="fr-FR"/>
        </w:rPr>
        <w:t xml:space="preserve"> </w:t>
      </w:r>
      <w:r w:rsidRPr="0009203C">
        <w:rPr>
          <w:strike/>
          <w:lang w:val="fr-FR"/>
        </w:rPr>
        <w:t>Nos ONU 2910 et 2911 si le niveau d</w:t>
      </w:r>
      <w:r w:rsidR="002C1EEC">
        <w:rPr>
          <w:strike/>
          <w:lang w:val="fr-FR"/>
        </w:rPr>
        <w:t>’</w:t>
      </w:r>
      <w:r w:rsidRPr="0009203C">
        <w:rPr>
          <w:strike/>
          <w:lang w:val="fr-FR"/>
        </w:rPr>
        <w:t>activité dépasse la valeur A</w:t>
      </w:r>
      <w:r w:rsidRPr="006111B2">
        <w:rPr>
          <w:strike/>
          <w:vertAlign w:val="subscript"/>
          <w:lang w:val="fr-FR"/>
        </w:rPr>
        <w:t>2</w:t>
      </w:r>
      <w:r w:rsidRPr="0009203C">
        <w:rPr>
          <w:strike/>
          <w:lang w:val="fr-FR"/>
        </w:rPr>
        <w:t>, les prescriptions des 1.10.1, 1.10.2 et</w:t>
      </w:r>
      <w:r>
        <w:rPr>
          <w:strike/>
          <w:lang w:val="fr-FR"/>
        </w:rPr>
        <w:t xml:space="preserve"> </w:t>
      </w:r>
      <w:r w:rsidRPr="0009203C">
        <w:rPr>
          <w:strike/>
          <w:lang w:val="fr-FR"/>
        </w:rPr>
        <w:t>1.10.3 ne s</w:t>
      </w:r>
      <w:r w:rsidR="002C1EEC">
        <w:rPr>
          <w:strike/>
          <w:lang w:val="fr-FR"/>
        </w:rPr>
        <w:t>’</w:t>
      </w:r>
      <w:r w:rsidRPr="0009203C">
        <w:rPr>
          <w:strike/>
          <w:lang w:val="fr-FR"/>
        </w:rPr>
        <w:t>appliquent pas lorsque les quantités transportées en colis dans un wagon ou grand conteneur</w:t>
      </w:r>
      <w:r>
        <w:rPr>
          <w:strike/>
          <w:lang w:val="fr-FR"/>
        </w:rPr>
        <w:t xml:space="preserve"> </w:t>
      </w:r>
      <w:r w:rsidRPr="0009203C">
        <w:rPr>
          <w:strike/>
          <w:lang w:val="fr-FR"/>
        </w:rPr>
        <w:t>ne</w:t>
      </w:r>
      <w:r>
        <w:rPr>
          <w:strike/>
          <w:lang w:val="fr-FR"/>
        </w:rPr>
        <w:t xml:space="preserve"> </w:t>
      </w:r>
      <w:r w:rsidRPr="0009203C">
        <w:rPr>
          <w:strike/>
          <w:lang w:val="fr-FR"/>
        </w:rPr>
        <w:t>sont</w:t>
      </w:r>
      <w:r>
        <w:rPr>
          <w:strike/>
          <w:lang w:val="fr-FR"/>
        </w:rPr>
        <w:t xml:space="preserve"> </w:t>
      </w:r>
      <w:r w:rsidRPr="0009203C">
        <w:rPr>
          <w:strike/>
          <w:lang w:val="fr-FR"/>
        </w:rPr>
        <w:t>pas</w:t>
      </w:r>
      <w:r>
        <w:rPr>
          <w:strike/>
          <w:lang w:val="fr-FR"/>
        </w:rPr>
        <w:t xml:space="preserve"> </w:t>
      </w:r>
      <w:r w:rsidRPr="0009203C">
        <w:rPr>
          <w:strike/>
          <w:lang w:val="fr-FR"/>
        </w:rPr>
        <w:t>supérieures</w:t>
      </w:r>
      <w:r>
        <w:rPr>
          <w:strike/>
          <w:lang w:val="fr-FR"/>
        </w:rPr>
        <w:t xml:space="preserve"> </w:t>
      </w:r>
      <w:r w:rsidRPr="0009203C">
        <w:rPr>
          <w:strike/>
          <w:lang w:val="fr-FR"/>
        </w:rPr>
        <w:t>à</w:t>
      </w:r>
      <w:r>
        <w:rPr>
          <w:strike/>
          <w:lang w:val="fr-FR"/>
        </w:rPr>
        <w:t xml:space="preserve"> </w:t>
      </w:r>
      <w:r w:rsidRPr="0009203C">
        <w:rPr>
          <w:strike/>
          <w:lang w:val="fr-FR"/>
        </w:rPr>
        <w:t>celles</w:t>
      </w:r>
      <w:r>
        <w:rPr>
          <w:strike/>
          <w:lang w:val="fr-FR"/>
        </w:rPr>
        <w:t xml:space="preserve"> </w:t>
      </w:r>
      <w:r w:rsidRPr="0009203C">
        <w:rPr>
          <w:strike/>
          <w:lang w:val="fr-FR"/>
        </w:rPr>
        <w:t>prévues</w:t>
      </w:r>
      <w:r>
        <w:rPr>
          <w:strike/>
          <w:lang w:val="fr-FR"/>
        </w:rPr>
        <w:t xml:space="preserve"> </w:t>
      </w:r>
      <w:r w:rsidRPr="0009203C">
        <w:rPr>
          <w:strike/>
          <w:lang w:val="fr-FR"/>
        </w:rPr>
        <w:t>au</w:t>
      </w:r>
      <w:r>
        <w:rPr>
          <w:strike/>
          <w:lang w:val="fr-FR"/>
        </w:rPr>
        <w:t xml:space="preserve"> </w:t>
      </w:r>
      <w:r w:rsidRPr="0009203C">
        <w:rPr>
          <w:strike/>
          <w:lang w:val="fr-FR"/>
        </w:rPr>
        <w:t>1.1.3.6.3.</w:t>
      </w:r>
      <w:r w:rsidRPr="006F2AAD">
        <w:rPr>
          <w:lang w:val="fr-FR"/>
        </w:rPr>
        <w:t>[En outre, les dispositions des 1.10.1, 1.10.2 et 1.10.3 ne s</w:t>
      </w:r>
      <w:r w:rsidR="002C1EEC">
        <w:rPr>
          <w:lang w:val="fr-FR"/>
        </w:rPr>
        <w:t>’</w:t>
      </w:r>
      <w:r w:rsidRPr="006F2AAD">
        <w:rPr>
          <w:lang w:val="fr-FR"/>
        </w:rPr>
        <w:t>appliquent pas lorsque les quantités transportées dans un wagon ou conteneur</w:t>
      </w:r>
      <w:r>
        <w:rPr>
          <w:lang w:val="fr-FR"/>
        </w:rPr>
        <w:t>,</w:t>
      </w:r>
      <w:r w:rsidRPr="006F2AAD">
        <w:rPr>
          <w:lang w:val="fr-FR"/>
        </w:rPr>
        <w:t xml:space="preserve"> en citerne ou en vrac</w:t>
      </w:r>
      <w:r>
        <w:rPr>
          <w:lang w:val="fr-FR"/>
        </w:rPr>
        <w:t>,</w:t>
      </w:r>
      <w:r w:rsidRPr="006F2AAD">
        <w:rPr>
          <w:lang w:val="fr-FR"/>
        </w:rPr>
        <w:t xml:space="preserve"> ne sont pas supérieures à celles prévues au 1.1.3.6.3.] En outre, les dispositions du présent chapitre ne s</w:t>
      </w:r>
      <w:r w:rsidR="002C1EEC">
        <w:rPr>
          <w:lang w:val="fr-FR"/>
        </w:rPr>
        <w:t>’</w:t>
      </w:r>
      <w:r w:rsidRPr="006F2AAD">
        <w:rPr>
          <w:lang w:val="fr-FR"/>
        </w:rPr>
        <w:t>appliquent pas au transport du No ONU 2912 MATIÈRES RADIOACTIVES DE FAIBLE ACTIVITÉ SPÉCIFIQUE (LSA-I) et du No ONU 2913 MATIÈRES RADIOACTIVES, OBJETS CONTAMINÉS SUPERFICIELLEMENT (SCO-I).</w:t>
      </w:r>
      <w:r>
        <w:rPr>
          <w:lang w:val="fr-FR"/>
        </w:rPr>
        <w:t> ».</w:t>
      </w:r>
    </w:p>
    <w:p w14:paraId="48C2F8AE" w14:textId="77777777" w:rsidR="004A197B" w:rsidRPr="006F2AAD" w:rsidRDefault="004A197B" w:rsidP="004A197B">
      <w:pPr>
        <w:pStyle w:val="HChG"/>
        <w:ind w:firstLine="0"/>
        <w:rPr>
          <w:lang w:val="fr-FR"/>
        </w:rPr>
      </w:pPr>
      <w:r w:rsidRPr="006F2AAD">
        <w:rPr>
          <w:bCs/>
          <w:lang w:val="fr-FR"/>
        </w:rPr>
        <w:t>Justification</w:t>
      </w:r>
    </w:p>
    <w:p w14:paraId="7ACB0B44" w14:textId="040B4F7C" w:rsidR="004A197B" w:rsidRPr="006F2AAD" w:rsidRDefault="004A197B" w:rsidP="004A197B">
      <w:pPr>
        <w:pStyle w:val="SingleTxtG"/>
        <w:rPr>
          <w:lang w:val="fr-FR"/>
        </w:rPr>
      </w:pPr>
      <w:r w:rsidRPr="006F2AAD">
        <w:rPr>
          <w:lang w:val="fr-FR"/>
        </w:rPr>
        <w:t>9.</w:t>
      </w:r>
      <w:r w:rsidRPr="006F2AAD">
        <w:rPr>
          <w:lang w:val="fr-FR"/>
        </w:rPr>
        <w:tab/>
        <w:t>Lorsque les marchandises sont transportées conformément au 1.1.3.6, les dispositions du chapitre 1.10 ne s</w:t>
      </w:r>
      <w:r w:rsidR="002C1EEC">
        <w:rPr>
          <w:lang w:val="fr-FR"/>
        </w:rPr>
        <w:t>’</w:t>
      </w:r>
      <w:r w:rsidRPr="006F2AAD">
        <w:rPr>
          <w:lang w:val="fr-FR"/>
        </w:rPr>
        <w:t>appliquent pas (sauf pour les numéros ONU énoncés au premier tiret du 1.1.3.6). La première phrase du paragraphe 1.10.4 est donc redondante et devrait être supprimée. En outre, les transports ferroviaires effectués conformément au 1.1.3.6.3 sont directement liés à l</w:t>
      </w:r>
      <w:r w:rsidR="002C1EEC">
        <w:rPr>
          <w:lang w:val="fr-FR"/>
        </w:rPr>
        <w:t>’</w:t>
      </w:r>
      <w:r w:rsidRPr="006F2AAD">
        <w:rPr>
          <w:lang w:val="fr-FR"/>
        </w:rPr>
        <w:t>alinéa c) du 1.1.3.1, ce qui signifie qu</w:t>
      </w:r>
      <w:r w:rsidR="002C1EEC">
        <w:rPr>
          <w:lang w:val="fr-FR"/>
        </w:rPr>
        <w:t>’</w:t>
      </w:r>
      <w:r w:rsidRPr="006F2AAD">
        <w:rPr>
          <w:lang w:val="fr-FR"/>
        </w:rPr>
        <w:t>ils sont exemptés de toutes les autres dispositions du RID. Par ailleurs, cette façon de dupliquer les dispositions n</w:t>
      </w:r>
      <w:r w:rsidR="002C1EEC">
        <w:rPr>
          <w:lang w:val="fr-FR"/>
        </w:rPr>
        <w:t>’</w:t>
      </w:r>
      <w:r w:rsidRPr="006F2AAD">
        <w:rPr>
          <w:lang w:val="fr-FR"/>
        </w:rPr>
        <w:t>est pas conforme à la procédure normale prévue dans l</w:t>
      </w:r>
      <w:r w:rsidR="002C1EEC">
        <w:rPr>
          <w:lang w:val="fr-FR"/>
        </w:rPr>
        <w:t>’</w:t>
      </w:r>
      <w:r w:rsidRPr="006F2AAD">
        <w:rPr>
          <w:lang w:val="fr-FR"/>
        </w:rPr>
        <w:t>ADR et le RID. Il n</w:t>
      </w:r>
      <w:r w:rsidR="002C1EEC">
        <w:rPr>
          <w:lang w:val="fr-FR"/>
        </w:rPr>
        <w:t>’</w:t>
      </w:r>
      <w:r w:rsidRPr="006F2AAD">
        <w:rPr>
          <w:lang w:val="fr-FR"/>
        </w:rPr>
        <w:t>y a pas de duplication de ce type dans d</w:t>
      </w:r>
      <w:r w:rsidR="002C1EEC">
        <w:rPr>
          <w:lang w:val="fr-FR"/>
        </w:rPr>
        <w:t>’</w:t>
      </w:r>
      <w:r w:rsidRPr="006F2AAD">
        <w:rPr>
          <w:lang w:val="fr-FR"/>
        </w:rPr>
        <w:t>autres dispositions qui ne s</w:t>
      </w:r>
      <w:r w:rsidR="002C1EEC">
        <w:rPr>
          <w:lang w:val="fr-FR"/>
        </w:rPr>
        <w:t>’</w:t>
      </w:r>
      <w:r w:rsidRPr="006F2AAD">
        <w:rPr>
          <w:lang w:val="fr-FR"/>
        </w:rPr>
        <w:t>appliquent pas aux transports effectués conformément au 1.1.3.6 (comme le chapitre 5.3 concernant le placardage et le marquage, ou la partie 9 concernant la construction des véhicules).</w:t>
      </w:r>
    </w:p>
    <w:p w14:paraId="5A7C2AA9" w14:textId="32379CA4" w:rsidR="004A197B" w:rsidRPr="006F2AAD" w:rsidRDefault="004A197B" w:rsidP="004A197B">
      <w:pPr>
        <w:pStyle w:val="SingleTxtG"/>
        <w:rPr>
          <w:lang w:val="fr-FR"/>
        </w:rPr>
      </w:pPr>
      <w:r w:rsidRPr="006F2AAD">
        <w:rPr>
          <w:lang w:val="fr-FR"/>
        </w:rPr>
        <w:t>10.</w:t>
      </w:r>
      <w:r w:rsidRPr="006F2AAD">
        <w:rPr>
          <w:lang w:val="fr-FR"/>
        </w:rPr>
        <w:tab/>
      </w:r>
      <w:r>
        <w:rPr>
          <w:lang w:val="fr-FR"/>
        </w:rPr>
        <w:t>Par conséquent</w:t>
      </w:r>
      <w:r w:rsidRPr="006F2AAD">
        <w:rPr>
          <w:lang w:val="fr-FR"/>
        </w:rPr>
        <w:t>, la première phrase devrait être supprimée indépendamment de toute modification future éventuelle du 1.1.3.6 en rapport avec le document sur la sécurité qui sera soumis au WP.15.</w:t>
      </w:r>
    </w:p>
    <w:p w14:paraId="2DD88834" w14:textId="7553247F" w:rsidR="004A197B" w:rsidRDefault="004A197B" w:rsidP="004A197B">
      <w:pPr>
        <w:pStyle w:val="SingleTxtG"/>
        <w:rPr>
          <w:lang w:val="fr-FR"/>
        </w:rPr>
      </w:pPr>
      <w:r w:rsidRPr="006F2AAD">
        <w:rPr>
          <w:lang w:val="fr-FR"/>
        </w:rPr>
        <w:t>11.</w:t>
      </w:r>
      <w:r w:rsidRPr="006F2AAD">
        <w:rPr>
          <w:lang w:val="fr-FR"/>
        </w:rPr>
        <w:tab/>
        <w:t xml:space="preserve">En ce qui concerne la deuxième phrase, la Norvège et la Suède estiment que </w:t>
      </w:r>
      <w:r>
        <w:rPr>
          <w:lang w:val="fr-FR"/>
        </w:rPr>
        <w:t>l</w:t>
      </w:r>
      <w:r w:rsidR="002C1EEC">
        <w:rPr>
          <w:lang w:val="fr-FR"/>
        </w:rPr>
        <w:t>’</w:t>
      </w:r>
      <w:r w:rsidRPr="006F2AAD">
        <w:rPr>
          <w:lang w:val="fr-FR"/>
        </w:rPr>
        <w:t>exemption est incohérente. En outre, du point de vue de la sécurité, il ne semble plus approprié de maintenir une telle exemption dans le cadre des dispositions de l</w:t>
      </w:r>
      <w:r w:rsidR="002C1EEC">
        <w:rPr>
          <w:lang w:val="fr-FR"/>
        </w:rPr>
        <w:t>’</w:t>
      </w:r>
      <w:r w:rsidRPr="006F2AAD">
        <w:rPr>
          <w:lang w:val="fr-FR"/>
        </w:rPr>
        <w:t>ADR et du</w:t>
      </w:r>
      <w:r w:rsidR="00183F84">
        <w:rPr>
          <w:lang w:val="fr-FR"/>
        </w:rPr>
        <w:t> </w:t>
      </w:r>
      <w:r w:rsidRPr="006F2AAD">
        <w:rPr>
          <w:lang w:val="fr-FR"/>
        </w:rPr>
        <w:t>RID.</w:t>
      </w:r>
    </w:p>
    <w:p w14:paraId="40C0AA9E" w14:textId="09906C7F" w:rsidR="002C1EEC" w:rsidRPr="002C1EEC" w:rsidRDefault="002C1EEC" w:rsidP="002C1EEC">
      <w:pPr>
        <w:pStyle w:val="SingleTxtG"/>
        <w:spacing w:before="240" w:after="0"/>
        <w:jc w:val="center"/>
        <w:rPr>
          <w:u w:val="single"/>
        </w:rPr>
      </w:pPr>
      <w:r>
        <w:rPr>
          <w:u w:val="single"/>
        </w:rPr>
        <w:tab/>
      </w:r>
      <w:r>
        <w:rPr>
          <w:u w:val="single"/>
        </w:rPr>
        <w:tab/>
      </w:r>
      <w:r>
        <w:rPr>
          <w:u w:val="single"/>
        </w:rPr>
        <w:tab/>
      </w:r>
      <w:r>
        <w:rPr>
          <w:u w:val="single"/>
        </w:rPr>
        <w:tab/>
      </w:r>
    </w:p>
    <w:sectPr w:rsidR="002C1EEC" w:rsidRPr="002C1EEC" w:rsidSect="004A197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0024" w14:textId="77777777" w:rsidR="00472C3B" w:rsidRDefault="00472C3B" w:rsidP="00F95C08">
      <w:pPr>
        <w:spacing w:line="240" w:lineRule="auto"/>
      </w:pPr>
    </w:p>
  </w:endnote>
  <w:endnote w:type="continuationSeparator" w:id="0">
    <w:p w14:paraId="1D13924A" w14:textId="77777777" w:rsidR="00472C3B" w:rsidRPr="00AC3823" w:rsidRDefault="00472C3B" w:rsidP="00AC3823">
      <w:pPr>
        <w:pStyle w:val="Footer"/>
      </w:pPr>
    </w:p>
  </w:endnote>
  <w:endnote w:type="continuationNotice" w:id="1">
    <w:p w14:paraId="332CD934" w14:textId="77777777" w:rsidR="00472C3B" w:rsidRDefault="00472C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2EF7" w14:textId="0235268D" w:rsidR="004A197B" w:rsidRPr="004A197B" w:rsidRDefault="004A197B" w:rsidP="004A197B">
    <w:pPr>
      <w:pStyle w:val="Footer"/>
      <w:tabs>
        <w:tab w:val="right" w:pos="9638"/>
      </w:tabs>
    </w:pPr>
    <w:r w:rsidRPr="004A197B">
      <w:rPr>
        <w:b/>
        <w:sz w:val="18"/>
      </w:rPr>
      <w:fldChar w:fldCharType="begin"/>
    </w:r>
    <w:r w:rsidRPr="004A197B">
      <w:rPr>
        <w:b/>
        <w:sz w:val="18"/>
      </w:rPr>
      <w:instrText xml:space="preserve"> PAGE  \* MERGEFORMAT </w:instrText>
    </w:r>
    <w:r w:rsidRPr="004A197B">
      <w:rPr>
        <w:b/>
        <w:sz w:val="18"/>
      </w:rPr>
      <w:fldChar w:fldCharType="separate"/>
    </w:r>
    <w:r w:rsidRPr="004A197B">
      <w:rPr>
        <w:b/>
        <w:noProof/>
        <w:sz w:val="18"/>
      </w:rPr>
      <w:t>2</w:t>
    </w:r>
    <w:r w:rsidRPr="004A197B">
      <w:rPr>
        <w:b/>
        <w:sz w:val="18"/>
      </w:rPr>
      <w:fldChar w:fldCharType="end"/>
    </w:r>
    <w:r>
      <w:rPr>
        <w:b/>
        <w:sz w:val="18"/>
      </w:rPr>
      <w:tab/>
    </w:r>
    <w:r>
      <w:t>GE.21-19406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A0BD" w14:textId="4AA9A9EE" w:rsidR="004A197B" w:rsidRPr="004A197B" w:rsidRDefault="004A197B" w:rsidP="004A197B">
    <w:pPr>
      <w:pStyle w:val="Footer"/>
      <w:tabs>
        <w:tab w:val="right" w:pos="9638"/>
      </w:tabs>
      <w:rPr>
        <w:b/>
        <w:sz w:val="18"/>
      </w:rPr>
    </w:pPr>
    <w:r>
      <w:t>GE.21-19406</w:t>
    </w:r>
    <w:r>
      <w:tab/>
    </w:r>
    <w:r w:rsidRPr="004A197B">
      <w:rPr>
        <w:b/>
        <w:sz w:val="18"/>
      </w:rPr>
      <w:fldChar w:fldCharType="begin"/>
    </w:r>
    <w:r w:rsidRPr="004A197B">
      <w:rPr>
        <w:b/>
        <w:sz w:val="18"/>
      </w:rPr>
      <w:instrText xml:space="preserve"> PAGE  \* MERGEFORMAT </w:instrText>
    </w:r>
    <w:r w:rsidRPr="004A197B">
      <w:rPr>
        <w:b/>
        <w:sz w:val="18"/>
      </w:rPr>
      <w:fldChar w:fldCharType="separate"/>
    </w:r>
    <w:r w:rsidRPr="004A197B">
      <w:rPr>
        <w:b/>
        <w:noProof/>
        <w:sz w:val="18"/>
      </w:rPr>
      <w:t>3</w:t>
    </w:r>
    <w:r w:rsidRPr="004A1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0CCF" w14:textId="7333A858" w:rsidR="007F20FA" w:rsidRPr="004A197B" w:rsidRDefault="004A197B" w:rsidP="004A197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C5727C" wp14:editId="75A447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21-19406  (F)</w:t>
    </w:r>
    <w:r>
      <w:rPr>
        <w:noProof/>
        <w:sz w:val="20"/>
      </w:rPr>
      <w:drawing>
        <wp:anchor distT="0" distB="0" distL="114300" distR="114300" simplePos="0" relativeHeight="251660288" behindDoc="0" locked="0" layoutInCell="1" allowOverlap="1" wp14:anchorId="4FD2FBCA" wp14:editId="01E40FE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140122    170122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C655" w14:textId="77777777" w:rsidR="00472C3B" w:rsidRPr="00AC3823" w:rsidRDefault="00472C3B" w:rsidP="00AC3823">
      <w:pPr>
        <w:pStyle w:val="Footer"/>
        <w:tabs>
          <w:tab w:val="right" w:pos="2155"/>
        </w:tabs>
        <w:spacing w:after="80" w:line="240" w:lineRule="atLeast"/>
        <w:ind w:left="680"/>
        <w:rPr>
          <w:u w:val="single"/>
        </w:rPr>
      </w:pPr>
      <w:r>
        <w:rPr>
          <w:u w:val="single"/>
        </w:rPr>
        <w:tab/>
      </w:r>
    </w:p>
  </w:footnote>
  <w:footnote w:type="continuationSeparator" w:id="0">
    <w:p w14:paraId="5DB010E6" w14:textId="77777777" w:rsidR="00472C3B" w:rsidRPr="00AC3823" w:rsidRDefault="00472C3B" w:rsidP="00AC3823">
      <w:pPr>
        <w:pStyle w:val="Footer"/>
        <w:tabs>
          <w:tab w:val="right" w:pos="2155"/>
        </w:tabs>
        <w:spacing w:after="80" w:line="240" w:lineRule="atLeast"/>
        <w:ind w:left="680"/>
        <w:rPr>
          <w:u w:val="single"/>
        </w:rPr>
      </w:pPr>
      <w:r>
        <w:rPr>
          <w:u w:val="single"/>
        </w:rPr>
        <w:tab/>
      </w:r>
    </w:p>
  </w:footnote>
  <w:footnote w:type="continuationNotice" w:id="1">
    <w:p w14:paraId="011BFACB" w14:textId="77777777" w:rsidR="00472C3B" w:rsidRPr="00AC3823" w:rsidRDefault="00472C3B">
      <w:pPr>
        <w:spacing w:line="240" w:lineRule="auto"/>
        <w:rPr>
          <w:sz w:val="2"/>
          <w:szCs w:val="2"/>
        </w:rPr>
      </w:pPr>
    </w:p>
  </w:footnote>
  <w:footnote w:id="2">
    <w:p w14:paraId="6364DFE9" w14:textId="657269CD" w:rsidR="004A197B" w:rsidRPr="004A197B" w:rsidRDefault="004A197B">
      <w:pPr>
        <w:pStyle w:val="FootnoteText"/>
      </w:pPr>
      <w:r>
        <w:rPr>
          <w:rStyle w:val="FootnoteReference"/>
        </w:rPr>
        <w:tab/>
      </w:r>
      <w:r w:rsidRPr="004A197B">
        <w:rPr>
          <w:rStyle w:val="FootnoteReference"/>
          <w:sz w:val="20"/>
          <w:vertAlign w:val="baseline"/>
        </w:rPr>
        <w:t>*</w:t>
      </w:r>
      <w:r>
        <w:rPr>
          <w:rStyle w:val="FootnoteReference"/>
          <w:sz w:val="20"/>
          <w:vertAlign w:val="baseline"/>
        </w:rPr>
        <w:tab/>
      </w:r>
      <w:r>
        <w:rPr>
          <w:lang w:val="fr-FR"/>
        </w:rPr>
        <w:t>A/76/6 (Sect. 20), par. 20.76.</w:t>
      </w:r>
    </w:p>
  </w:footnote>
  <w:footnote w:id="3">
    <w:p w14:paraId="3EEC2768" w14:textId="7C6D8B3B" w:rsidR="004A197B" w:rsidRPr="004A197B" w:rsidRDefault="004A197B">
      <w:pPr>
        <w:pStyle w:val="FootnoteText"/>
      </w:pPr>
      <w:r>
        <w:rPr>
          <w:rStyle w:val="FootnoteReference"/>
        </w:rPr>
        <w:tab/>
      </w:r>
      <w:r w:rsidRPr="004A197B">
        <w:rPr>
          <w:rStyle w:val="FootnoteReference"/>
          <w:sz w:val="20"/>
          <w:vertAlign w:val="baseline"/>
        </w:rPr>
        <w:t>**</w:t>
      </w:r>
      <w:r>
        <w:rPr>
          <w:rStyle w:val="FootnoteReference"/>
          <w:sz w:val="20"/>
          <w:vertAlign w:val="baseline"/>
        </w:rPr>
        <w:tab/>
      </w:r>
      <w:r>
        <w:rPr>
          <w:lang w:val="fr-FR"/>
        </w:rPr>
        <w:t>Diffusée par l</w:t>
      </w:r>
      <w:r w:rsidR="00082BF9">
        <w:rPr>
          <w:lang w:val="fr-FR"/>
        </w:rPr>
        <w:t>’</w:t>
      </w:r>
      <w:r>
        <w:rPr>
          <w:lang w:val="fr-FR"/>
        </w:rPr>
        <w:t>Organisation intergouvernementale pour les transports internationaux ferroviaires sous la cote OTIF/RID/RC/2022/14.</w:t>
      </w:r>
    </w:p>
  </w:footnote>
  <w:footnote w:id="4">
    <w:p w14:paraId="5C83565D" w14:textId="57E7F2EE" w:rsidR="004A197B" w:rsidRPr="004A197B" w:rsidRDefault="004A197B">
      <w:pPr>
        <w:pStyle w:val="FootnoteText"/>
      </w:pPr>
      <w:r>
        <w:rPr>
          <w:rStyle w:val="FootnoteReference"/>
        </w:rPr>
        <w:tab/>
      </w:r>
      <w:r w:rsidRPr="004A197B">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6D7B" w14:textId="034D19F8" w:rsidR="004A197B" w:rsidRPr="004A197B" w:rsidRDefault="001B5540">
    <w:pPr>
      <w:pStyle w:val="Header"/>
    </w:pPr>
    <w:r>
      <w:fldChar w:fldCharType="begin"/>
    </w:r>
    <w:r>
      <w:instrText xml:space="preserve"> TITLE  \* MERGEFORMAT </w:instrText>
    </w:r>
    <w:r>
      <w:fldChar w:fldCharType="separate"/>
    </w:r>
    <w:r w:rsidR="004A197B">
      <w:t>ECE/TRANS/WP.15/AC.1/2022/14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F479" w14:textId="49DE229A" w:rsidR="004A197B" w:rsidRPr="004A197B" w:rsidRDefault="001B5540" w:rsidP="004A197B">
    <w:pPr>
      <w:pStyle w:val="Header"/>
      <w:jc w:val="right"/>
    </w:pPr>
    <w:r>
      <w:fldChar w:fldCharType="begin"/>
    </w:r>
    <w:r>
      <w:instrText xml:space="preserve"> TITLE  \* MERGEFORMAT </w:instrText>
    </w:r>
    <w:r>
      <w:fldChar w:fldCharType="separate"/>
    </w:r>
    <w:r w:rsidR="004A197B">
      <w:t>ECE/TRANS/WP.15/AC.1/2022/14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3B"/>
    <w:rsid w:val="00017F94"/>
    <w:rsid w:val="00023842"/>
    <w:rsid w:val="000334F9"/>
    <w:rsid w:val="00045FEB"/>
    <w:rsid w:val="0007796D"/>
    <w:rsid w:val="00082BF9"/>
    <w:rsid w:val="000B7790"/>
    <w:rsid w:val="00111F2F"/>
    <w:rsid w:val="0014365E"/>
    <w:rsid w:val="00143C66"/>
    <w:rsid w:val="00176178"/>
    <w:rsid w:val="00183F84"/>
    <w:rsid w:val="001B5540"/>
    <w:rsid w:val="001F525A"/>
    <w:rsid w:val="00201148"/>
    <w:rsid w:val="00223272"/>
    <w:rsid w:val="0024779E"/>
    <w:rsid w:val="00257168"/>
    <w:rsid w:val="002744B8"/>
    <w:rsid w:val="002832AC"/>
    <w:rsid w:val="002C1EEC"/>
    <w:rsid w:val="002D7C93"/>
    <w:rsid w:val="00305801"/>
    <w:rsid w:val="003916DE"/>
    <w:rsid w:val="00421996"/>
    <w:rsid w:val="00441C3B"/>
    <w:rsid w:val="00446FE5"/>
    <w:rsid w:val="00452396"/>
    <w:rsid w:val="00472C3B"/>
    <w:rsid w:val="00477EB2"/>
    <w:rsid w:val="004837D8"/>
    <w:rsid w:val="004A197B"/>
    <w:rsid w:val="004E2EED"/>
    <w:rsid w:val="004E468C"/>
    <w:rsid w:val="005505B7"/>
    <w:rsid w:val="00573BE5"/>
    <w:rsid w:val="00586ED3"/>
    <w:rsid w:val="00596AA9"/>
    <w:rsid w:val="0071601D"/>
    <w:rsid w:val="007A62E6"/>
    <w:rsid w:val="007C0003"/>
    <w:rsid w:val="007F20FA"/>
    <w:rsid w:val="0080684C"/>
    <w:rsid w:val="0082480B"/>
    <w:rsid w:val="00871C75"/>
    <w:rsid w:val="008776DC"/>
    <w:rsid w:val="008969B5"/>
    <w:rsid w:val="008D5EF9"/>
    <w:rsid w:val="009446C0"/>
    <w:rsid w:val="009705C8"/>
    <w:rsid w:val="009C1CF4"/>
    <w:rsid w:val="009F6B74"/>
    <w:rsid w:val="00A3029F"/>
    <w:rsid w:val="00A30353"/>
    <w:rsid w:val="00AB77FC"/>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55E6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4ACE5"/>
  <w15:docId w15:val="{7787CAC6-564A-49A9-9150-46F0C12B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A197B"/>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7C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E/TRANS/WP.15/202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6343</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ECE/TRANS/WP.15/AC.1/2022/14</vt:lpstr>
      <vt:lpstr>    Section 1.10.4 − texte faisant référence au 1.1.3.6</vt:lpstr>
      <vt:lpstr>        Communication des Gouvernements norvégien et suédois*, **, ***</vt:lpstr>
      <vt:lpstr>    Introduction</vt:lpstr>
      <vt:lpstr>    Contexte</vt:lpstr>
      <vt:lpstr>    Propositions</vt:lpstr>
      <vt:lpstr>    Justification</vt:lpstr>
    </vt:vector>
  </TitlesOfParts>
  <Company>DCM</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ECE/TRANS/WP.15/AC.1/2022/14</dc:title>
  <dc:subject/>
  <dc:creator>Corinne ROBERT</dc:creator>
  <cp:keywords/>
  <cp:lastModifiedBy>Christine Barrio-Champeau</cp:lastModifiedBy>
  <cp:revision>2</cp:revision>
  <cp:lastPrinted>2014-05-14T10:59:00Z</cp:lastPrinted>
  <dcterms:created xsi:type="dcterms:W3CDTF">2022-01-20T17:54:00Z</dcterms:created>
  <dcterms:modified xsi:type="dcterms:W3CDTF">2022-01-20T17:54:00Z</dcterms:modified>
</cp:coreProperties>
</file>