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0DCC3A0" w14:textId="77777777" w:rsidTr="00C97039">
        <w:trPr>
          <w:trHeight w:hRule="exact" w:val="851"/>
        </w:trPr>
        <w:tc>
          <w:tcPr>
            <w:tcW w:w="1276" w:type="dxa"/>
            <w:tcBorders>
              <w:bottom w:val="single" w:sz="4" w:space="0" w:color="auto"/>
            </w:tcBorders>
          </w:tcPr>
          <w:p w14:paraId="1A13EABF" w14:textId="77777777" w:rsidR="00F35BAF" w:rsidRPr="00DB58B5" w:rsidRDefault="00F35BAF" w:rsidP="00553804"/>
        </w:tc>
        <w:tc>
          <w:tcPr>
            <w:tcW w:w="2268" w:type="dxa"/>
            <w:tcBorders>
              <w:bottom w:val="single" w:sz="4" w:space="0" w:color="auto"/>
            </w:tcBorders>
            <w:vAlign w:val="bottom"/>
          </w:tcPr>
          <w:p w14:paraId="0921509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E1D9B54" w14:textId="30C8B264" w:rsidR="00F35BAF" w:rsidRPr="00DB58B5" w:rsidRDefault="00553804" w:rsidP="00553804">
            <w:pPr>
              <w:jc w:val="right"/>
            </w:pPr>
            <w:r w:rsidRPr="00553804">
              <w:rPr>
                <w:sz w:val="40"/>
              </w:rPr>
              <w:t>ECE</w:t>
            </w:r>
            <w:r>
              <w:t>/TRANS/WP.15/AC.1/2022/13</w:t>
            </w:r>
          </w:p>
        </w:tc>
      </w:tr>
      <w:tr w:rsidR="00F35BAF" w:rsidRPr="00DB58B5" w14:paraId="703A1905" w14:textId="77777777" w:rsidTr="00C97039">
        <w:trPr>
          <w:trHeight w:hRule="exact" w:val="2835"/>
        </w:trPr>
        <w:tc>
          <w:tcPr>
            <w:tcW w:w="1276" w:type="dxa"/>
            <w:tcBorders>
              <w:top w:val="single" w:sz="4" w:space="0" w:color="auto"/>
              <w:bottom w:val="single" w:sz="12" w:space="0" w:color="auto"/>
            </w:tcBorders>
          </w:tcPr>
          <w:p w14:paraId="2049B05C" w14:textId="77777777" w:rsidR="00F35BAF" w:rsidRPr="00DB58B5" w:rsidRDefault="00F35BAF" w:rsidP="00C97039">
            <w:pPr>
              <w:spacing w:before="120"/>
              <w:jc w:val="center"/>
            </w:pPr>
            <w:r>
              <w:rPr>
                <w:noProof/>
                <w:lang w:eastAsia="fr-CH"/>
              </w:rPr>
              <w:drawing>
                <wp:inline distT="0" distB="0" distL="0" distR="0" wp14:anchorId="50EF58E4" wp14:editId="09320D7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FF8E1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B5DFCEA" w14:textId="77777777" w:rsidR="00F35BAF" w:rsidRDefault="00553804" w:rsidP="00C97039">
            <w:pPr>
              <w:spacing w:before="240"/>
            </w:pPr>
            <w:r>
              <w:t xml:space="preserve">Distr. </w:t>
            </w:r>
            <w:proofErr w:type="gramStart"/>
            <w:r>
              <w:t>générale</w:t>
            </w:r>
            <w:proofErr w:type="gramEnd"/>
          </w:p>
          <w:p w14:paraId="21E54A67" w14:textId="3ECFF9F2" w:rsidR="00553804" w:rsidRDefault="00553804" w:rsidP="00553804">
            <w:pPr>
              <w:spacing w:line="240" w:lineRule="exact"/>
            </w:pPr>
            <w:r>
              <w:t>16 décembre 2021</w:t>
            </w:r>
          </w:p>
          <w:p w14:paraId="5347A1E4" w14:textId="77777777" w:rsidR="00553804" w:rsidRDefault="00553804" w:rsidP="00553804">
            <w:pPr>
              <w:spacing w:line="240" w:lineRule="exact"/>
            </w:pPr>
            <w:r>
              <w:t>Français</w:t>
            </w:r>
          </w:p>
          <w:p w14:paraId="77FAEBEF" w14:textId="6A23DFA3" w:rsidR="00553804" w:rsidRPr="00DB58B5" w:rsidRDefault="00553804" w:rsidP="00553804">
            <w:pPr>
              <w:spacing w:line="240" w:lineRule="exact"/>
            </w:pPr>
            <w:r>
              <w:t>Original : anglais</w:t>
            </w:r>
          </w:p>
        </w:tc>
      </w:tr>
    </w:tbl>
    <w:p w14:paraId="7FDED5EA" w14:textId="77777777" w:rsidR="007F20FA" w:rsidRPr="000312C0" w:rsidRDefault="007F20FA" w:rsidP="007F20FA">
      <w:pPr>
        <w:spacing w:before="120"/>
        <w:rPr>
          <w:b/>
          <w:sz w:val="28"/>
          <w:szCs w:val="28"/>
        </w:rPr>
      </w:pPr>
      <w:r w:rsidRPr="000312C0">
        <w:rPr>
          <w:b/>
          <w:sz w:val="28"/>
          <w:szCs w:val="28"/>
        </w:rPr>
        <w:t>Commission économique pour l’Europe</w:t>
      </w:r>
    </w:p>
    <w:p w14:paraId="22C17103" w14:textId="77777777" w:rsidR="007F20FA" w:rsidRDefault="007F20FA" w:rsidP="007F20FA">
      <w:pPr>
        <w:spacing w:before="120"/>
        <w:rPr>
          <w:sz w:val="28"/>
          <w:szCs w:val="28"/>
        </w:rPr>
      </w:pPr>
      <w:r w:rsidRPr="00685843">
        <w:rPr>
          <w:sz w:val="28"/>
          <w:szCs w:val="28"/>
        </w:rPr>
        <w:t>Comité des transports intérieurs</w:t>
      </w:r>
    </w:p>
    <w:p w14:paraId="5CBDC407" w14:textId="77777777" w:rsidR="00553804" w:rsidRPr="00553804" w:rsidRDefault="00553804" w:rsidP="00553804">
      <w:pPr>
        <w:spacing w:before="120"/>
        <w:rPr>
          <w:b/>
          <w:sz w:val="24"/>
          <w:szCs w:val="24"/>
          <w:lang w:val="fr-FR"/>
        </w:rPr>
      </w:pPr>
      <w:r w:rsidRPr="00553804">
        <w:rPr>
          <w:b/>
          <w:bCs/>
          <w:sz w:val="24"/>
          <w:szCs w:val="24"/>
          <w:lang w:val="fr-FR"/>
        </w:rPr>
        <w:t>Groupe de travail des transports de marchandises dangereuses</w:t>
      </w:r>
    </w:p>
    <w:p w14:paraId="388A7728" w14:textId="13B87FAF" w:rsidR="00553804" w:rsidRPr="006F11C9" w:rsidRDefault="00553804" w:rsidP="00553804">
      <w:pPr>
        <w:spacing w:before="120" w:line="240" w:lineRule="exact"/>
        <w:rPr>
          <w:b/>
          <w:bCs/>
          <w:lang w:val="fr-FR"/>
        </w:rPr>
      </w:pPr>
      <w:r w:rsidRPr="006F11C9">
        <w:rPr>
          <w:b/>
          <w:bCs/>
          <w:lang w:val="fr-FR"/>
        </w:rPr>
        <w:t xml:space="preserve">Réunion commune de la Commission d’experts du RID et </w:t>
      </w:r>
      <w:r w:rsidR="00E33D09">
        <w:rPr>
          <w:b/>
          <w:bCs/>
          <w:lang w:val="fr-FR"/>
        </w:rPr>
        <w:br/>
      </w:r>
      <w:r w:rsidRPr="006F11C9">
        <w:rPr>
          <w:b/>
          <w:bCs/>
          <w:lang w:val="fr-FR"/>
        </w:rPr>
        <w:t>du Groupe de travail des transports de marchandises dangereuses</w:t>
      </w:r>
    </w:p>
    <w:p w14:paraId="330A04AF" w14:textId="6488A7F0" w:rsidR="00553804" w:rsidRDefault="00553804" w:rsidP="00553804">
      <w:pPr>
        <w:spacing w:before="120" w:line="240" w:lineRule="exact"/>
      </w:pPr>
      <w:r>
        <w:t>Bern, 14-18 mars 2022</w:t>
      </w:r>
    </w:p>
    <w:p w14:paraId="22628E89" w14:textId="18311C69" w:rsidR="00553804" w:rsidRDefault="00553804" w:rsidP="00AF0CB5">
      <w:pPr>
        <w:spacing w:line="240" w:lineRule="exact"/>
      </w:pPr>
      <w:r>
        <w:t>Point 2 de l’ordre du jour provisoire</w:t>
      </w:r>
    </w:p>
    <w:p w14:paraId="2A67DC90" w14:textId="77777777" w:rsidR="00553804" w:rsidRPr="00521651" w:rsidRDefault="00553804" w:rsidP="00553804">
      <w:pPr>
        <w:rPr>
          <w:b/>
          <w:bCs/>
          <w:lang w:val="fr-FR"/>
        </w:rPr>
      </w:pPr>
      <w:r w:rsidRPr="00521651">
        <w:rPr>
          <w:b/>
          <w:bCs/>
          <w:lang w:val="fr-FR"/>
        </w:rPr>
        <w:t>Citernes</w:t>
      </w:r>
    </w:p>
    <w:p w14:paraId="6D855A4D" w14:textId="4DDB8ED4" w:rsidR="00553804" w:rsidRPr="00521651" w:rsidRDefault="00553804" w:rsidP="00553804">
      <w:pPr>
        <w:pStyle w:val="HChG"/>
        <w:rPr>
          <w:lang w:val="fr-FR"/>
        </w:rPr>
      </w:pPr>
      <w:r w:rsidRPr="00521651">
        <w:rPr>
          <w:lang w:val="fr-FR"/>
        </w:rPr>
        <w:tab/>
      </w:r>
      <w:r w:rsidRPr="00521651">
        <w:rPr>
          <w:lang w:val="fr-FR"/>
        </w:rPr>
        <w:tab/>
        <w:t>Citernes à déchets opérant sous vide</w:t>
      </w:r>
      <w:r>
        <w:rPr>
          <w:lang w:val="fr-FR"/>
        </w:rPr>
        <w:t> </w:t>
      </w:r>
      <w:r w:rsidRPr="00521651">
        <w:rPr>
          <w:lang w:val="fr-FR"/>
        </w:rPr>
        <w:t xml:space="preserve">: </w:t>
      </w:r>
      <w:r>
        <w:rPr>
          <w:lang w:val="fr-FR"/>
        </w:rPr>
        <w:t>p</w:t>
      </w:r>
      <w:r w:rsidRPr="00521651">
        <w:rPr>
          <w:lang w:val="fr-FR"/>
        </w:rPr>
        <w:t xml:space="preserve">rotection </w:t>
      </w:r>
      <w:r>
        <w:rPr>
          <w:lang w:val="fr-FR"/>
        </w:rPr>
        <w:br/>
      </w:r>
      <w:r w:rsidRPr="00521651">
        <w:rPr>
          <w:lang w:val="fr-FR"/>
        </w:rPr>
        <w:t>contre les explosions non électriques</w:t>
      </w:r>
    </w:p>
    <w:p w14:paraId="4ECC6072" w14:textId="1575E0DD" w:rsidR="00F9573C" w:rsidRDefault="00553804" w:rsidP="00553804">
      <w:pPr>
        <w:pStyle w:val="H1G"/>
      </w:pPr>
      <w:r w:rsidRPr="00521651">
        <w:rPr>
          <w:lang w:val="fr-FR"/>
        </w:rPr>
        <w:tab/>
      </w:r>
      <w:r w:rsidRPr="00521651">
        <w:rPr>
          <w:lang w:val="fr-FR"/>
        </w:rPr>
        <w:tab/>
        <w:t>Communication du Gouvernement allemand</w:t>
      </w:r>
      <w:r w:rsidRPr="00553804">
        <w:rPr>
          <w:rStyle w:val="FootnoteReference"/>
          <w:b w:val="0"/>
          <w:bCs/>
          <w:sz w:val="20"/>
          <w:vertAlign w:val="baseline"/>
        </w:rPr>
        <w:footnoteReference w:customMarkFollows="1" w:id="2"/>
        <w:t>*</w:t>
      </w:r>
      <w:r w:rsidRPr="00553804">
        <w:rPr>
          <w:b w:val="0"/>
          <w:bCs/>
          <w:sz w:val="20"/>
          <w:vertAlign w:val="superscript"/>
        </w:rPr>
        <w:t xml:space="preserve">, </w:t>
      </w:r>
      <w:r w:rsidRPr="00553804">
        <w:rPr>
          <w:rStyle w:val="FootnoteReference"/>
          <w:b w:val="0"/>
          <w:bCs/>
          <w:sz w:val="20"/>
          <w:vertAlign w:val="baseline"/>
        </w:rPr>
        <w:footnoteReference w:customMarkFollows="1" w:id="3"/>
        <w:t>**</w:t>
      </w:r>
      <w:r w:rsidRPr="00553804">
        <w:rPr>
          <w:b w:val="0"/>
          <w:bCs/>
          <w:sz w:val="20"/>
          <w:vertAlign w:val="superscript"/>
        </w:rPr>
        <w:t xml:space="preserve">, </w:t>
      </w:r>
      <w:r w:rsidRPr="00553804">
        <w:rPr>
          <w:rStyle w:val="FootnoteReference"/>
          <w:b w:val="0"/>
          <w:bCs/>
          <w:sz w:val="20"/>
          <w:vertAlign w:val="baseline"/>
        </w:rPr>
        <w:footnoteReference w:customMarkFollows="1" w:id="4"/>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553804" w14:paraId="740797C8" w14:textId="77777777" w:rsidTr="00553804">
        <w:trPr>
          <w:jc w:val="center"/>
        </w:trPr>
        <w:tc>
          <w:tcPr>
            <w:tcW w:w="9628" w:type="dxa"/>
            <w:shd w:val="clear" w:color="auto" w:fill="auto"/>
          </w:tcPr>
          <w:p w14:paraId="3E0C2C2D" w14:textId="77777777" w:rsidR="00553804" w:rsidRDefault="00553804">
            <w:pPr>
              <w:spacing w:before="240" w:after="120"/>
              <w:ind w:left="255"/>
              <w:rPr>
                <w:i/>
                <w:sz w:val="24"/>
              </w:rPr>
            </w:pPr>
            <w:r>
              <w:rPr>
                <w:i/>
                <w:sz w:val="24"/>
              </w:rPr>
              <w:t>Résumé</w:t>
            </w:r>
          </w:p>
        </w:tc>
      </w:tr>
      <w:tr w:rsidR="00553804" w14:paraId="35333177" w14:textId="77777777" w:rsidTr="00553804">
        <w:trPr>
          <w:jc w:val="center"/>
        </w:trPr>
        <w:tc>
          <w:tcPr>
            <w:tcW w:w="9628" w:type="dxa"/>
            <w:shd w:val="clear" w:color="auto" w:fill="auto"/>
          </w:tcPr>
          <w:p w14:paraId="6256C0E6" w14:textId="671C7089" w:rsidR="00553804" w:rsidRDefault="00553804" w:rsidP="00553804">
            <w:pPr>
              <w:pStyle w:val="SingleTxtG"/>
              <w:ind w:left="3402" w:hanging="2268"/>
            </w:pPr>
            <w:r w:rsidRPr="00521651">
              <w:rPr>
                <w:b/>
                <w:bCs/>
                <w:lang w:val="fr-FR"/>
              </w:rPr>
              <w:t>Résumé analytique</w:t>
            </w:r>
            <w:r w:rsidRPr="00553804">
              <w:rPr>
                <w:lang w:val="fr-FR"/>
              </w:rPr>
              <w:t> :</w:t>
            </w:r>
            <w:r w:rsidRPr="00521651">
              <w:rPr>
                <w:lang w:val="fr-FR"/>
              </w:rPr>
              <w:tab/>
              <w:t>De l</w:t>
            </w:r>
            <w:r>
              <w:rPr>
                <w:lang w:val="fr-FR"/>
              </w:rPr>
              <w:t>’</w:t>
            </w:r>
            <w:r w:rsidRPr="00521651">
              <w:rPr>
                <w:lang w:val="fr-FR"/>
              </w:rPr>
              <w:t>avis de l</w:t>
            </w:r>
            <w:r>
              <w:rPr>
                <w:lang w:val="fr-FR"/>
              </w:rPr>
              <w:t>’</w:t>
            </w:r>
            <w:r w:rsidRPr="00521651">
              <w:rPr>
                <w:lang w:val="fr-FR"/>
              </w:rPr>
              <w:t xml:space="preserve">Allemagne, il convient </w:t>
            </w:r>
            <w:r>
              <w:rPr>
                <w:lang w:val="fr-FR"/>
              </w:rPr>
              <w:t xml:space="preserve">également d’appliquer des prescriptions </w:t>
            </w:r>
            <w:r w:rsidRPr="00521651">
              <w:rPr>
                <w:lang w:val="fr-FR"/>
              </w:rPr>
              <w:t>relative</w:t>
            </w:r>
            <w:r>
              <w:rPr>
                <w:lang w:val="fr-FR"/>
              </w:rPr>
              <w:t>s</w:t>
            </w:r>
            <w:r w:rsidRPr="00521651">
              <w:rPr>
                <w:lang w:val="fr-FR"/>
              </w:rPr>
              <w:t xml:space="preserve"> à la protection contre les explosions non électriques à certains dispositifs pompe à vide/exhausteur.</w:t>
            </w:r>
          </w:p>
        </w:tc>
      </w:tr>
      <w:tr w:rsidR="00553804" w14:paraId="6149CD27" w14:textId="77777777" w:rsidTr="00553804">
        <w:trPr>
          <w:jc w:val="center"/>
        </w:trPr>
        <w:tc>
          <w:tcPr>
            <w:tcW w:w="9628" w:type="dxa"/>
            <w:shd w:val="clear" w:color="auto" w:fill="auto"/>
          </w:tcPr>
          <w:p w14:paraId="01958CDE" w14:textId="1C907F2F" w:rsidR="00553804" w:rsidRDefault="00553804" w:rsidP="00553804">
            <w:pPr>
              <w:pStyle w:val="SingleTxtG"/>
              <w:ind w:left="3402" w:hanging="2268"/>
            </w:pPr>
            <w:r w:rsidRPr="00521651">
              <w:rPr>
                <w:b/>
                <w:bCs/>
                <w:lang w:val="fr-FR"/>
              </w:rPr>
              <w:t>Mesure à prendre</w:t>
            </w:r>
            <w:r w:rsidRPr="00553804">
              <w:rPr>
                <w:lang w:val="fr-FR"/>
              </w:rPr>
              <w:t> :</w:t>
            </w:r>
            <w:r w:rsidRPr="00521651">
              <w:rPr>
                <w:lang w:val="fr-FR"/>
              </w:rPr>
              <w:tab/>
              <w:t>Ajout de prescriptions relatives à la protection contre les explosions non électriques au</w:t>
            </w:r>
            <w:r>
              <w:rPr>
                <w:lang w:val="fr-FR"/>
              </w:rPr>
              <w:t> </w:t>
            </w:r>
            <w:r w:rsidRPr="00521651">
              <w:rPr>
                <w:lang w:val="fr-FR"/>
              </w:rPr>
              <w:t>6.10.3.8 du RID et de l</w:t>
            </w:r>
            <w:r>
              <w:rPr>
                <w:lang w:val="fr-FR"/>
              </w:rPr>
              <w:t>’</w:t>
            </w:r>
            <w:r w:rsidRPr="00521651">
              <w:rPr>
                <w:lang w:val="fr-FR"/>
              </w:rPr>
              <w:t>ADR.</w:t>
            </w:r>
          </w:p>
        </w:tc>
      </w:tr>
      <w:tr w:rsidR="00553804" w14:paraId="0D838E10" w14:textId="77777777" w:rsidTr="00553804">
        <w:trPr>
          <w:jc w:val="center"/>
        </w:trPr>
        <w:tc>
          <w:tcPr>
            <w:tcW w:w="9628" w:type="dxa"/>
            <w:shd w:val="clear" w:color="auto" w:fill="auto"/>
          </w:tcPr>
          <w:p w14:paraId="000CFE47" w14:textId="7DC00722" w:rsidR="00553804" w:rsidRDefault="00553804" w:rsidP="006F11C9">
            <w:pPr>
              <w:pStyle w:val="SingleTxtG"/>
              <w:ind w:left="3402" w:hanging="2268"/>
              <w:jc w:val="left"/>
            </w:pPr>
            <w:r w:rsidRPr="00521651">
              <w:rPr>
                <w:b/>
                <w:bCs/>
                <w:lang w:val="fr-FR"/>
              </w:rPr>
              <w:t>Documents de référence</w:t>
            </w:r>
            <w:r w:rsidRPr="00553804">
              <w:rPr>
                <w:lang w:val="fr-FR"/>
              </w:rPr>
              <w:t> :</w:t>
            </w:r>
            <w:r w:rsidRPr="00521651">
              <w:rPr>
                <w:lang w:val="fr-FR"/>
              </w:rPr>
              <w:tab/>
              <w:t xml:space="preserve">ECE/TRANS/WP.15/AC.1/160/Add.1 – Rapport du Groupe de travail des citernes </w:t>
            </w:r>
            <w:r>
              <w:rPr>
                <w:lang w:val="fr-FR"/>
              </w:rPr>
              <w:t xml:space="preserve">présenté </w:t>
            </w:r>
            <w:r w:rsidRPr="00521651">
              <w:rPr>
                <w:lang w:val="fr-FR"/>
              </w:rPr>
              <w:t>à la session de mars 2021 de la Réunion commune</w:t>
            </w:r>
            <w:r w:rsidR="006F11C9">
              <w:rPr>
                <w:lang w:val="fr-FR"/>
              </w:rPr>
              <w:t xml:space="preserve"> ; </w:t>
            </w:r>
            <w:r w:rsidR="006F11C9">
              <w:rPr>
                <w:lang w:val="fr-FR"/>
              </w:rPr>
              <w:br/>
            </w:r>
            <w:r w:rsidRPr="006F11C9">
              <w:rPr>
                <w:spacing w:val="-2"/>
                <w:lang w:val="fr-FR"/>
              </w:rPr>
              <w:t xml:space="preserve">ECE/TRANS/WP.15/AC.1/2021/6 (Proposition de l’Allemagne) </w:t>
            </w:r>
            <w:r w:rsidR="006F11C9" w:rsidRPr="006F11C9">
              <w:rPr>
                <w:spacing w:val="-2"/>
                <w:lang w:val="fr-FR"/>
              </w:rPr>
              <w:t>−</w:t>
            </w:r>
            <w:r w:rsidRPr="00521651">
              <w:rPr>
                <w:lang w:val="fr-FR"/>
              </w:rPr>
              <w:t xml:space="preserve"> Citernes à déchets opérant sous vide</w:t>
            </w:r>
            <w:r>
              <w:rPr>
                <w:lang w:val="fr-FR"/>
              </w:rPr>
              <w:t> </w:t>
            </w:r>
            <w:r w:rsidRPr="00521651">
              <w:rPr>
                <w:lang w:val="fr-FR"/>
              </w:rPr>
              <w:t>: Protection contre les explosions non électriques</w:t>
            </w:r>
          </w:p>
        </w:tc>
      </w:tr>
      <w:tr w:rsidR="00553804" w14:paraId="1FD8CF61" w14:textId="77777777" w:rsidTr="00553804">
        <w:trPr>
          <w:jc w:val="center"/>
        </w:trPr>
        <w:tc>
          <w:tcPr>
            <w:tcW w:w="9628" w:type="dxa"/>
            <w:shd w:val="clear" w:color="auto" w:fill="auto"/>
          </w:tcPr>
          <w:p w14:paraId="07FD6A04" w14:textId="77777777" w:rsidR="00553804" w:rsidRDefault="00553804"/>
        </w:tc>
      </w:tr>
    </w:tbl>
    <w:p w14:paraId="61C6BED7" w14:textId="77777777" w:rsidR="00553804" w:rsidRPr="00521651" w:rsidRDefault="00553804" w:rsidP="00553804">
      <w:pPr>
        <w:pStyle w:val="HChG"/>
        <w:rPr>
          <w:lang w:val="fr-FR"/>
        </w:rPr>
      </w:pPr>
      <w:r w:rsidRPr="00521651">
        <w:rPr>
          <w:lang w:val="fr-FR"/>
        </w:rPr>
        <w:tab/>
      </w:r>
      <w:r w:rsidRPr="00521651">
        <w:rPr>
          <w:lang w:val="fr-FR"/>
        </w:rPr>
        <w:tab/>
        <w:t>Introduction</w:t>
      </w:r>
    </w:p>
    <w:p w14:paraId="20942CA0" w14:textId="1A305F86" w:rsidR="00553804" w:rsidRPr="00521651" w:rsidRDefault="00553804" w:rsidP="00553804">
      <w:pPr>
        <w:pStyle w:val="SingleTxtG"/>
        <w:rPr>
          <w:lang w:val="fr-FR"/>
        </w:rPr>
      </w:pPr>
      <w:r w:rsidRPr="00521651">
        <w:rPr>
          <w:lang w:val="fr-FR"/>
        </w:rPr>
        <w:t>1.</w:t>
      </w:r>
      <w:r w:rsidRPr="00521651">
        <w:rPr>
          <w:lang w:val="fr-FR"/>
        </w:rPr>
        <w:tab/>
        <w:t>A la dernière session de la Réunion commune (Berne, 15-19</w:t>
      </w:r>
      <w:r>
        <w:rPr>
          <w:lang w:val="fr-FR"/>
        </w:rPr>
        <w:t> </w:t>
      </w:r>
      <w:r w:rsidRPr="00521651">
        <w:rPr>
          <w:lang w:val="fr-FR"/>
        </w:rPr>
        <w:t>mars 2021), l</w:t>
      </w:r>
      <w:r>
        <w:rPr>
          <w:lang w:val="fr-FR"/>
        </w:rPr>
        <w:t>’</w:t>
      </w:r>
      <w:r w:rsidRPr="00521651">
        <w:rPr>
          <w:lang w:val="fr-FR"/>
        </w:rPr>
        <w:t xml:space="preserve">Allemagne a présenté le document ECE/TRANS/WP.15/AC.1/2021/6 sur la question de la protection des citernes à déchets opérant sous vide contre les explosions non électriques. Il a été proposé </w:t>
      </w:r>
      <w:r w:rsidRPr="00521651">
        <w:rPr>
          <w:lang w:val="fr-FR"/>
        </w:rPr>
        <w:lastRenderedPageBreak/>
        <w:t>d</w:t>
      </w:r>
      <w:r>
        <w:rPr>
          <w:lang w:val="fr-FR"/>
        </w:rPr>
        <w:t>’</w:t>
      </w:r>
      <w:r w:rsidRPr="00521651">
        <w:rPr>
          <w:lang w:val="fr-FR"/>
        </w:rPr>
        <w:t>introduire, au 9.7.8.2 de l</w:t>
      </w:r>
      <w:r>
        <w:rPr>
          <w:lang w:val="fr-FR"/>
        </w:rPr>
        <w:t>’</w:t>
      </w:r>
      <w:r w:rsidRPr="00521651">
        <w:rPr>
          <w:lang w:val="fr-FR"/>
        </w:rPr>
        <w:t>ADR, une prescription selon laquelle l</w:t>
      </w:r>
      <w:r>
        <w:rPr>
          <w:lang w:val="fr-FR"/>
        </w:rPr>
        <w:t>’</w:t>
      </w:r>
      <w:r w:rsidRPr="00521651">
        <w:rPr>
          <w:lang w:val="fr-FR"/>
        </w:rPr>
        <w:t xml:space="preserve">équipement non électrique des citernes à déchets opérant sous vide doit satisfaire aux </w:t>
      </w:r>
      <w:r>
        <w:rPr>
          <w:lang w:val="fr-FR"/>
        </w:rPr>
        <w:t>exigences</w:t>
      </w:r>
      <w:r w:rsidRPr="00521651">
        <w:rPr>
          <w:lang w:val="fr-FR"/>
        </w:rPr>
        <w:t xml:space="preserve"> générales de la norme ISO</w:t>
      </w:r>
      <w:r w:rsidR="006F11C9">
        <w:rPr>
          <w:lang w:val="fr-FR"/>
        </w:rPr>
        <w:t> </w:t>
      </w:r>
      <w:r w:rsidRPr="00521651">
        <w:rPr>
          <w:lang w:val="fr-FR"/>
        </w:rPr>
        <w:t xml:space="preserve">80079 Atmosphères explosives </w:t>
      </w:r>
      <w:r>
        <w:rPr>
          <w:lang w:val="fr-FR"/>
        </w:rPr>
        <w:t>−</w:t>
      </w:r>
      <w:r w:rsidRPr="00521651">
        <w:rPr>
          <w:lang w:val="fr-FR"/>
        </w:rPr>
        <w:t xml:space="preserve"> Partie 36</w:t>
      </w:r>
      <w:r>
        <w:rPr>
          <w:lang w:val="fr-FR"/>
        </w:rPr>
        <w:t> </w:t>
      </w:r>
      <w:r w:rsidRPr="00521651">
        <w:rPr>
          <w:lang w:val="fr-FR"/>
        </w:rPr>
        <w:t xml:space="preserve">: Appareils non électriques destinés à être utilisés en atmosphères explosives </w:t>
      </w:r>
      <w:r>
        <w:rPr>
          <w:lang w:val="fr-FR"/>
        </w:rPr>
        <w:t>−</w:t>
      </w:r>
      <w:r w:rsidRPr="00521651">
        <w:rPr>
          <w:lang w:val="fr-FR"/>
        </w:rPr>
        <w:t xml:space="preserve"> Méthodologie et exigences et Partie 37</w:t>
      </w:r>
      <w:r>
        <w:rPr>
          <w:lang w:val="fr-FR"/>
        </w:rPr>
        <w:t> </w:t>
      </w:r>
      <w:r w:rsidRPr="00521651">
        <w:rPr>
          <w:lang w:val="fr-FR"/>
        </w:rPr>
        <w:t xml:space="preserve">: Appareils non électriques destinés à être utilisés en atmosphères explosives </w:t>
      </w:r>
      <w:r>
        <w:rPr>
          <w:lang w:val="fr-FR"/>
        </w:rPr>
        <w:t>−</w:t>
      </w:r>
      <w:r w:rsidRPr="00521651">
        <w:rPr>
          <w:lang w:val="fr-FR"/>
        </w:rPr>
        <w:t xml:space="preserve"> Mode de protection non électrique par sécurité de construction </w:t>
      </w:r>
      <w:r>
        <w:rPr>
          <w:lang w:val="fr-FR"/>
        </w:rPr>
        <w:t>« </w:t>
      </w:r>
      <w:r w:rsidRPr="00521651">
        <w:rPr>
          <w:lang w:val="fr-FR"/>
        </w:rPr>
        <w:t>c</w:t>
      </w:r>
      <w:r>
        <w:rPr>
          <w:lang w:val="fr-FR"/>
        </w:rPr>
        <w:t> »</w:t>
      </w:r>
      <w:r w:rsidRPr="00521651">
        <w:rPr>
          <w:lang w:val="fr-FR"/>
        </w:rPr>
        <w:t>, par contrôle de la source d</w:t>
      </w:r>
      <w:r>
        <w:rPr>
          <w:lang w:val="fr-FR"/>
        </w:rPr>
        <w:t>’</w:t>
      </w:r>
      <w:r w:rsidRPr="00521651">
        <w:rPr>
          <w:lang w:val="fr-FR"/>
        </w:rPr>
        <w:t xml:space="preserve">inflammation </w:t>
      </w:r>
      <w:r>
        <w:rPr>
          <w:lang w:val="fr-FR"/>
        </w:rPr>
        <w:t>« </w:t>
      </w:r>
      <w:r w:rsidRPr="00521651">
        <w:rPr>
          <w:lang w:val="fr-FR"/>
        </w:rPr>
        <w:t>b</w:t>
      </w:r>
      <w:r>
        <w:rPr>
          <w:lang w:val="fr-FR"/>
        </w:rPr>
        <w:t> »</w:t>
      </w:r>
      <w:r w:rsidRPr="00521651">
        <w:rPr>
          <w:lang w:val="fr-FR"/>
        </w:rPr>
        <w:t xml:space="preserve">, par immersion dans un liquide </w:t>
      </w:r>
      <w:r>
        <w:rPr>
          <w:lang w:val="fr-FR"/>
        </w:rPr>
        <w:t>« </w:t>
      </w:r>
      <w:r w:rsidRPr="00521651">
        <w:rPr>
          <w:lang w:val="fr-FR"/>
        </w:rPr>
        <w:t>k</w:t>
      </w:r>
      <w:r>
        <w:rPr>
          <w:lang w:val="fr-FR"/>
        </w:rPr>
        <w:t> »</w:t>
      </w:r>
      <w:r w:rsidRPr="00521651">
        <w:rPr>
          <w:lang w:val="fr-FR"/>
        </w:rPr>
        <w:t>.</w:t>
      </w:r>
    </w:p>
    <w:p w14:paraId="6F80CCE4" w14:textId="3E1BA11F" w:rsidR="00553804" w:rsidRPr="00521651" w:rsidRDefault="00553804" w:rsidP="00553804">
      <w:pPr>
        <w:pStyle w:val="SingleTxtG"/>
        <w:rPr>
          <w:lang w:val="fr-FR"/>
        </w:rPr>
      </w:pPr>
      <w:r w:rsidRPr="00521651">
        <w:rPr>
          <w:lang w:val="fr-FR"/>
        </w:rPr>
        <w:t>2.</w:t>
      </w:r>
      <w:r w:rsidRPr="00521651">
        <w:rPr>
          <w:lang w:val="fr-FR"/>
        </w:rPr>
        <w:tab/>
        <w:t>Les mesures de protection suivantes contre les explosions non électroniques s</w:t>
      </w:r>
      <w:r>
        <w:rPr>
          <w:lang w:val="fr-FR"/>
        </w:rPr>
        <w:t>’</w:t>
      </w:r>
      <w:r w:rsidRPr="00521651">
        <w:rPr>
          <w:lang w:val="fr-FR"/>
        </w:rPr>
        <w:t xml:space="preserve">appliquent aux citernes à déchets opérant sous vide </w:t>
      </w:r>
      <w:r>
        <w:rPr>
          <w:lang w:val="fr-FR"/>
        </w:rPr>
        <w:t>destinées au transport</w:t>
      </w:r>
      <w:r w:rsidRPr="00521651">
        <w:rPr>
          <w:lang w:val="fr-FR"/>
        </w:rPr>
        <w:t xml:space="preserve"> des déchets inflammables, conformément au 6.10.3.8</w:t>
      </w:r>
      <w:r>
        <w:rPr>
          <w:lang w:val="fr-FR"/>
        </w:rPr>
        <w:t> </w:t>
      </w:r>
      <w:r w:rsidRPr="00521651">
        <w:rPr>
          <w:lang w:val="fr-FR"/>
        </w:rPr>
        <w:t>b) du RID et de l</w:t>
      </w:r>
      <w:r>
        <w:rPr>
          <w:lang w:val="fr-FR"/>
        </w:rPr>
        <w:t>’</w:t>
      </w:r>
      <w:r w:rsidRPr="00521651">
        <w:rPr>
          <w:lang w:val="fr-FR"/>
        </w:rPr>
        <w:t>ADR</w:t>
      </w:r>
      <w:r>
        <w:rPr>
          <w:lang w:val="fr-FR"/>
        </w:rPr>
        <w:t> </w:t>
      </w:r>
      <w:r w:rsidRPr="00521651">
        <w:rPr>
          <w:lang w:val="fr-FR"/>
        </w:rPr>
        <w:t>:</w:t>
      </w:r>
    </w:p>
    <w:p w14:paraId="3B412DB5" w14:textId="4D3D6F16" w:rsidR="00553804" w:rsidRPr="00521651" w:rsidRDefault="00553804" w:rsidP="00553804">
      <w:pPr>
        <w:pStyle w:val="SingleTxtG"/>
        <w:ind w:firstLine="567"/>
        <w:rPr>
          <w:lang w:val="fr-FR"/>
        </w:rPr>
      </w:pPr>
      <w:r w:rsidRPr="00521651">
        <w:rPr>
          <w:lang w:val="fr-FR"/>
        </w:rPr>
        <w:t>a)</w:t>
      </w:r>
      <w:r w:rsidRPr="00521651">
        <w:rPr>
          <w:lang w:val="fr-FR"/>
        </w:rPr>
        <w:tab/>
      </w:r>
      <w:r>
        <w:rPr>
          <w:lang w:val="fr-FR"/>
        </w:rPr>
        <w:t>L</w:t>
      </w:r>
      <w:r w:rsidRPr="00521651">
        <w:rPr>
          <w:lang w:val="fr-FR"/>
        </w:rPr>
        <w:t>a citerne doit être résistante à la pression générée par une explosion</w:t>
      </w:r>
      <w:r w:rsidR="006F11C9">
        <w:rPr>
          <w:lang w:val="fr-FR"/>
        </w:rPr>
        <w:t> ;</w:t>
      </w:r>
      <w:r>
        <w:rPr>
          <w:lang w:val="fr-FR"/>
        </w:rPr>
        <w:t xml:space="preserve"> </w:t>
      </w:r>
      <w:proofErr w:type="gramStart"/>
      <w:r>
        <w:rPr>
          <w:lang w:val="fr-FR"/>
        </w:rPr>
        <w:t>ou</w:t>
      </w:r>
      <w:proofErr w:type="gramEnd"/>
    </w:p>
    <w:p w14:paraId="4E833B5D" w14:textId="31450A3C" w:rsidR="00553804" w:rsidRPr="00521651" w:rsidRDefault="00553804" w:rsidP="00553804">
      <w:pPr>
        <w:pStyle w:val="SingleTxtG"/>
        <w:ind w:firstLine="567"/>
        <w:rPr>
          <w:lang w:val="fr-FR"/>
        </w:rPr>
      </w:pPr>
      <w:r w:rsidRPr="00521651">
        <w:rPr>
          <w:lang w:val="fr-FR"/>
        </w:rPr>
        <w:t>b)</w:t>
      </w:r>
      <w:r w:rsidRPr="00521651">
        <w:rPr>
          <w:lang w:val="fr-FR"/>
        </w:rPr>
        <w:tab/>
      </w:r>
      <w:r>
        <w:rPr>
          <w:lang w:val="fr-FR"/>
        </w:rPr>
        <w:t>U</w:t>
      </w:r>
      <w:r w:rsidRPr="00521651">
        <w:rPr>
          <w:lang w:val="fr-FR"/>
        </w:rPr>
        <w:t>n dispositif visant à empêcher le passage immédiat d</w:t>
      </w:r>
      <w:r>
        <w:rPr>
          <w:lang w:val="fr-FR"/>
        </w:rPr>
        <w:t>’</w:t>
      </w:r>
      <w:r w:rsidRPr="00521651">
        <w:rPr>
          <w:lang w:val="fr-FR"/>
        </w:rPr>
        <w:t>une flamme doit être fixé sur les orifices du dispositif pompe à vide/exhausteur</w:t>
      </w:r>
      <w:r w:rsidR="006F11C9">
        <w:rPr>
          <w:lang w:val="fr-FR"/>
        </w:rPr>
        <w:t> ;</w:t>
      </w:r>
      <w:r w:rsidRPr="00521651">
        <w:rPr>
          <w:lang w:val="fr-FR"/>
        </w:rPr>
        <w:t xml:space="preserve"> </w:t>
      </w:r>
      <w:proofErr w:type="gramStart"/>
      <w:r w:rsidRPr="00521651">
        <w:rPr>
          <w:lang w:val="fr-FR"/>
        </w:rPr>
        <w:t>ou</w:t>
      </w:r>
      <w:proofErr w:type="gramEnd"/>
    </w:p>
    <w:p w14:paraId="1B894AFC" w14:textId="7AE91A8F" w:rsidR="00553804" w:rsidRPr="00521651" w:rsidRDefault="00553804" w:rsidP="00553804">
      <w:pPr>
        <w:pStyle w:val="SingleTxtG"/>
        <w:ind w:firstLine="567"/>
        <w:rPr>
          <w:lang w:val="fr-FR"/>
        </w:rPr>
      </w:pPr>
      <w:r w:rsidRPr="00521651">
        <w:rPr>
          <w:lang w:val="fr-FR"/>
        </w:rPr>
        <w:t>c)</w:t>
      </w:r>
      <w:r w:rsidRPr="00521651">
        <w:rPr>
          <w:lang w:val="fr-FR"/>
        </w:rPr>
        <w:tab/>
      </w:r>
      <w:r>
        <w:rPr>
          <w:lang w:val="fr-FR"/>
        </w:rPr>
        <w:t>I</w:t>
      </w:r>
      <w:r w:rsidRPr="00521651">
        <w:rPr>
          <w:lang w:val="fr-FR"/>
        </w:rPr>
        <w:t>l est possible d</w:t>
      </w:r>
      <w:r>
        <w:rPr>
          <w:lang w:val="fr-FR"/>
        </w:rPr>
        <w:t>’</w:t>
      </w:r>
      <w:r w:rsidRPr="00521651">
        <w:rPr>
          <w:lang w:val="fr-FR"/>
        </w:rPr>
        <w:t>utiliser des dispositifs pompe à vide/exhausteur qui, par conception, ne sont pas susceptibles de produire des étincelles (par exemple, des pompes à vide à anneau liquide).</w:t>
      </w:r>
    </w:p>
    <w:p w14:paraId="7D0E641C" w14:textId="77777777" w:rsidR="00553804" w:rsidRPr="00521651" w:rsidRDefault="00553804" w:rsidP="00553804">
      <w:pPr>
        <w:pStyle w:val="SingleTxtG"/>
        <w:rPr>
          <w:lang w:val="fr-FR"/>
        </w:rPr>
      </w:pPr>
      <w:r w:rsidRPr="00521651">
        <w:rPr>
          <w:lang w:val="fr-FR"/>
        </w:rPr>
        <w:t>3.</w:t>
      </w:r>
      <w:r w:rsidRPr="00521651">
        <w:rPr>
          <w:lang w:val="fr-FR"/>
        </w:rPr>
        <w:tab/>
        <w:t>Par conception, les pompes à vide à anneau liquide comportent un anneau liquide qui couvre les éventuelles étincelles. Néanmoins, cette fonction de protection n</w:t>
      </w:r>
      <w:r>
        <w:rPr>
          <w:lang w:val="fr-FR"/>
        </w:rPr>
        <w:t>’</w:t>
      </w:r>
      <w:r w:rsidRPr="00521651">
        <w:rPr>
          <w:lang w:val="fr-FR"/>
        </w:rPr>
        <w:t>est efficace que si l</w:t>
      </w:r>
      <w:r>
        <w:rPr>
          <w:lang w:val="fr-FR"/>
        </w:rPr>
        <w:t>’</w:t>
      </w:r>
      <w:r w:rsidRPr="00521651">
        <w:rPr>
          <w:lang w:val="fr-FR"/>
        </w:rPr>
        <w:t>anneau liquide peut être garanti dans toutes les situations opérationnelles. Des problèmes peuvent survenir, par exemple pendant la phase de mise en marche de la pompe, au cours de laquelle l</w:t>
      </w:r>
      <w:r>
        <w:rPr>
          <w:lang w:val="fr-FR"/>
        </w:rPr>
        <w:t>’</w:t>
      </w:r>
      <w:r w:rsidRPr="00521651">
        <w:rPr>
          <w:lang w:val="fr-FR"/>
        </w:rPr>
        <w:t>anneau liquide de protection n</w:t>
      </w:r>
      <w:r>
        <w:rPr>
          <w:lang w:val="fr-FR"/>
        </w:rPr>
        <w:t>’</w:t>
      </w:r>
      <w:r w:rsidRPr="00521651">
        <w:rPr>
          <w:lang w:val="fr-FR"/>
        </w:rPr>
        <w:t>est pas encore constitué, ou en cas d</w:t>
      </w:r>
      <w:r>
        <w:rPr>
          <w:lang w:val="fr-FR"/>
        </w:rPr>
        <w:t>’amenuisement</w:t>
      </w:r>
      <w:r w:rsidRPr="00521651">
        <w:rPr>
          <w:lang w:val="fr-FR"/>
        </w:rPr>
        <w:t xml:space="preserve"> de l</w:t>
      </w:r>
      <w:r>
        <w:rPr>
          <w:lang w:val="fr-FR"/>
        </w:rPr>
        <w:t>’</w:t>
      </w:r>
      <w:r w:rsidRPr="00521651">
        <w:rPr>
          <w:lang w:val="fr-FR"/>
        </w:rPr>
        <w:t>anneau liquide pendant le fonctionnement de la pompe.</w:t>
      </w:r>
    </w:p>
    <w:p w14:paraId="2C2379B6" w14:textId="5F07DBFF" w:rsidR="00553804" w:rsidRPr="00521651" w:rsidRDefault="00553804" w:rsidP="00553804">
      <w:pPr>
        <w:pStyle w:val="SingleTxtG"/>
        <w:rPr>
          <w:lang w:val="fr-FR"/>
        </w:rPr>
      </w:pPr>
      <w:r w:rsidRPr="00521651">
        <w:rPr>
          <w:lang w:val="fr-FR"/>
        </w:rPr>
        <w:t>4.</w:t>
      </w:r>
      <w:r w:rsidRPr="00521651">
        <w:rPr>
          <w:lang w:val="fr-FR"/>
        </w:rPr>
        <w:tab/>
        <w:t>La question se pose de savoir comment prouver que ce type de pompe ne produit pas d</w:t>
      </w:r>
      <w:r>
        <w:rPr>
          <w:lang w:val="fr-FR"/>
        </w:rPr>
        <w:t>’</w:t>
      </w:r>
      <w:r w:rsidRPr="00521651">
        <w:rPr>
          <w:lang w:val="fr-FR"/>
        </w:rPr>
        <w:t>étincelles. Selon les informations disponibles</w:t>
      </w:r>
      <w:r>
        <w:rPr>
          <w:lang w:val="fr-FR"/>
        </w:rPr>
        <w:t xml:space="preserve"> dans le cadre de ces travaux</w:t>
      </w:r>
      <w:r w:rsidRPr="00521651">
        <w:rPr>
          <w:lang w:val="fr-FR"/>
        </w:rPr>
        <w:t>, il n</w:t>
      </w:r>
      <w:r>
        <w:rPr>
          <w:lang w:val="fr-FR"/>
        </w:rPr>
        <w:t>’</w:t>
      </w:r>
      <w:r w:rsidRPr="00521651">
        <w:rPr>
          <w:lang w:val="fr-FR"/>
        </w:rPr>
        <w:t>existe aucune approche acceptée au niveau international en la matière. Les prescriptions énoncées dans la norme ISO</w:t>
      </w:r>
      <w:r>
        <w:rPr>
          <w:lang w:val="fr-FR"/>
        </w:rPr>
        <w:t> </w:t>
      </w:r>
      <w:r w:rsidRPr="00521651">
        <w:rPr>
          <w:lang w:val="fr-FR"/>
        </w:rPr>
        <w:t>80079 (parties</w:t>
      </w:r>
      <w:r>
        <w:rPr>
          <w:lang w:val="fr-FR"/>
        </w:rPr>
        <w:t> </w:t>
      </w:r>
      <w:r w:rsidRPr="00521651">
        <w:rPr>
          <w:lang w:val="fr-FR"/>
        </w:rPr>
        <w:t>36 et 37) devraient être incorporées au RID et à l</w:t>
      </w:r>
      <w:r>
        <w:rPr>
          <w:lang w:val="fr-FR"/>
        </w:rPr>
        <w:t>’</w:t>
      </w:r>
      <w:r w:rsidRPr="00521651">
        <w:rPr>
          <w:lang w:val="fr-FR"/>
        </w:rPr>
        <w:t>ADR pour la protection contre les explosions non électriques, de façon à permettre de prouver de façon harmonisée l</w:t>
      </w:r>
      <w:r>
        <w:rPr>
          <w:lang w:val="fr-FR"/>
        </w:rPr>
        <w:t>’</w:t>
      </w:r>
      <w:r w:rsidRPr="00521651">
        <w:rPr>
          <w:lang w:val="fr-FR"/>
        </w:rPr>
        <w:t>absence d</w:t>
      </w:r>
      <w:r>
        <w:rPr>
          <w:lang w:val="fr-FR"/>
        </w:rPr>
        <w:t>’</w:t>
      </w:r>
      <w:r w:rsidRPr="00521651">
        <w:rPr>
          <w:lang w:val="fr-FR"/>
        </w:rPr>
        <w:t>étincelles pour certains types de dispositifs pompe à vide/exhausteur (par exemple, les pompes à vide à anneau liquide). Afin que la protection requise par cette norme soit assurée, une surveillance redondante du niveau de liquide doit, par exemple, être effectuée. Selon la conception, le fabricant doit équiper la pompe de certaines fonctions de surveillance pour garantir un fonctionnement sans étincelles.</w:t>
      </w:r>
    </w:p>
    <w:p w14:paraId="6801188D" w14:textId="77777777" w:rsidR="00553804" w:rsidRPr="00521651" w:rsidRDefault="00553804" w:rsidP="00553804">
      <w:pPr>
        <w:pStyle w:val="SingleTxtG"/>
        <w:rPr>
          <w:lang w:val="fr-FR"/>
        </w:rPr>
      </w:pPr>
      <w:r w:rsidRPr="00521651">
        <w:rPr>
          <w:lang w:val="fr-FR"/>
        </w:rPr>
        <w:t>5.</w:t>
      </w:r>
      <w:r w:rsidRPr="00521651">
        <w:rPr>
          <w:lang w:val="fr-FR"/>
        </w:rPr>
        <w:tab/>
        <w:t>De l</w:t>
      </w:r>
      <w:r>
        <w:rPr>
          <w:lang w:val="fr-FR"/>
        </w:rPr>
        <w:t>’</w:t>
      </w:r>
      <w:r w:rsidRPr="00521651">
        <w:rPr>
          <w:lang w:val="fr-FR"/>
        </w:rPr>
        <w:t>avis du Groupe de travail des citernes, il serait plus opportun que les dispositions en question figurent au 6.10.3.8 du RID et de l</w:t>
      </w:r>
      <w:r>
        <w:rPr>
          <w:lang w:val="fr-FR"/>
        </w:rPr>
        <w:t>’</w:t>
      </w:r>
      <w:r w:rsidRPr="00521651">
        <w:rPr>
          <w:lang w:val="fr-FR"/>
        </w:rPr>
        <w:t>ADR, car cette sous-section contient les dispositions applicables à l</w:t>
      </w:r>
      <w:r>
        <w:rPr>
          <w:lang w:val="fr-FR"/>
        </w:rPr>
        <w:t>’</w:t>
      </w:r>
      <w:r w:rsidRPr="00521651">
        <w:rPr>
          <w:lang w:val="fr-FR"/>
        </w:rPr>
        <w:t>équipement de service des citernes à déchets opérant sous vide. En outre, il convient de réfléchir à la nécessité d</w:t>
      </w:r>
      <w:r>
        <w:rPr>
          <w:lang w:val="fr-FR"/>
        </w:rPr>
        <w:t>’</w:t>
      </w:r>
      <w:r w:rsidRPr="00521651">
        <w:rPr>
          <w:lang w:val="fr-FR"/>
        </w:rPr>
        <w:t>intégrer des prescriptions relatives aux équipements supplémentaires propres à ce type de pompe (par exemple, des capteurs destinés à surveiller le niveau de liquide) au lieu de faire référence à la norme.</w:t>
      </w:r>
    </w:p>
    <w:p w14:paraId="0D17C679" w14:textId="77777777" w:rsidR="00553804" w:rsidRPr="00521651" w:rsidRDefault="00553804" w:rsidP="00553804">
      <w:pPr>
        <w:pStyle w:val="SingleTxtG"/>
        <w:rPr>
          <w:lang w:val="fr-FR"/>
        </w:rPr>
      </w:pPr>
      <w:r w:rsidRPr="00521651">
        <w:rPr>
          <w:lang w:val="fr-FR"/>
        </w:rPr>
        <w:t>6.</w:t>
      </w:r>
      <w:r w:rsidRPr="00521651">
        <w:rPr>
          <w:lang w:val="fr-FR"/>
        </w:rPr>
        <w:tab/>
        <w:t xml:space="preserve">Le fait de ne prescrire que certaines mesures de surveillance du dispositif </w:t>
      </w:r>
      <w:proofErr w:type="gramStart"/>
      <w:r w:rsidRPr="00521651">
        <w:rPr>
          <w:lang w:val="fr-FR"/>
        </w:rPr>
        <w:t>pompe</w:t>
      </w:r>
      <w:proofErr w:type="gramEnd"/>
      <w:r w:rsidRPr="00521651">
        <w:rPr>
          <w:lang w:val="fr-FR"/>
        </w:rPr>
        <w:t xml:space="preserve"> à vide/exhausteur (par exemple, le recours à des capteurs) pourrait, selon la conception de la pompe, être à l</w:t>
      </w:r>
      <w:r>
        <w:rPr>
          <w:lang w:val="fr-FR"/>
        </w:rPr>
        <w:t>’</w:t>
      </w:r>
      <w:r w:rsidRPr="00521651">
        <w:rPr>
          <w:lang w:val="fr-FR"/>
        </w:rPr>
        <w:t>origine d</w:t>
      </w:r>
      <w:r>
        <w:rPr>
          <w:lang w:val="fr-FR"/>
        </w:rPr>
        <w:t>’</w:t>
      </w:r>
      <w:r w:rsidRPr="00521651">
        <w:rPr>
          <w:lang w:val="fr-FR"/>
        </w:rPr>
        <w:t>insuffisances en matière de protection contre les explosions non électriques. Les normes ISO susmentionnées, pour lesquelles des normes EN harmonisées sont disponibles, permettent d</w:t>
      </w:r>
      <w:r>
        <w:rPr>
          <w:lang w:val="fr-FR"/>
        </w:rPr>
        <w:t>’</w:t>
      </w:r>
      <w:r w:rsidRPr="00521651">
        <w:rPr>
          <w:lang w:val="fr-FR"/>
        </w:rPr>
        <w:t>évaluer la protection contre les explosions non électriques. Elles devraient donc être appliquées de façon à garantir que les évaluations sont uniformes et globales.</w:t>
      </w:r>
    </w:p>
    <w:p w14:paraId="6425BCFD" w14:textId="7B93CDFC" w:rsidR="00553804" w:rsidRPr="00521651" w:rsidRDefault="00553804" w:rsidP="00553804">
      <w:pPr>
        <w:pStyle w:val="SingleTxtG"/>
        <w:rPr>
          <w:lang w:val="fr-FR"/>
        </w:rPr>
      </w:pPr>
      <w:r w:rsidRPr="00521651">
        <w:rPr>
          <w:lang w:val="fr-FR"/>
        </w:rPr>
        <w:t>7.</w:t>
      </w:r>
      <w:r w:rsidRPr="00521651">
        <w:rPr>
          <w:lang w:val="fr-FR"/>
        </w:rPr>
        <w:tab/>
        <w:t>Une étude de marché a permis de trouver un fabricant qui avait obtenu la certification de ses pompes à vide à anneau liquide pour la zone</w:t>
      </w:r>
      <w:r w:rsidR="006F11C9">
        <w:rPr>
          <w:lang w:val="fr-FR"/>
        </w:rPr>
        <w:t> </w:t>
      </w:r>
      <w:r w:rsidRPr="00521651">
        <w:rPr>
          <w:lang w:val="fr-FR"/>
        </w:rPr>
        <w:t>0 conformément à la norme EN</w:t>
      </w:r>
      <w:r>
        <w:rPr>
          <w:lang w:val="fr-FR"/>
        </w:rPr>
        <w:t> </w:t>
      </w:r>
      <w:r w:rsidRPr="00521651">
        <w:rPr>
          <w:lang w:val="fr-FR"/>
        </w:rPr>
        <w:t>ISO</w:t>
      </w:r>
      <w:r>
        <w:rPr>
          <w:lang w:val="fr-FR"/>
        </w:rPr>
        <w:t> </w:t>
      </w:r>
      <w:r w:rsidRPr="00521651">
        <w:rPr>
          <w:lang w:val="fr-FR"/>
        </w:rPr>
        <w:t>80079 (parties</w:t>
      </w:r>
      <w:r>
        <w:rPr>
          <w:lang w:val="fr-FR"/>
        </w:rPr>
        <w:t> </w:t>
      </w:r>
      <w:r w:rsidRPr="00521651">
        <w:rPr>
          <w:lang w:val="fr-FR"/>
        </w:rPr>
        <w:t>36 et 37) afin de se conformer à la directive 2014/34/UE sur les équipements destinés à être utilisés en atmosphères explosives (ATEX). Un autre fabricant prévoit de faire certifier ses pompes pour la zon</w:t>
      </w:r>
      <w:r w:rsidR="00E33D09">
        <w:rPr>
          <w:lang w:val="fr-FR"/>
        </w:rPr>
        <w:t>e </w:t>
      </w:r>
      <w:r w:rsidRPr="00521651">
        <w:rPr>
          <w:lang w:val="fr-FR"/>
        </w:rPr>
        <w:t>0 d</w:t>
      </w:r>
      <w:r>
        <w:rPr>
          <w:lang w:val="fr-FR"/>
        </w:rPr>
        <w:t>’</w:t>
      </w:r>
      <w:r w:rsidRPr="00521651">
        <w:rPr>
          <w:lang w:val="fr-FR"/>
        </w:rPr>
        <w:t>ici à la fin de 2021. Selon les fabricants de pompes à vide à anneau liquide, il faut alors compter un coût supplémentaire de 5 à 10</w:t>
      </w:r>
      <w:r>
        <w:rPr>
          <w:lang w:val="fr-FR"/>
        </w:rPr>
        <w:t> </w:t>
      </w:r>
      <w:r w:rsidRPr="00521651">
        <w:rPr>
          <w:lang w:val="fr-FR"/>
        </w:rPr>
        <w:t>% pour la pompe elle-même. Toutefois, les mesures techniques de contrôle de la protection contre l</w:t>
      </w:r>
      <w:r>
        <w:rPr>
          <w:lang w:val="fr-FR"/>
        </w:rPr>
        <w:t>’</w:t>
      </w:r>
      <w:r w:rsidRPr="00521651">
        <w:rPr>
          <w:lang w:val="fr-FR"/>
        </w:rPr>
        <w:t>inflammation nécessaires tant au niveau de la pompe que de l</w:t>
      </w:r>
      <w:r>
        <w:rPr>
          <w:lang w:val="fr-FR"/>
        </w:rPr>
        <w:t>’</w:t>
      </w:r>
      <w:r w:rsidRPr="00521651">
        <w:rPr>
          <w:lang w:val="fr-FR"/>
        </w:rPr>
        <w:t>ensemble du circuit qui l</w:t>
      </w:r>
      <w:r>
        <w:rPr>
          <w:lang w:val="fr-FR"/>
        </w:rPr>
        <w:t>’</w:t>
      </w:r>
      <w:r w:rsidRPr="00521651">
        <w:rPr>
          <w:lang w:val="fr-FR"/>
        </w:rPr>
        <w:t xml:space="preserve">entoure dans le véhicule occasionnent encore des dépenses. En conséquence, on estime </w:t>
      </w:r>
      <w:r w:rsidRPr="00521651">
        <w:rPr>
          <w:lang w:val="fr-FR"/>
        </w:rPr>
        <w:lastRenderedPageBreak/>
        <w:t>que la présente proposition pourrait entraîner un coût supplémentaire total compris entre 20 et 50</w:t>
      </w:r>
      <w:r>
        <w:rPr>
          <w:lang w:val="fr-FR"/>
        </w:rPr>
        <w:t> </w:t>
      </w:r>
      <w:r w:rsidRPr="00521651">
        <w:rPr>
          <w:lang w:val="fr-FR"/>
        </w:rPr>
        <w:t>% par système.</w:t>
      </w:r>
    </w:p>
    <w:p w14:paraId="16D0161F" w14:textId="77777777" w:rsidR="00553804" w:rsidRPr="00521651" w:rsidRDefault="00553804" w:rsidP="00553804">
      <w:pPr>
        <w:pStyle w:val="HChG"/>
        <w:rPr>
          <w:lang w:val="fr-FR"/>
        </w:rPr>
      </w:pPr>
      <w:r w:rsidRPr="00521651">
        <w:rPr>
          <w:lang w:val="fr-FR"/>
        </w:rPr>
        <w:tab/>
      </w:r>
      <w:r w:rsidRPr="00521651">
        <w:rPr>
          <w:lang w:val="fr-FR"/>
        </w:rPr>
        <w:tab/>
        <w:t>Proposition</w:t>
      </w:r>
    </w:p>
    <w:p w14:paraId="47ED5F6E" w14:textId="598C4821" w:rsidR="00553804" w:rsidRPr="00521651" w:rsidRDefault="00553804" w:rsidP="00553804">
      <w:pPr>
        <w:pStyle w:val="SingleTxtG"/>
        <w:rPr>
          <w:lang w:val="fr-FR"/>
        </w:rPr>
      </w:pPr>
      <w:r w:rsidRPr="00521651">
        <w:rPr>
          <w:lang w:val="fr-FR"/>
        </w:rPr>
        <w:t>8.</w:t>
      </w:r>
      <w:r w:rsidRPr="00521651">
        <w:rPr>
          <w:lang w:val="fr-FR"/>
        </w:rPr>
        <w:tab/>
        <w:t>Ajouter le texte suivant à la fin du 6.10.3.8</w:t>
      </w:r>
      <w:r>
        <w:rPr>
          <w:lang w:val="fr-FR"/>
        </w:rPr>
        <w:t> </w:t>
      </w:r>
      <w:r w:rsidRPr="00521651">
        <w:rPr>
          <w:lang w:val="fr-FR"/>
        </w:rPr>
        <w:t>b) du RID et de l</w:t>
      </w:r>
      <w:r>
        <w:rPr>
          <w:lang w:val="fr-FR"/>
        </w:rPr>
        <w:t>’</w:t>
      </w:r>
      <w:r w:rsidRPr="00521651">
        <w:rPr>
          <w:lang w:val="fr-FR"/>
        </w:rPr>
        <w:t>ADR :</w:t>
      </w:r>
    </w:p>
    <w:p w14:paraId="7872D354" w14:textId="2AF9B545" w:rsidR="00553804" w:rsidRPr="00521651" w:rsidRDefault="00553804" w:rsidP="00553804">
      <w:pPr>
        <w:pStyle w:val="SingleTxtG"/>
        <w:ind w:left="1701"/>
        <w:rPr>
          <w:lang w:val="fr-FR"/>
        </w:rPr>
      </w:pPr>
      <w:r>
        <w:rPr>
          <w:lang w:val="fr-FR"/>
        </w:rPr>
        <w:t>« </w:t>
      </w:r>
      <w:r w:rsidRPr="00521651">
        <w:rPr>
          <w:lang w:val="fr-FR"/>
        </w:rPr>
        <w:t>Les dispositifs pompe à vide/exhausteur satisfaisant aux exigences générales des normes</w:t>
      </w:r>
      <w:r>
        <w:rPr>
          <w:lang w:val="fr-FR"/>
        </w:rPr>
        <w:t> </w:t>
      </w:r>
      <w:r w:rsidRPr="00521651">
        <w:rPr>
          <w:lang w:val="fr-FR"/>
        </w:rPr>
        <w:t>ISO</w:t>
      </w:r>
      <w:r>
        <w:rPr>
          <w:lang w:val="fr-FR"/>
        </w:rPr>
        <w:t> </w:t>
      </w:r>
      <w:r w:rsidRPr="00521651">
        <w:rPr>
          <w:lang w:val="fr-FR"/>
        </w:rPr>
        <w:t>80079-36 et ISO</w:t>
      </w:r>
      <w:r>
        <w:rPr>
          <w:lang w:val="fr-FR"/>
        </w:rPr>
        <w:t> </w:t>
      </w:r>
      <w:r w:rsidRPr="00521651">
        <w:rPr>
          <w:lang w:val="fr-FR"/>
        </w:rPr>
        <w:t>80079-37 et adaptés au transport d</w:t>
      </w:r>
      <w:r>
        <w:rPr>
          <w:lang w:val="fr-FR"/>
        </w:rPr>
        <w:t>’</w:t>
      </w:r>
      <w:r w:rsidRPr="00521651">
        <w:rPr>
          <w:lang w:val="fr-FR"/>
        </w:rPr>
        <w:t>une atmosphère explosive à partir de zones 0 ne sont pas considérés comme des sources d</w:t>
      </w:r>
      <w:r>
        <w:rPr>
          <w:lang w:val="fr-FR"/>
        </w:rPr>
        <w:t>’</w:t>
      </w:r>
      <w:r w:rsidRPr="00521651">
        <w:rPr>
          <w:lang w:val="fr-FR"/>
        </w:rPr>
        <w:t>inflammation. Ils doivent répondre aux prescriptions applicables au matériel non électrique du groupe et de la classe de température pertinents selon les matières à transporter. Les pompes à vide à anneau liquide doivent contenir une quantité de liquide suffisante. Le niveau de liquide à l</w:t>
      </w:r>
      <w:r>
        <w:rPr>
          <w:lang w:val="fr-FR"/>
        </w:rPr>
        <w:t>’</w:t>
      </w:r>
      <w:r w:rsidRPr="00521651">
        <w:rPr>
          <w:lang w:val="fr-FR"/>
        </w:rPr>
        <w:t>arrêt ainsi que l</w:t>
      </w:r>
      <w:r>
        <w:rPr>
          <w:lang w:val="fr-FR"/>
        </w:rPr>
        <w:t>’</w:t>
      </w:r>
      <w:r w:rsidRPr="00521651">
        <w:rPr>
          <w:lang w:val="fr-FR"/>
        </w:rPr>
        <w:t>aspiration de liquide pendant le fonctionnement doivent faire l</w:t>
      </w:r>
      <w:r>
        <w:rPr>
          <w:lang w:val="fr-FR"/>
        </w:rPr>
        <w:t>’</w:t>
      </w:r>
      <w:r w:rsidRPr="00521651">
        <w:rPr>
          <w:lang w:val="fr-FR"/>
        </w:rPr>
        <w:t>objet d</w:t>
      </w:r>
      <w:r>
        <w:rPr>
          <w:lang w:val="fr-FR"/>
        </w:rPr>
        <w:t>’</w:t>
      </w:r>
      <w:r w:rsidRPr="00521651">
        <w:rPr>
          <w:lang w:val="fr-FR"/>
        </w:rPr>
        <w:t>une surveillance redondante (correspondant au niveau</w:t>
      </w:r>
      <w:r>
        <w:rPr>
          <w:lang w:val="fr-FR"/>
        </w:rPr>
        <w:t> </w:t>
      </w:r>
      <w:r w:rsidRPr="00521651">
        <w:rPr>
          <w:lang w:val="fr-FR"/>
        </w:rPr>
        <w:t>2 de protection contre l</w:t>
      </w:r>
      <w:r>
        <w:rPr>
          <w:lang w:val="fr-FR"/>
        </w:rPr>
        <w:t>’</w:t>
      </w:r>
      <w:r w:rsidRPr="00521651">
        <w:rPr>
          <w:lang w:val="fr-FR"/>
        </w:rPr>
        <w:t>inflammation selon la norme ISO</w:t>
      </w:r>
      <w:r>
        <w:rPr>
          <w:lang w:val="fr-FR"/>
        </w:rPr>
        <w:t> </w:t>
      </w:r>
      <w:r w:rsidRPr="00521651">
        <w:rPr>
          <w:lang w:val="fr-FR"/>
        </w:rPr>
        <w:t>80079-1). Si le niveau ou l</w:t>
      </w:r>
      <w:r>
        <w:rPr>
          <w:lang w:val="fr-FR"/>
        </w:rPr>
        <w:t>’</w:t>
      </w:r>
      <w:r w:rsidRPr="00521651">
        <w:rPr>
          <w:lang w:val="fr-FR"/>
        </w:rPr>
        <w:t>aspiration de liquide sont insuffisants, le fonctionnement de la pompe doit être immédiatement arrêté.</w:t>
      </w:r>
      <w:r>
        <w:rPr>
          <w:lang w:val="fr-FR"/>
        </w:rPr>
        <w:t> »</w:t>
      </w:r>
      <w:r w:rsidRPr="00521651">
        <w:rPr>
          <w:lang w:val="fr-FR"/>
        </w:rPr>
        <w:t>.</w:t>
      </w:r>
    </w:p>
    <w:p w14:paraId="68222B95" w14:textId="038F4F72" w:rsidR="00553804" w:rsidRPr="00521651" w:rsidRDefault="00553804" w:rsidP="00553804">
      <w:pPr>
        <w:pStyle w:val="SingleTxtG"/>
        <w:rPr>
          <w:lang w:val="fr-FR"/>
        </w:rPr>
      </w:pPr>
      <w:r w:rsidRPr="00521651">
        <w:rPr>
          <w:lang w:val="fr-FR"/>
        </w:rPr>
        <w:t>9.</w:t>
      </w:r>
      <w:r w:rsidRPr="00521651">
        <w:rPr>
          <w:lang w:val="fr-FR"/>
        </w:rPr>
        <w:tab/>
        <w:t>Au chapitre</w:t>
      </w:r>
      <w:r>
        <w:rPr>
          <w:lang w:val="fr-FR"/>
        </w:rPr>
        <w:t> </w:t>
      </w:r>
      <w:r w:rsidRPr="00521651">
        <w:rPr>
          <w:lang w:val="fr-FR"/>
        </w:rPr>
        <w:t xml:space="preserve">1.6, ajouter les dispositions transitoires correspondantes, libellées comme </w:t>
      </w:r>
      <w:proofErr w:type="gramStart"/>
      <w:r w:rsidRPr="00521651">
        <w:rPr>
          <w:lang w:val="fr-FR"/>
        </w:rPr>
        <w:t>suit</w:t>
      </w:r>
      <w:proofErr w:type="gramEnd"/>
      <w:r w:rsidRPr="00521651">
        <w:rPr>
          <w:lang w:val="fr-FR"/>
        </w:rPr>
        <w:t>, pour les pompes à vide à anneau liquide déjà montées sur des citernes à déchets opérant sous vide :</w:t>
      </w:r>
    </w:p>
    <w:p w14:paraId="01EEECE4" w14:textId="6A326F61" w:rsidR="00553804" w:rsidRPr="00521651" w:rsidRDefault="00553804" w:rsidP="00553804">
      <w:pPr>
        <w:pStyle w:val="SingleTxtG"/>
        <w:rPr>
          <w:lang w:val="fr-FR"/>
        </w:rPr>
      </w:pPr>
      <w:r w:rsidRPr="00521651">
        <w:rPr>
          <w:lang w:val="fr-FR"/>
        </w:rPr>
        <w:t>(ADR</w:t>
      </w:r>
      <w:r>
        <w:rPr>
          <w:lang w:val="fr-FR"/>
        </w:rPr>
        <w:t> </w:t>
      </w:r>
      <w:r w:rsidRPr="00521651">
        <w:rPr>
          <w:lang w:val="fr-FR"/>
        </w:rPr>
        <w:t>:)</w:t>
      </w:r>
    </w:p>
    <w:p w14:paraId="4602A0AC" w14:textId="4DD282F0" w:rsidR="00553804" w:rsidRPr="00521651" w:rsidRDefault="00553804" w:rsidP="00553804">
      <w:pPr>
        <w:pStyle w:val="SingleTxtG"/>
        <w:ind w:left="2268" w:hanging="1134"/>
        <w:rPr>
          <w:lang w:val="fr-FR"/>
        </w:rPr>
      </w:pPr>
      <w:r w:rsidRPr="00521651">
        <w:rPr>
          <w:lang w:val="fr-FR"/>
        </w:rPr>
        <w:t>«</w:t>
      </w:r>
      <w:r>
        <w:rPr>
          <w:lang w:val="fr-FR"/>
        </w:rPr>
        <w:t> </w:t>
      </w:r>
      <w:r w:rsidRPr="00521651">
        <w:rPr>
          <w:b/>
          <w:lang w:val="fr-FR"/>
        </w:rPr>
        <w:t>1.6.</w:t>
      </w:r>
      <w:proofErr w:type="gramStart"/>
      <w:r w:rsidRPr="00521651">
        <w:rPr>
          <w:b/>
          <w:lang w:val="fr-FR"/>
        </w:rPr>
        <w:t>3.xx</w:t>
      </w:r>
      <w:proofErr w:type="gramEnd"/>
      <w:r w:rsidRPr="00521651">
        <w:rPr>
          <w:lang w:val="fr-FR"/>
        </w:rPr>
        <w:tab/>
        <w:t>Les citernes à déchets opérant sous vide (citernes fixes (véhicules-citernes) ou citernes démontables) construites avant le 1</w:t>
      </w:r>
      <w:r w:rsidRPr="00521651">
        <w:rPr>
          <w:vertAlign w:val="superscript"/>
          <w:lang w:val="fr-FR"/>
        </w:rPr>
        <w:t>er</w:t>
      </w:r>
      <w:r>
        <w:rPr>
          <w:lang w:val="fr-FR"/>
        </w:rPr>
        <w:t> </w:t>
      </w:r>
      <w:r w:rsidRPr="00521651">
        <w:rPr>
          <w:lang w:val="fr-FR"/>
        </w:rPr>
        <w:t>juillet 2023 conformément aux prescriptions applicables jusqu</w:t>
      </w:r>
      <w:r>
        <w:rPr>
          <w:lang w:val="fr-FR"/>
        </w:rPr>
        <w:t>’</w:t>
      </w:r>
      <w:r w:rsidRPr="00521651">
        <w:rPr>
          <w:lang w:val="fr-FR"/>
        </w:rPr>
        <w:t>au 31</w:t>
      </w:r>
      <w:r>
        <w:rPr>
          <w:lang w:val="fr-FR"/>
        </w:rPr>
        <w:t> </w:t>
      </w:r>
      <w:r w:rsidRPr="00521651">
        <w:rPr>
          <w:lang w:val="fr-FR"/>
        </w:rPr>
        <w:t>décembre 2022 mais qui ne sont pas conformes aux prescriptions du 6.10.3.8</w:t>
      </w:r>
      <w:r>
        <w:rPr>
          <w:lang w:val="fr-FR"/>
        </w:rPr>
        <w:t> </w:t>
      </w:r>
      <w:r w:rsidRPr="00521651">
        <w:rPr>
          <w:lang w:val="fr-FR"/>
        </w:rPr>
        <w:t>b) relatives à la protection des pompes à vide à anneau liquide contre les explosions non électriques applicables à partir du 1</w:t>
      </w:r>
      <w:r w:rsidRPr="00521651">
        <w:rPr>
          <w:vertAlign w:val="superscript"/>
          <w:lang w:val="fr-FR"/>
        </w:rPr>
        <w:t>er</w:t>
      </w:r>
      <w:r>
        <w:rPr>
          <w:lang w:val="fr-FR"/>
        </w:rPr>
        <w:t> </w:t>
      </w:r>
      <w:r w:rsidRPr="00521651">
        <w:rPr>
          <w:lang w:val="fr-FR"/>
        </w:rPr>
        <w:t>janvier 2023 pourront encore être utilisées.</w:t>
      </w:r>
      <w:r>
        <w:rPr>
          <w:lang w:val="fr-FR"/>
        </w:rPr>
        <w:t> »</w:t>
      </w:r>
      <w:r w:rsidRPr="00521651">
        <w:rPr>
          <w:lang w:val="fr-FR"/>
        </w:rPr>
        <w:t>.</w:t>
      </w:r>
    </w:p>
    <w:p w14:paraId="6DDAC904" w14:textId="3C9C0285" w:rsidR="00553804" w:rsidRPr="00521651" w:rsidRDefault="00553804" w:rsidP="00553804">
      <w:pPr>
        <w:pStyle w:val="SingleTxtG"/>
        <w:rPr>
          <w:lang w:val="fr-FR"/>
        </w:rPr>
      </w:pPr>
      <w:r w:rsidRPr="00521651">
        <w:rPr>
          <w:lang w:val="fr-FR"/>
        </w:rPr>
        <w:t>(RID/ADR</w:t>
      </w:r>
      <w:r>
        <w:rPr>
          <w:lang w:val="fr-FR"/>
        </w:rPr>
        <w:t> </w:t>
      </w:r>
      <w:r w:rsidRPr="00521651">
        <w:rPr>
          <w:lang w:val="fr-FR"/>
        </w:rPr>
        <w:t>:)</w:t>
      </w:r>
    </w:p>
    <w:p w14:paraId="3D0DB938" w14:textId="56559176" w:rsidR="00553804" w:rsidRDefault="00553804" w:rsidP="00553804">
      <w:pPr>
        <w:pStyle w:val="SingleTxtG"/>
        <w:ind w:left="2268" w:hanging="1134"/>
      </w:pPr>
      <w:r w:rsidRPr="00521651">
        <w:rPr>
          <w:lang w:val="fr-FR"/>
        </w:rPr>
        <w:t>«</w:t>
      </w:r>
      <w:r>
        <w:rPr>
          <w:lang w:val="fr-FR"/>
        </w:rPr>
        <w:t> </w:t>
      </w:r>
      <w:r w:rsidRPr="00553804">
        <w:rPr>
          <w:b/>
          <w:bCs/>
          <w:lang w:val="fr-FR"/>
        </w:rPr>
        <w:t>1.6.</w:t>
      </w:r>
      <w:proofErr w:type="gramStart"/>
      <w:r w:rsidRPr="00553804">
        <w:rPr>
          <w:b/>
          <w:bCs/>
          <w:lang w:val="fr-FR"/>
        </w:rPr>
        <w:t>4.xx</w:t>
      </w:r>
      <w:proofErr w:type="gramEnd"/>
      <w:r w:rsidRPr="00521651">
        <w:rPr>
          <w:lang w:val="fr-FR"/>
        </w:rPr>
        <w:tab/>
        <w:t>Les citernes à déchets opérant sous vide (conteneurs-citernes et caisses mobiles citernes) construites avant le 1</w:t>
      </w:r>
      <w:r w:rsidRPr="00521651">
        <w:rPr>
          <w:vertAlign w:val="superscript"/>
          <w:lang w:val="fr-FR"/>
        </w:rPr>
        <w:t>er</w:t>
      </w:r>
      <w:r>
        <w:rPr>
          <w:lang w:val="fr-FR"/>
        </w:rPr>
        <w:t> </w:t>
      </w:r>
      <w:r w:rsidRPr="00521651">
        <w:rPr>
          <w:lang w:val="fr-FR"/>
        </w:rPr>
        <w:t>juillet 2023 conformément aux prescriptions applicables jusqu</w:t>
      </w:r>
      <w:r>
        <w:rPr>
          <w:lang w:val="fr-FR"/>
        </w:rPr>
        <w:t>’</w:t>
      </w:r>
      <w:r w:rsidRPr="00521651">
        <w:rPr>
          <w:lang w:val="fr-FR"/>
        </w:rPr>
        <w:t>au 31</w:t>
      </w:r>
      <w:r>
        <w:rPr>
          <w:lang w:val="fr-FR"/>
        </w:rPr>
        <w:t> </w:t>
      </w:r>
      <w:r w:rsidRPr="00521651">
        <w:rPr>
          <w:lang w:val="fr-FR"/>
        </w:rPr>
        <w:t>décembre 2022 mais qui ne sont pas conformes aux prescriptions du 6.10.3.8</w:t>
      </w:r>
      <w:r>
        <w:rPr>
          <w:lang w:val="fr-FR"/>
        </w:rPr>
        <w:t> </w:t>
      </w:r>
      <w:r w:rsidRPr="00521651">
        <w:rPr>
          <w:lang w:val="fr-FR"/>
        </w:rPr>
        <w:t>b) relatives à la protection des pompes à vide à anneau liquide contre les explosions non électriques applicables à partir du 1</w:t>
      </w:r>
      <w:r w:rsidRPr="00521651">
        <w:rPr>
          <w:vertAlign w:val="superscript"/>
          <w:lang w:val="fr-FR"/>
        </w:rPr>
        <w:t>er</w:t>
      </w:r>
      <w:r>
        <w:rPr>
          <w:lang w:val="fr-FR"/>
        </w:rPr>
        <w:t> </w:t>
      </w:r>
      <w:r w:rsidRPr="00521651">
        <w:rPr>
          <w:lang w:val="fr-FR"/>
        </w:rPr>
        <w:t>janvier 2023 pourront encore être utilisées.</w:t>
      </w:r>
      <w:r>
        <w:rPr>
          <w:lang w:val="fr-FR"/>
        </w:rPr>
        <w:t> »</w:t>
      </w:r>
      <w:r w:rsidRPr="00521651">
        <w:rPr>
          <w:lang w:val="fr-FR"/>
        </w:rPr>
        <w:t>.</w:t>
      </w:r>
    </w:p>
    <w:p w14:paraId="38BCCCDE" w14:textId="22718981" w:rsidR="00553804" w:rsidRPr="00553804" w:rsidRDefault="00553804" w:rsidP="00553804">
      <w:pPr>
        <w:pStyle w:val="SingleTxtG"/>
        <w:spacing w:before="240" w:after="0"/>
        <w:jc w:val="center"/>
        <w:rPr>
          <w:u w:val="single"/>
        </w:rPr>
      </w:pPr>
      <w:r>
        <w:rPr>
          <w:u w:val="single"/>
        </w:rPr>
        <w:tab/>
      </w:r>
      <w:r>
        <w:rPr>
          <w:u w:val="single"/>
        </w:rPr>
        <w:tab/>
      </w:r>
      <w:r>
        <w:rPr>
          <w:u w:val="single"/>
        </w:rPr>
        <w:tab/>
      </w:r>
      <w:r>
        <w:rPr>
          <w:u w:val="single"/>
        </w:rPr>
        <w:tab/>
      </w:r>
    </w:p>
    <w:sectPr w:rsidR="00553804" w:rsidRPr="00553804" w:rsidSect="0055380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FBAF2" w14:textId="77777777" w:rsidR="00F90FE6" w:rsidRDefault="00F90FE6" w:rsidP="00F95C08">
      <w:pPr>
        <w:spacing w:line="240" w:lineRule="auto"/>
      </w:pPr>
    </w:p>
  </w:endnote>
  <w:endnote w:type="continuationSeparator" w:id="0">
    <w:p w14:paraId="2F10C725" w14:textId="77777777" w:rsidR="00F90FE6" w:rsidRPr="00AC3823" w:rsidRDefault="00F90FE6" w:rsidP="00AC3823">
      <w:pPr>
        <w:pStyle w:val="Footer"/>
      </w:pPr>
    </w:p>
  </w:endnote>
  <w:endnote w:type="continuationNotice" w:id="1">
    <w:p w14:paraId="7B826FD5" w14:textId="77777777" w:rsidR="00F90FE6" w:rsidRDefault="00F90F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39529" w14:textId="2D1D51C7" w:rsidR="00553804" w:rsidRPr="00553804" w:rsidRDefault="00553804" w:rsidP="00553804">
    <w:pPr>
      <w:pStyle w:val="Footer"/>
      <w:tabs>
        <w:tab w:val="right" w:pos="9638"/>
      </w:tabs>
    </w:pPr>
    <w:r w:rsidRPr="00553804">
      <w:rPr>
        <w:b/>
        <w:sz w:val="18"/>
      </w:rPr>
      <w:fldChar w:fldCharType="begin"/>
    </w:r>
    <w:r w:rsidRPr="00553804">
      <w:rPr>
        <w:b/>
        <w:sz w:val="18"/>
      </w:rPr>
      <w:instrText xml:space="preserve"> PAGE  \* MERGEFORMAT </w:instrText>
    </w:r>
    <w:r w:rsidRPr="00553804">
      <w:rPr>
        <w:b/>
        <w:sz w:val="18"/>
      </w:rPr>
      <w:fldChar w:fldCharType="separate"/>
    </w:r>
    <w:r w:rsidRPr="00553804">
      <w:rPr>
        <w:b/>
        <w:noProof/>
        <w:sz w:val="18"/>
      </w:rPr>
      <w:t>2</w:t>
    </w:r>
    <w:r w:rsidRPr="00553804">
      <w:rPr>
        <w:b/>
        <w:sz w:val="18"/>
      </w:rPr>
      <w:fldChar w:fldCharType="end"/>
    </w:r>
    <w:r>
      <w:rPr>
        <w:b/>
        <w:sz w:val="18"/>
      </w:rPr>
      <w:tab/>
    </w:r>
    <w:r>
      <w:t>GE.21-19031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0B061" w14:textId="3A8999F2" w:rsidR="00553804" w:rsidRPr="00553804" w:rsidRDefault="00553804" w:rsidP="00553804">
    <w:pPr>
      <w:pStyle w:val="Footer"/>
      <w:tabs>
        <w:tab w:val="right" w:pos="9638"/>
      </w:tabs>
      <w:rPr>
        <w:b/>
        <w:sz w:val="18"/>
      </w:rPr>
    </w:pPr>
    <w:r>
      <w:t>GE.21-19031</w:t>
    </w:r>
    <w:r>
      <w:tab/>
    </w:r>
    <w:r w:rsidRPr="00553804">
      <w:rPr>
        <w:b/>
        <w:sz w:val="18"/>
      </w:rPr>
      <w:fldChar w:fldCharType="begin"/>
    </w:r>
    <w:r w:rsidRPr="00553804">
      <w:rPr>
        <w:b/>
        <w:sz w:val="18"/>
      </w:rPr>
      <w:instrText xml:space="preserve"> PAGE  \* MERGEFORMAT </w:instrText>
    </w:r>
    <w:r w:rsidRPr="00553804">
      <w:rPr>
        <w:b/>
        <w:sz w:val="18"/>
      </w:rPr>
      <w:fldChar w:fldCharType="separate"/>
    </w:r>
    <w:r w:rsidRPr="00553804">
      <w:rPr>
        <w:b/>
        <w:noProof/>
        <w:sz w:val="18"/>
      </w:rPr>
      <w:t>3</w:t>
    </w:r>
    <w:r w:rsidRPr="005538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736DF" w14:textId="743DD515" w:rsidR="007F20FA" w:rsidRPr="00553804" w:rsidRDefault="00553804" w:rsidP="00553804">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A301AE4" wp14:editId="16530F1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19031  (</w:t>
    </w:r>
    <w:proofErr w:type="gramEnd"/>
    <w:r>
      <w:rPr>
        <w:sz w:val="20"/>
      </w:rPr>
      <w:t>F)</w:t>
    </w:r>
    <w:r>
      <w:rPr>
        <w:noProof/>
        <w:sz w:val="20"/>
      </w:rPr>
      <w:drawing>
        <wp:anchor distT="0" distB="0" distL="114300" distR="114300" simplePos="0" relativeHeight="251660288" behindDoc="0" locked="0" layoutInCell="1" allowOverlap="1" wp14:anchorId="627EDCF9" wp14:editId="4C529D3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170122    170122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AE0D3" w14:textId="77777777" w:rsidR="00F90FE6" w:rsidRPr="00AC3823" w:rsidRDefault="00F90FE6" w:rsidP="00AC3823">
      <w:pPr>
        <w:pStyle w:val="Footer"/>
        <w:tabs>
          <w:tab w:val="right" w:pos="2155"/>
        </w:tabs>
        <w:spacing w:after="80" w:line="240" w:lineRule="atLeast"/>
        <w:ind w:left="680"/>
        <w:rPr>
          <w:u w:val="single"/>
        </w:rPr>
      </w:pPr>
      <w:r>
        <w:rPr>
          <w:u w:val="single"/>
        </w:rPr>
        <w:tab/>
      </w:r>
    </w:p>
  </w:footnote>
  <w:footnote w:type="continuationSeparator" w:id="0">
    <w:p w14:paraId="3943F05C" w14:textId="77777777" w:rsidR="00F90FE6" w:rsidRPr="00AC3823" w:rsidRDefault="00F90FE6" w:rsidP="00AC3823">
      <w:pPr>
        <w:pStyle w:val="Footer"/>
        <w:tabs>
          <w:tab w:val="right" w:pos="2155"/>
        </w:tabs>
        <w:spacing w:after="80" w:line="240" w:lineRule="atLeast"/>
        <w:ind w:left="680"/>
        <w:rPr>
          <w:u w:val="single"/>
        </w:rPr>
      </w:pPr>
      <w:r>
        <w:rPr>
          <w:u w:val="single"/>
        </w:rPr>
        <w:tab/>
      </w:r>
    </w:p>
  </w:footnote>
  <w:footnote w:type="continuationNotice" w:id="1">
    <w:p w14:paraId="16E4FE5C" w14:textId="77777777" w:rsidR="00F90FE6" w:rsidRPr="00AC3823" w:rsidRDefault="00F90FE6">
      <w:pPr>
        <w:spacing w:line="240" w:lineRule="auto"/>
        <w:rPr>
          <w:sz w:val="2"/>
          <w:szCs w:val="2"/>
        </w:rPr>
      </w:pPr>
    </w:p>
  </w:footnote>
  <w:footnote w:id="2">
    <w:p w14:paraId="0C4D303F" w14:textId="63450D99" w:rsidR="00553804" w:rsidRPr="00553804" w:rsidRDefault="00553804">
      <w:pPr>
        <w:pStyle w:val="FootnoteText"/>
      </w:pPr>
      <w:r>
        <w:rPr>
          <w:rStyle w:val="FootnoteReference"/>
        </w:rPr>
        <w:tab/>
      </w:r>
      <w:r w:rsidRPr="00553804">
        <w:rPr>
          <w:rStyle w:val="FootnoteReference"/>
          <w:sz w:val="20"/>
          <w:vertAlign w:val="baseline"/>
        </w:rPr>
        <w:t>*</w:t>
      </w:r>
      <w:r>
        <w:rPr>
          <w:rStyle w:val="FootnoteReference"/>
          <w:sz w:val="20"/>
          <w:vertAlign w:val="baseline"/>
        </w:rPr>
        <w:tab/>
      </w:r>
      <w:r>
        <w:rPr>
          <w:lang w:val="fr-FR"/>
        </w:rPr>
        <w:t>A/76/6 (Sect. 20), par. 20.76.</w:t>
      </w:r>
    </w:p>
  </w:footnote>
  <w:footnote w:id="3">
    <w:p w14:paraId="36E4890D" w14:textId="7111BFAC" w:rsidR="00553804" w:rsidRPr="00553804" w:rsidRDefault="00553804">
      <w:pPr>
        <w:pStyle w:val="FootnoteText"/>
      </w:pPr>
      <w:r w:rsidRPr="006F11C9">
        <w:rPr>
          <w:rStyle w:val="FootnoteReference"/>
          <w:spacing w:val="-2"/>
        </w:rPr>
        <w:tab/>
      </w:r>
      <w:r w:rsidRPr="006F11C9">
        <w:rPr>
          <w:rStyle w:val="FootnoteReference"/>
          <w:spacing w:val="-2"/>
          <w:sz w:val="20"/>
          <w:vertAlign w:val="baseline"/>
        </w:rPr>
        <w:t>**</w:t>
      </w:r>
      <w:r w:rsidRPr="006F11C9">
        <w:rPr>
          <w:rStyle w:val="FootnoteReference"/>
          <w:spacing w:val="-2"/>
          <w:sz w:val="20"/>
          <w:vertAlign w:val="baseline"/>
        </w:rPr>
        <w:tab/>
      </w:r>
      <w:r w:rsidRPr="006F11C9">
        <w:rPr>
          <w:spacing w:val="-2"/>
          <w:lang w:val="fr-FR"/>
        </w:rPr>
        <w:t>Diffusée par l’Organisation intergouvernementale pour les transports internationaux ferroviaires (OTIF)</w:t>
      </w:r>
      <w:r>
        <w:rPr>
          <w:lang w:val="fr-FR"/>
        </w:rPr>
        <w:t xml:space="preserve"> sous la cote OTIF/RID/RC/2022/13.</w:t>
      </w:r>
    </w:p>
  </w:footnote>
  <w:footnote w:id="4">
    <w:p w14:paraId="7D4ED00E" w14:textId="55DA1B3A" w:rsidR="00553804" w:rsidRPr="00553804" w:rsidRDefault="00553804">
      <w:pPr>
        <w:pStyle w:val="FootnoteText"/>
      </w:pPr>
      <w:r>
        <w:rPr>
          <w:rStyle w:val="FootnoteReference"/>
        </w:rPr>
        <w:tab/>
      </w:r>
      <w:r w:rsidRPr="00553804">
        <w:rPr>
          <w:rStyle w:val="FootnoteReference"/>
          <w:sz w:val="20"/>
          <w:vertAlign w:val="baseline"/>
        </w:rPr>
        <w:t>***</w:t>
      </w:r>
      <w:r>
        <w:rPr>
          <w:rStyle w:val="FootnoteReference"/>
          <w:sz w:val="20"/>
          <w:vertAlign w:val="baseline"/>
        </w:rPr>
        <w:tab/>
      </w:r>
      <w:r>
        <w:rPr>
          <w:lang w:val="fr-FR"/>
        </w:rPr>
        <w:t>Il a été convenu que le présent 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2F38A" w14:textId="5FF3029A" w:rsidR="00553804" w:rsidRPr="00553804" w:rsidRDefault="002D4F68">
    <w:pPr>
      <w:pStyle w:val="Header"/>
    </w:pPr>
    <w:r>
      <w:fldChar w:fldCharType="begin"/>
    </w:r>
    <w:r>
      <w:instrText xml:space="preserve"> TITLE  \* MERGEFORMAT </w:instrText>
    </w:r>
    <w:r>
      <w:fldChar w:fldCharType="separate"/>
    </w:r>
    <w:r w:rsidR="00553804">
      <w:t>ECE/TRANS/WP.15/AC.1/2022/13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1D709" w14:textId="660FDC21" w:rsidR="00553804" w:rsidRPr="00553804" w:rsidRDefault="002D4F68" w:rsidP="00553804">
    <w:pPr>
      <w:pStyle w:val="Header"/>
      <w:jc w:val="right"/>
    </w:pPr>
    <w:r>
      <w:fldChar w:fldCharType="begin"/>
    </w:r>
    <w:r>
      <w:instrText xml:space="preserve"> TITLE  \* MERGEFORMAT </w:instrText>
    </w:r>
    <w:r>
      <w:fldChar w:fldCharType="separate"/>
    </w:r>
    <w:r w:rsidR="00553804">
      <w:t>ECE/TRANS/WP.15/AC.1/2022/13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E6"/>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4F68"/>
    <w:rsid w:val="002D7C93"/>
    <w:rsid w:val="00305801"/>
    <w:rsid w:val="003916DE"/>
    <w:rsid w:val="00421996"/>
    <w:rsid w:val="00441C3B"/>
    <w:rsid w:val="00446FE5"/>
    <w:rsid w:val="00452396"/>
    <w:rsid w:val="00477EB2"/>
    <w:rsid w:val="004837D8"/>
    <w:rsid w:val="004E2EED"/>
    <w:rsid w:val="004E468C"/>
    <w:rsid w:val="005505B7"/>
    <w:rsid w:val="00553804"/>
    <w:rsid w:val="00573BE5"/>
    <w:rsid w:val="00586ED3"/>
    <w:rsid w:val="00596AA9"/>
    <w:rsid w:val="006F11C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57FFE"/>
    <w:rsid w:val="00D7622E"/>
    <w:rsid w:val="00DB1831"/>
    <w:rsid w:val="00DD3BFD"/>
    <w:rsid w:val="00DF6678"/>
    <w:rsid w:val="00E0299A"/>
    <w:rsid w:val="00E33D09"/>
    <w:rsid w:val="00E85C74"/>
    <w:rsid w:val="00EA6547"/>
    <w:rsid w:val="00ED7237"/>
    <w:rsid w:val="00EF2E22"/>
    <w:rsid w:val="00F35BAF"/>
    <w:rsid w:val="00F660DF"/>
    <w:rsid w:val="00F90FE6"/>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A6E568"/>
  <w15:docId w15:val="{AE675539-3D3E-4DC3-9938-9493C95C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55380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1234</Words>
  <Characters>7034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ECE/TRANS/WP.15/AC.1/2022/13</vt:lpstr>
    </vt:vector>
  </TitlesOfParts>
  <Company>DCM</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ECE/TRANS/WP.15/AC.1/2022/13</dc:title>
  <dc:subject/>
  <dc:creator>Marie DESCHAMPS</dc:creator>
  <cp:keywords/>
  <cp:lastModifiedBy>Christine Barrio-Champeau</cp:lastModifiedBy>
  <cp:revision>2</cp:revision>
  <cp:lastPrinted>2014-05-14T10:59:00Z</cp:lastPrinted>
  <dcterms:created xsi:type="dcterms:W3CDTF">2022-01-18T16:38:00Z</dcterms:created>
  <dcterms:modified xsi:type="dcterms:W3CDTF">2022-01-18T16:38:00Z</dcterms:modified>
</cp:coreProperties>
</file>