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8864F8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1DCAAE" w14:textId="77777777" w:rsidR="00F35BAF" w:rsidRPr="00DB58B5" w:rsidRDefault="00F35BAF" w:rsidP="00651CD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F552D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7910CC" w14:textId="1972BAB1" w:rsidR="00F35BAF" w:rsidRPr="00DB58B5" w:rsidRDefault="00651CD2" w:rsidP="00651CD2">
            <w:pPr>
              <w:jc w:val="right"/>
            </w:pPr>
            <w:r w:rsidRPr="00651CD2">
              <w:rPr>
                <w:sz w:val="40"/>
              </w:rPr>
              <w:t>ECE</w:t>
            </w:r>
            <w:r>
              <w:t>/TRANS/WP.15/AC.1/2022/12</w:t>
            </w:r>
          </w:p>
        </w:tc>
      </w:tr>
      <w:tr w:rsidR="00F35BAF" w:rsidRPr="00DB58B5" w14:paraId="49E5986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3A4E93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3CC97B" wp14:editId="2F0A5A6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92FB2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67736A" w14:textId="77777777" w:rsidR="00F35BAF" w:rsidRDefault="00651CD2" w:rsidP="00C97039">
            <w:pPr>
              <w:spacing w:before="240"/>
            </w:pPr>
            <w:r>
              <w:t>Distr. générale</w:t>
            </w:r>
          </w:p>
          <w:p w14:paraId="323A07E3" w14:textId="77777777" w:rsidR="00651CD2" w:rsidRDefault="00651CD2" w:rsidP="00651CD2">
            <w:pPr>
              <w:spacing w:line="240" w:lineRule="exact"/>
            </w:pPr>
            <w:r>
              <w:t>20 décembre 2021</w:t>
            </w:r>
          </w:p>
          <w:p w14:paraId="6CFEE614" w14:textId="77777777" w:rsidR="00651CD2" w:rsidRDefault="00651CD2" w:rsidP="00651CD2">
            <w:pPr>
              <w:spacing w:line="240" w:lineRule="exact"/>
            </w:pPr>
            <w:r>
              <w:t>Français</w:t>
            </w:r>
          </w:p>
          <w:p w14:paraId="79B90444" w14:textId="2D238D11" w:rsidR="00651CD2" w:rsidRPr="00DB58B5" w:rsidRDefault="00651CD2" w:rsidP="00651CD2">
            <w:pPr>
              <w:spacing w:line="240" w:lineRule="exact"/>
            </w:pPr>
            <w:r>
              <w:t>Original : anglais</w:t>
            </w:r>
          </w:p>
        </w:tc>
      </w:tr>
    </w:tbl>
    <w:p w14:paraId="08141F8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70B3B4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62E763" w14:textId="77777777" w:rsidR="00651CD2" w:rsidRPr="009E01B8" w:rsidRDefault="00651CD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953C330" w14:textId="77777777" w:rsidR="00651CD2" w:rsidRPr="00926E87" w:rsidRDefault="00651CD2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523B6720" w14:textId="77777777" w:rsidR="00651CD2" w:rsidRPr="00650684" w:rsidRDefault="00651CD2" w:rsidP="00651CD2">
      <w:pPr>
        <w:rPr>
          <w:lang w:val="fr-FR"/>
        </w:rPr>
      </w:pPr>
      <w:r w:rsidRPr="00650684">
        <w:rPr>
          <w:lang w:val="fr-FR"/>
        </w:rPr>
        <w:t>Berne, 14-18 mars 2022</w:t>
      </w:r>
    </w:p>
    <w:p w14:paraId="4BF01E66" w14:textId="77777777" w:rsidR="00651CD2" w:rsidRPr="00650684" w:rsidRDefault="00651CD2" w:rsidP="00651CD2">
      <w:pPr>
        <w:rPr>
          <w:lang w:val="fr-FR"/>
        </w:rPr>
      </w:pPr>
      <w:r w:rsidRPr="00650684">
        <w:rPr>
          <w:lang w:val="fr-FR"/>
        </w:rPr>
        <w:t>Point 2 de l</w:t>
      </w:r>
      <w:r>
        <w:rPr>
          <w:lang w:val="fr-FR"/>
        </w:rPr>
        <w:t>’</w:t>
      </w:r>
      <w:r w:rsidRPr="00650684">
        <w:rPr>
          <w:lang w:val="fr-FR"/>
        </w:rPr>
        <w:t>ordre du jour provisoire</w:t>
      </w:r>
    </w:p>
    <w:p w14:paraId="55CB1ED9" w14:textId="77777777" w:rsidR="00651CD2" w:rsidRPr="00650684" w:rsidRDefault="00651CD2" w:rsidP="00651CD2">
      <w:pPr>
        <w:rPr>
          <w:b/>
          <w:bCs/>
          <w:lang w:val="fr-FR"/>
        </w:rPr>
      </w:pPr>
      <w:r w:rsidRPr="00650684">
        <w:rPr>
          <w:b/>
          <w:bCs/>
          <w:lang w:val="fr-FR"/>
        </w:rPr>
        <w:t>Citernes</w:t>
      </w:r>
    </w:p>
    <w:p w14:paraId="6C6B44F8" w14:textId="4341E71D" w:rsidR="00651CD2" w:rsidRPr="00650684" w:rsidRDefault="00651CD2" w:rsidP="00651CD2">
      <w:pPr>
        <w:pStyle w:val="HChG"/>
        <w:rPr>
          <w:lang w:val="fr-FR"/>
        </w:rPr>
      </w:pPr>
      <w:r w:rsidRPr="00650684">
        <w:rPr>
          <w:lang w:val="fr-FR"/>
        </w:rPr>
        <w:tab/>
      </w:r>
      <w:r w:rsidRPr="00650684">
        <w:rPr>
          <w:lang w:val="fr-FR"/>
        </w:rPr>
        <w:tab/>
        <w:t xml:space="preserve">Marquage des citernes dans lesquelles sont transportés </w:t>
      </w:r>
      <w:r>
        <w:rPr>
          <w:lang w:val="fr-FR"/>
        </w:rPr>
        <w:br/>
      </w:r>
      <w:r w:rsidRPr="00650684">
        <w:rPr>
          <w:lang w:val="fr-FR"/>
        </w:rPr>
        <w:t xml:space="preserve">des gaz liquéfiés inflammables et qui sont équipées </w:t>
      </w:r>
      <w:r>
        <w:rPr>
          <w:lang w:val="fr-FR"/>
        </w:rPr>
        <w:br/>
      </w:r>
      <w:r w:rsidRPr="00650684">
        <w:rPr>
          <w:lang w:val="fr-FR"/>
        </w:rPr>
        <w:t>de soupapes de sécurité</w:t>
      </w:r>
    </w:p>
    <w:p w14:paraId="6A41CBA3" w14:textId="7374C75C" w:rsidR="00651CD2" w:rsidRPr="00650684" w:rsidRDefault="00651CD2" w:rsidP="00651CD2">
      <w:pPr>
        <w:pStyle w:val="H1G"/>
        <w:rPr>
          <w:szCs w:val="24"/>
          <w:lang w:val="fr-FR"/>
        </w:rPr>
      </w:pPr>
      <w:r w:rsidRPr="00650684">
        <w:rPr>
          <w:lang w:val="fr-FR"/>
        </w:rPr>
        <w:tab/>
      </w:r>
      <w:r w:rsidRPr="00650684">
        <w:rPr>
          <w:lang w:val="fr-FR"/>
        </w:rPr>
        <w:tab/>
        <w:t xml:space="preserve">Communication de Liquid Gas Europe au nom du groupe de travail </w:t>
      </w:r>
      <w:r>
        <w:rPr>
          <w:lang w:val="fr-FR"/>
        </w:rPr>
        <w:br/>
      </w:r>
      <w:r w:rsidRPr="00650684">
        <w:rPr>
          <w:lang w:val="fr-FR"/>
        </w:rPr>
        <w:t>du BLEVE</w:t>
      </w:r>
      <w:r w:rsidRPr="00651CD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rStyle w:val="FootnoteReference"/>
          <w:sz w:val="20"/>
          <w:lang w:val="fr-FR"/>
        </w:rPr>
        <w:t>,</w:t>
      </w:r>
      <w:r>
        <w:rPr>
          <w:sz w:val="20"/>
          <w:lang w:val="fr-FR"/>
        </w:rPr>
        <w:t xml:space="preserve"> </w:t>
      </w:r>
      <w:r w:rsidRPr="00651CD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651CD2">
        <w:rPr>
          <w:b w:val="0"/>
          <w:bCs/>
          <w:sz w:val="20"/>
          <w:vertAlign w:val="superscript"/>
          <w:lang w:val="fr-FR"/>
        </w:rPr>
        <w:t>,</w:t>
      </w:r>
      <w:r>
        <w:rPr>
          <w:sz w:val="20"/>
          <w:lang w:val="fr-FR"/>
        </w:rPr>
        <w:t xml:space="preserve"> </w:t>
      </w:r>
      <w:r w:rsidRPr="00651CD2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  <w:r w:rsidRPr="00651CD2">
        <w:rPr>
          <w:rStyle w:val="FootnoteReference"/>
          <w:b w:val="0"/>
          <w:bCs/>
          <w:sz w:val="20"/>
          <w:vertAlign w:val="baseline"/>
          <w:lang w:val="fr-FR"/>
        </w:rPr>
        <w:t xml:space="preserve"> </w:t>
      </w:r>
    </w:p>
    <w:p w14:paraId="792E1BA1" w14:textId="77777777" w:rsidR="00651CD2" w:rsidRPr="00650684" w:rsidRDefault="00651CD2" w:rsidP="00651CD2">
      <w:pPr>
        <w:pStyle w:val="SingleTxtG"/>
        <w:rPr>
          <w:lang w:val="fr-FR"/>
        </w:rPr>
      </w:pPr>
      <w:r w:rsidRPr="00650684">
        <w:rPr>
          <w:lang w:val="fr-FR"/>
        </w:rPr>
        <w:t>1.</w:t>
      </w:r>
      <w:r w:rsidRPr="00650684">
        <w:rPr>
          <w:lang w:val="fr-FR"/>
        </w:rPr>
        <w:tab/>
      </w:r>
      <w:r w:rsidRPr="007A3A3A">
        <w:rPr>
          <w:lang w:val="fr-FR"/>
        </w:rPr>
        <w:t xml:space="preserve">Le groupe de travail informel de la réduction du risque de BLEVE, en application du mandat </w:t>
      </w:r>
      <w:r>
        <w:rPr>
          <w:lang w:val="fr-FR"/>
        </w:rPr>
        <w:t xml:space="preserve">que lui a confié </w:t>
      </w:r>
      <w:r w:rsidRPr="007A3A3A">
        <w:rPr>
          <w:lang w:val="fr-FR"/>
        </w:rPr>
        <w:t>la Réunion commune, a examiné les mesures visant à prévenir la vaporisation explosive d</w:t>
      </w:r>
      <w:r>
        <w:rPr>
          <w:lang w:val="fr-FR"/>
        </w:rPr>
        <w:t>’</w:t>
      </w:r>
      <w:r w:rsidRPr="007A3A3A">
        <w:rPr>
          <w:lang w:val="fr-FR"/>
        </w:rPr>
        <w:t>un liquide porté à ébullition (BLEVE) en cas d</w:t>
      </w:r>
      <w:r>
        <w:rPr>
          <w:lang w:val="fr-FR"/>
        </w:rPr>
        <w:t>’</w:t>
      </w:r>
      <w:r w:rsidRPr="007A3A3A">
        <w:rPr>
          <w:lang w:val="fr-FR"/>
        </w:rPr>
        <w:t>incendie pendant le transport de liquides et de gaz inflammables.</w:t>
      </w:r>
      <w:r w:rsidRPr="00650684">
        <w:rPr>
          <w:lang w:val="fr-FR"/>
        </w:rPr>
        <w:t xml:space="preserve"> Comme suite à l</w:t>
      </w:r>
      <w:r>
        <w:rPr>
          <w:lang w:val="fr-FR"/>
        </w:rPr>
        <w:t>’</w:t>
      </w:r>
      <w:r w:rsidRPr="00650684">
        <w:rPr>
          <w:lang w:val="fr-FR"/>
        </w:rPr>
        <w:t xml:space="preserve">adoption de </w:t>
      </w:r>
      <w:r>
        <w:rPr>
          <w:lang w:val="fr-FR"/>
        </w:rPr>
        <w:t xml:space="preserve">prescriptions relatives à </w:t>
      </w:r>
      <w:r w:rsidRPr="00650684">
        <w:rPr>
          <w:lang w:val="fr-FR"/>
        </w:rPr>
        <w:t>l</w:t>
      </w:r>
      <w:r>
        <w:rPr>
          <w:lang w:val="fr-FR"/>
        </w:rPr>
        <w:t>’</w:t>
      </w:r>
      <w:r w:rsidRPr="00650684">
        <w:rPr>
          <w:lang w:val="fr-FR"/>
        </w:rPr>
        <w:t>obligation d</w:t>
      </w:r>
      <w:r>
        <w:rPr>
          <w:lang w:val="fr-FR"/>
        </w:rPr>
        <w:t>’</w:t>
      </w:r>
      <w:r w:rsidRPr="00650684">
        <w:rPr>
          <w:lang w:val="fr-FR"/>
        </w:rPr>
        <w:t xml:space="preserve">installer des soupapes de sécurité dans les citernes </w:t>
      </w:r>
      <w:r>
        <w:rPr>
          <w:lang w:val="fr-FR"/>
        </w:rPr>
        <w:t xml:space="preserve">dans lesquelles sont </w:t>
      </w:r>
      <w:r w:rsidRPr="00650684">
        <w:rPr>
          <w:lang w:val="fr-FR"/>
        </w:rPr>
        <w:t>transport</w:t>
      </w:r>
      <w:r>
        <w:rPr>
          <w:lang w:val="fr-FR"/>
        </w:rPr>
        <w:t>és</w:t>
      </w:r>
      <w:r w:rsidRPr="00650684">
        <w:rPr>
          <w:lang w:val="fr-FR"/>
        </w:rPr>
        <w:t xml:space="preserve"> des gaz liquéfiés inflammables, il a été demandé de mener des travaux supplémentaires sur le marquage des citernes équipées de soupapes de sécurité.</w:t>
      </w:r>
    </w:p>
    <w:p w14:paraId="78E6F382" w14:textId="77777777" w:rsidR="00651CD2" w:rsidRPr="00650684" w:rsidRDefault="00651CD2" w:rsidP="00651CD2">
      <w:pPr>
        <w:pStyle w:val="SingleTxtG"/>
        <w:rPr>
          <w:lang w:val="fr-FR"/>
        </w:rPr>
      </w:pPr>
      <w:r w:rsidRPr="00650684">
        <w:rPr>
          <w:lang w:val="fr-FR"/>
        </w:rPr>
        <w:t>2.</w:t>
      </w:r>
      <w:r w:rsidRPr="00650684">
        <w:rPr>
          <w:lang w:val="fr-FR"/>
        </w:rPr>
        <w:tab/>
        <w:t>Afin d</w:t>
      </w:r>
      <w:r>
        <w:rPr>
          <w:lang w:val="fr-FR"/>
        </w:rPr>
        <w:t>’</w:t>
      </w:r>
      <w:r w:rsidRPr="00650684">
        <w:rPr>
          <w:lang w:val="fr-FR"/>
        </w:rPr>
        <w:t>aider les services d</w:t>
      </w:r>
      <w:r>
        <w:rPr>
          <w:lang w:val="fr-FR"/>
        </w:rPr>
        <w:t>’</w:t>
      </w:r>
      <w:r w:rsidRPr="00650684">
        <w:rPr>
          <w:lang w:val="fr-FR"/>
        </w:rPr>
        <w:t>urgence, la première proposition ci-après prévoit l</w:t>
      </w:r>
      <w:r>
        <w:rPr>
          <w:lang w:val="fr-FR"/>
        </w:rPr>
        <w:t>’</w:t>
      </w:r>
      <w:r w:rsidRPr="00650684">
        <w:rPr>
          <w:lang w:val="fr-FR"/>
        </w:rPr>
        <w:t>ajout d</w:t>
      </w:r>
      <w:r>
        <w:rPr>
          <w:lang w:val="fr-FR"/>
        </w:rPr>
        <w:t>’</w:t>
      </w:r>
      <w:r w:rsidRPr="00650684">
        <w:rPr>
          <w:lang w:val="fr-FR"/>
        </w:rPr>
        <w:t xml:space="preserve">un nouveau </w:t>
      </w:r>
      <w:r>
        <w:rPr>
          <w:lang w:val="fr-FR"/>
        </w:rPr>
        <w:t>paragraphe (</w:t>
      </w:r>
      <w:r w:rsidRPr="00650684">
        <w:rPr>
          <w:lang w:val="fr-FR"/>
        </w:rPr>
        <w:t>6.8.3.2.9.6</w:t>
      </w:r>
      <w:r>
        <w:rPr>
          <w:lang w:val="fr-FR"/>
        </w:rPr>
        <w:t>)</w:t>
      </w:r>
      <w:r w:rsidRPr="00650684">
        <w:rPr>
          <w:lang w:val="fr-FR"/>
        </w:rPr>
        <w:t xml:space="preserve"> relatif aux lettres d</w:t>
      </w:r>
      <w:r>
        <w:rPr>
          <w:lang w:val="fr-FR"/>
        </w:rPr>
        <w:t>’</w:t>
      </w:r>
      <w:r w:rsidRPr="00650684">
        <w:rPr>
          <w:lang w:val="fr-FR"/>
        </w:rPr>
        <w:t>identification qui devront être apposées sur les citernes.</w:t>
      </w:r>
    </w:p>
    <w:p w14:paraId="4F18C487" w14:textId="77777777" w:rsidR="00651CD2" w:rsidRPr="00650684" w:rsidRDefault="00651CD2" w:rsidP="00651CD2">
      <w:pPr>
        <w:pStyle w:val="SingleTxtG"/>
        <w:rPr>
          <w:lang w:val="fr-FR"/>
        </w:rPr>
      </w:pPr>
      <w:r w:rsidRPr="00650684">
        <w:rPr>
          <w:lang w:val="fr-FR"/>
        </w:rPr>
        <w:t>3.</w:t>
      </w:r>
      <w:r w:rsidRPr="00650684">
        <w:rPr>
          <w:lang w:val="fr-FR"/>
        </w:rPr>
        <w:tab/>
        <w:t xml:space="preserve">En outre, </w:t>
      </w:r>
      <w:r>
        <w:rPr>
          <w:lang w:val="fr-FR"/>
        </w:rPr>
        <w:t xml:space="preserve">il est proposé d’ajouter </w:t>
      </w:r>
      <w:r w:rsidRPr="00650684">
        <w:rPr>
          <w:lang w:val="fr-FR"/>
        </w:rPr>
        <w:t>deux nouvelles mesures transitoires aux 1.6.3 et 1.6.4 (deuxième proposition ci-après).</w:t>
      </w:r>
    </w:p>
    <w:p w14:paraId="04384417" w14:textId="6FE6F002" w:rsidR="00651CD2" w:rsidRPr="00650684" w:rsidRDefault="00651CD2" w:rsidP="00651CD2">
      <w:pPr>
        <w:pStyle w:val="HChG"/>
        <w:rPr>
          <w:lang w:val="fr-FR"/>
        </w:rPr>
      </w:pPr>
      <w:r w:rsidRPr="00650684">
        <w:rPr>
          <w:lang w:val="fr-FR"/>
        </w:rPr>
        <w:tab/>
      </w:r>
      <w:r w:rsidRPr="00650684">
        <w:rPr>
          <w:lang w:val="fr-FR"/>
        </w:rPr>
        <w:tab/>
        <w:t>Première proposition</w:t>
      </w:r>
      <w:r>
        <w:rPr>
          <w:lang w:val="fr-FR"/>
        </w:rPr>
        <w:t> </w:t>
      </w:r>
      <w:r w:rsidRPr="00650684">
        <w:rPr>
          <w:lang w:val="fr-FR"/>
        </w:rPr>
        <w:t>:</w:t>
      </w:r>
      <w:r>
        <w:rPr>
          <w:lang w:val="fr-FR"/>
        </w:rPr>
        <w:t xml:space="preserve"> </w:t>
      </w:r>
      <w:r w:rsidRPr="00650684">
        <w:rPr>
          <w:lang w:val="fr-FR"/>
        </w:rPr>
        <w:t xml:space="preserve">nouveau </w:t>
      </w:r>
      <w:r>
        <w:rPr>
          <w:lang w:val="fr-FR"/>
        </w:rPr>
        <w:t>paragraphe (</w:t>
      </w:r>
      <w:r w:rsidRPr="00650684">
        <w:rPr>
          <w:lang w:val="fr-FR"/>
        </w:rPr>
        <w:t>6.8.3.2.9.6</w:t>
      </w:r>
      <w:r>
        <w:rPr>
          <w:lang w:val="fr-FR"/>
        </w:rPr>
        <w:t>)</w:t>
      </w:r>
    </w:p>
    <w:p w14:paraId="7D98E00C" w14:textId="77777777" w:rsidR="00651CD2" w:rsidRPr="00650684" w:rsidRDefault="00651CD2" w:rsidP="00651CD2">
      <w:pPr>
        <w:pStyle w:val="SingleTxtG"/>
        <w:ind w:left="2268" w:hanging="1134"/>
        <w:rPr>
          <w:lang w:val="fr-FR"/>
        </w:rPr>
      </w:pPr>
      <w:r w:rsidRPr="00650684">
        <w:rPr>
          <w:lang w:val="fr-FR"/>
        </w:rPr>
        <w:t>« 6.8.3.2.9.6</w:t>
      </w:r>
      <w:r w:rsidRPr="00650684">
        <w:rPr>
          <w:lang w:val="fr-FR"/>
        </w:rPr>
        <w:tab/>
      </w:r>
      <w:r w:rsidRPr="00651CD2">
        <w:rPr>
          <w:u w:val="single"/>
          <w:lang w:val="fr-FR"/>
        </w:rPr>
        <w:t>Marque relative aux soupapes de sécurité</w:t>
      </w:r>
    </w:p>
    <w:p w14:paraId="6CD82750" w14:textId="77777777" w:rsidR="00651CD2" w:rsidRPr="00650684" w:rsidRDefault="00651CD2" w:rsidP="00651CD2">
      <w:pPr>
        <w:pStyle w:val="SingleTxtG"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t>6.8.3.2.9.6.1</w:t>
      </w:r>
      <w:r w:rsidRPr="00650684">
        <w:rPr>
          <w:lang w:val="fr-FR"/>
        </w:rPr>
        <w:tab/>
      </w:r>
      <w:r w:rsidRPr="00650684">
        <w:rPr>
          <w:u w:val="single"/>
          <w:lang w:val="fr-FR"/>
        </w:rPr>
        <w:t xml:space="preserve">Les citernes équipées de soupapes de sécurité conformément au 6.8.3.2.9 doivent porter une marque </w:t>
      </w:r>
      <w:r>
        <w:rPr>
          <w:u w:val="single"/>
          <w:lang w:val="fr-FR"/>
        </w:rPr>
        <w:t xml:space="preserve">conforme aux prescriptions des paragraphes </w:t>
      </w:r>
      <w:r w:rsidRPr="00650684">
        <w:rPr>
          <w:u w:val="single"/>
          <w:lang w:val="fr-FR"/>
        </w:rPr>
        <w:t>6.8.3.2.9.6.2 à 6.8.3.2.9.6.5.</w:t>
      </w:r>
    </w:p>
    <w:p w14:paraId="4CA7C589" w14:textId="6F6957C6" w:rsidR="00651CD2" w:rsidRDefault="00651CD2" w:rsidP="00651CD2">
      <w:pPr>
        <w:pStyle w:val="SingleTxtG"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lastRenderedPageBreak/>
        <w:t>6.8.3.2.9.6.2</w:t>
      </w:r>
      <w:r w:rsidRPr="00650684">
        <w:rPr>
          <w:lang w:val="fr-FR"/>
        </w:rPr>
        <w:tab/>
      </w:r>
      <w:r w:rsidRPr="00650684">
        <w:rPr>
          <w:u w:val="single"/>
          <w:lang w:val="fr-FR"/>
        </w:rPr>
        <w:t>La marque est constituée d</w:t>
      </w:r>
      <w:r>
        <w:rPr>
          <w:u w:val="single"/>
          <w:lang w:val="fr-FR"/>
        </w:rPr>
        <w:t>’</w:t>
      </w:r>
      <w:r w:rsidRPr="00650684">
        <w:rPr>
          <w:u w:val="single"/>
          <w:lang w:val="fr-FR"/>
        </w:rPr>
        <w:t xml:space="preserve">un carré blanc dont </w:t>
      </w:r>
      <w:r w:rsidRPr="007A3A3A">
        <w:rPr>
          <w:u w:val="single"/>
          <w:lang w:val="fr-FR"/>
        </w:rPr>
        <w:t>les dimensions minimales sont de 250 mm x 250 mm</w:t>
      </w:r>
      <w:r w:rsidRPr="00650684">
        <w:rPr>
          <w:u w:val="single"/>
          <w:lang w:val="fr-FR"/>
        </w:rPr>
        <w:t>. La ligne noire à l</w:t>
      </w:r>
      <w:r>
        <w:rPr>
          <w:u w:val="single"/>
          <w:lang w:val="fr-FR"/>
        </w:rPr>
        <w:t>’</w:t>
      </w:r>
      <w:r w:rsidRPr="00650684">
        <w:rPr>
          <w:u w:val="single"/>
          <w:lang w:val="fr-FR"/>
        </w:rPr>
        <w:t xml:space="preserve">intérieur </w:t>
      </w:r>
      <w:r>
        <w:rPr>
          <w:u w:val="single"/>
          <w:lang w:val="fr-FR"/>
        </w:rPr>
        <w:t xml:space="preserve">du carré </w:t>
      </w:r>
      <w:r w:rsidRPr="00650684">
        <w:rPr>
          <w:u w:val="single"/>
          <w:lang w:val="fr-FR"/>
        </w:rPr>
        <w:t>doit être parallèle au bord extérieur de la marque et s</w:t>
      </w:r>
      <w:r>
        <w:rPr>
          <w:u w:val="single"/>
          <w:lang w:val="fr-FR"/>
        </w:rPr>
        <w:t>’</w:t>
      </w:r>
      <w:r w:rsidRPr="00650684">
        <w:rPr>
          <w:u w:val="single"/>
          <w:lang w:val="fr-FR"/>
        </w:rPr>
        <w:t>en trouver distante de 12,5 mm.</w:t>
      </w:r>
      <w:r w:rsidRPr="00650684">
        <w:rPr>
          <w:lang w:val="fr-FR"/>
        </w:rPr>
        <w:t xml:space="preserve"> </w:t>
      </w:r>
      <w:r w:rsidRPr="00650684">
        <w:rPr>
          <w:u w:val="single"/>
          <w:lang w:val="fr-FR"/>
        </w:rPr>
        <w:t xml:space="preserve">Les lettres noires </w:t>
      </w:r>
      <w:r w:rsidR="00D60EE6" w:rsidRPr="00D60EE6">
        <w:rPr>
          <w:u w:val="single"/>
        </w:rPr>
        <w:t>“</w:t>
      </w:r>
      <w:r w:rsidRPr="00650684">
        <w:rPr>
          <w:u w:val="single"/>
          <w:lang w:val="fr-FR"/>
        </w:rPr>
        <w:t>SV</w:t>
      </w:r>
      <w:r w:rsidR="00D60EE6" w:rsidRPr="00D60EE6">
        <w:rPr>
          <w:u w:val="single"/>
        </w:rPr>
        <w:t>”</w:t>
      </w:r>
      <w:r w:rsidRPr="00650684">
        <w:rPr>
          <w:u w:val="single"/>
          <w:lang w:val="fr-FR"/>
        </w:rPr>
        <w:t xml:space="preserve"> doivent avoir une hauteur minimale de 120 mm.</w:t>
      </w:r>
    </w:p>
    <w:p w14:paraId="05B9A5D4" w14:textId="07F71C66" w:rsidR="00102783" w:rsidRPr="00650684" w:rsidRDefault="00102783" w:rsidP="00102783">
      <w:pPr>
        <w:spacing w:before="240"/>
        <w:ind w:left="2495" w:right="1134" w:hanging="1134"/>
        <w:jc w:val="center"/>
        <w:rPr>
          <w:u w:val="single"/>
          <w:lang w:val="fr-FR"/>
        </w:rPr>
      </w:pPr>
      <w:r>
        <w:rPr>
          <w:noProof/>
        </w:rPr>
        <w:drawing>
          <wp:inline distT="0" distB="0" distL="0" distR="0" wp14:anchorId="2E092E27" wp14:editId="5D0BA635">
            <wp:extent cx="2526801" cy="2205037"/>
            <wp:effectExtent l="0" t="0" r="6985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178" cy="22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847"/>
        <w:gridCol w:w="4291"/>
      </w:tblGrid>
      <w:tr w:rsidR="00651CD2" w:rsidRPr="00650684" w14:paraId="2EF595F2" w14:textId="77777777" w:rsidTr="0026548D">
        <w:tc>
          <w:tcPr>
            <w:tcW w:w="1162" w:type="dxa"/>
          </w:tcPr>
          <w:p w14:paraId="72567685" w14:textId="0B8FE715" w:rsidR="00651CD2" w:rsidRPr="00650684" w:rsidRDefault="00651CD2" w:rsidP="0010278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6.8.3.2.9.6.3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14:paraId="7A0DD26F" w14:textId="57039CF2" w:rsidR="00651CD2" w:rsidRPr="00650684" w:rsidRDefault="00651CD2" w:rsidP="003E642C">
            <w:pPr>
              <w:pStyle w:val="Default"/>
              <w:ind w:right="992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4291" w:type="dxa"/>
            <w:tcBorders>
              <w:left w:val="single" w:sz="4" w:space="0" w:color="auto"/>
            </w:tcBorders>
          </w:tcPr>
          <w:p w14:paraId="7F4EF1EB" w14:textId="74C32F46" w:rsidR="00651CD2" w:rsidRDefault="00651CD2" w:rsidP="00102783">
            <w:pPr>
              <w:pStyle w:val="Default"/>
              <w:ind w:right="1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Pour les conteneurs-citernes 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’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une capacité inférieure à 1 500 litres, les dimensions minimales de la marque peuvent être réduites à 120 mm x 120</w:t>
            </w:r>
            <w:r w:rsidR="00D60EE6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 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mm. La ligne noire à 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’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intérieur du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carré 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doit être parallèle au bord extérieur de la marque et 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’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en trouver distante de 6 mm</w:t>
            </w:r>
            <w:r w:rsidRPr="00102783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. Le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s lettres noires </w:t>
            </w:r>
            <w:r w:rsidR="00D60EE6" w:rsidRPr="00D60EE6">
              <w:rPr>
                <w:rFonts w:ascii="Times New Roman" w:hAnsi="Times New Roman" w:cs="Times New Roman"/>
                <w:sz w:val="20"/>
                <w:szCs w:val="20"/>
                <w:u w:val="single"/>
                <w:lang w:val="fr-CH"/>
              </w:rPr>
              <w:t>“</w:t>
            </w:r>
            <w:r w:rsidR="00D60EE6" w:rsidRPr="00D60EE6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SV</w:t>
            </w:r>
            <w:r w:rsidR="00D60EE6" w:rsidRPr="00D60EE6">
              <w:rPr>
                <w:rFonts w:ascii="Times New Roman" w:hAnsi="Times New Roman" w:cs="Times New Roman"/>
                <w:sz w:val="20"/>
                <w:szCs w:val="20"/>
                <w:u w:val="single"/>
                <w:lang w:val="fr-CH"/>
              </w:rPr>
              <w:t>”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 doivent avoir une hauteur minimale de 60 mm.</w:t>
            </w:r>
          </w:p>
          <w:p w14:paraId="12A3BF7B" w14:textId="2BECCC51" w:rsidR="00651CD2" w:rsidRPr="00650684" w:rsidRDefault="00102783" w:rsidP="00102783">
            <w:pPr>
              <w:pStyle w:val="Default"/>
              <w:ind w:right="1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 w:eastAsia="fr-FR"/>
              </w:rPr>
            </w:pPr>
            <w:r>
              <w:rPr>
                <w:noProof/>
              </w:rPr>
              <w:drawing>
                <wp:inline distT="0" distB="0" distL="0" distR="0" wp14:anchorId="45AF9E65" wp14:editId="2558A634">
                  <wp:extent cx="2562203" cy="22002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-2190" r="1"/>
                          <a:stretch/>
                        </pic:blipFill>
                        <pic:spPr bwMode="auto">
                          <a:xfrm>
                            <a:off x="0" y="0"/>
                            <a:ext cx="2606449" cy="2238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62A9A" w14:textId="545DEDEF" w:rsidR="00651CD2" w:rsidRPr="00650684" w:rsidRDefault="00651CD2" w:rsidP="00102783">
      <w:pPr>
        <w:pStyle w:val="SingleTxtG"/>
        <w:spacing w:before="240"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t>6.8.3.2.9.6.4</w:t>
      </w:r>
      <w:r w:rsidRPr="00650684">
        <w:rPr>
          <w:lang w:val="fr-FR"/>
        </w:rPr>
        <w:tab/>
      </w:r>
      <w:r w:rsidRPr="00650684">
        <w:rPr>
          <w:u w:val="single"/>
          <w:lang w:val="fr-FR"/>
        </w:rPr>
        <w:t>Le matériau utilisé doit être résistant aux intempéries et garantir une signalisation durable.</w:t>
      </w:r>
      <w:r w:rsidRPr="00650684">
        <w:rPr>
          <w:lang w:val="fr-FR"/>
        </w:rPr>
        <w:t xml:space="preserve"> </w:t>
      </w:r>
      <w:r w:rsidRPr="00650684">
        <w:rPr>
          <w:u w:val="single"/>
          <w:lang w:val="fr-FR"/>
        </w:rPr>
        <w:t>La marque ne doit pas se détacher de sa fixation après un</w:t>
      </w:r>
      <w:r>
        <w:rPr>
          <w:u w:val="single"/>
          <w:lang w:val="fr-FR"/>
        </w:rPr>
        <w:t>e immersion dans les flammes</w:t>
      </w:r>
      <w:r w:rsidRPr="00650684">
        <w:rPr>
          <w:u w:val="single"/>
          <w:lang w:val="fr-FR"/>
        </w:rPr>
        <w:t xml:space="preserve"> d</w:t>
      </w:r>
      <w:r>
        <w:rPr>
          <w:u w:val="single"/>
          <w:lang w:val="fr-FR"/>
        </w:rPr>
        <w:t>’</w:t>
      </w:r>
      <w:r w:rsidRPr="00650684">
        <w:rPr>
          <w:u w:val="single"/>
          <w:lang w:val="fr-FR"/>
        </w:rPr>
        <w:t>une durée de 15 minutes</w:t>
      </w:r>
      <w:r w:rsidRPr="00102783">
        <w:rPr>
          <w:u w:val="single"/>
          <w:lang w:val="fr-FR"/>
        </w:rPr>
        <w:t>. Elle</w:t>
      </w:r>
      <w:r w:rsidRPr="00650684">
        <w:rPr>
          <w:u w:val="single"/>
          <w:lang w:val="fr-FR"/>
        </w:rPr>
        <w:t xml:space="preserve"> </w:t>
      </w:r>
      <w:r w:rsidRPr="007A3A3A">
        <w:rPr>
          <w:u w:val="single"/>
          <w:lang w:val="fr-FR"/>
        </w:rPr>
        <w:t xml:space="preserve">doit rester </w:t>
      </w:r>
      <w:r>
        <w:rPr>
          <w:u w:val="single"/>
          <w:lang w:val="fr-FR"/>
        </w:rPr>
        <w:t>fix</w:t>
      </w:r>
      <w:r w:rsidRPr="007A3A3A">
        <w:rPr>
          <w:u w:val="single"/>
          <w:lang w:val="fr-FR"/>
        </w:rPr>
        <w:t>ée quelle que soit l</w:t>
      </w:r>
      <w:r>
        <w:rPr>
          <w:u w:val="single"/>
          <w:lang w:val="fr-FR"/>
        </w:rPr>
        <w:t>’</w:t>
      </w:r>
      <w:r w:rsidRPr="007A3A3A">
        <w:rPr>
          <w:u w:val="single"/>
          <w:lang w:val="fr-FR"/>
        </w:rPr>
        <w:t>orientation</w:t>
      </w:r>
      <w:r w:rsidRPr="00650684">
        <w:rPr>
          <w:u w:val="single"/>
          <w:lang w:val="fr-FR"/>
        </w:rPr>
        <w:t xml:space="preserve"> de la citerne.</w:t>
      </w:r>
    </w:p>
    <w:p w14:paraId="1C1D0694" w14:textId="7784CF92" w:rsidR="00651CD2" w:rsidRPr="00650684" w:rsidRDefault="00651CD2" w:rsidP="00102783">
      <w:pPr>
        <w:pStyle w:val="SingleTxtG"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t>6.8.3.2.9.6.5</w:t>
      </w:r>
      <w:r w:rsidRPr="00650684">
        <w:rPr>
          <w:lang w:val="fr-FR"/>
        </w:rPr>
        <w:tab/>
      </w:r>
      <w:r w:rsidRPr="00650684">
        <w:rPr>
          <w:lang w:val="fr-FR"/>
        </w:rPr>
        <w:tab/>
      </w:r>
      <w:r w:rsidRPr="00650684">
        <w:rPr>
          <w:u w:val="single"/>
          <w:lang w:val="fr-FR"/>
        </w:rPr>
        <w:t xml:space="preserve">Les lettres </w:t>
      </w:r>
      <w:r w:rsidR="00102783" w:rsidRPr="00D60EE6">
        <w:rPr>
          <w:u w:val="single"/>
        </w:rPr>
        <w:t>“</w:t>
      </w:r>
      <w:r w:rsidR="00102783" w:rsidRPr="00D60EE6">
        <w:rPr>
          <w:u w:val="single"/>
          <w:lang w:val="fr-FR"/>
        </w:rPr>
        <w:t>SV</w:t>
      </w:r>
      <w:r w:rsidR="00102783" w:rsidRPr="00D60EE6">
        <w:rPr>
          <w:u w:val="single"/>
        </w:rPr>
        <w:t>”</w:t>
      </w:r>
      <w:r w:rsidR="00102783">
        <w:rPr>
          <w:u w:val="single"/>
          <w:lang w:val="fr-FR"/>
        </w:rPr>
        <w:t xml:space="preserve"> </w:t>
      </w:r>
      <w:r w:rsidRPr="00650684">
        <w:rPr>
          <w:u w:val="single"/>
          <w:lang w:val="fr-FR"/>
        </w:rPr>
        <w:t>doivent être indélébiles et rester visibles après un</w:t>
      </w:r>
      <w:r>
        <w:rPr>
          <w:u w:val="single"/>
          <w:lang w:val="fr-FR"/>
        </w:rPr>
        <w:t>e</w:t>
      </w:r>
      <w:r w:rsidRPr="00650684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immersion dans les flammes</w:t>
      </w:r>
      <w:r w:rsidRPr="00650684">
        <w:rPr>
          <w:u w:val="single"/>
          <w:lang w:val="fr-FR"/>
        </w:rPr>
        <w:t xml:space="preserve"> d</w:t>
      </w:r>
      <w:r>
        <w:rPr>
          <w:u w:val="single"/>
          <w:lang w:val="fr-FR"/>
        </w:rPr>
        <w:t>’</w:t>
      </w:r>
      <w:r w:rsidRPr="00650684">
        <w:rPr>
          <w:u w:val="single"/>
          <w:lang w:val="fr-FR"/>
        </w:rPr>
        <w:t>une durée de 15 minutes.</w:t>
      </w:r>
    </w:p>
    <w:p w14:paraId="20920AD3" w14:textId="4C256CA7" w:rsidR="00651CD2" w:rsidRPr="00650684" w:rsidRDefault="00651CD2" w:rsidP="00102783">
      <w:pPr>
        <w:pStyle w:val="SingleTxtG"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t>(RID</w:t>
      </w:r>
      <w:r w:rsidR="00102783">
        <w:rPr>
          <w:u w:val="single"/>
          <w:lang w:val="fr-FR"/>
        </w:rPr>
        <w:t> </w:t>
      </w:r>
      <w:r w:rsidRPr="00650684">
        <w:rPr>
          <w:u w:val="single"/>
          <w:lang w:val="fr-FR"/>
        </w:rPr>
        <w:t>:)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06"/>
        <w:gridCol w:w="3507"/>
      </w:tblGrid>
      <w:tr w:rsidR="00651CD2" w:rsidRPr="00053D4A" w14:paraId="4B630F8B" w14:textId="77777777" w:rsidTr="0026548D">
        <w:tc>
          <w:tcPr>
            <w:tcW w:w="1162" w:type="dxa"/>
          </w:tcPr>
          <w:p w14:paraId="1DB5F6D4" w14:textId="77777777" w:rsidR="00651CD2" w:rsidRPr="00650684" w:rsidRDefault="00651CD2" w:rsidP="0026548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6.8.3.2.9.6.6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68CAE301" w14:textId="77777777" w:rsidR="00651CD2" w:rsidRPr="00650684" w:rsidRDefault="00651CD2" w:rsidP="003E642C">
            <w:pPr>
              <w:pStyle w:val="Default"/>
              <w:ind w:right="992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14:paraId="4A737BD9" w14:textId="0D02DD4D" w:rsidR="00651CD2" w:rsidRPr="00102783" w:rsidRDefault="00651CD2" w:rsidP="00102783">
            <w:pPr>
              <w:pStyle w:val="Defaul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  <w:lang w:val="fr-FR"/>
              </w:rPr>
            </w:pPr>
            <w:r w:rsidRPr="0010278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val="fr-FR"/>
              </w:rPr>
              <w:t>Les marques doivent être apposées sur les deux côtés et les deux extrémités des conteneurs-citernes. Pour les conteneurs-citernes d’une capacité inférieure à 1</w:t>
            </w:r>
            <w:r w:rsidR="0010278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val="fr-FR"/>
              </w:rPr>
              <w:t> </w:t>
            </w:r>
            <w:r w:rsidRPr="00102783"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val="fr-FR"/>
              </w:rPr>
              <w:t>500 litres, les marques peuvent être apposées soit sur les deux côtés, soit sur les deux extrémités.</w:t>
            </w:r>
          </w:p>
        </w:tc>
      </w:tr>
    </w:tbl>
    <w:p w14:paraId="7BE69C2F" w14:textId="131891BB" w:rsidR="00651CD2" w:rsidRPr="00650684" w:rsidRDefault="00651CD2" w:rsidP="00102783">
      <w:pPr>
        <w:pStyle w:val="SingleTxtG"/>
        <w:keepNext/>
        <w:ind w:left="2268" w:hanging="1134"/>
        <w:rPr>
          <w:u w:val="single"/>
          <w:lang w:val="fr-FR"/>
        </w:rPr>
      </w:pPr>
      <w:r w:rsidRPr="00650684">
        <w:rPr>
          <w:u w:val="single"/>
          <w:lang w:val="fr-FR"/>
        </w:rPr>
        <w:lastRenderedPageBreak/>
        <w:t>(ADR</w:t>
      </w:r>
      <w:r w:rsidR="00102783">
        <w:rPr>
          <w:u w:val="single"/>
          <w:lang w:val="fr-FR"/>
        </w:rPr>
        <w:t> </w:t>
      </w:r>
      <w:r w:rsidRPr="00650684">
        <w:rPr>
          <w:u w:val="single"/>
          <w:lang w:val="fr-FR"/>
        </w:rPr>
        <w:t>:)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522"/>
        <w:gridCol w:w="3523"/>
      </w:tblGrid>
      <w:tr w:rsidR="00651CD2" w:rsidRPr="00053D4A" w14:paraId="541C93DF" w14:textId="77777777" w:rsidTr="0026548D">
        <w:trPr>
          <w:trHeight w:val="1680"/>
        </w:trPr>
        <w:tc>
          <w:tcPr>
            <w:tcW w:w="1181" w:type="dxa"/>
          </w:tcPr>
          <w:p w14:paraId="5902B507" w14:textId="77777777" w:rsidR="00651CD2" w:rsidRPr="00650684" w:rsidRDefault="00651CD2" w:rsidP="0026548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6.8.3.2.9.6.6</w:t>
            </w:r>
          </w:p>
        </w:tc>
        <w:tc>
          <w:tcPr>
            <w:tcW w:w="3522" w:type="dxa"/>
            <w:tcBorders>
              <w:right w:val="single" w:sz="4" w:space="0" w:color="auto"/>
            </w:tcBorders>
          </w:tcPr>
          <w:p w14:paraId="6F0155C5" w14:textId="6F1FB4E9" w:rsidR="00651CD2" w:rsidRPr="00650684" w:rsidRDefault="00651CD2" w:rsidP="0026548D">
            <w:pPr>
              <w:pStyle w:val="Default"/>
              <w:ind w:right="57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Les marques doivent être apposées</w:t>
            </w:r>
            <w:r w:rsidR="0026548D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 xml:space="preserve"> 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sur les deux côtés et à 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’</w:t>
            </w: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arrière des citernes fixes et sur les deux côtés et les deux extrémités des citernes démontables.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14:paraId="21444BCC" w14:textId="5EE34FB7" w:rsidR="00651CD2" w:rsidRPr="00650684" w:rsidRDefault="00651CD2" w:rsidP="0026548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fr-FR"/>
              </w:rPr>
            </w:pPr>
            <w:r w:rsidRPr="00650684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Les marques doivent être apposées sur les deux côtés et les deux extrémités des conteneurs-citernes</w:t>
            </w:r>
            <w:r w:rsidRPr="004C6BC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. Pour les conteneurs-citernes 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’</w:t>
            </w:r>
            <w:r w:rsidRPr="004C6BC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une capacité inférieure à 1</w:t>
            </w:r>
            <w:r w:rsidR="00102783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 </w:t>
            </w:r>
            <w:r w:rsidRPr="004C6BC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500</w:t>
            </w:r>
            <w:r w:rsidR="00102783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 </w:t>
            </w:r>
            <w:r w:rsidRPr="004C6BC9"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  <w:t>litres, les marques peuvent être apposées soit sur les deux côtés, soit sur les deux extrémités.</w:t>
            </w:r>
            <w:r w:rsidR="001027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».</w:t>
            </w:r>
          </w:p>
        </w:tc>
      </w:tr>
    </w:tbl>
    <w:p w14:paraId="6761A5C8" w14:textId="20EF7B73" w:rsidR="00651CD2" w:rsidRPr="00650684" w:rsidRDefault="00651CD2" w:rsidP="0026548D">
      <w:pPr>
        <w:pStyle w:val="HChG"/>
        <w:rPr>
          <w:lang w:val="fr-FR"/>
        </w:rPr>
      </w:pPr>
      <w:r w:rsidRPr="00650684">
        <w:rPr>
          <w:lang w:val="fr-FR"/>
        </w:rPr>
        <w:tab/>
      </w:r>
      <w:r w:rsidRPr="00650684">
        <w:rPr>
          <w:lang w:val="fr-FR"/>
        </w:rPr>
        <w:tab/>
        <w:t>Deuxième proposition</w:t>
      </w:r>
      <w:r w:rsidR="0026548D">
        <w:rPr>
          <w:lang w:val="fr-FR"/>
        </w:rPr>
        <w:t> </w:t>
      </w:r>
      <w:r w:rsidRPr="00650684">
        <w:rPr>
          <w:lang w:val="fr-FR"/>
        </w:rPr>
        <w:t>:</w:t>
      </w:r>
      <w:r w:rsidR="0026548D">
        <w:rPr>
          <w:lang w:val="fr-FR"/>
        </w:rPr>
        <w:t xml:space="preserve"> </w:t>
      </w:r>
      <w:r w:rsidRPr="00650684">
        <w:rPr>
          <w:lang w:val="fr-FR"/>
        </w:rPr>
        <w:t>Mesures transitoires</w:t>
      </w:r>
    </w:p>
    <w:p w14:paraId="2821C658" w14:textId="4517B090" w:rsidR="00651CD2" w:rsidRPr="00650684" w:rsidRDefault="00651CD2" w:rsidP="0026548D">
      <w:pPr>
        <w:pStyle w:val="SingleTxtG"/>
        <w:keepNext/>
        <w:ind w:left="2268" w:hanging="1134"/>
        <w:rPr>
          <w:bCs/>
          <w:lang w:val="fr-FR"/>
        </w:rPr>
      </w:pPr>
      <w:r w:rsidRPr="00650684">
        <w:rPr>
          <w:lang w:val="fr-FR"/>
        </w:rPr>
        <w:t>(ADR</w:t>
      </w:r>
      <w:r w:rsidR="0026548D">
        <w:rPr>
          <w:lang w:val="fr-FR"/>
        </w:rPr>
        <w:t> </w:t>
      </w:r>
      <w:r w:rsidRPr="00650684">
        <w:rPr>
          <w:lang w:val="fr-FR"/>
        </w:rPr>
        <w:t>:)</w:t>
      </w:r>
    </w:p>
    <w:p w14:paraId="32C2EBE5" w14:textId="5174A261" w:rsidR="00651CD2" w:rsidRPr="00650684" w:rsidRDefault="00651CD2" w:rsidP="0026548D">
      <w:pPr>
        <w:pStyle w:val="SingleTxtG"/>
        <w:ind w:left="2268" w:hanging="1134"/>
        <w:rPr>
          <w:bCs/>
          <w:lang w:val="fr-FR"/>
        </w:rPr>
      </w:pPr>
      <w:r w:rsidRPr="00650684">
        <w:rPr>
          <w:lang w:val="fr-FR"/>
        </w:rPr>
        <w:t>1.6.3</w:t>
      </w:r>
      <w:r w:rsidRPr="00650684">
        <w:rPr>
          <w:lang w:val="fr-FR"/>
        </w:rPr>
        <w:tab/>
        <w:t>Ajouter la nouvelle mesure transitoire suivante</w:t>
      </w:r>
      <w:r w:rsidR="0026548D">
        <w:rPr>
          <w:lang w:val="fr-FR"/>
        </w:rPr>
        <w:t> </w:t>
      </w:r>
      <w:r w:rsidRPr="00650684">
        <w:rPr>
          <w:lang w:val="fr-FR"/>
        </w:rPr>
        <w:t>:</w:t>
      </w:r>
    </w:p>
    <w:p w14:paraId="7AE0866E" w14:textId="449EE2A9" w:rsidR="00651CD2" w:rsidRPr="00650684" w:rsidRDefault="00651CD2" w:rsidP="0026548D">
      <w:pPr>
        <w:pStyle w:val="SingleTxtG"/>
        <w:ind w:left="2268" w:hanging="1134"/>
        <w:rPr>
          <w:lang w:val="fr-FR"/>
        </w:rPr>
      </w:pPr>
      <w:r w:rsidRPr="00650684">
        <w:rPr>
          <w:lang w:val="fr-FR"/>
        </w:rPr>
        <w:t>«</w:t>
      </w:r>
      <w:r w:rsidR="0026548D">
        <w:rPr>
          <w:lang w:val="fr-FR"/>
        </w:rPr>
        <w:t> </w:t>
      </w:r>
      <w:r w:rsidRPr="00650684">
        <w:rPr>
          <w:lang w:val="fr-FR"/>
        </w:rPr>
        <w:t>1.6.3.xx</w:t>
      </w:r>
      <w:r w:rsidRPr="00650684">
        <w:rPr>
          <w:lang w:val="fr-FR"/>
        </w:rPr>
        <w:tab/>
        <w:t>Pour les citernes fixes (</w:t>
      </w:r>
      <w:r>
        <w:rPr>
          <w:lang w:val="fr-FR"/>
        </w:rPr>
        <w:t>véhicules</w:t>
      </w:r>
      <w:r w:rsidRPr="00650684">
        <w:rPr>
          <w:lang w:val="fr-FR"/>
        </w:rPr>
        <w:t xml:space="preserve">-citernes) et les citernes démontables qui sont déjà </w:t>
      </w:r>
      <w:r w:rsidRPr="004C6BC9">
        <w:rPr>
          <w:lang w:val="fr-FR"/>
        </w:rPr>
        <w:t>équipées de soupapes de sécurité répondant aux prescriptions du 6.8.3.2.9 applicables</w:t>
      </w:r>
      <w:r w:rsidRPr="00650684">
        <w:rPr>
          <w:i/>
          <w:iCs/>
          <w:lang w:val="fr-FR"/>
        </w:rPr>
        <w:t xml:space="preserve"> </w:t>
      </w:r>
      <w:r w:rsidRPr="00650684">
        <w:rPr>
          <w:lang w:val="fr-FR"/>
        </w:rPr>
        <w:t>à partir du 1</w:t>
      </w:r>
      <w:r w:rsidRPr="004C6BC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650684">
        <w:rPr>
          <w:lang w:val="fr-FR"/>
        </w:rPr>
        <w:t xml:space="preserve">janvier 2023, la marque </w:t>
      </w:r>
      <w:r>
        <w:rPr>
          <w:lang w:val="fr-FR"/>
        </w:rPr>
        <w:t>prescrite</w:t>
      </w:r>
      <w:r w:rsidRPr="00650684">
        <w:rPr>
          <w:lang w:val="fr-FR"/>
        </w:rPr>
        <w:t xml:space="preserve"> au 6.8.3.2.9.6 </w:t>
      </w:r>
      <w:r>
        <w:rPr>
          <w:lang w:val="fr-FR"/>
        </w:rPr>
        <w:t>peut être apposée après</w:t>
      </w:r>
      <w:r w:rsidRPr="00650684">
        <w:rPr>
          <w:lang w:val="fr-FR"/>
        </w:rPr>
        <w:t xml:space="preserve"> le 31 décembre 2024. »</w:t>
      </w:r>
      <w:r w:rsidR="0026548D">
        <w:rPr>
          <w:lang w:val="fr-FR"/>
        </w:rPr>
        <w:t>.</w:t>
      </w:r>
    </w:p>
    <w:p w14:paraId="12922CCA" w14:textId="065D9A59" w:rsidR="00651CD2" w:rsidRPr="00650684" w:rsidRDefault="00651CD2" w:rsidP="0026548D">
      <w:pPr>
        <w:pStyle w:val="SingleTxtG"/>
        <w:keepNext/>
        <w:ind w:left="2268" w:hanging="1134"/>
        <w:rPr>
          <w:lang w:val="fr-FR"/>
        </w:rPr>
      </w:pPr>
      <w:r w:rsidRPr="00650684">
        <w:rPr>
          <w:lang w:val="fr-FR"/>
        </w:rPr>
        <w:t>(RID/ADR</w:t>
      </w:r>
      <w:r w:rsidR="0026548D">
        <w:rPr>
          <w:lang w:val="fr-FR"/>
        </w:rPr>
        <w:t> </w:t>
      </w:r>
      <w:r w:rsidRPr="00650684">
        <w:rPr>
          <w:lang w:val="fr-FR"/>
        </w:rPr>
        <w:t>:)</w:t>
      </w:r>
    </w:p>
    <w:p w14:paraId="0CCCFA8E" w14:textId="6CBA6BCC" w:rsidR="00651CD2" w:rsidRPr="00650684" w:rsidRDefault="00651CD2" w:rsidP="0026548D">
      <w:pPr>
        <w:pStyle w:val="SingleTxtG"/>
        <w:ind w:left="2268" w:hanging="1134"/>
        <w:rPr>
          <w:bCs/>
          <w:lang w:val="fr-FR"/>
        </w:rPr>
      </w:pPr>
      <w:r w:rsidRPr="00650684">
        <w:rPr>
          <w:lang w:val="fr-FR"/>
        </w:rPr>
        <w:t>1.6.4</w:t>
      </w:r>
      <w:r w:rsidRPr="00650684">
        <w:rPr>
          <w:lang w:val="fr-FR"/>
        </w:rPr>
        <w:tab/>
        <w:t>Ajouter la nouvelle mesure transitoire suivante</w:t>
      </w:r>
      <w:r w:rsidR="0026548D">
        <w:rPr>
          <w:lang w:val="fr-FR"/>
        </w:rPr>
        <w:t> </w:t>
      </w:r>
      <w:r w:rsidRPr="00650684">
        <w:rPr>
          <w:lang w:val="fr-FR"/>
        </w:rPr>
        <w:t>:</w:t>
      </w:r>
    </w:p>
    <w:p w14:paraId="2EB4E3C4" w14:textId="6513BF1B" w:rsidR="00651CD2" w:rsidRPr="00650684" w:rsidRDefault="00651CD2" w:rsidP="0026548D">
      <w:pPr>
        <w:pStyle w:val="SingleTxtG"/>
        <w:ind w:left="2268" w:hanging="1134"/>
        <w:rPr>
          <w:lang w:val="fr-FR"/>
        </w:rPr>
      </w:pPr>
      <w:r w:rsidRPr="00650684">
        <w:rPr>
          <w:lang w:val="fr-FR"/>
        </w:rPr>
        <w:t>«</w:t>
      </w:r>
      <w:r w:rsidR="0026548D">
        <w:rPr>
          <w:lang w:val="fr-FR"/>
        </w:rPr>
        <w:t> </w:t>
      </w:r>
      <w:r w:rsidRPr="00650684">
        <w:rPr>
          <w:lang w:val="fr-FR"/>
        </w:rPr>
        <w:t>1.6.4.xx</w:t>
      </w:r>
      <w:r w:rsidRPr="00650684">
        <w:rPr>
          <w:lang w:val="fr-FR"/>
        </w:rPr>
        <w:tab/>
        <w:t>Pour les conteneurs-citernes qui sont déjà équipés de soupapes de sécurité répondant aux prescriptions du 6.8.3.2.9 applicables à partir du 1</w:t>
      </w:r>
      <w:r w:rsidRPr="004C6BC9">
        <w:rPr>
          <w:vertAlign w:val="superscript"/>
          <w:lang w:val="fr-FR"/>
        </w:rPr>
        <w:t>er</w:t>
      </w:r>
      <w:r w:rsidRPr="00650684">
        <w:rPr>
          <w:lang w:val="fr-FR"/>
        </w:rPr>
        <w:t xml:space="preserve"> janvier 2023, la marque </w:t>
      </w:r>
      <w:r>
        <w:rPr>
          <w:lang w:val="fr-FR"/>
        </w:rPr>
        <w:t xml:space="preserve">prescrite </w:t>
      </w:r>
      <w:r w:rsidRPr="00650684">
        <w:rPr>
          <w:lang w:val="fr-FR"/>
        </w:rPr>
        <w:t xml:space="preserve">au 6.8.3.2.9.6 </w:t>
      </w:r>
      <w:r>
        <w:rPr>
          <w:lang w:val="fr-FR"/>
        </w:rPr>
        <w:t xml:space="preserve">peut être apposée après </w:t>
      </w:r>
      <w:r w:rsidRPr="00650684">
        <w:rPr>
          <w:lang w:val="fr-FR"/>
        </w:rPr>
        <w:t>le 31 décembre 2024. »</w:t>
      </w:r>
      <w:r w:rsidR="0026548D">
        <w:rPr>
          <w:lang w:val="fr-FR"/>
        </w:rPr>
        <w:t>.</w:t>
      </w:r>
    </w:p>
    <w:p w14:paraId="6C92A94C" w14:textId="77777777" w:rsidR="00651CD2" w:rsidRDefault="00651CD2" w:rsidP="00651CD2">
      <w:pPr>
        <w:spacing w:before="240"/>
        <w:jc w:val="center"/>
        <w:rPr>
          <w:u w:val="single"/>
          <w:lang w:val="fr-FR"/>
        </w:rPr>
      </w:pPr>
      <w:r w:rsidRPr="00650684">
        <w:rPr>
          <w:u w:val="single"/>
          <w:lang w:val="fr-FR"/>
        </w:rPr>
        <w:tab/>
      </w:r>
      <w:r w:rsidRPr="00650684">
        <w:rPr>
          <w:u w:val="single"/>
          <w:lang w:val="fr-FR"/>
        </w:rPr>
        <w:tab/>
      </w:r>
      <w:r w:rsidRPr="00650684">
        <w:rPr>
          <w:u w:val="single"/>
          <w:lang w:val="fr-FR"/>
        </w:rPr>
        <w:tab/>
      </w:r>
    </w:p>
    <w:p w14:paraId="6792CE1E" w14:textId="77777777" w:rsidR="00F9573C" w:rsidRPr="00651CD2" w:rsidRDefault="00F9573C" w:rsidP="00651CD2">
      <w:pPr>
        <w:spacing w:before="120"/>
        <w:rPr>
          <w:lang w:val="fr-FR"/>
        </w:rPr>
      </w:pPr>
    </w:p>
    <w:sectPr w:rsidR="00F9573C" w:rsidRPr="00651CD2" w:rsidSect="00651CD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122D" w14:textId="77777777" w:rsidR="009F0F4D" w:rsidRDefault="009F0F4D" w:rsidP="00F95C08">
      <w:pPr>
        <w:spacing w:line="240" w:lineRule="auto"/>
      </w:pPr>
    </w:p>
  </w:endnote>
  <w:endnote w:type="continuationSeparator" w:id="0">
    <w:p w14:paraId="2B1D20E1" w14:textId="77777777" w:rsidR="009F0F4D" w:rsidRPr="00AC3823" w:rsidRDefault="009F0F4D" w:rsidP="00AC3823">
      <w:pPr>
        <w:pStyle w:val="Footer"/>
      </w:pPr>
    </w:p>
  </w:endnote>
  <w:endnote w:type="continuationNotice" w:id="1">
    <w:p w14:paraId="1AEA3C4A" w14:textId="77777777" w:rsidR="009F0F4D" w:rsidRDefault="009F0F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169D" w14:textId="4CCEC46A" w:rsidR="00651CD2" w:rsidRPr="00651CD2" w:rsidRDefault="00651CD2" w:rsidP="00651CD2">
    <w:pPr>
      <w:pStyle w:val="Footer"/>
      <w:tabs>
        <w:tab w:val="right" w:pos="9638"/>
      </w:tabs>
    </w:pPr>
    <w:r w:rsidRPr="00651CD2">
      <w:rPr>
        <w:b/>
        <w:sz w:val="18"/>
      </w:rPr>
      <w:fldChar w:fldCharType="begin"/>
    </w:r>
    <w:r w:rsidRPr="00651CD2">
      <w:rPr>
        <w:b/>
        <w:sz w:val="18"/>
      </w:rPr>
      <w:instrText xml:space="preserve"> PAGE  \* MERGEFORMAT </w:instrText>
    </w:r>
    <w:r w:rsidRPr="00651CD2">
      <w:rPr>
        <w:b/>
        <w:sz w:val="18"/>
      </w:rPr>
      <w:fldChar w:fldCharType="separate"/>
    </w:r>
    <w:r w:rsidRPr="00651CD2">
      <w:rPr>
        <w:b/>
        <w:noProof/>
        <w:sz w:val="18"/>
      </w:rPr>
      <w:t>2</w:t>
    </w:r>
    <w:r w:rsidRPr="00651CD2">
      <w:rPr>
        <w:b/>
        <w:sz w:val="18"/>
      </w:rPr>
      <w:fldChar w:fldCharType="end"/>
    </w:r>
    <w:r>
      <w:rPr>
        <w:b/>
        <w:sz w:val="18"/>
      </w:rPr>
      <w:tab/>
    </w:r>
    <w:r>
      <w:t>GE.21-19365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15FB" w14:textId="7F305DC7" w:rsidR="00651CD2" w:rsidRPr="00651CD2" w:rsidRDefault="00651CD2" w:rsidP="00651CD2">
    <w:pPr>
      <w:pStyle w:val="Footer"/>
      <w:tabs>
        <w:tab w:val="right" w:pos="9638"/>
      </w:tabs>
      <w:rPr>
        <w:b/>
        <w:sz w:val="18"/>
      </w:rPr>
    </w:pPr>
    <w:r>
      <w:t>GE.21-19365</w:t>
    </w:r>
    <w:r>
      <w:tab/>
    </w:r>
    <w:r w:rsidRPr="00651CD2">
      <w:rPr>
        <w:b/>
        <w:sz w:val="18"/>
      </w:rPr>
      <w:fldChar w:fldCharType="begin"/>
    </w:r>
    <w:r w:rsidRPr="00651CD2">
      <w:rPr>
        <w:b/>
        <w:sz w:val="18"/>
      </w:rPr>
      <w:instrText xml:space="preserve"> PAGE  \* MERGEFORMAT </w:instrText>
    </w:r>
    <w:r w:rsidRPr="00651CD2">
      <w:rPr>
        <w:b/>
        <w:sz w:val="18"/>
      </w:rPr>
      <w:fldChar w:fldCharType="separate"/>
    </w:r>
    <w:r w:rsidRPr="00651CD2">
      <w:rPr>
        <w:b/>
        <w:noProof/>
        <w:sz w:val="18"/>
      </w:rPr>
      <w:t>3</w:t>
    </w:r>
    <w:r w:rsidRPr="00651C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E877" w14:textId="1C351D85" w:rsidR="007F20FA" w:rsidRPr="00651CD2" w:rsidRDefault="00651CD2" w:rsidP="00651CD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DD1668C" wp14:editId="26A3E14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21-19365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5E4F87" wp14:editId="364AD14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180122    190122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491C" w14:textId="77777777" w:rsidR="009F0F4D" w:rsidRPr="00AC3823" w:rsidRDefault="009F0F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A95218" w14:textId="77777777" w:rsidR="009F0F4D" w:rsidRPr="00AC3823" w:rsidRDefault="009F0F4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9D15F7" w14:textId="77777777" w:rsidR="009F0F4D" w:rsidRPr="00AC3823" w:rsidRDefault="009F0F4D">
      <w:pPr>
        <w:spacing w:line="240" w:lineRule="auto"/>
        <w:rPr>
          <w:sz w:val="2"/>
          <w:szCs w:val="2"/>
        </w:rPr>
      </w:pPr>
    </w:p>
  </w:footnote>
  <w:footnote w:id="2">
    <w:p w14:paraId="18F77D9D" w14:textId="1104AA30" w:rsidR="00651CD2" w:rsidRPr="00053D4A" w:rsidRDefault="00651CD2" w:rsidP="00651CD2">
      <w:pPr>
        <w:pStyle w:val="FootnoteText"/>
        <w:rPr>
          <w:sz w:val="20"/>
        </w:rPr>
      </w:pPr>
      <w:r>
        <w:rPr>
          <w:lang w:val="fr-FR"/>
        </w:rPr>
        <w:tab/>
      </w:r>
      <w:r w:rsidRPr="00651CD2">
        <w:rPr>
          <w:sz w:val="20"/>
          <w:lang w:val="fr-FR"/>
        </w:rPr>
        <w:t>*</w:t>
      </w:r>
      <w:r w:rsidRPr="00651CD2">
        <w:rPr>
          <w:sz w:val="20"/>
          <w:lang w:val="fr-FR"/>
        </w:rPr>
        <w:tab/>
      </w:r>
      <w:r>
        <w:rPr>
          <w:lang w:val="fr-FR"/>
        </w:rPr>
        <w:t>A/76/6 (Sect. 20), par. 20.76.</w:t>
      </w:r>
    </w:p>
  </w:footnote>
  <w:footnote w:id="3">
    <w:p w14:paraId="699AB26A" w14:textId="77777777" w:rsidR="00651CD2" w:rsidRPr="00053D4A" w:rsidRDefault="00651CD2" w:rsidP="00651CD2">
      <w:pPr>
        <w:pStyle w:val="FootnoteText"/>
        <w:rPr>
          <w:sz w:val="20"/>
        </w:rPr>
      </w:pPr>
      <w:r>
        <w:rPr>
          <w:lang w:val="fr-FR"/>
        </w:rPr>
        <w:tab/>
      </w:r>
      <w:r w:rsidRPr="00651CD2">
        <w:rPr>
          <w:sz w:val="20"/>
          <w:lang w:val="fr-FR"/>
        </w:rPr>
        <w:t>**</w:t>
      </w:r>
      <w:r w:rsidRPr="00651CD2">
        <w:rPr>
          <w:sz w:val="20"/>
          <w:lang w:val="fr-FR"/>
        </w:rPr>
        <w:tab/>
      </w:r>
      <w:r>
        <w:rPr>
          <w:lang w:val="fr-FR"/>
        </w:rPr>
        <w:tab/>
        <w:t>Diffusée par l’Organisation intergouvernementale pour les transports internationaux ferroviaires sous la cote OTIF/RID/RC/2022/12.</w:t>
      </w:r>
    </w:p>
  </w:footnote>
  <w:footnote w:id="4">
    <w:p w14:paraId="7893077E" w14:textId="74316B0A" w:rsidR="00651CD2" w:rsidRPr="00651CD2" w:rsidRDefault="00651CD2">
      <w:pPr>
        <w:pStyle w:val="FootnoteText"/>
      </w:pPr>
      <w:r>
        <w:rPr>
          <w:rStyle w:val="FootnoteReference"/>
        </w:rPr>
        <w:tab/>
      </w:r>
      <w:r w:rsidRPr="00651CD2">
        <w:rPr>
          <w:rStyle w:val="FootnoteReference"/>
          <w:sz w:val="20"/>
          <w:vertAlign w:val="baseline"/>
        </w:rPr>
        <w:t>***</w:t>
      </w:r>
      <w:r>
        <w:rPr>
          <w:sz w:val="20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1D4C" w14:textId="3FD12FA5" w:rsidR="00651CD2" w:rsidRPr="00651CD2" w:rsidRDefault="007372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51CD2">
      <w:t>ECE/TRANS/WP.15/AC.1/2022/12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E2AA" w14:textId="4A7B3BA1" w:rsidR="00651CD2" w:rsidRPr="00651CD2" w:rsidRDefault="007372D5" w:rsidP="00651C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51CD2">
      <w:t>ECE/TRANS/WP.15/AC.1/2022/12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D"/>
    <w:rsid w:val="00017F94"/>
    <w:rsid w:val="00023842"/>
    <w:rsid w:val="000334F9"/>
    <w:rsid w:val="00045FEB"/>
    <w:rsid w:val="0007796D"/>
    <w:rsid w:val="000B7790"/>
    <w:rsid w:val="00102783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6548D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1CD2"/>
    <w:rsid w:val="0071601D"/>
    <w:rsid w:val="007372D5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0F4D"/>
    <w:rsid w:val="009F6B74"/>
    <w:rsid w:val="00A3029F"/>
    <w:rsid w:val="00A30353"/>
    <w:rsid w:val="00A97696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60EE6"/>
    <w:rsid w:val="00D7622E"/>
    <w:rsid w:val="00DB1831"/>
    <w:rsid w:val="00DD3BFD"/>
    <w:rsid w:val="00DF6678"/>
    <w:rsid w:val="00E0299A"/>
    <w:rsid w:val="00E85C74"/>
    <w:rsid w:val="00EA2DA7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BE209"/>
  <w15:docId w15:val="{FC5540E7-39F8-4DE7-BAF0-AF95054F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651CD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uiPriority w:val="99"/>
    <w:rsid w:val="00651CD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Default">
    <w:name w:val="Default"/>
    <w:rsid w:val="00651CD2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ECE/TRANS/WP.15/AC.1/2022/12</vt:lpstr>
    </vt:vector>
  </TitlesOfParts>
  <Company>DCM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ECE/TRANS/WP.15/AC.1/2022/12</dc:title>
  <dc:subject/>
  <dc:creator>Sandrine CLERE</dc:creator>
  <cp:keywords/>
  <cp:lastModifiedBy>Christine Barrio-Champeau</cp:lastModifiedBy>
  <cp:revision>2</cp:revision>
  <cp:lastPrinted>2014-05-14T10:59:00Z</cp:lastPrinted>
  <dcterms:created xsi:type="dcterms:W3CDTF">2022-01-19T07:59:00Z</dcterms:created>
  <dcterms:modified xsi:type="dcterms:W3CDTF">2022-01-19T07:59:00Z</dcterms:modified>
</cp:coreProperties>
</file>