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BC5B50" w14:paraId="20C8503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0AEF632" w14:textId="77777777" w:rsidR="002D5AAC" w:rsidRDefault="002D5AAC" w:rsidP="00BC5B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3279C4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1A42265" w14:textId="10CBE5E8" w:rsidR="002D5AAC" w:rsidRPr="00BC5B50" w:rsidRDefault="00BC5B50" w:rsidP="00BC5B50">
            <w:pPr>
              <w:jc w:val="right"/>
              <w:rPr>
                <w:lang w:val="en-US"/>
              </w:rPr>
            </w:pPr>
            <w:r w:rsidRPr="00BC5B50">
              <w:rPr>
                <w:sz w:val="40"/>
                <w:lang w:val="en-US"/>
              </w:rPr>
              <w:t>ECE</w:t>
            </w:r>
            <w:r w:rsidRPr="00BC5B50">
              <w:rPr>
                <w:lang w:val="en-US"/>
              </w:rPr>
              <w:t>/TRANS/WP.15/AC.1/163/Add.1</w:t>
            </w:r>
          </w:p>
        </w:tc>
      </w:tr>
      <w:tr w:rsidR="002D5AAC" w14:paraId="26ED00B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BAFBF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EE8119" wp14:editId="23DB68D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6026D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4FE0512" w14:textId="77777777" w:rsidR="002D5AAC" w:rsidRDefault="00BC5B5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47D5144" w14:textId="77777777" w:rsidR="00BC5B50" w:rsidRDefault="00BC5B50" w:rsidP="00BC5B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December 2021</w:t>
            </w:r>
          </w:p>
          <w:p w14:paraId="14830237" w14:textId="77777777" w:rsidR="00BC5B50" w:rsidRDefault="00BC5B50" w:rsidP="00BC5B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ABEDB3A" w14:textId="5EA2BB81" w:rsidR="00BC5B50" w:rsidRPr="008D53B6" w:rsidRDefault="00BC5B50" w:rsidP="00BC5B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D41FCC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6C415A3" w14:textId="77777777" w:rsidR="00BC5B50" w:rsidRPr="00273826" w:rsidRDefault="00BC5B50" w:rsidP="00BC5B50">
      <w:pPr>
        <w:spacing w:before="120"/>
        <w:rPr>
          <w:sz w:val="28"/>
          <w:szCs w:val="28"/>
        </w:rPr>
      </w:pPr>
      <w:r w:rsidRPr="00273826">
        <w:rPr>
          <w:sz w:val="28"/>
          <w:szCs w:val="28"/>
        </w:rPr>
        <w:t>Комитет по внутреннему транспорту</w:t>
      </w:r>
    </w:p>
    <w:p w14:paraId="6B7EEE45" w14:textId="77777777" w:rsidR="00BC5B50" w:rsidRPr="00273826" w:rsidRDefault="00BC5B50" w:rsidP="00BC5B50">
      <w:pPr>
        <w:spacing w:before="120"/>
        <w:rPr>
          <w:b/>
          <w:sz w:val="24"/>
          <w:szCs w:val="24"/>
        </w:rPr>
      </w:pPr>
      <w:r w:rsidRPr="00273826">
        <w:rPr>
          <w:b/>
          <w:bCs/>
          <w:sz w:val="24"/>
          <w:szCs w:val="24"/>
        </w:rPr>
        <w:t>Рабочая группа по перевозкам опасных грузов</w:t>
      </w:r>
    </w:p>
    <w:p w14:paraId="7F87C805" w14:textId="2427ADCB" w:rsidR="00BC5B50" w:rsidRPr="004A6654" w:rsidRDefault="00BC5B50" w:rsidP="00BC5B50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17116ADE" w14:textId="77777777" w:rsidR="00BC5B50" w:rsidRPr="004A6654" w:rsidRDefault="00BC5B50" w:rsidP="00BC5B50">
      <w:r>
        <w:t>Берн, 14–18 марта 2022 года</w:t>
      </w:r>
    </w:p>
    <w:p w14:paraId="123D94A7" w14:textId="77777777" w:rsidR="00BC5B50" w:rsidRPr="004A6654" w:rsidRDefault="00BC5B50" w:rsidP="00BC5B50">
      <w:r>
        <w:t>Пункт 1 предварительной повестки дня</w:t>
      </w:r>
    </w:p>
    <w:p w14:paraId="5F7C8184" w14:textId="77777777" w:rsidR="00BC5B50" w:rsidRPr="004A6654" w:rsidRDefault="00BC5B50" w:rsidP="00BC5B50">
      <w:r>
        <w:rPr>
          <w:b/>
          <w:bCs/>
        </w:rPr>
        <w:t>Утверждение повестки дня</w:t>
      </w:r>
    </w:p>
    <w:p w14:paraId="2FA4627C" w14:textId="77777777" w:rsidR="00BC5B50" w:rsidRPr="004A6654" w:rsidRDefault="00BC5B50" w:rsidP="00BC5B50">
      <w:pPr>
        <w:pStyle w:val="HChG"/>
      </w:pPr>
      <w:r>
        <w:tab/>
      </w:r>
      <w:r>
        <w:tab/>
        <w:t>Предварительная повестка дня весенней сессии 2022 года</w:t>
      </w:r>
    </w:p>
    <w:p w14:paraId="506302F7" w14:textId="77777777" w:rsidR="00BC5B50" w:rsidRPr="004A6654" w:rsidRDefault="00BC5B50" w:rsidP="00BC5B50">
      <w:pPr>
        <w:pStyle w:val="H23G"/>
      </w:pPr>
      <w:r>
        <w:tab/>
      </w:r>
      <w:r>
        <w:tab/>
        <w:t>Добавление</w:t>
      </w:r>
    </w:p>
    <w:p w14:paraId="0175A85C" w14:textId="77777777" w:rsidR="00BC5B50" w:rsidRPr="004A6654" w:rsidRDefault="00BC5B50" w:rsidP="00BC5B50">
      <w:pPr>
        <w:pStyle w:val="HChG"/>
      </w:pPr>
      <w:r>
        <w:tab/>
      </w:r>
      <w:r>
        <w:tab/>
        <w:t>Аннотации и перечень документов</w:t>
      </w:r>
      <w:r w:rsidRPr="00BC5B50">
        <w:rPr>
          <w:rStyle w:val="FootnoteReference"/>
          <w:b w:val="0"/>
          <w:bCs/>
          <w:sz w:val="20"/>
          <w:vertAlign w:val="baseline"/>
        </w:rPr>
        <w:footnoteReference w:customMarkFollows="1" w:id="1"/>
        <w:sym w:font="Symbol" w:char="F02A"/>
      </w:r>
    </w:p>
    <w:p w14:paraId="19C870BF" w14:textId="77777777" w:rsidR="00BC5B50" w:rsidRPr="004A6654" w:rsidRDefault="00BC5B50" w:rsidP="00BC5B50">
      <w:pPr>
        <w:pStyle w:val="H1G"/>
      </w:pPr>
      <w:r>
        <w:tab/>
        <w:t>1.</w:t>
      </w:r>
      <w:r>
        <w:tab/>
        <w:t>Утверждение повестки дня</w:t>
      </w:r>
    </w:p>
    <w:p w14:paraId="6B884A9F" w14:textId="77746795" w:rsidR="00BC5B50" w:rsidRPr="004A6654" w:rsidRDefault="00BC5B50" w:rsidP="00BC5B50">
      <w:pPr>
        <w:pStyle w:val="SingleTxtG"/>
        <w:ind w:firstLine="567"/>
      </w:pPr>
      <w:r>
        <w:t xml:space="preserve">Первым пунктом повестки дня является ее утверждение. Совместное совещание рассмотрит также доклад о работе своей осенней сессии 2021 года, состоявшейся в Женеве 21 сентября 2021 года </w:t>
      </w:r>
      <w:r w:rsidRPr="00BC5B50">
        <w:t>—</w:t>
      </w:r>
      <w:r>
        <w:t xml:space="preserve"> 1 октября 2021 года (ECE/TRANS/WP.15/AC.1/162</w:t>
      </w:r>
      <w:r w:rsidRPr="00BC5B50">
        <w:t>-</w:t>
      </w:r>
      <w:r>
        <w:t>OTIF/RID/RC/2021-B и Add.1).</w:t>
      </w:r>
    </w:p>
    <w:p w14:paraId="66A39717" w14:textId="47B6ACD3" w:rsidR="00BC5B50" w:rsidRPr="004A6654" w:rsidRDefault="00BC5B50" w:rsidP="00BC5B50">
      <w:pPr>
        <w:pStyle w:val="SingleTxtG"/>
      </w:pPr>
      <w:r>
        <w:tab/>
        <w:t xml:space="preserve">Необходимо напомнить о следующих моментах: </w:t>
      </w:r>
    </w:p>
    <w:p w14:paraId="2CE84BC3" w14:textId="77777777" w:rsidR="00BC5B50" w:rsidRPr="004A6654" w:rsidRDefault="00BC5B50" w:rsidP="00BC5B50">
      <w:pPr>
        <w:pStyle w:val="SingleTxtG"/>
        <w:ind w:firstLine="567"/>
      </w:pPr>
      <w:r>
        <w:t>a)</w:t>
      </w:r>
      <w:r>
        <w:tab/>
        <w:t xml:space="preserve">на своей осенней сессии 2021 года Совместное совещание вновь избрало г-на К. </w:t>
      </w:r>
      <w:proofErr w:type="spellStart"/>
      <w:r>
        <w:t>Пфоваделя</w:t>
      </w:r>
      <w:proofErr w:type="spellEnd"/>
      <w:r>
        <w:t xml:space="preserve"> (Франция) Председателем и г-жу С. Гарсия-</w:t>
      </w:r>
      <w:proofErr w:type="spellStart"/>
      <w:r>
        <w:t>Вольфрум</w:t>
      </w:r>
      <w:proofErr w:type="spellEnd"/>
      <w:r>
        <w:t xml:space="preserve"> (Испания) заместителем Председателя на 2022 год;</w:t>
      </w:r>
    </w:p>
    <w:p w14:paraId="66AF3BB9" w14:textId="77777777" w:rsidR="00BC5B50" w:rsidRPr="004A6654" w:rsidRDefault="00BC5B50" w:rsidP="00BC5B50">
      <w:pPr>
        <w:pStyle w:val="SingleTxtG"/>
        <w:ind w:firstLine="567"/>
      </w:pPr>
      <w:r>
        <w:t>b)</w:t>
      </w:r>
      <w:r>
        <w:tab/>
        <w:t>документы ЕЭК ООН (за исключением повесток дня и докладов), имеющие условное обозначение ECE/TRANS/WP.15/АC.1/, распространяются Межправительственной организацией по международным железнодорожным перевозкам (ОТИФ) на немецком языке под условным обозначением OTIF/RID/RC/, после которого указывается тот же номер документа. В рамках усилий секретариата по сокращению расходов документы не будут распространяться в зале заседаний. Делегатов любезно просят приносить на заседания собственные экземпляры документов;</w:t>
      </w:r>
    </w:p>
    <w:p w14:paraId="6B9317C6" w14:textId="23DE2C23" w:rsidR="00BC5B50" w:rsidRPr="004A6654" w:rsidRDefault="00BC5B50" w:rsidP="00BC5B50">
      <w:pPr>
        <w:pStyle w:val="SingleTxtG"/>
        <w:ind w:firstLine="567"/>
      </w:pPr>
      <w:r>
        <w:t>c)</w:t>
      </w:r>
      <w:r>
        <w:tab/>
        <w:t>с документацией можно будет ознакомиться на веб-сайте ЕЭК ООН (</w:t>
      </w:r>
      <w:hyperlink r:id="rId8" w:history="1">
        <w:r w:rsidRPr="00BC5B50">
          <w:rPr>
            <w:rStyle w:val="Hyperlink"/>
          </w:rPr>
          <w:t>https://unece.org/info/Transport/events/362959</w:t>
        </w:r>
      </w:hyperlink>
      <w:r>
        <w:t>) на английском, русском и французском языках, а также на веб-сайте ОТИФ (</w:t>
      </w:r>
      <w:hyperlink r:id="rId9" w:history="1">
        <w:r w:rsidRPr="00BC5B50">
          <w:rPr>
            <w:rStyle w:val="Hyperlink"/>
          </w:rPr>
          <w:t>http://otif.org/de/?page_id=1124</w:t>
        </w:r>
      </w:hyperlink>
      <w:r>
        <w:t>) — на немецком языке;</w:t>
      </w:r>
    </w:p>
    <w:p w14:paraId="0503F288" w14:textId="77777777" w:rsidR="00BC5B50" w:rsidRPr="004A6654" w:rsidRDefault="00BC5B50" w:rsidP="00BC5B50">
      <w:pPr>
        <w:pStyle w:val="SingleTxtG"/>
        <w:ind w:firstLine="567"/>
      </w:pPr>
      <w:r>
        <w:lastRenderedPageBreak/>
        <w:t>d)</w:t>
      </w:r>
      <w:r>
        <w:tab/>
        <w:t>Совместное совещание, возможно, пожелает, чтобы в случае необходимости не одновременно с пленарными заседаниями, а в другое время собралась специальная рабочая группа для рассмотрения документов, касающихся стандартов (пункт 3), в соответствии с мандатом, который будет утвержден Совместным совещанием;</w:t>
      </w:r>
    </w:p>
    <w:p w14:paraId="037BF898" w14:textId="77777777" w:rsidR="00BC5B50" w:rsidRPr="004A6654" w:rsidRDefault="00BC5B50" w:rsidP="00BC5B50">
      <w:pPr>
        <w:pStyle w:val="SingleTxtG"/>
        <w:ind w:firstLine="567"/>
      </w:pPr>
      <w:r>
        <w:t>e)</w:t>
      </w:r>
      <w:r>
        <w:tab/>
        <w:t>Совместное совещание, возможно, пожелает, чтобы в случае необходимости одновременно с ним собралась специальная рабочая группа для рассмотрения документов, касающихся цистерн (пункт 2), после обсуждения этого пункта на пленарном заседании;</w:t>
      </w:r>
    </w:p>
    <w:p w14:paraId="45FC80A3" w14:textId="77777777" w:rsidR="00BC5B50" w:rsidRPr="004A6654" w:rsidRDefault="00BC5B50" w:rsidP="00BC5B50">
      <w:pPr>
        <w:pStyle w:val="SingleTxtG"/>
        <w:ind w:firstLine="567"/>
        <w:rPr>
          <w:b/>
        </w:rPr>
      </w:pPr>
      <w:r>
        <w:t>f)</w:t>
      </w:r>
      <w:r>
        <w:tab/>
        <w:t>чтение доклада (пункт 10) планируется провести в первой половине дня в пятницу (18 марта 2022 года) без устного перевода;</w:t>
      </w:r>
    </w:p>
    <w:p w14:paraId="02DFC782" w14:textId="2D8D8243" w:rsidR="00BC5B50" w:rsidRPr="00767DEE" w:rsidRDefault="00BC5B50" w:rsidP="00BC5B50">
      <w:pPr>
        <w:pStyle w:val="SingleTxtG"/>
        <w:ind w:firstLine="567"/>
      </w:pPr>
      <w:r>
        <w:t>g)</w:t>
      </w:r>
      <w:r>
        <w:tab/>
        <w:t xml:space="preserve">ввиду пандемии COVID-19 и нынешних технических ограничений во Всемирном почтовом союзе пока еще нельзя указать, будет ли возможно физическое участие </w:t>
      </w:r>
      <w:proofErr w:type="gramStart"/>
      <w:r>
        <w:t>в совещании</w:t>
      </w:r>
      <w:proofErr w:type="gramEnd"/>
      <w:r>
        <w:t xml:space="preserve"> и какая платформа будет использоваться для совещания. Более подробная информация будет распространена позднее. По этой причине важно зарегистрироваться с помощью </w:t>
      </w:r>
      <w:hyperlink r:id="rId10" w:history="1">
        <w:r w:rsidRPr="00BC5B50">
          <w:rPr>
            <w:rStyle w:val="Hyperlink"/>
          </w:rPr>
          <w:t xml:space="preserve">онлайн-формуляра </w:t>
        </w:r>
      </w:hyperlink>
      <w:r>
        <w:t xml:space="preserve">не позднее </w:t>
      </w:r>
      <w:r>
        <w:rPr>
          <w:b/>
          <w:bCs/>
        </w:rPr>
        <w:t>11 февраля 2022 года, чтобы мы могли держать вас в курсе событий</w:t>
      </w:r>
      <w:r w:rsidRPr="00767DEE">
        <w:t>.</w:t>
      </w:r>
    </w:p>
    <w:p w14:paraId="6B42276E" w14:textId="77777777" w:rsidR="00BC5B50" w:rsidRPr="005C6DBC" w:rsidRDefault="00BC5B50" w:rsidP="00BC5B50">
      <w:pPr>
        <w:pStyle w:val="H1G"/>
      </w:pPr>
      <w:bookmarkStart w:id="0" w:name="_Hlk93319037"/>
      <w:r>
        <w:tab/>
      </w:r>
      <w:r w:rsidRPr="005C6DBC">
        <w:t>2.</w:t>
      </w:r>
      <w:r w:rsidRPr="005C6DBC">
        <w:tab/>
        <w:t>Цистерны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BC5B50" w:rsidRPr="007762FD" w14:paraId="2DD695CD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bookmarkEnd w:id="0"/>
          <w:p w14:paraId="4117F043" w14:textId="77777777" w:rsidR="00BC5B50" w:rsidRPr="00BC5B50" w:rsidRDefault="00BC5B50" w:rsidP="00A208D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4A6654">
              <w:rPr>
                <w:lang w:val="en-US"/>
              </w:rPr>
              <w:t>ECE/TRANS/WP.15/AC.1/2021/29 (</w:t>
            </w:r>
            <w:r>
              <w:t>МСЖД</w:t>
            </w:r>
            <w:r w:rsidRPr="004A6654">
              <w:rPr>
                <w:lang w:val="en-US"/>
              </w:rPr>
              <w:t>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4E69044B" w14:textId="77777777" w:rsidR="00BC5B50" w:rsidRPr="004A6654" w:rsidRDefault="00BC5B50" w:rsidP="00A208DD">
            <w:pPr>
              <w:pStyle w:val="SingleTxtG"/>
              <w:ind w:left="0" w:right="0"/>
              <w:jc w:val="left"/>
            </w:pPr>
            <w:r>
              <w:t>Действительность положений о времени удержания для охлажденных сжиженных газов</w:t>
            </w:r>
          </w:p>
        </w:tc>
      </w:tr>
      <w:tr w:rsidR="00BC5B50" w:rsidRPr="007762FD" w14:paraId="5AC9F006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1C3DAA2C" w14:textId="77777777" w:rsidR="00BC5B50" w:rsidRPr="00BC5B50" w:rsidRDefault="00BC5B50" w:rsidP="00A208D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4A6654">
              <w:rPr>
                <w:lang w:val="en-US"/>
              </w:rPr>
              <w:t>ECE/TRANS/WP.15/AC.1/2021/42 (</w:t>
            </w:r>
            <w:r>
              <w:t>Нидерланды</w:t>
            </w:r>
            <w:r w:rsidRPr="004A6654">
              <w:rPr>
                <w:lang w:val="en-US"/>
              </w:rPr>
              <w:t>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04B62584" w14:textId="0ABD825C" w:rsidR="00BC5B50" w:rsidRPr="004A6654" w:rsidRDefault="00BC5B50" w:rsidP="00A208DD">
            <w:pPr>
              <w:pStyle w:val="SingleTxtG"/>
              <w:ind w:left="0" w:right="0"/>
              <w:jc w:val="left"/>
            </w:pPr>
            <w:r>
              <w:t>Степень наполнения веществами, перевозимыми при температуре 50 °C и</w:t>
            </w:r>
            <w:r w:rsidR="00A208DD">
              <w:rPr>
                <w:lang w:val="en-US"/>
              </w:rPr>
              <w:t> </w:t>
            </w:r>
            <w:r>
              <w:t>выше</w:t>
            </w:r>
          </w:p>
        </w:tc>
      </w:tr>
      <w:tr w:rsidR="00BC5B50" w:rsidRPr="007762FD" w14:paraId="01CDD37C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100A036E" w14:textId="77777777" w:rsidR="00BC5B50" w:rsidRPr="004A6654" w:rsidRDefault="00BC5B50" w:rsidP="00A208DD">
            <w:pPr>
              <w:pStyle w:val="SingleTxtG"/>
              <w:ind w:left="0" w:right="0"/>
              <w:jc w:val="left"/>
            </w:pPr>
            <w:r>
              <w:t>ECE/TRANS/WP.15/AC.1/2022/2 (секретариат ОТИФ)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6B323FFE" w14:textId="77777777" w:rsidR="00BC5B50" w:rsidRPr="004A6654" w:rsidRDefault="00BC5B50" w:rsidP="00A208DD">
            <w:pPr>
              <w:pStyle w:val="SingleTxtG"/>
              <w:ind w:left="0" w:right="0"/>
              <w:jc w:val="left"/>
            </w:pPr>
            <w:r>
              <w:t>Сверхбольшие контейнеры-цистерны: устойчивость к давлению затворов</w:t>
            </w:r>
          </w:p>
        </w:tc>
      </w:tr>
      <w:tr w:rsidR="00BC5B50" w:rsidRPr="007762FD" w14:paraId="2AAE9D68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5036F837" w14:textId="77777777" w:rsidR="00BC5B50" w:rsidRPr="004A6654" w:rsidRDefault="00BC5B50" w:rsidP="00A208DD">
            <w:pPr>
              <w:pStyle w:val="SingleTxtG"/>
              <w:ind w:left="0" w:right="0"/>
              <w:jc w:val="left"/>
            </w:pPr>
            <w:r>
              <w:t>ECE/TRANS/WP.15/AC.1/2022/3 (Соединенное Королевство)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67DD2A5A" w14:textId="77777777" w:rsidR="00BC5B50" w:rsidRPr="004A6654" w:rsidRDefault="00BC5B50" w:rsidP="00A208DD">
            <w:pPr>
              <w:pStyle w:val="SingleTxtG"/>
              <w:ind w:left="0" w:right="0"/>
              <w:jc w:val="left"/>
            </w:pPr>
            <w:r>
              <w:t>Толкование пункта 6.8.2.2.11 МПОГ/ДОПОГ, касающегося уровнемеров</w:t>
            </w:r>
          </w:p>
        </w:tc>
      </w:tr>
      <w:tr w:rsidR="00BC5B50" w:rsidRPr="007762FD" w14:paraId="0E0C9B76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07D9690A" w14:textId="77777777" w:rsidR="00BC5B50" w:rsidRPr="004A6654" w:rsidRDefault="00BC5B50" w:rsidP="00A208DD">
            <w:pPr>
              <w:pStyle w:val="SingleTxtG"/>
              <w:ind w:left="0" w:right="0"/>
              <w:jc w:val="left"/>
            </w:pPr>
            <w:r>
              <w:t>ECE/TRANS/WP.15/AC.1/2022/4 (Соединенное Королевство)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3A9F5856" w14:textId="0D4B4EA8" w:rsidR="00BC5B50" w:rsidRPr="004A6654" w:rsidRDefault="00BC5B50" w:rsidP="00A208DD">
            <w:pPr>
              <w:pStyle w:val="SingleTxtG"/>
              <w:ind w:left="0" w:right="0"/>
              <w:jc w:val="left"/>
            </w:pPr>
            <w:r>
              <w:t xml:space="preserve">Цистерны: уточнение толщины, требуемой для перегородок и </w:t>
            </w:r>
            <w:proofErr w:type="spellStart"/>
            <w:r>
              <w:t>волногасящих</w:t>
            </w:r>
            <w:proofErr w:type="spellEnd"/>
            <w:r>
              <w:t xml:space="preserve"> переборок в пункте</w:t>
            </w:r>
            <w:r w:rsidR="00767DEE">
              <w:rPr>
                <w:lang w:val="en-US"/>
              </w:rPr>
              <w:t> </w:t>
            </w:r>
            <w:r>
              <w:t>6.8.2.1.20 ДОПОГ</w:t>
            </w:r>
          </w:p>
        </w:tc>
      </w:tr>
      <w:tr w:rsidR="00BC5B50" w:rsidRPr="007762FD" w14:paraId="5E4107AA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14B4A488" w14:textId="77777777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>ECE/TRANS/WP.15/AC.1/2022/5 (Соединенное Королевство)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7118C4C1" w14:textId="7FF33161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  <w:rPr>
                <w:bCs/>
              </w:rPr>
            </w:pPr>
            <w:r>
              <w:t xml:space="preserve">Замечания по документу ECE/TRANS/WP.15/AC.1/2021/27 </w:t>
            </w:r>
            <w:r w:rsidR="00767DEE" w:rsidRPr="00767DEE">
              <w:t>—</w:t>
            </w:r>
            <w:r>
              <w:t xml:space="preserve"> Разъяснения в отношении использования цистерн после истечения срока, установленного для следующего испытания или проверки</w:t>
            </w:r>
          </w:p>
        </w:tc>
      </w:tr>
      <w:tr w:rsidR="00BC5B50" w:rsidRPr="007762FD" w14:paraId="1CEEE668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7FCFDFCB" w14:textId="77777777" w:rsidR="00BC5B50" w:rsidRPr="00BC5B50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  <w:rPr>
                <w:lang w:val="en-US"/>
              </w:rPr>
            </w:pPr>
            <w:r w:rsidRPr="004A6654">
              <w:rPr>
                <w:lang w:val="en-US"/>
              </w:rPr>
              <w:t>ECE/TRANS/WP.15/AC.1/2022/7 (</w:t>
            </w:r>
            <w:r>
              <w:t>ЕСФХП</w:t>
            </w:r>
            <w:r w:rsidRPr="004A6654">
              <w:rPr>
                <w:lang w:val="en-US"/>
              </w:rPr>
              <w:t>/</w:t>
            </w:r>
            <w:r>
              <w:t>МСАГВ</w:t>
            </w:r>
            <w:r w:rsidRPr="004A6654">
              <w:rPr>
                <w:lang w:val="en-US"/>
              </w:rPr>
              <w:t>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64C9632F" w14:textId="79A4123B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>Определение «сверхбольших контейнеров-цистерн» и</w:t>
            </w:r>
            <w:r w:rsidR="00A208DD" w:rsidRPr="00A208DD">
              <w:t xml:space="preserve"> </w:t>
            </w:r>
            <w:r>
              <w:t>сопутствующие поправки</w:t>
            </w:r>
          </w:p>
        </w:tc>
      </w:tr>
      <w:tr w:rsidR="00BC5B50" w:rsidRPr="007762FD" w14:paraId="0A403390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1409DF94" w14:textId="77777777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>ECE/TRANS/WP.15/AC.1/2022/9 (секретариат ОТИФ)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59D2E24B" w14:textId="77777777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>Исключение переходных мер для вагонов-цистерн</w:t>
            </w:r>
          </w:p>
        </w:tc>
      </w:tr>
      <w:tr w:rsidR="00BC5B50" w:rsidRPr="007762FD" w14:paraId="19BFB7B9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5C06C665" w14:textId="77777777" w:rsidR="00BC5B50" w:rsidRPr="00BC5B50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  <w:rPr>
                <w:lang w:val="en-US"/>
              </w:rPr>
            </w:pPr>
            <w:r w:rsidRPr="004A6654">
              <w:rPr>
                <w:lang w:val="en-US"/>
              </w:rPr>
              <w:t>ECE/TRANS/WP.15/AC.1/2022/10 (</w:t>
            </w:r>
            <w:r>
              <w:t>МСАГВ</w:t>
            </w:r>
            <w:r w:rsidRPr="004A6654">
              <w:rPr>
                <w:lang w:val="en-US"/>
              </w:rPr>
              <w:t>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0AF5FB8B" w14:textId="7CC68C8C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 xml:space="preserve">Аттестация процедур сварки </w:t>
            </w:r>
            <w:r w:rsidR="00767DEE" w:rsidRPr="00767DEE">
              <w:t>—</w:t>
            </w:r>
            <w:r>
              <w:t xml:space="preserve"> толкование стандарта EN</w:t>
            </w:r>
            <w:r w:rsidR="00767DEE">
              <w:rPr>
                <w:lang w:val="en-US"/>
              </w:rPr>
              <w:t> </w:t>
            </w:r>
            <w:r>
              <w:t>14025</w:t>
            </w:r>
          </w:p>
        </w:tc>
      </w:tr>
      <w:tr w:rsidR="00BC5B50" w:rsidRPr="007762FD" w14:paraId="3A147891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6AF7FED5" w14:textId="77777777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>ECE/TRANS/WP.15/AC.1/2022/12 (Ассоциация «Сжиженный газ — Европа»)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46F82E49" w14:textId="77777777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 xml:space="preserve">Маркировка цистерн, перевозящих воспламеняющиеся сжиженные </w:t>
            </w:r>
            <w:proofErr w:type="spellStart"/>
            <w:r>
              <w:t>газы</w:t>
            </w:r>
            <w:proofErr w:type="spellEnd"/>
            <w:r>
              <w:t>, которые оборудованы предохранительными клапанами</w:t>
            </w:r>
          </w:p>
        </w:tc>
      </w:tr>
      <w:tr w:rsidR="00BC5B50" w:rsidRPr="007762FD" w14:paraId="41AF084F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3E62288B" w14:textId="77777777" w:rsidR="00BC5B50" w:rsidRPr="00BC5B50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  <w:rPr>
                <w:lang w:val="en-US"/>
              </w:rPr>
            </w:pPr>
            <w:r w:rsidRPr="004A6654">
              <w:rPr>
                <w:lang w:val="en-US"/>
              </w:rPr>
              <w:lastRenderedPageBreak/>
              <w:t>ECE/TRANS/WP.15/AC.1/2022/13 (</w:t>
            </w:r>
            <w:r>
              <w:t>Германия</w:t>
            </w:r>
            <w:r w:rsidRPr="004A6654">
              <w:rPr>
                <w:lang w:val="en-US"/>
              </w:rPr>
              <w:t>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56BA3C7A" w14:textId="77777777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>Вакуумные цистерны для отходов: взрывозащита неэлектрического оборудования</w:t>
            </w:r>
          </w:p>
        </w:tc>
      </w:tr>
      <w:tr w:rsidR="00BC5B50" w:rsidRPr="007762FD" w14:paraId="7F7C4150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72DE9F6E" w14:textId="7F8DD926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>ECE/TRANS/WP.15/AC.1/2022/16 (Нидерланды) и неофициальный документ INF.32 осенней сессии 2021</w:t>
            </w:r>
            <w:r w:rsidR="00767DEE">
              <w:rPr>
                <w:lang w:val="en-US"/>
              </w:rPr>
              <w:t> </w:t>
            </w:r>
            <w:r>
              <w:t>года (Председатель специальной рабочей группы)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61972BE8" w14:textId="3561FABA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>Мгновенно закрывающиеся/</w:t>
            </w:r>
            <w:r w:rsidR="00B83F33" w:rsidRPr="00B83F33">
              <w:t xml:space="preserve"> </w:t>
            </w:r>
            <w:r>
              <w:t>автоматические запорные клапаны на</w:t>
            </w:r>
            <w:r w:rsidR="00B83F33">
              <w:rPr>
                <w:lang w:val="en-US"/>
              </w:rPr>
              <w:t> </w:t>
            </w:r>
            <w:r>
              <w:t xml:space="preserve">расположенных в газовой фазе соединениях криогенных цистерн, перевозящих воспламеняющиеся </w:t>
            </w:r>
            <w:proofErr w:type="spellStart"/>
            <w:r>
              <w:t>газы</w:t>
            </w:r>
            <w:proofErr w:type="spellEnd"/>
          </w:p>
        </w:tc>
      </w:tr>
      <w:tr w:rsidR="00BC5B50" w:rsidRPr="007762FD" w14:paraId="709EF04D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5CE298B1" w14:textId="77777777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>ECE/TRANS/WP.15/AC.1/2022/17 (Соединенное Королевство)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7C08973D" w14:textId="2640D07E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>Замечания по новым пунктам 1.8.6.2.1, 6.8.1.5.3 b) и</w:t>
            </w:r>
            <w:r w:rsidR="00767DEE">
              <w:rPr>
                <w:lang w:val="en-US"/>
              </w:rPr>
              <w:t> </w:t>
            </w:r>
            <w:r>
              <w:t>6.8.1.5.4 b), содержащимся в</w:t>
            </w:r>
            <w:r w:rsidR="00A208DD">
              <w:rPr>
                <w:lang w:val="en-US"/>
              </w:rPr>
              <w:t> </w:t>
            </w:r>
            <w:r>
              <w:t>документе ECE/TRANS/WP.15/AC.1/</w:t>
            </w:r>
            <w:r w:rsidR="00A208DD" w:rsidRPr="00A208DD">
              <w:t xml:space="preserve"> </w:t>
            </w:r>
            <w:r>
              <w:t>2021/23/Rev.1</w:t>
            </w:r>
            <w:bookmarkStart w:id="1" w:name="_Hlk90281674"/>
            <w:bookmarkEnd w:id="1"/>
          </w:p>
        </w:tc>
      </w:tr>
      <w:tr w:rsidR="00BC5B50" w:rsidRPr="007762FD" w14:paraId="5C149B50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1C759E9B" w14:textId="77777777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>ECE/TRANS/WP.15/AC.1/2022/18 (Соединенное Королевство)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675251AF" w14:textId="26B7328B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>Замечания по примечаниям к новым пунктам</w:t>
            </w:r>
            <w:r w:rsidR="00767DEE">
              <w:rPr>
                <w:lang w:val="en-US"/>
              </w:rPr>
              <w:t> </w:t>
            </w:r>
            <w:r>
              <w:t>6.8.1.5.1</w:t>
            </w:r>
            <w:r w:rsidR="00767DEE">
              <w:rPr>
                <w:lang w:val="en-US"/>
              </w:rPr>
              <w:t> </w:t>
            </w:r>
            <w:r>
              <w:t>а) и 6.8.1.5.4 а), содержащимся в документе ECE/TRANS/WP.15/AC.1/2021/23/Rev.1</w:t>
            </w:r>
          </w:p>
        </w:tc>
      </w:tr>
      <w:tr w:rsidR="00BC5B50" w:rsidRPr="007762FD" w14:paraId="16490677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1D9725C1" w14:textId="0AA5D343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>ECE/TRANS/WP.15/AC.1/2021/34/Rev.1 и</w:t>
            </w:r>
            <w:r w:rsidR="00A208DD">
              <w:rPr>
                <w:lang w:val="en-US"/>
              </w:rPr>
              <w:t> </w:t>
            </w:r>
            <w:r>
              <w:t>неофициальный документ INF.17 осенней сессии 2021 года (Швейцария)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4A9020D9" w14:textId="68439FEC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 xml:space="preserve">Проверка и утверждение цистерн: разъяснения по поправкам, вступление в силу которых запланировано на 1 января 2023 года </w:t>
            </w:r>
            <w:r w:rsidR="00767DEE" w:rsidRPr="00CF5280">
              <w:t>—</w:t>
            </w:r>
            <w:r>
              <w:t xml:space="preserve"> Пересмотр документа ECE/TRANS/WP.15/AC.1/2021/34</w:t>
            </w:r>
          </w:p>
        </w:tc>
      </w:tr>
      <w:tr w:rsidR="00BC5B50" w:rsidRPr="007762FD" w14:paraId="1B552A0D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0A89D0B6" w14:textId="77777777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>Неофициальный документ INF.3 осенней сессии 2021 года (Нидерланды)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6418828C" w14:textId="44B21B32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>Специальное положение TT4 пункта</w:t>
            </w:r>
            <w:r w:rsidR="00A208DD">
              <w:rPr>
                <w:lang w:val="en-US"/>
              </w:rPr>
              <w:t> </w:t>
            </w:r>
            <w:r>
              <w:t>6.8.4</w:t>
            </w:r>
            <w:r w:rsidR="00A208DD">
              <w:rPr>
                <w:lang w:val="en-US"/>
              </w:rPr>
              <w:t> </w:t>
            </w:r>
            <w:r>
              <w:t>d) МПОГ</w:t>
            </w:r>
          </w:p>
        </w:tc>
      </w:tr>
      <w:tr w:rsidR="00BC5B50" w:rsidRPr="007762FD" w14:paraId="07A9B71C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2D3AEB7F" w14:textId="77777777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>Неофициальный документ INF.11 весенней сессии 2021 года (Соединенное Королевство) и неофициальный документ INF.6 осенней сессии 2021 года (МАИАКП)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48693882" w14:textId="6272B834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>Неразрушающие испытания в соответствии с пунктом</w:t>
            </w:r>
            <w:r w:rsidR="00CF5280">
              <w:rPr>
                <w:lang w:val="en-US"/>
              </w:rPr>
              <w:t> </w:t>
            </w:r>
            <w:r>
              <w:t>6.8.2.1.23</w:t>
            </w:r>
          </w:p>
        </w:tc>
      </w:tr>
    </w:tbl>
    <w:p w14:paraId="55E5D92C" w14:textId="77777777" w:rsidR="00BC5B50" w:rsidRPr="00E36479" w:rsidRDefault="00BC5B50" w:rsidP="00BC5B50">
      <w:pPr>
        <w:pStyle w:val="H1G"/>
      </w:pPr>
      <w:r>
        <w:tab/>
      </w:r>
      <w:r w:rsidRPr="00E36479">
        <w:t>3.</w:t>
      </w:r>
      <w:r w:rsidRPr="00E36479">
        <w:tab/>
        <w:t>Стандарты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BC5B50" w:rsidRPr="007762FD" w14:paraId="01AF4FCE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4F633EA9" w14:textId="77777777" w:rsidR="00BC5B50" w:rsidRPr="00BC5B50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  <w:rPr>
                <w:lang w:val="en-US"/>
              </w:rPr>
            </w:pPr>
            <w:r w:rsidRPr="004A6654">
              <w:rPr>
                <w:lang w:val="en-US"/>
              </w:rPr>
              <w:t>ECE/TRANS/WP.15/AC.1/2022/11 (</w:t>
            </w:r>
            <w:r>
              <w:t>ЕКС</w:t>
            </w:r>
            <w:r w:rsidRPr="004A6654">
              <w:rPr>
                <w:lang w:val="en-US"/>
              </w:rPr>
              <w:t>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2D67C9A3" w14:textId="37A3A7FF" w:rsidR="00BC5B50" w:rsidRPr="004A6654" w:rsidRDefault="00BC5B5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>Информация о работе Рабочей группы по</w:t>
            </w:r>
            <w:r w:rsidR="00A208DD">
              <w:rPr>
                <w:lang w:val="en-US"/>
              </w:rPr>
              <w:t> </w:t>
            </w:r>
            <w:r>
              <w:t>стандартам</w:t>
            </w:r>
          </w:p>
        </w:tc>
      </w:tr>
    </w:tbl>
    <w:p w14:paraId="6EEF5CF6" w14:textId="77777777" w:rsidR="00BC5B50" w:rsidRPr="0058117C" w:rsidRDefault="00BC5B50" w:rsidP="00BC5B50">
      <w:pPr>
        <w:pStyle w:val="H1G"/>
      </w:pPr>
      <w:r>
        <w:tab/>
      </w:r>
      <w:r w:rsidRPr="0058117C">
        <w:t>4.</w:t>
      </w:r>
      <w:r w:rsidRPr="0058117C">
        <w:tab/>
        <w:t>Толкование МПОГ/ДОПОГ/ВОПОГ</w:t>
      </w:r>
    </w:p>
    <w:p w14:paraId="6FCE2E12" w14:textId="18F97D3B" w:rsidR="00BC5B50" w:rsidRPr="004A6654" w:rsidRDefault="00BC5B50" w:rsidP="00BC5B50">
      <w:pPr>
        <w:pStyle w:val="SingleTxtG"/>
      </w:pPr>
      <w:r>
        <w:tab/>
        <w:t>Никаких документов по этому пункту повестки дня не представлено.</w:t>
      </w:r>
    </w:p>
    <w:p w14:paraId="53CA5E40" w14:textId="77777777" w:rsidR="00BC5B50" w:rsidRPr="0058117C" w:rsidRDefault="00BC5B50" w:rsidP="00BC5B50">
      <w:pPr>
        <w:pStyle w:val="H1G"/>
      </w:pPr>
      <w:r>
        <w:tab/>
      </w:r>
      <w:r w:rsidRPr="0058117C">
        <w:t>5.</w:t>
      </w:r>
      <w:r w:rsidRPr="0058117C">
        <w:tab/>
        <w:t>Предложения о внесении поправок в МПОГ/ДОПОГ/ВОПОГ</w:t>
      </w:r>
    </w:p>
    <w:p w14:paraId="158EA4E1" w14:textId="77777777" w:rsidR="00BC5B50" w:rsidRPr="004A74EC" w:rsidRDefault="00BC5B50" w:rsidP="00A80AB0">
      <w:pPr>
        <w:pStyle w:val="H23G"/>
      </w:pPr>
      <w:r>
        <w:tab/>
        <w:t>a)</w:t>
      </w:r>
      <w:r>
        <w:tab/>
        <w:t>Нерассмотренные вопросы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A80AB0" w:rsidRPr="007762FD" w14:paraId="763F41EB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67B99D2C" w14:textId="77777777" w:rsidR="00A80AB0" w:rsidRPr="00A80AB0" w:rsidRDefault="00A80AB0" w:rsidP="00A208D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4A6654">
              <w:rPr>
                <w:lang w:val="en-US"/>
              </w:rPr>
              <w:t>ECE/TRANS/WP.15/AC.1/2022/6 (</w:t>
            </w:r>
            <w:r>
              <w:t>МАКБ</w:t>
            </w:r>
            <w:r w:rsidRPr="004A6654">
              <w:rPr>
                <w:lang w:val="en-US"/>
              </w:rPr>
              <w:t>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56CFA023" w14:textId="77777777" w:rsidR="00A80AB0" w:rsidRPr="004A6654" w:rsidRDefault="00A80AB0" w:rsidP="00A208DD">
            <w:pPr>
              <w:pStyle w:val="SingleTxtG"/>
              <w:tabs>
                <w:tab w:val="left" w:pos="3720"/>
              </w:tabs>
              <w:ind w:left="0" w:right="0"/>
              <w:jc w:val="left"/>
            </w:pPr>
            <w:r>
              <w:t>Поправка к существующему специальному положению 668</w:t>
            </w:r>
          </w:p>
        </w:tc>
      </w:tr>
      <w:tr w:rsidR="00A80AB0" w:rsidRPr="007762FD" w14:paraId="6AE84FAA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73D0C117" w14:textId="77777777" w:rsidR="00A80AB0" w:rsidRPr="00A80AB0" w:rsidRDefault="00A80AB0" w:rsidP="00A208D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4A6654">
              <w:rPr>
                <w:lang w:val="en-US"/>
              </w:rPr>
              <w:t>ECE/TRANS/WP.15/AC.1/2022/8 (</w:t>
            </w:r>
            <w:r>
              <w:t>ЕАПГ</w:t>
            </w:r>
            <w:r w:rsidRPr="004A6654">
              <w:rPr>
                <w:lang w:val="en-US"/>
              </w:rPr>
              <w:t>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2A8C7EC7" w14:textId="6F09D9D4" w:rsidR="00A80AB0" w:rsidRPr="004A6654" w:rsidRDefault="00A80AB0" w:rsidP="00A208DD">
            <w:pPr>
              <w:pStyle w:val="SingleTxtG"/>
              <w:ind w:left="0" w:right="0"/>
              <w:jc w:val="left"/>
            </w:pPr>
            <w:r>
              <w:t>Предложение по изменению примечания,</w:t>
            </w:r>
            <w:r w:rsidR="00360A29">
              <w:rPr>
                <w:lang w:val="en-US"/>
              </w:rPr>
              <w:t> </w:t>
            </w:r>
            <w:r>
              <w:t>касающегося стандарта EN</w:t>
            </w:r>
            <w:r w:rsidR="00360A29">
              <w:rPr>
                <w:lang w:val="en-US"/>
              </w:rPr>
              <w:t> </w:t>
            </w:r>
            <w:r>
              <w:t>ISO 18119:2018, в пунктах 6.2.3.5.1 и</w:t>
            </w:r>
            <w:r w:rsidR="00360A29">
              <w:rPr>
                <w:lang w:val="en-US"/>
              </w:rPr>
              <w:t> </w:t>
            </w:r>
            <w:r>
              <w:t>6.2.4.2 МПОГ/ДОПОГ</w:t>
            </w:r>
          </w:p>
        </w:tc>
      </w:tr>
      <w:tr w:rsidR="00A80AB0" w:rsidRPr="007762FD" w14:paraId="42CDA8CF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6D450F83" w14:textId="77777777" w:rsidR="00A80AB0" w:rsidRPr="00A80AB0" w:rsidRDefault="00A80AB0" w:rsidP="00A208D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4A6654">
              <w:rPr>
                <w:lang w:val="en-US"/>
              </w:rPr>
              <w:t>ECE/TRANS/WP.15/AC.1/2022/20 (</w:t>
            </w:r>
            <w:r>
              <w:t>Швеция</w:t>
            </w:r>
            <w:r w:rsidRPr="004A6654">
              <w:rPr>
                <w:lang w:val="en-US"/>
              </w:rPr>
              <w:t>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0D70FE04" w14:textId="77777777" w:rsidR="00A80AB0" w:rsidRPr="000615AD" w:rsidRDefault="00A80AB0" w:rsidP="00A208DD">
            <w:pPr>
              <w:pStyle w:val="SingleTxtG"/>
              <w:ind w:left="0" w:right="0"/>
              <w:jc w:val="left"/>
              <w:rPr>
                <w:bCs/>
                <w:szCs w:val="28"/>
              </w:rPr>
            </w:pPr>
            <w:r>
              <w:t>Перевозка электроэнергетических систем, содержащих литий-ионные батареи</w:t>
            </w:r>
          </w:p>
        </w:tc>
      </w:tr>
    </w:tbl>
    <w:p w14:paraId="23648225" w14:textId="77777777" w:rsidR="00A80AB0" w:rsidRPr="00A80AB0" w:rsidRDefault="00A80AB0" w:rsidP="00A80AB0">
      <w:pPr>
        <w:pStyle w:val="H23G"/>
      </w:pPr>
      <w:r w:rsidRPr="00A80AB0">
        <w:lastRenderedPageBreak/>
        <w:tab/>
        <w:t>b)</w:t>
      </w:r>
      <w:r w:rsidRPr="00A80AB0">
        <w:tab/>
        <w:t>Новые предложения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A80AB0" w:rsidRPr="007762FD" w14:paraId="29C9EE7D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28CD8EE3" w14:textId="77777777" w:rsidR="00A80AB0" w:rsidRPr="00A80AB0" w:rsidRDefault="00A80AB0" w:rsidP="00A208D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4A6654">
              <w:rPr>
                <w:lang w:val="en-US"/>
              </w:rPr>
              <w:t>ECE/TRANS/WP.15/AC.1/2022/1 (</w:t>
            </w:r>
            <w:r>
              <w:t>Германия</w:t>
            </w:r>
            <w:r w:rsidRPr="004A6654">
              <w:rPr>
                <w:lang w:val="en-US"/>
              </w:rPr>
              <w:t>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70EF5CD9" w14:textId="7D2F7446" w:rsidR="00A80AB0" w:rsidRPr="004A6654" w:rsidRDefault="00A80AB0" w:rsidP="00A208DD">
            <w:pPr>
              <w:pStyle w:val="SingleTxtG"/>
              <w:ind w:left="0" w:right="0"/>
              <w:jc w:val="left"/>
            </w:pPr>
            <w:r>
              <w:t>Поправка к специальному положению</w:t>
            </w:r>
            <w:r w:rsidR="00197C53">
              <w:rPr>
                <w:lang w:val="en-US"/>
              </w:rPr>
              <w:t> </w:t>
            </w:r>
            <w:r>
              <w:t>376, касающемуся поврежденных или имеющих дефекты литий-ионных элементов или батарей и литий</w:t>
            </w:r>
            <w:r w:rsidR="00CF5280">
              <w:noBreakHyphen/>
            </w:r>
            <w:r>
              <w:t>металлических элементов или батарей</w:t>
            </w:r>
          </w:p>
        </w:tc>
      </w:tr>
      <w:tr w:rsidR="00A80AB0" w:rsidRPr="004A74EC" w14:paraId="7FFCBBC5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42CEFC6A" w14:textId="77777777" w:rsidR="00A80AB0" w:rsidRPr="004A6654" w:rsidRDefault="00A80AB0" w:rsidP="00197C53">
            <w:pPr>
              <w:pStyle w:val="SingleTxtG"/>
              <w:ind w:left="0" w:right="0"/>
              <w:jc w:val="left"/>
            </w:pPr>
            <w:r>
              <w:t>ECE/TRANS/WP.15/AC.1/2022/14 (Норвегия/Швеция)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19B64188" w14:textId="7B63E44D" w:rsidR="00A80AB0" w:rsidRPr="004A74EC" w:rsidRDefault="00A80AB0" w:rsidP="00197C53">
            <w:pPr>
              <w:pStyle w:val="SingleTxtG"/>
              <w:ind w:left="0" w:right="0"/>
              <w:jc w:val="left"/>
            </w:pPr>
            <w:r>
              <w:t xml:space="preserve">Пункт 1.10.4 </w:t>
            </w:r>
            <w:r w:rsidR="00CF5280">
              <w:rPr>
                <w:lang w:val="en-US"/>
              </w:rPr>
              <w:t>—</w:t>
            </w:r>
            <w:r>
              <w:t xml:space="preserve"> текст, касающийся подраздела 1.1.3.6</w:t>
            </w:r>
          </w:p>
        </w:tc>
      </w:tr>
      <w:tr w:rsidR="00A80AB0" w:rsidRPr="007762FD" w14:paraId="29BA5F86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1DBC6BB4" w14:textId="77777777" w:rsidR="00A80AB0" w:rsidRPr="00A80AB0" w:rsidRDefault="00A80AB0" w:rsidP="00197C53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4A6654">
              <w:rPr>
                <w:lang w:val="en-US"/>
              </w:rPr>
              <w:t>ECE/TRANS/WP.15/AC.1/2022/15 (</w:t>
            </w:r>
            <w:r>
              <w:t>Швеция</w:t>
            </w:r>
            <w:r w:rsidRPr="004A6654">
              <w:rPr>
                <w:lang w:val="en-US"/>
              </w:rPr>
              <w:t>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607CAB09" w14:textId="65851174" w:rsidR="00A80AB0" w:rsidRPr="004A6654" w:rsidRDefault="00A80AB0" w:rsidP="00197C53">
            <w:pPr>
              <w:pStyle w:val="SingleTxtG"/>
              <w:ind w:left="0" w:right="0"/>
              <w:jc w:val="left"/>
            </w:pPr>
            <w:r>
              <w:t xml:space="preserve">Перевозка остатков (отходов) краски </w:t>
            </w:r>
            <w:r w:rsidR="00CF5280" w:rsidRPr="00CF5280">
              <w:t>—</w:t>
            </w:r>
            <w:r>
              <w:t xml:space="preserve"> Изменение специального положения 650 и его назначение для №</w:t>
            </w:r>
            <w:r w:rsidR="00CF5280">
              <w:rPr>
                <w:lang w:val="en-US"/>
              </w:rPr>
              <w:t> </w:t>
            </w:r>
            <w:r>
              <w:t>ООН</w:t>
            </w:r>
            <w:r w:rsidR="00CF5280">
              <w:rPr>
                <w:lang w:val="en-US"/>
              </w:rPr>
              <w:t> </w:t>
            </w:r>
            <w:r>
              <w:t>3082</w:t>
            </w:r>
          </w:p>
        </w:tc>
      </w:tr>
      <w:tr w:rsidR="00A80AB0" w:rsidRPr="007762FD" w14:paraId="0266CA72" w14:textId="77777777" w:rsidTr="00A208DD">
        <w:tc>
          <w:tcPr>
            <w:tcW w:w="3685" w:type="dxa"/>
            <w:tcMar>
              <w:left w:w="28" w:type="dxa"/>
              <w:right w:w="28" w:type="dxa"/>
            </w:tcMar>
          </w:tcPr>
          <w:p w14:paraId="6DEF56B1" w14:textId="77777777" w:rsidR="00A80AB0" w:rsidRPr="00A80AB0" w:rsidRDefault="00A80AB0" w:rsidP="00197C53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4A6654">
              <w:rPr>
                <w:lang w:val="en-US"/>
              </w:rPr>
              <w:t>ECE/TRANS/WP.15/AC.1/2022/19 (</w:t>
            </w:r>
            <w:r>
              <w:t>Франция</w:t>
            </w:r>
            <w:r w:rsidRPr="004A6654">
              <w:rPr>
                <w:lang w:val="en-US"/>
              </w:rPr>
              <w:t>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14:paraId="11DDBB4A" w14:textId="6D41050E" w:rsidR="00A80AB0" w:rsidRPr="004A6654" w:rsidRDefault="00A80AB0" w:rsidP="00197C53">
            <w:pPr>
              <w:pStyle w:val="SingleTxtG"/>
              <w:ind w:left="0" w:right="0"/>
              <w:jc w:val="left"/>
            </w:pPr>
            <w:r>
              <w:t>Уточнение содержания свидетельства об</w:t>
            </w:r>
            <w:r w:rsidR="00197C53">
              <w:rPr>
                <w:lang w:val="en-US"/>
              </w:rPr>
              <w:t> </w:t>
            </w:r>
            <w:r>
              <w:t>официальном утверждении типа, упомянутого в пункте</w:t>
            </w:r>
            <w:r w:rsidR="00CF5280">
              <w:rPr>
                <w:lang w:val="en-US"/>
              </w:rPr>
              <w:t> </w:t>
            </w:r>
            <w:r>
              <w:t>1.8.7.2.2.1 МПОГ/ДОПОГ</w:t>
            </w:r>
          </w:p>
        </w:tc>
      </w:tr>
    </w:tbl>
    <w:p w14:paraId="5635991F" w14:textId="77777777" w:rsidR="00A80AB0" w:rsidRPr="000B5ECD" w:rsidRDefault="00A80AB0" w:rsidP="00A80AB0">
      <w:pPr>
        <w:pStyle w:val="H1G"/>
      </w:pPr>
      <w:r>
        <w:tab/>
      </w:r>
      <w:r w:rsidRPr="000B5ECD">
        <w:t>6.</w:t>
      </w:r>
      <w:r w:rsidRPr="000B5ECD">
        <w:tab/>
        <w:t>Доклады неофициальных рабочих групп</w:t>
      </w:r>
    </w:p>
    <w:p w14:paraId="614028C7" w14:textId="2D922126" w:rsidR="00A80AB0" w:rsidRPr="004A6654" w:rsidRDefault="00A80AB0" w:rsidP="00A80AB0">
      <w:pPr>
        <w:pStyle w:val="SingleTxtG"/>
      </w:pPr>
      <w:r>
        <w:tab/>
        <w:t>Никаких документов по этому пункту повестки дня не представлено.</w:t>
      </w:r>
    </w:p>
    <w:p w14:paraId="7569576C" w14:textId="77777777" w:rsidR="00A80AB0" w:rsidRPr="000A7658" w:rsidRDefault="00A80AB0" w:rsidP="00A80AB0">
      <w:pPr>
        <w:pStyle w:val="H1G"/>
      </w:pPr>
      <w:r w:rsidRPr="000A7658">
        <w:tab/>
        <w:t>7.</w:t>
      </w:r>
      <w:r w:rsidRPr="000A7658">
        <w:tab/>
        <w:t>Аварии и управление рисками</w:t>
      </w:r>
    </w:p>
    <w:p w14:paraId="654BB11C" w14:textId="50226E32" w:rsidR="00A80AB0" w:rsidRPr="004A6654" w:rsidRDefault="00A80AB0" w:rsidP="00A80AB0">
      <w:pPr>
        <w:pStyle w:val="SingleTxtG"/>
      </w:pPr>
      <w:r>
        <w:tab/>
        <w:t>Никаких документов по этому пункту повестки дня не представлено.</w:t>
      </w:r>
      <w:bookmarkStart w:id="2" w:name="_Hlk91496170"/>
    </w:p>
    <w:bookmarkEnd w:id="2"/>
    <w:p w14:paraId="23D66826" w14:textId="77777777" w:rsidR="00A80AB0" w:rsidRPr="000A7658" w:rsidRDefault="00A80AB0" w:rsidP="00A80AB0">
      <w:pPr>
        <w:pStyle w:val="H1G"/>
      </w:pPr>
      <w:r>
        <w:tab/>
      </w:r>
      <w:r w:rsidRPr="000A7658">
        <w:t>8.</w:t>
      </w:r>
      <w:r w:rsidRPr="000A7658">
        <w:tab/>
        <w:t>Будущая работа</w:t>
      </w:r>
    </w:p>
    <w:p w14:paraId="73663FA3" w14:textId="53EA580B" w:rsidR="00A80AB0" w:rsidRPr="004A6654" w:rsidRDefault="00A80AB0" w:rsidP="00A80AB0">
      <w:pPr>
        <w:pStyle w:val="SingleTxtG"/>
      </w:pPr>
      <w:r>
        <w:tab/>
        <w:t>Совместное совещание, возможно, пожелает определить структуру повестки дня своей осенней сессии 2022 года (Женева, 12–16 сентября 2022 года).</w:t>
      </w:r>
    </w:p>
    <w:p w14:paraId="34A43525" w14:textId="77777777" w:rsidR="00A80AB0" w:rsidRPr="00034DEF" w:rsidRDefault="00A80AB0" w:rsidP="00A80AB0">
      <w:pPr>
        <w:pStyle w:val="H1G"/>
      </w:pPr>
      <w:r>
        <w:tab/>
      </w:r>
      <w:r w:rsidRPr="00034DEF">
        <w:t>9.</w:t>
      </w:r>
      <w:r w:rsidRPr="00034DEF">
        <w:tab/>
        <w:t>Прочие вопросы</w:t>
      </w:r>
    </w:p>
    <w:p w14:paraId="1A9799B2" w14:textId="60407CB4" w:rsidR="00A80AB0" w:rsidRPr="004A6654" w:rsidRDefault="00A80AB0" w:rsidP="00A80AB0">
      <w:pPr>
        <w:pStyle w:val="SingleTxtG"/>
      </w:pPr>
      <w:r>
        <w:tab/>
        <w:t>Никаких документов по этому пункту повестки дня не представлено.</w:t>
      </w:r>
    </w:p>
    <w:p w14:paraId="44EFFF8E" w14:textId="77777777" w:rsidR="00A80AB0" w:rsidRPr="007762FD" w:rsidRDefault="00A80AB0" w:rsidP="00A80AB0">
      <w:pPr>
        <w:pStyle w:val="H1G"/>
      </w:pPr>
      <w:r>
        <w:tab/>
      </w:r>
      <w:r w:rsidRPr="00034DEF">
        <w:t>10.</w:t>
      </w:r>
      <w:r w:rsidRPr="00034DEF">
        <w:tab/>
        <w:t>Утверждение доклада</w:t>
      </w:r>
    </w:p>
    <w:p w14:paraId="462BC5C6" w14:textId="24FCF603" w:rsidR="00A80AB0" w:rsidRPr="000615AD" w:rsidRDefault="00A80AB0" w:rsidP="00A80AB0">
      <w:pPr>
        <w:pStyle w:val="SingleTxtG"/>
      </w:pPr>
      <w:r>
        <w:tab/>
        <w:t>В соответствии с установившейся практикой Совместное совещание утвердит доклад о работе своей сессии на основе проекта, подготовленного секретариатом.</w:t>
      </w:r>
    </w:p>
    <w:p w14:paraId="36B5F3A9" w14:textId="177684CB" w:rsidR="00BC5B50" w:rsidRPr="00A80AB0" w:rsidRDefault="00A80AB0" w:rsidP="00A80AB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C5B50" w:rsidRPr="00A80AB0" w:rsidSect="00BC5B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1B3DC" w14:textId="77777777" w:rsidR="007D5D1D" w:rsidRPr="00A312BC" w:rsidRDefault="007D5D1D" w:rsidP="00A312BC"/>
  </w:endnote>
  <w:endnote w:type="continuationSeparator" w:id="0">
    <w:p w14:paraId="76A05817" w14:textId="77777777" w:rsidR="007D5D1D" w:rsidRPr="00A312BC" w:rsidRDefault="007D5D1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41A2" w14:textId="1DFFFC7F" w:rsidR="00BC5B50" w:rsidRPr="00BC5B50" w:rsidRDefault="00BC5B50">
    <w:pPr>
      <w:pStyle w:val="Footer"/>
    </w:pPr>
    <w:r w:rsidRPr="00BC5B50">
      <w:rPr>
        <w:b/>
        <w:sz w:val="18"/>
      </w:rPr>
      <w:fldChar w:fldCharType="begin"/>
    </w:r>
    <w:r w:rsidRPr="00BC5B50">
      <w:rPr>
        <w:b/>
        <w:sz w:val="18"/>
      </w:rPr>
      <w:instrText xml:space="preserve"> PAGE  \* MERGEFORMAT </w:instrText>
    </w:r>
    <w:r w:rsidRPr="00BC5B50">
      <w:rPr>
        <w:b/>
        <w:sz w:val="18"/>
      </w:rPr>
      <w:fldChar w:fldCharType="separate"/>
    </w:r>
    <w:r w:rsidRPr="00BC5B50">
      <w:rPr>
        <w:b/>
        <w:noProof/>
        <w:sz w:val="18"/>
      </w:rPr>
      <w:t>2</w:t>
    </w:r>
    <w:r w:rsidRPr="00BC5B50">
      <w:rPr>
        <w:b/>
        <w:sz w:val="18"/>
      </w:rPr>
      <w:fldChar w:fldCharType="end"/>
    </w:r>
    <w:r>
      <w:rPr>
        <w:b/>
        <w:sz w:val="18"/>
      </w:rPr>
      <w:tab/>
    </w:r>
    <w:r>
      <w:t>GE.21-19748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68DE4" w14:textId="0567FCFB" w:rsidR="00BC5B50" w:rsidRPr="00BC5B50" w:rsidRDefault="00BC5B50" w:rsidP="00BC5B50">
    <w:pPr>
      <w:pStyle w:val="Footer"/>
      <w:tabs>
        <w:tab w:val="clear" w:pos="9639"/>
        <w:tab w:val="right" w:pos="9638"/>
      </w:tabs>
      <w:rPr>
        <w:b/>
        <w:sz w:val="18"/>
      </w:rPr>
    </w:pPr>
    <w:r>
      <w:t>GE.21-19748</w:t>
    </w:r>
    <w:r>
      <w:tab/>
    </w:r>
    <w:r w:rsidRPr="00BC5B50">
      <w:rPr>
        <w:b/>
        <w:sz w:val="18"/>
      </w:rPr>
      <w:fldChar w:fldCharType="begin"/>
    </w:r>
    <w:r w:rsidRPr="00BC5B50">
      <w:rPr>
        <w:b/>
        <w:sz w:val="18"/>
      </w:rPr>
      <w:instrText xml:space="preserve"> PAGE  \* MERGEFORMAT </w:instrText>
    </w:r>
    <w:r w:rsidRPr="00BC5B50">
      <w:rPr>
        <w:b/>
        <w:sz w:val="18"/>
      </w:rPr>
      <w:fldChar w:fldCharType="separate"/>
    </w:r>
    <w:r w:rsidRPr="00BC5B50">
      <w:rPr>
        <w:b/>
        <w:noProof/>
        <w:sz w:val="18"/>
      </w:rPr>
      <w:t>3</w:t>
    </w:r>
    <w:r w:rsidRPr="00BC5B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A91FF" w14:textId="3A203E1A" w:rsidR="00042B72" w:rsidRPr="00BC5B50" w:rsidRDefault="00BC5B50" w:rsidP="00BC5B5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94B14F" wp14:editId="457C999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19748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546A55D" wp14:editId="3F56338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140122  170122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0A70A" w14:textId="77777777" w:rsidR="007D5D1D" w:rsidRPr="001075E9" w:rsidRDefault="007D5D1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F015B9" w14:textId="77777777" w:rsidR="007D5D1D" w:rsidRDefault="007D5D1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99A0004" w14:textId="5BAB2C67" w:rsidR="00BC5B50" w:rsidRPr="004A6654" w:rsidRDefault="00BC5B50" w:rsidP="00BC5B50">
      <w:pPr>
        <w:pStyle w:val="FootnoteText"/>
      </w:pPr>
      <w:r>
        <w:tab/>
      </w:r>
      <w:r w:rsidRPr="00BC5B50">
        <w:rPr>
          <w:rStyle w:val="FootnoteReference"/>
          <w:sz w:val="20"/>
          <w:vertAlign w:val="baseline"/>
        </w:rPr>
        <w:sym w:font="Symbol" w:char="F02A"/>
      </w:r>
      <w:r>
        <w:tab/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D85EB" w14:textId="075B8558" w:rsidR="00BC5B50" w:rsidRPr="00BC5B50" w:rsidRDefault="00DB66B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F5C19">
      <w:t>ECE/TRANS/WP.15/AC.1/163/Add.1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62BDD" w14:textId="5C8EDEBE" w:rsidR="00BC5B50" w:rsidRPr="00BC5B50" w:rsidRDefault="00DB66BB" w:rsidP="00BC5B5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F5C19">
      <w:t>ECE/TRANS/WP.15/AC.1/163/Add.1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FE001" w14:textId="77777777" w:rsidR="00BC5B50" w:rsidRDefault="00BC5B50" w:rsidP="00BC5B5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1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97C53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0A29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65CC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7DEE"/>
    <w:rsid w:val="00792497"/>
    <w:rsid w:val="007D5D1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08DD"/>
    <w:rsid w:val="00A312BC"/>
    <w:rsid w:val="00A80AB0"/>
    <w:rsid w:val="00A84021"/>
    <w:rsid w:val="00A84D35"/>
    <w:rsid w:val="00A917B3"/>
    <w:rsid w:val="00AB4B51"/>
    <w:rsid w:val="00B10CC7"/>
    <w:rsid w:val="00B36DF7"/>
    <w:rsid w:val="00B539E7"/>
    <w:rsid w:val="00B62458"/>
    <w:rsid w:val="00B83F33"/>
    <w:rsid w:val="00BC18B2"/>
    <w:rsid w:val="00BC5B50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280"/>
    <w:rsid w:val="00CF55F6"/>
    <w:rsid w:val="00D33D63"/>
    <w:rsid w:val="00D5253A"/>
    <w:rsid w:val="00D873A8"/>
    <w:rsid w:val="00D90028"/>
    <w:rsid w:val="00D90138"/>
    <w:rsid w:val="00D9145B"/>
    <w:rsid w:val="00DB66B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BF621"/>
  <w15:docId w15:val="{A944B95C-967C-45F6-8F38-F10E9D87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BC5B50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info/Transport/events/36295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otif.org/en/?page_id=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tif.org/de/?page_id=1124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ECE/TRANS/WP.15/AC.1/163/Add.1</vt:lpstr>
      <vt:lpstr>A/</vt:lpstr>
      <vt:lpstr>A/</vt:lpstr>
    </vt:vector>
  </TitlesOfParts>
  <Company>DCM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ECE/TRANS/WP.15/AC.1/163/Add.1</dc:title>
  <dc:subject/>
  <dc:creator>Shuvalova NATALIA</dc:creator>
  <cp:keywords/>
  <cp:lastModifiedBy>Christine Barrio-Champeau</cp:lastModifiedBy>
  <cp:revision>2</cp:revision>
  <cp:lastPrinted>2022-01-17T12:59:00Z</cp:lastPrinted>
  <dcterms:created xsi:type="dcterms:W3CDTF">2022-01-24T08:04:00Z</dcterms:created>
  <dcterms:modified xsi:type="dcterms:W3CDTF">2022-01-24T08:04:00Z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