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1B73C8" w14:paraId="2B7DF6DB" w14:textId="77777777" w:rsidTr="00C97039">
        <w:trPr>
          <w:trHeight w:hRule="exact" w:val="851"/>
        </w:trPr>
        <w:tc>
          <w:tcPr>
            <w:tcW w:w="1276" w:type="dxa"/>
            <w:tcBorders>
              <w:bottom w:val="single" w:sz="4" w:space="0" w:color="auto"/>
            </w:tcBorders>
          </w:tcPr>
          <w:p w14:paraId="0F0E5D92" w14:textId="77777777" w:rsidR="00F35BAF" w:rsidRPr="00DB58B5" w:rsidRDefault="00F35BAF" w:rsidP="001B73C8"/>
        </w:tc>
        <w:tc>
          <w:tcPr>
            <w:tcW w:w="2268" w:type="dxa"/>
            <w:tcBorders>
              <w:bottom w:val="single" w:sz="4" w:space="0" w:color="auto"/>
            </w:tcBorders>
            <w:vAlign w:val="bottom"/>
          </w:tcPr>
          <w:p w14:paraId="35285460"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739B267" w14:textId="64141125" w:rsidR="00F35BAF" w:rsidRPr="001B73C8" w:rsidRDefault="001B73C8" w:rsidP="001B73C8">
            <w:pPr>
              <w:jc w:val="right"/>
              <w:rPr>
                <w:lang w:val="en-US"/>
              </w:rPr>
            </w:pPr>
            <w:r w:rsidRPr="001B73C8">
              <w:rPr>
                <w:sz w:val="40"/>
                <w:lang w:val="en-US"/>
              </w:rPr>
              <w:t>ECE</w:t>
            </w:r>
            <w:r w:rsidRPr="001B73C8">
              <w:rPr>
                <w:lang w:val="en-US"/>
              </w:rPr>
              <w:t>/TRANS/WP.15/AC.1/163/Add.1</w:t>
            </w:r>
          </w:p>
        </w:tc>
      </w:tr>
      <w:tr w:rsidR="00F35BAF" w:rsidRPr="00DB58B5" w14:paraId="466FD74B" w14:textId="77777777" w:rsidTr="00C97039">
        <w:trPr>
          <w:trHeight w:hRule="exact" w:val="2835"/>
        </w:trPr>
        <w:tc>
          <w:tcPr>
            <w:tcW w:w="1276" w:type="dxa"/>
            <w:tcBorders>
              <w:top w:val="single" w:sz="4" w:space="0" w:color="auto"/>
              <w:bottom w:val="single" w:sz="12" w:space="0" w:color="auto"/>
            </w:tcBorders>
          </w:tcPr>
          <w:p w14:paraId="1A73F672" w14:textId="77777777" w:rsidR="00F35BAF" w:rsidRPr="00DB58B5" w:rsidRDefault="00F35BAF" w:rsidP="00C97039">
            <w:pPr>
              <w:spacing w:before="120"/>
              <w:jc w:val="center"/>
            </w:pPr>
            <w:r>
              <w:rPr>
                <w:noProof/>
                <w:lang w:eastAsia="fr-CH"/>
              </w:rPr>
              <w:drawing>
                <wp:inline distT="0" distB="0" distL="0" distR="0" wp14:anchorId="2EDD873B" wp14:editId="0399A2B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DC22072"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97281BC" w14:textId="77777777" w:rsidR="00F35BAF" w:rsidRDefault="001B73C8" w:rsidP="00C97039">
            <w:pPr>
              <w:spacing w:before="240"/>
            </w:pPr>
            <w:r>
              <w:t>Distr. générale</w:t>
            </w:r>
          </w:p>
          <w:p w14:paraId="22A6A0C3" w14:textId="0F3EED5F" w:rsidR="001B73C8" w:rsidRDefault="001B73C8" w:rsidP="001B73C8">
            <w:pPr>
              <w:spacing w:line="240" w:lineRule="exact"/>
            </w:pPr>
            <w:r>
              <w:t>28 décembre 2021</w:t>
            </w:r>
          </w:p>
          <w:p w14:paraId="111D9A82" w14:textId="77777777" w:rsidR="001B73C8" w:rsidRDefault="001B73C8" w:rsidP="001B73C8">
            <w:pPr>
              <w:spacing w:line="240" w:lineRule="exact"/>
            </w:pPr>
            <w:r>
              <w:t>Français</w:t>
            </w:r>
          </w:p>
          <w:p w14:paraId="4B63959F" w14:textId="369F8383" w:rsidR="001B73C8" w:rsidRPr="00DB58B5" w:rsidRDefault="001B73C8" w:rsidP="001B73C8">
            <w:pPr>
              <w:spacing w:line="240" w:lineRule="exact"/>
            </w:pPr>
            <w:r>
              <w:t>Original : anglais</w:t>
            </w:r>
          </w:p>
        </w:tc>
      </w:tr>
    </w:tbl>
    <w:p w14:paraId="4BA32C9D" w14:textId="77777777" w:rsidR="007F20FA" w:rsidRPr="000312C0" w:rsidRDefault="007F20FA" w:rsidP="007F20FA">
      <w:pPr>
        <w:spacing w:before="120"/>
        <w:rPr>
          <w:b/>
          <w:sz w:val="28"/>
          <w:szCs w:val="28"/>
        </w:rPr>
      </w:pPr>
      <w:r w:rsidRPr="000312C0">
        <w:rPr>
          <w:b/>
          <w:sz w:val="28"/>
          <w:szCs w:val="28"/>
        </w:rPr>
        <w:t>Commission économique pour l’Europe</w:t>
      </w:r>
    </w:p>
    <w:p w14:paraId="4DF3711B" w14:textId="77777777" w:rsidR="007F20FA" w:rsidRDefault="007F20FA" w:rsidP="007F20FA">
      <w:pPr>
        <w:spacing w:before="120"/>
        <w:rPr>
          <w:sz w:val="28"/>
          <w:szCs w:val="28"/>
        </w:rPr>
      </w:pPr>
      <w:r w:rsidRPr="00685843">
        <w:rPr>
          <w:sz w:val="28"/>
          <w:szCs w:val="28"/>
        </w:rPr>
        <w:t>Comité des transports intérieurs</w:t>
      </w:r>
    </w:p>
    <w:p w14:paraId="22B37D79" w14:textId="77777777" w:rsidR="001B73C8" w:rsidRPr="009E01B8" w:rsidRDefault="001B73C8" w:rsidP="00AF0CB5">
      <w:pPr>
        <w:spacing w:before="120"/>
        <w:rPr>
          <w:b/>
          <w:sz w:val="24"/>
          <w:szCs w:val="24"/>
        </w:rPr>
      </w:pPr>
      <w:r w:rsidRPr="009E01B8">
        <w:rPr>
          <w:b/>
          <w:sz w:val="24"/>
          <w:szCs w:val="24"/>
        </w:rPr>
        <w:t>Groupe de travail des transports de marchandises dangereuses</w:t>
      </w:r>
    </w:p>
    <w:p w14:paraId="5AE162FF" w14:textId="08500EB9" w:rsidR="001B73C8" w:rsidRPr="00926E87" w:rsidRDefault="001B73C8" w:rsidP="00AF0CB5">
      <w:pPr>
        <w:spacing w:before="120"/>
        <w:rPr>
          <w:b/>
        </w:rPr>
      </w:pPr>
      <w:r w:rsidRPr="00926E87">
        <w:rPr>
          <w:b/>
        </w:rPr>
        <w:t>Réunion commune de la Commission d’experts du RID</w:t>
      </w:r>
      <w:r>
        <w:rPr>
          <w:b/>
        </w:rPr>
        <w:t xml:space="preserve"> </w:t>
      </w:r>
      <w:r w:rsidRPr="00926E87">
        <w:rPr>
          <w:b/>
        </w:rPr>
        <w:t>et</w:t>
      </w:r>
      <w:r>
        <w:rPr>
          <w:b/>
        </w:rPr>
        <w:t xml:space="preserve"> </w:t>
      </w:r>
      <w:r>
        <w:rPr>
          <w:b/>
        </w:rPr>
        <w:br/>
      </w:r>
      <w:r w:rsidRPr="00926E87">
        <w:rPr>
          <w:b/>
        </w:rPr>
        <w:t>du Groupe de travail</w:t>
      </w:r>
      <w:r>
        <w:rPr>
          <w:b/>
        </w:rPr>
        <w:t xml:space="preserve"> </w:t>
      </w:r>
      <w:r w:rsidRPr="00926E87">
        <w:rPr>
          <w:b/>
        </w:rPr>
        <w:t>des transports de marchandises dangereuses</w:t>
      </w:r>
    </w:p>
    <w:p w14:paraId="139FBAE3" w14:textId="0705A71C" w:rsidR="001B73C8" w:rsidRDefault="001B73C8" w:rsidP="00AF0CB5">
      <w:pPr>
        <w:spacing w:before="120"/>
      </w:pPr>
      <w:r>
        <w:t>Bern, 14-18 mars 2022</w:t>
      </w:r>
    </w:p>
    <w:p w14:paraId="71D15FAB" w14:textId="2C0308DF" w:rsidR="001B73C8" w:rsidRDefault="001B73C8" w:rsidP="00AF0CB5">
      <w:r w:rsidRPr="00B93E72">
        <w:t>Point</w:t>
      </w:r>
      <w:r>
        <w:t> 1</w:t>
      </w:r>
      <w:r w:rsidRPr="00B93E72">
        <w:t xml:space="preserve"> de l’ordre du jour provisoire</w:t>
      </w:r>
    </w:p>
    <w:p w14:paraId="317EA6B6" w14:textId="77777777" w:rsidR="001B73C8" w:rsidRPr="001B73C8" w:rsidRDefault="001B73C8" w:rsidP="001B73C8">
      <w:pPr>
        <w:rPr>
          <w:b/>
          <w:bCs/>
          <w:lang w:val="fr-FR"/>
        </w:rPr>
      </w:pPr>
      <w:r w:rsidRPr="001B73C8">
        <w:rPr>
          <w:b/>
          <w:bCs/>
          <w:lang w:val="fr-FR"/>
        </w:rPr>
        <w:t>Adoption de l’ordre du jour</w:t>
      </w:r>
    </w:p>
    <w:p w14:paraId="62CE5E4B" w14:textId="77777777" w:rsidR="001B73C8" w:rsidRPr="007473ED" w:rsidRDefault="001B73C8" w:rsidP="001B73C8">
      <w:pPr>
        <w:pStyle w:val="HChG"/>
        <w:rPr>
          <w:lang w:val="fr-FR"/>
        </w:rPr>
      </w:pPr>
      <w:r w:rsidRPr="007473ED">
        <w:rPr>
          <w:lang w:val="fr-FR"/>
        </w:rPr>
        <w:tab/>
      </w:r>
      <w:r w:rsidRPr="007473ED">
        <w:rPr>
          <w:lang w:val="fr-FR"/>
        </w:rPr>
        <w:tab/>
        <w:t>Ordre du jour provisoire de la session d</w:t>
      </w:r>
      <w:r>
        <w:rPr>
          <w:lang w:val="fr-FR"/>
        </w:rPr>
        <w:t>u</w:t>
      </w:r>
      <w:r w:rsidRPr="007473ED">
        <w:rPr>
          <w:lang w:val="fr-FR"/>
        </w:rPr>
        <w:t xml:space="preserve"> printemps 2022</w:t>
      </w:r>
    </w:p>
    <w:p w14:paraId="22045CB5" w14:textId="77777777" w:rsidR="001B73C8" w:rsidRPr="007473ED" w:rsidRDefault="001B73C8" w:rsidP="001B73C8">
      <w:pPr>
        <w:pStyle w:val="H23G"/>
        <w:rPr>
          <w:lang w:val="fr-FR"/>
        </w:rPr>
      </w:pPr>
      <w:r w:rsidRPr="007473ED">
        <w:rPr>
          <w:lang w:val="fr-FR"/>
        </w:rPr>
        <w:tab/>
      </w:r>
      <w:r w:rsidRPr="007473ED">
        <w:rPr>
          <w:lang w:val="fr-FR"/>
        </w:rPr>
        <w:tab/>
        <w:t>Additif</w:t>
      </w:r>
    </w:p>
    <w:p w14:paraId="1C655017" w14:textId="02DF89D8" w:rsidR="001B73C8" w:rsidRPr="007473ED" w:rsidRDefault="001B73C8" w:rsidP="001B73C8">
      <w:pPr>
        <w:pStyle w:val="H1G"/>
        <w:rPr>
          <w:lang w:val="fr-FR"/>
        </w:rPr>
      </w:pPr>
      <w:r w:rsidRPr="007473ED">
        <w:rPr>
          <w:lang w:val="fr-FR"/>
        </w:rPr>
        <w:tab/>
      </w:r>
      <w:r w:rsidRPr="007473ED">
        <w:rPr>
          <w:lang w:val="fr-FR"/>
        </w:rPr>
        <w:tab/>
        <w:t>Annotations et liste des documents</w:t>
      </w:r>
      <w:r w:rsidRPr="001B73C8">
        <w:rPr>
          <w:rStyle w:val="FootnoteReference"/>
          <w:b w:val="0"/>
          <w:bCs/>
          <w:sz w:val="20"/>
          <w:vertAlign w:val="baseline"/>
        </w:rPr>
        <w:footnoteReference w:customMarkFollows="1" w:id="2"/>
        <w:t>*</w:t>
      </w:r>
    </w:p>
    <w:p w14:paraId="75BE4F01" w14:textId="77777777" w:rsidR="001B73C8" w:rsidRPr="00A50AFB" w:rsidRDefault="001B73C8" w:rsidP="00E47240">
      <w:pPr>
        <w:pStyle w:val="H1G"/>
        <w:rPr>
          <w:lang w:val="fr-FR"/>
        </w:rPr>
      </w:pPr>
      <w:r w:rsidRPr="00A50AFB">
        <w:rPr>
          <w:lang w:val="fr-FR"/>
        </w:rPr>
        <w:tab/>
        <w:t>1.</w:t>
      </w:r>
      <w:r w:rsidRPr="00A50AFB">
        <w:rPr>
          <w:lang w:val="fr-FR"/>
        </w:rPr>
        <w:tab/>
        <w:t>Adoption de l</w:t>
      </w:r>
      <w:r>
        <w:rPr>
          <w:lang w:val="fr-FR"/>
        </w:rPr>
        <w:t>’</w:t>
      </w:r>
      <w:r w:rsidRPr="00A50AFB">
        <w:rPr>
          <w:lang w:val="fr-FR"/>
        </w:rPr>
        <w:t>ordre du jour</w:t>
      </w:r>
    </w:p>
    <w:p w14:paraId="20E9D299" w14:textId="3134A476" w:rsidR="001B73C8" w:rsidRPr="007473ED" w:rsidRDefault="001B73C8" w:rsidP="001B73C8">
      <w:pPr>
        <w:pStyle w:val="SingleTxtG"/>
        <w:ind w:firstLine="567"/>
        <w:rPr>
          <w:lang w:val="fr-FR"/>
        </w:rPr>
      </w:pPr>
      <w:r w:rsidRPr="007473ED">
        <w:rPr>
          <w:lang w:val="fr-FR"/>
        </w:rPr>
        <w:t>Le premier point de l</w:t>
      </w:r>
      <w:r>
        <w:rPr>
          <w:lang w:val="fr-FR"/>
        </w:rPr>
        <w:t>’</w:t>
      </w:r>
      <w:r w:rsidRPr="007473ED">
        <w:rPr>
          <w:lang w:val="fr-FR"/>
        </w:rPr>
        <w:t>ordre du jour concerne son adoption. La Réunion commune disposera également du rapport sur sa session d</w:t>
      </w:r>
      <w:r>
        <w:rPr>
          <w:lang w:val="fr-FR"/>
        </w:rPr>
        <w:t>’</w:t>
      </w:r>
      <w:r w:rsidRPr="007473ED">
        <w:rPr>
          <w:lang w:val="fr-FR"/>
        </w:rPr>
        <w:t>automne 2021, tenue à Genève du 21</w:t>
      </w:r>
      <w:r>
        <w:rPr>
          <w:lang w:val="fr-FR"/>
        </w:rPr>
        <w:t> </w:t>
      </w:r>
      <w:r w:rsidRPr="007473ED">
        <w:rPr>
          <w:lang w:val="fr-FR"/>
        </w:rPr>
        <w:t>septembre 2021 au 1</w:t>
      </w:r>
      <w:r w:rsidRPr="007473ED">
        <w:rPr>
          <w:vertAlign w:val="superscript"/>
          <w:lang w:val="fr-FR"/>
        </w:rPr>
        <w:t>er</w:t>
      </w:r>
      <w:r>
        <w:rPr>
          <w:lang w:val="fr-FR"/>
        </w:rPr>
        <w:t> </w:t>
      </w:r>
      <w:r w:rsidRPr="007473ED">
        <w:rPr>
          <w:lang w:val="fr-FR"/>
        </w:rPr>
        <w:t xml:space="preserve">octobre 2021 (ECE/TRANS/WP.15/AC.1/162 </w:t>
      </w:r>
      <w:r>
        <w:rPr>
          <w:lang w:val="fr-FR"/>
        </w:rPr>
        <w:t>−</w:t>
      </w:r>
      <w:r w:rsidRPr="007473ED">
        <w:rPr>
          <w:lang w:val="fr-FR"/>
        </w:rPr>
        <w:t xml:space="preserve"> OTIF/RID/RC/2021-B et Add.1).</w:t>
      </w:r>
    </w:p>
    <w:p w14:paraId="45410D86" w14:textId="1D692968" w:rsidR="001B73C8" w:rsidRPr="007473ED" w:rsidRDefault="001B73C8" w:rsidP="001B73C8">
      <w:pPr>
        <w:pStyle w:val="SingleTxtG"/>
        <w:ind w:firstLine="567"/>
        <w:rPr>
          <w:lang w:val="fr-FR"/>
        </w:rPr>
      </w:pPr>
      <w:r w:rsidRPr="007473ED">
        <w:rPr>
          <w:lang w:val="fr-FR"/>
        </w:rPr>
        <w:tab/>
        <w:t>Il convient de rappeler les points suivants</w:t>
      </w:r>
      <w:r>
        <w:rPr>
          <w:lang w:val="fr-FR"/>
        </w:rPr>
        <w:t> </w:t>
      </w:r>
      <w:r w:rsidRPr="007473ED">
        <w:rPr>
          <w:lang w:val="fr-FR"/>
        </w:rPr>
        <w:t>:</w:t>
      </w:r>
    </w:p>
    <w:p w14:paraId="6BB0B4A1" w14:textId="73A66E87" w:rsidR="001B73C8" w:rsidRPr="007473ED" w:rsidRDefault="001B73C8" w:rsidP="001B73C8">
      <w:pPr>
        <w:pStyle w:val="SingleTxtG"/>
        <w:ind w:firstLine="567"/>
        <w:rPr>
          <w:lang w:val="fr-FR"/>
        </w:rPr>
      </w:pPr>
      <w:r w:rsidRPr="007473ED">
        <w:rPr>
          <w:lang w:val="fr-FR"/>
        </w:rPr>
        <w:t>a)</w:t>
      </w:r>
      <w:r w:rsidRPr="007473ED">
        <w:rPr>
          <w:lang w:val="fr-FR"/>
        </w:rPr>
        <w:tab/>
        <w:t>À la session d</w:t>
      </w:r>
      <w:r>
        <w:rPr>
          <w:lang w:val="fr-FR"/>
        </w:rPr>
        <w:t>’</w:t>
      </w:r>
      <w:r w:rsidRPr="007473ED">
        <w:rPr>
          <w:lang w:val="fr-FR"/>
        </w:rPr>
        <w:t>automne 2021, M.</w:t>
      </w:r>
      <w:r>
        <w:rPr>
          <w:lang w:val="fr-FR"/>
        </w:rPr>
        <w:t> </w:t>
      </w:r>
      <w:r w:rsidRPr="007473ED">
        <w:rPr>
          <w:lang w:val="fr-FR"/>
        </w:rPr>
        <w:t>C.</w:t>
      </w:r>
      <w:r>
        <w:rPr>
          <w:lang w:val="fr-FR"/>
        </w:rPr>
        <w:t> </w:t>
      </w:r>
      <w:r w:rsidRPr="007473ED">
        <w:rPr>
          <w:lang w:val="fr-FR"/>
        </w:rPr>
        <w:t>Pfauvadel (France) a été réélu Président de la Réunion commune pour 2022, et M</w:t>
      </w:r>
      <w:r w:rsidRPr="001B73C8">
        <w:rPr>
          <w:vertAlign w:val="superscript"/>
          <w:lang w:val="fr-FR"/>
        </w:rPr>
        <w:t>me</w:t>
      </w:r>
      <w:r>
        <w:rPr>
          <w:lang w:val="fr-FR"/>
        </w:rPr>
        <w:t> </w:t>
      </w:r>
      <w:r w:rsidRPr="007473ED">
        <w:rPr>
          <w:lang w:val="fr-FR"/>
        </w:rPr>
        <w:t>S.</w:t>
      </w:r>
      <w:r>
        <w:rPr>
          <w:lang w:val="fr-FR"/>
        </w:rPr>
        <w:t> </w:t>
      </w:r>
      <w:r w:rsidRPr="007473ED">
        <w:rPr>
          <w:lang w:val="fr-FR"/>
        </w:rPr>
        <w:t>García Wolfrum (Espagne) a été réélue Vice</w:t>
      </w:r>
      <w:r>
        <w:rPr>
          <w:lang w:val="fr-FR"/>
        </w:rPr>
        <w:noBreakHyphen/>
      </w:r>
      <w:r w:rsidRPr="007473ED">
        <w:rPr>
          <w:lang w:val="fr-FR"/>
        </w:rPr>
        <w:t>Présidente.</w:t>
      </w:r>
    </w:p>
    <w:p w14:paraId="750E745A" w14:textId="77777777" w:rsidR="001B73C8" w:rsidRPr="007473ED" w:rsidRDefault="001B73C8" w:rsidP="001B73C8">
      <w:pPr>
        <w:pStyle w:val="SingleTxtG"/>
        <w:ind w:firstLine="567"/>
        <w:rPr>
          <w:lang w:val="fr-FR"/>
        </w:rPr>
      </w:pPr>
      <w:r w:rsidRPr="007473ED">
        <w:rPr>
          <w:lang w:val="fr-FR"/>
        </w:rPr>
        <w:t>b)</w:t>
      </w:r>
      <w:r w:rsidRPr="007473ED">
        <w:rPr>
          <w:lang w:val="fr-FR"/>
        </w:rPr>
        <w:tab/>
        <w:t>Les documents de la CEE (autres que les ordres du jour ou les rapports) portant la cote ECE/TRANS/WP.15/AC.1/ sont diffusés par l</w:t>
      </w:r>
      <w:r>
        <w:rPr>
          <w:lang w:val="fr-FR"/>
        </w:rPr>
        <w:t>’</w:t>
      </w:r>
      <w:r w:rsidRPr="007473ED">
        <w:rPr>
          <w:lang w:val="fr-FR"/>
        </w:rPr>
        <w:t>Organisation intergouvernementale pour les transports internationaux ferroviaires (OTIF) en allemand sous la cote OTIF/RID/RC/ complétée par le même numéro de document. Par souci d</w:t>
      </w:r>
      <w:r>
        <w:rPr>
          <w:lang w:val="fr-FR"/>
        </w:rPr>
        <w:t>’</w:t>
      </w:r>
      <w:r w:rsidRPr="007473ED">
        <w:rPr>
          <w:lang w:val="fr-FR"/>
        </w:rPr>
        <w:t>économie, les documents ne seront pas disponibles en salle. Les représentants sont priés de se rendre à la session munis de leurs exemplaires des documents.</w:t>
      </w:r>
    </w:p>
    <w:p w14:paraId="4692A83E" w14:textId="3EF875DC" w:rsidR="001B73C8" w:rsidRPr="007473ED" w:rsidRDefault="001B73C8" w:rsidP="001B73C8">
      <w:pPr>
        <w:pStyle w:val="SingleTxtG"/>
        <w:ind w:firstLine="567"/>
        <w:rPr>
          <w:lang w:val="fr-FR"/>
        </w:rPr>
      </w:pPr>
      <w:r w:rsidRPr="007473ED">
        <w:rPr>
          <w:lang w:val="fr-FR"/>
        </w:rPr>
        <w:t>c)</w:t>
      </w:r>
      <w:r w:rsidRPr="007473ED">
        <w:rPr>
          <w:lang w:val="fr-FR"/>
        </w:rPr>
        <w:tab/>
        <w:t>Les documents seront mis à disposition en anglais, en français et en russe sur le site Web de la CEE (</w:t>
      </w:r>
      <w:hyperlink r:id="rId8" w:history="1">
        <w:r w:rsidRPr="001B73C8">
          <w:rPr>
            <w:rStyle w:val="Hyperlink"/>
            <w:lang w:val="fr-FR"/>
          </w:rPr>
          <w:t>https://unece.org/info/Transport/events/362959</w:t>
        </w:r>
      </w:hyperlink>
      <w:r w:rsidRPr="007473ED">
        <w:rPr>
          <w:lang w:val="fr-FR"/>
        </w:rPr>
        <w:t>) et en allemand sur le site Web de l</w:t>
      </w:r>
      <w:r>
        <w:rPr>
          <w:lang w:val="fr-FR"/>
        </w:rPr>
        <w:t>’</w:t>
      </w:r>
      <w:r w:rsidRPr="007473ED">
        <w:rPr>
          <w:lang w:val="fr-FR"/>
        </w:rPr>
        <w:t>OTIF (</w:t>
      </w:r>
      <w:hyperlink r:id="rId9" w:history="1">
        <w:r w:rsidRPr="001B73C8">
          <w:rPr>
            <w:rStyle w:val="Hyperlink"/>
            <w:lang w:val="fr-FR"/>
          </w:rPr>
          <w:t>http://otif.org/de/?page_id=1124</w:t>
        </w:r>
      </w:hyperlink>
      <w:r w:rsidRPr="007473ED">
        <w:rPr>
          <w:lang w:val="fr-FR"/>
        </w:rPr>
        <w:t>).</w:t>
      </w:r>
    </w:p>
    <w:p w14:paraId="034D1CA2" w14:textId="20ADF397" w:rsidR="001B73C8" w:rsidRPr="007473ED" w:rsidRDefault="001B73C8" w:rsidP="001B73C8">
      <w:pPr>
        <w:pStyle w:val="SingleTxtG"/>
        <w:ind w:firstLine="567"/>
        <w:rPr>
          <w:lang w:val="fr-FR"/>
        </w:rPr>
      </w:pPr>
      <w:r w:rsidRPr="007473ED">
        <w:rPr>
          <w:lang w:val="fr-FR"/>
        </w:rPr>
        <w:t>d)</w:t>
      </w:r>
      <w:r w:rsidRPr="007473ED">
        <w:rPr>
          <w:lang w:val="fr-FR"/>
        </w:rPr>
        <w:tab/>
        <w:t>La Réunion commune souhaitera éventuellement, si nécessaire, qu</w:t>
      </w:r>
      <w:r>
        <w:rPr>
          <w:lang w:val="fr-FR"/>
        </w:rPr>
        <w:t>’</w:t>
      </w:r>
      <w:r w:rsidRPr="007473ED">
        <w:rPr>
          <w:lang w:val="fr-FR"/>
        </w:rPr>
        <w:t>un groupe de travail spécial se réunisse en dehors des heures de session plénière pour examiner les documents relatifs aux normes (point</w:t>
      </w:r>
      <w:r>
        <w:rPr>
          <w:lang w:val="fr-FR"/>
        </w:rPr>
        <w:t> </w:t>
      </w:r>
      <w:r w:rsidRPr="007473ED">
        <w:rPr>
          <w:lang w:val="fr-FR"/>
        </w:rPr>
        <w:t>3), conformément au mandat qu</w:t>
      </w:r>
      <w:r>
        <w:rPr>
          <w:lang w:val="fr-FR"/>
        </w:rPr>
        <w:t>’</w:t>
      </w:r>
      <w:r w:rsidRPr="007473ED">
        <w:rPr>
          <w:lang w:val="fr-FR"/>
        </w:rPr>
        <w:t>elle établira.</w:t>
      </w:r>
    </w:p>
    <w:p w14:paraId="4050189E" w14:textId="70754997" w:rsidR="001B73C8" w:rsidRPr="007473ED" w:rsidRDefault="001B73C8" w:rsidP="001B73C8">
      <w:pPr>
        <w:pStyle w:val="SingleTxtG"/>
        <w:ind w:firstLine="567"/>
        <w:rPr>
          <w:lang w:val="fr-FR"/>
        </w:rPr>
      </w:pPr>
      <w:r w:rsidRPr="007473ED">
        <w:rPr>
          <w:lang w:val="fr-FR"/>
        </w:rPr>
        <w:lastRenderedPageBreak/>
        <w:t>e)</w:t>
      </w:r>
      <w:r w:rsidRPr="007473ED">
        <w:rPr>
          <w:lang w:val="fr-FR"/>
        </w:rPr>
        <w:tab/>
        <w:t>La Réunion commune souhaitera éventuellement, si nécessaire, qu</w:t>
      </w:r>
      <w:r>
        <w:rPr>
          <w:lang w:val="fr-FR"/>
        </w:rPr>
        <w:t>’</w:t>
      </w:r>
      <w:r w:rsidRPr="007473ED">
        <w:rPr>
          <w:lang w:val="fr-FR"/>
        </w:rPr>
        <w:t>un groupe de travail spécial se réunisse en parallèle de sa session pour examiner les documents relatifs aux citernes (point</w:t>
      </w:r>
      <w:r>
        <w:rPr>
          <w:lang w:val="fr-FR"/>
        </w:rPr>
        <w:t> </w:t>
      </w:r>
      <w:r w:rsidRPr="007473ED">
        <w:rPr>
          <w:lang w:val="fr-FR"/>
        </w:rPr>
        <w:t>2) après examen de ce point en séance plénière.</w:t>
      </w:r>
    </w:p>
    <w:p w14:paraId="5BCD2DDB" w14:textId="54200190" w:rsidR="001B73C8" w:rsidRPr="007473ED" w:rsidRDefault="001B73C8" w:rsidP="001B73C8">
      <w:pPr>
        <w:pStyle w:val="SingleTxtG"/>
        <w:ind w:firstLine="567"/>
        <w:rPr>
          <w:lang w:val="fr-FR"/>
        </w:rPr>
      </w:pPr>
      <w:r w:rsidRPr="007473ED">
        <w:rPr>
          <w:lang w:val="fr-FR"/>
        </w:rPr>
        <w:t>f)</w:t>
      </w:r>
      <w:r w:rsidRPr="007473ED">
        <w:rPr>
          <w:lang w:val="fr-FR"/>
        </w:rPr>
        <w:tab/>
        <w:t>La lecture du rapport (point</w:t>
      </w:r>
      <w:r>
        <w:rPr>
          <w:lang w:val="fr-FR"/>
        </w:rPr>
        <w:t> </w:t>
      </w:r>
      <w:r w:rsidRPr="007473ED">
        <w:rPr>
          <w:lang w:val="fr-FR"/>
        </w:rPr>
        <w:t>10) devrait avoir lieu le vendredi matin, 18</w:t>
      </w:r>
      <w:r>
        <w:rPr>
          <w:lang w:val="fr-FR"/>
        </w:rPr>
        <w:t> </w:t>
      </w:r>
      <w:r w:rsidRPr="007473ED">
        <w:rPr>
          <w:lang w:val="fr-FR"/>
        </w:rPr>
        <w:t>mars 2022, sans interprétation.</w:t>
      </w:r>
    </w:p>
    <w:p w14:paraId="69650DD6" w14:textId="73D62FC0" w:rsidR="001B73C8" w:rsidRPr="007473ED" w:rsidRDefault="001B73C8" w:rsidP="001B73C8">
      <w:pPr>
        <w:pStyle w:val="SingleTxtG"/>
        <w:ind w:firstLine="567"/>
        <w:rPr>
          <w:lang w:val="fr-FR"/>
        </w:rPr>
      </w:pPr>
      <w:r w:rsidRPr="007473ED">
        <w:rPr>
          <w:lang w:val="fr-FR"/>
        </w:rPr>
        <w:t>g)</w:t>
      </w:r>
      <w:r w:rsidRPr="007473ED">
        <w:rPr>
          <w:lang w:val="fr-FR"/>
        </w:rPr>
        <w:tab/>
        <w:t>Du fait de la pandémie de COVID-19 et des restrictions techniques actuellement en vigueur à l</w:t>
      </w:r>
      <w:r>
        <w:rPr>
          <w:lang w:val="fr-FR"/>
        </w:rPr>
        <w:t>’</w:t>
      </w:r>
      <w:r w:rsidRPr="007473ED">
        <w:rPr>
          <w:lang w:val="fr-FR"/>
        </w:rPr>
        <w:t>Union postale universelle (UPU), il n</w:t>
      </w:r>
      <w:r>
        <w:rPr>
          <w:lang w:val="fr-FR"/>
        </w:rPr>
        <w:t>’</w:t>
      </w:r>
      <w:r w:rsidRPr="007473ED">
        <w:rPr>
          <w:lang w:val="fr-FR"/>
        </w:rPr>
        <w:t>est pas encore possible de déterminer si les représentants pourront se réunir sur place ni la plateforme qui sera utilisée pour la tenue de la session. Des informations plus détaillées seront diffusées ultérieurement. Il importe donc que les représentants s</w:t>
      </w:r>
      <w:r>
        <w:rPr>
          <w:lang w:val="fr-FR"/>
        </w:rPr>
        <w:t>’</w:t>
      </w:r>
      <w:r w:rsidRPr="007473ED">
        <w:rPr>
          <w:lang w:val="fr-FR"/>
        </w:rPr>
        <w:t xml:space="preserve">inscrivent en remplissant le </w:t>
      </w:r>
      <w:hyperlink r:id="rId10" w:history="1">
        <w:r w:rsidRPr="001B73C8">
          <w:rPr>
            <w:rStyle w:val="Hyperlink"/>
            <w:lang w:val="fr-FR"/>
          </w:rPr>
          <w:t>formulaire en ligne</w:t>
        </w:r>
      </w:hyperlink>
      <w:r w:rsidRPr="007473ED">
        <w:rPr>
          <w:lang w:val="fr-FR"/>
        </w:rPr>
        <w:t xml:space="preserve"> d</w:t>
      </w:r>
      <w:r>
        <w:rPr>
          <w:lang w:val="fr-FR"/>
        </w:rPr>
        <w:t>’</w:t>
      </w:r>
      <w:r w:rsidRPr="007473ED">
        <w:rPr>
          <w:lang w:val="fr-FR"/>
        </w:rPr>
        <w:t>ici au 11</w:t>
      </w:r>
      <w:r>
        <w:rPr>
          <w:lang w:val="fr-FR"/>
        </w:rPr>
        <w:t> </w:t>
      </w:r>
      <w:r w:rsidRPr="007473ED">
        <w:rPr>
          <w:lang w:val="fr-FR"/>
        </w:rPr>
        <w:t>février 2022 afin d</w:t>
      </w:r>
      <w:r>
        <w:rPr>
          <w:lang w:val="fr-FR"/>
        </w:rPr>
        <w:t>’</w:t>
      </w:r>
      <w:r w:rsidRPr="007473ED">
        <w:rPr>
          <w:lang w:val="fr-FR"/>
        </w:rPr>
        <w:t>être informés des faits nouveaux.</w:t>
      </w:r>
    </w:p>
    <w:p w14:paraId="64D0BE6E" w14:textId="77777777" w:rsidR="001B73C8" w:rsidRPr="007473ED" w:rsidRDefault="001B73C8" w:rsidP="00E47240">
      <w:pPr>
        <w:pStyle w:val="H1G"/>
        <w:rPr>
          <w:szCs w:val="24"/>
          <w:lang w:val="fr-FR"/>
        </w:rPr>
      </w:pPr>
      <w:r w:rsidRPr="007473ED">
        <w:rPr>
          <w:lang w:val="fr-FR"/>
        </w:rPr>
        <w:tab/>
        <w:t>2.</w:t>
      </w:r>
      <w:r w:rsidRPr="007473ED">
        <w:rPr>
          <w:lang w:val="fr-FR"/>
        </w:rPr>
        <w:tab/>
        <w:t>Citernes</w:t>
      </w:r>
    </w:p>
    <w:tbl>
      <w:tblPr>
        <w:tblW w:w="7370" w:type="dxa"/>
        <w:tblInd w:w="1134" w:type="dxa"/>
        <w:tblLayout w:type="fixed"/>
        <w:tblCellMar>
          <w:left w:w="0" w:type="dxa"/>
          <w:right w:w="0" w:type="dxa"/>
        </w:tblCellMar>
        <w:tblLook w:val="01E0" w:firstRow="1" w:lastRow="1" w:firstColumn="1" w:lastColumn="1" w:noHBand="0" w:noVBand="0"/>
      </w:tblPr>
      <w:tblGrid>
        <w:gridCol w:w="3318"/>
        <w:gridCol w:w="4052"/>
      </w:tblGrid>
      <w:tr w:rsidR="001B73C8" w:rsidRPr="007B74E2" w14:paraId="637BF076" w14:textId="77777777" w:rsidTr="006D52BE">
        <w:tc>
          <w:tcPr>
            <w:tcW w:w="3318" w:type="dxa"/>
          </w:tcPr>
          <w:p w14:paraId="37266D2F" w14:textId="77777777" w:rsidR="001B73C8" w:rsidRPr="007473ED" w:rsidRDefault="001B73C8" w:rsidP="001B73C8">
            <w:pPr>
              <w:pStyle w:val="SingleTxtG"/>
              <w:ind w:left="0" w:right="170"/>
              <w:jc w:val="left"/>
              <w:rPr>
                <w:lang w:val="en-US"/>
              </w:rPr>
            </w:pPr>
            <w:r w:rsidRPr="007473ED">
              <w:rPr>
                <w:lang w:val="en-US"/>
              </w:rPr>
              <w:t>ECE/TRANS/WP.15/AC.1/2021/29 (UIC)</w:t>
            </w:r>
          </w:p>
        </w:tc>
        <w:tc>
          <w:tcPr>
            <w:tcW w:w="4052" w:type="dxa"/>
          </w:tcPr>
          <w:p w14:paraId="58377B24" w14:textId="77777777" w:rsidR="001B73C8" w:rsidRPr="007473ED" w:rsidRDefault="001B73C8" w:rsidP="001B73C8">
            <w:pPr>
              <w:pStyle w:val="SingleTxtG"/>
              <w:ind w:left="0" w:right="0"/>
              <w:jc w:val="left"/>
              <w:rPr>
                <w:lang w:val="fr-FR"/>
              </w:rPr>
            </w:pPr>
            <w:r w:rsidRPr="007473ED">
              <w:rPr>
                <w:lang w:val="fr-FR"/>
              </w:rPr>
              <w:t>Validité des dispositions relatives au temps de retenue pour les gaz liquéfiés réfrigérés</w:t>
            </w:r>
          </w:p>
        </w:tc>
      </w:tr>
      <w:tr w:rsidR="001B73C8" w:rsidRPr="007B74E2" w14:paraId="264C2016" w14:textId="77777777" w:rsidTr="006D52BE">
        <w:tc>
          <w:tcPr>
            <w:tcW w:w="3318" w:type="dxa"/>
          </w:tcPr>
          <w:p w14:paraId="24C4DDA6" w14:textId="7E71DC25" w:rsidR="001B73C8" w:rsidRPr="007473ED" w:rsidRDefault="001B73C8" w:rsidP="001B73C8">
            <w:pPr>
              <w:pStyle w:val="SingleTxtG"/>
              <w:ind w:left="0" w:right="170"/>
              <w:jc w:val="left"/>
              <w:rPr>
                <w:lang w:val="fr-FR"/>
              </w:rPr>
            </w:pPr>
            <w:r w:rsidRPr="007473ED">
              <w:rPr>
                <w:lang w:val="fr-FR"/>
              </w:rPr>
              <w:t>ECE/TRANS/WP.15/AC.1/2021/42 (Pays</w:t>
            </w:r>
            <w:r>
              <w:rPr>
                <w:lang w:val="fr-FR"/>
              </w:rPr>
              <w:noBreakHyphen/>
            </w:r>
            <w:r w:rsidRPr="007473ED">
              <w:rPr>
                <w:lang w:val="fr-FR"/>
              </w:rPr>
              <w:t>Bas)</w:t>
            </w:r>
          </w:p>
        </w:tc>
        <w:tc>
          <w:tcPr>
            <w:tcW w:w="4052" w:type="dxa"/>
          </w:tcPr>
          <w:p w14:paraId="2F77E9AB" w14:textId="77777777" w:rsidR="001B73C8" w:rsidRPr="007473ED" w:rsidRDefault="001B73C8" w:rsidP="001B73C8">
            <w:pPr>
              <w:pStyle w:val="SingleTxtG"/>
              <w:ind w:left="0" w:right="0"/>
              <w:jc w:val="left"/>
              <w:rPr>
                <w:lang w:val="fr-FR"/>
              </w:rPr>
            </w:pPr>
            <w:r w:rsidRPr="007473ED">
              <w:rPr>
                <w:lang w:val="fr-FR"/>
              </w:rPr>
              <w:t>Taux de remplissage pour les matières transportées à 50 °C et plus</w:t>
            </w:r>
          </w:p>
        </w:tc>
      </w:tr>
      <w:tr w:rsidR="001B73C8" w:rsidRPr="007B74E2" w14:paraId="4C14B972" w14:textId="77777777" w:rsidTr="006D52BE">
        <w:tc>
          <w:tcPr>
            <w:tcW w:w="3318" w:type="dxa"/>
          </w:tcPr>
          <w:p w14:paraId="5177B319" w14:textId="77777777" w:rsidR="001B73C8" w:rsidRPr="007473ED" w:rsidRDefault="001B73C8" w:rsidP="001B73C8">
            <w:pPr>
              <w:pStyle w:val="SingleTxtG"/>
              <w:ind w:left="0" w:right="170"/>
              <w:jc w:val="left"/>
              <w:rPr>
                <w:lang w:val="fr-FR"/>
              </w:rPr>
            </w:pPr>
            <w:r w:rsidRPr="007473ED">
              <w:rPr>
                <w:lang w:val="fr-FR"/>
              </w:rPr>
              <w:t>ECE/TRANS/WP.15/AC.1/2022/2 (Secrétariat de l</w:t>
            </w:r>
            <w:r>
              <w:rPr>
                <w:lang w:val="fr-FR"/>
              </w:rPr>
              <w:t>’</w:t>
            </w:r>
            <w:r w:rsidRPr="007473ED">
              <w:rPr>
                <w:lang w:val="fr-FR"/>
              </w:rPr>
              <w:t>OTIF)</w:t>
            </w:r>
          </w:p>
        </w:tc>
        <w:tc>
          <w:tcPr>
            <w:tcW w:w="4052" w:type="dxa"/>
          </w:tcPr>
          <w:p w14:paraId="781EAE61" w14:textId="2B27F458" w:rsidR="001B73C8" w:rsidRPr="007473ED" w:rsidRDefault="001B73C8" w:rsidP="001B73C8">
            <w:pPr>
              <w:pStyle w:val="SingleTxtG"/>
              <w:ind w:left="0" w:right="0"/>
              <w:jc w:val="left"/>
              <w:rPr>
                <w:lang w:val="fr-FR"/>
              </w:rPr>
            </w:pPr>
            <w:r w:rsidRPr="007473ED">
              <w:rPr>
                <w:lang w:val="fr-FR"/>
              </w:rPr>
              <w:t>Très grands conteneurs-citernes</w:t>
            </w:r>
            <w:r>
              <w:rPr>
                <w:lang w:val="fr-FR"/>
              </w:rPr>
              <w:t> </w:t>
            </w:r>
            <w:r w:rsidRPr="007473ED">
              <w:rPr>
                <w:lang w:val="fr-FR"/>
              </w:rPr>
              <w:t>: résistance à la pression des dispositifs de fermeture</w:t>
            </w:r>
          </w:p>
        </w:tc>
      </w:tr>
      <w:tr w:rsidR="001B73C8" w:rsidRPr="007B74E2" w14:paraId="04B59A7B" w14:textId="77777777" w:rsidTr="006D52BE">
        <w:tc>
          <w:tcPr>
            <w:tcW w:w="3318" w:type="dxa"/>
          </w:tcPr>
          <w:p w14:paraId="521B2E25" w14:textId="77777777" w:rsidR="001B73C8" w:rsidRPr="007473ED" w:rsidRDefault="001B73C8" w:rsidP="001B73C8">
            <w:pPr>
              <w:pStyle w:val="SingleTxtG"/>
              <w:ind w:left="0" w:right="170"/>
              <w:jc w:val="left"/>
              <w:rPr>
                <w:lang w:val="fr-FR"/>
              </w:rPr>
            </w:pPr>
            <w:r w:rsidRPr="007473ED">
              <w:rPr>
                <w:lang w:val="fr-FR"/>
              </w:rPr>
              <w:t>ECE/TRANS/WP.15/AC.1/2022/3 (Royaume-Uni).</w:t>
            </w:r>
          </w:p>
        </w:tc>
        <w:tc>
          <w:tcPr>
            <w:tcW w:w="4052" w:type="dxa"/>
          </w:tcPr>
          <w:p w14:paraId="77C61236" w14:textId="77777777" w:rsidR="001B73C8" w:rsidRPr="007A01B9" w:rsidRDefault="001B73C8" w:rsidP="001B73C8">
            <w:pPr>
              <w:pStyle w:val="SingleTxtG"/>
              <w:ind w:left="0" w:right="0"/>
              <w:jc w:val="left"/>
              <w:rPr>
                <w:lang w:val="fr-FR"/>
              </w:rPr>
            </w:pPr>
            <w:r w:rsidRPr="007473ED">
              <w:rPr>
                <w:lang w:val="fr-FR"/>
              </w:rPr>
              <w:t xml:space="preserve">Interprétation du paragraphe 6.8.2.2.11 </w:t>
            </w:r>
            <w:r w:rsidRPr="007A01B9">
              <w:rPr>
                <w:lang w:val="fr-FR"/>
              </w:rPr>
              <w:t>du RID et de l</w:t>
            </w:r>
            <w:r>
              <w:rPr>
                <w:lang w:val="fr-FR"/>
              </w:rPr>
              <w:t>’</w:t>
            </w:r>
            <w:r w:rsidRPr="007A01B9">
              <w:rPr>
                <w:lang w:val="fr-FR"/>
              </w:rPr>
              <w:t>ADR</w:t>
            </w:r>
            <w:r w:rsidRPr="007473ED">
              <w:rPr>
                <w:lang w:val="fr-FR"/>
              </w:rPr>
              <w:t xml:space="preserve"> </w:t>
            </w:r>
            <w:r w:rsidRPr="007A01B9">
              <w:rPr>
                <w:lang w:val="fr-FR"/>
              </w:rPr>
              <w:t>relatif aux jauges de niveau</w:t>
            </w:r>
          </w:p>
        </w:tc>
      </w:tr>
      <w:tr w:rsidR="001B73C8" w:rsidRPr="007B74E2" w14:paraId="374B2AB9" w14:textId="77777777" w:rsidTr="006D52BE">
        <w:tc>
          <w:tcPr>
            <w:tcW w:w="3318" w:type="dxa"/>
          </w:tcPr>
          <w:p w14:paraId="45F413B6" w14:textId="77777777" w:rsidR="001B73C8" w:rsidRPr="007A01B9" w:rsidRDefault="001B73C8" w:rsidP="001B73C8">
            <w:pPr>
              <w:pStyle w:val="SingleTxtG"/>
              <w:ind w:left="0" w:right="170"/>
              <w:jc w:val="left"/>
              <w:rPr>
                <w:lang w:val="fr-FR"/>
              </w:rPr>
            </w:pPr>
            <w:r w:rsidRPr="007A01B9">
              <w:rPr>
                <w:lang w:val="fr-FR"/>
              </w:rPr>
              <w:t>ECE/TRANS/WP.15/AC.1/2022/4 (Royaume-Uni).</w:t>
            </w:r>
          </w:p>
        </w:tc>
        <w:tc>
          <w:tcPr>
            <w:tcW w:w="4052" w:type="dxa"/>
          </w:tcPr>
          <w:p w14:paraId="3FA4FB58" w14:textId="77777777" w:rsidR="001B73C8" w:rsidRPr="007A01B9" w:rsidRDefault="001B73C8" w:rsidP="001B73C8">
            <w:pPr>
              <w:pStyle w:val="SingleTxtG"/>
              <w:ind w:left="0" w:right="0"/>
              <w:jc w:val="left"/>
              <w:rPr>
                <w:lang w:val="fr-FR"/>
              </w:rPr>
            </w:pPr>
            <w:r w:rsidRPr="007A01B9">
              <w:rPr>
                <w:lang w:val="fr-FR"/>
              </w:rPr>
              <w:t>Précisions concernant l</w:t>
            </w:r>
            <w:r>
              <w:rPr>
                <w:lang w:val="fr-FR"/>
              </w:rPr>
              <w:t>’</w:t>
            </w:r>
            <w:r w:rsidRPr="007A01B9">
              <w:rPr>
                <w:lang w:val="fr-FR"/>
              </w:rPr>
              <w:t>épaisseur requise pour les cloisons et les brise-flots dans le 6.8.2.1.20 de l</w:t>
            </w:r>
            <w:r>
              <w:rPr>
                <w:lang w:val="fr-FR"/>
              </w:rPr>
              <w:t>’</w:t>
            </w:r>
            <w:r w:rsidRPr="007A01B9">
              <w:rPr>
                <w:lang w:val="fr-FR"/>
              </w:rPr>
              <w:t>ADR</w:t>
            </w:r>
          </w:p>
        </w:tc>
      </w:tr>
      <w:tr w:rsidR="001B73C8" w:rsidRPr="007B74E2" w14:paraId="49992986" w14:textId="77777777" w:rsidTr="006D52BE">
        <w:tc>
          <w:tcPr>
            <w:tcW w:w="3318" w:type="dxa"/>
          </w:tcPr>
          <w:p w14:paraId="59B2C72F" w14:textId="77777777" w:rsidR="001B73C8" w:rsidRPr="007A01B9" w:rsidRDefault="001B73C8" w:rsidP="001B73C8">
            <w:pPr>
              <w:pStyle w:val="SingleTxtG"/>
              <w:ind w:left="0" w:right="170"/>
              <w:jc w:val="left"/>
              <w:rPr>
                <w:lang w:val="fr-FR"/>
              </w:rPr>
            </w:pPr>
            <w:r w:rsidRPr="007A01B9">
              <w:rPr>
                <w:lang w:val="fr-FR"/>
              </w:rPr>
              <w:t>ECE/TRANS/WP.15/AC.1/2022/5 (Royaume-Uni).</w:t>
            </w:r>
          </w:p>
        </w:tc>
        <w:tc>
          <w:tcPr>
            <w:tcW w:w="4052" w:type="dxa"/>
          </w:tcPr>
          <w:p w14:paraId="3A9036F5" w14:textId="3C5D482F" w:rsidR="001B73C8" w:rsidRPr="007A01B9" w:rsidRDefault="001B73C8" w:rsidP="001B73C8">
            <w:pPr>
              <w:pStyle w:val="SingleTxtG"/>
              <w:ind w:left="0" w:right="0"/>
              <w:jc w:val="left"/>
              <w:rPr>
                <w:lang w:val="fr-FR"/>
              </w:rPr>
            </w:pPr>
            <w:r w:rsidRPr="007A01B9">
              <w:rPr>
                <w:lang w:val="fr-FR"/>
              </w:rPr>
              <w:t xml:space="preserve">Observations concernant le document ECE/TRANS/WP.15/AC.1/2021/27 </w:t>
            </w:r>
            <w:r>
              <w:rPr>
                <w:lang w:val="fr-FR"/>
              </w:rPr>
              <w:t>−</w:t>
            </w:r>
            <w:r w:rsidRPr="007A01B9">
              <w:rPr>
                <w:lang w:val="fr-FR"/>
              </w:rPr>
              <w:t xml:space="preserve"> Précisions concernant l</w:t>
            </w:r>
            <w:r>
              <w:rPr>
                <w:lang w:val="fr-FR"/>
              </w:rPr>
              <w:t>’</w:t>
            </w:r>
            <w:r w:rsidRPr="007A01B9">
              <w:rPr>
                <w:lang w:val="fr-FR"/>
              </w:rPr>
              <w:t>exploitation des citernes après l</w:t>
            </w:r>
            <w:r>
              <w:rPr>
                <w:lang w:val="fr-FR"/>
              </w:rPr>
              <w:t>’</w:t>
            </w:r>
            <w:r w:rsidRPr="007A01B9">
              <w:rPr>
                <w:lang w:val="fr-FR"/>
              </w:rPr>
              <w:t>expiration du délai fixé pour la prochaine épreuve ou le prochain contrôle</w:t>
            </w:r>
          </w:p>
        </w:tc>
      </w:tr>
      <w:tr w:rsidR="001B73C8" w:rsidRPr="007B74E2" w14:paraId="44A1A76C" w14:textId="77777777" w:rsidTr="006D52BE">
        <w:tc>
          <w:tcPr>
            <w:tcW w:w="3318" w:type="dxa"/>
          </w:tcPr>
          <w:p w14:paraId="13DACF53" w14:textId="77777777" w:rsidR="001B73C8" w:rsidRPr="007A01B9" w:rsidRDefault="001B73C8" w:rsidP="001B73C8">
            <w:pPr>
              <w:pStyle w:val="SingleTxtG"/>
              <w:ind w:left="0" w:right="170"/>
              <w:jc w:val="left"/>
              <w:rPr>
                <w:lang w:val="en-US"/>
              </w:rPr>
            </w:pPr>
            <w:r w:rsidRPr="007A01B9">
              <w:rPr>
                <w:lang w:val="en-US"/>
              </w:rPr>
              <w:t>ECE/TRANS/WP.15/AC.1/2022/7 (CEFIC/UIP)</w:t>
            </w:r>
          </w:p>
        </w:tc>
        <w:tc>
          <w:tcPr>
            <w:tcW w:w="4052" w:type="dxa"/>
          </w:tcPr>
          <w:p w14:paraId="4C506E3B" w14:textId="77777777" w:rsidR="001B73C8" w:rsidRPr="007A01B9" w:rsidRDefault="001B73C8" w:rsidP="001B73C8">
            <w:pPr>
              <w:pStyle w:val="SingleTxtG"/>
              <w:ind w:left="0" w:right="0"/>
              <w:jc w:val="left"/>
              <w:rPr>
                <w:lang w:val="fr-FR"/>
              </w:rPr>
            </w:pPr>
            <w:r w:rsidRPr="007A01B9">
              <w:rPr>
                <w:lang w:val="fr-FR"/>
              </w:rPr>
              <w:t>Définition du terme « très grand conteneur-citerne » et amendements de conséquence</w:t>
            </w:r>
          </w:p>
        </w:tc>
      </w:tr>
      <w:tr w:rsidR="001B73C8" w:rsidRPr="007B74E2" w14:paraId="254ED060" w14:textId="77777777" w:rsidTr="006D52BE">
        <w:tc>
          <w:tcPr>
            <w:tcW w:w="3318" w:type="dxa"/>
          </w:tcPr>
          <w:p w14:paraId="08A0B9D9" w14:textId="77777777" w:rsidR="001B73C8" w:rsidRPr="007A01B9" w:rsidRDefault="001B73C8" w:rsidP="001B73C8">
            <w:pPr>
              <w:pStyle w:val="SingleTxtG"/>
              <w:ind w:left="0" w:right="170"/>
              <w:jc w:val="left"/>
              <w:rPr>
                <w:lang w:val="fr-FR"/>
              </w:rPr>
            </w:pPr>
            <w:r w:rsidRPr="007A01B9">
              <w:rPr>
                <w:lang w:val="fr-FR"/>
              </w:rPr>
              <w:t>ECE/TRANS/WP.15/AC.1/2022/9 (Secrétariat de l</w:t>
            </w:r>
            <w:r>
              <w:rPr>
                <w:lang w:val="fr-FR"/>
              </w:rPr>
              <w:t>’</w:t>
            </w:r>
            <w:r w:rsidRPr="007A01B9">
              <w:rPr>
                <w:lang w:val="fr-FR"/>
              </w:rPr>
              <w:t>OTIF)</w:t>
            </w:r>
          </w:p>
        </w:tc>
        <w:tc>
          <w:tcPr>
            <w:tcW w:w="4052" w:type="dxa"/>
          </w:tcPr>
          <w:p w14:paraId="1906649E" w14:textId="66169FFB" w:rsidR="001B73C8" w:rsidRPr="007A01B9" w:rsidRDefault="001B73C8" w:rsidP="001B73C8">
            <w:pPr>
              <w:pStyle w:val="SingleTxtG"/>
              <w:ind w:left="0" w:right="0"/>
              <w:jc w:val="left"/>
              <w:rPr>
                <w:lang w:val="fr-FR"/>
              </w:rPr>
            </w:pPr>
            <w:r w:rsidRPr="007A01B9">
              <w:rPr>
                <w:lang w:val="fr-FR"/>
              </w:rPr>
              <w:t>Suppression de mesures transitoires pour les</w:t>
            </w:r>
            <w:r w:rsidR="006D52BE">
              <w:rPr>
                <w:lang w:val="fr-FR"/>
              </w:rPr>
              <w:t> </w:t>
            </w:r>
            <w:r w:rsidRPr="007A01B9">
              <w:rPr>
                <w:lang w:val="fr-FR"/>
              </w:rPr>
              <w:t>wagons-citernes</w:t>
            </w:r>
          </w:p>
        </w:tc>
      </w:tr>
      <w:tr w:rsidR="001B73C8" w:rsidRPr="007B74E2" w14:paraId="5D0CBE64" w14:textId="77777777" w:rsidTr="006D52BE">
        <w:tc>
          <w:tcPr>
            <w:tcW w:w="3318" w:type="dxa"/>
          </w:tcPr>
          <w:p w14:paraId="5B9CB795" w14:textId="77777777" w:rsidR="001B73C8" w:rsidRPr="007A01B9" w:rsidRDefault="001B73C8" w:rsidP="001B73C8">
            <w:pPr>
              <w:pStyle w:val="SingleTxtG"/>
              <w:ind w:left="0" w:right="170"/>
              <w:jc w:val="left"/>
              <w:rPr>
                <w:lang w:val="en-US"/>
              </w:rPr>
            </w:pPr>
            <w:r w:rsidRPr="007A01B9">
              <w:rPr>
                <w:lang w:val="en-US"/>
              </w:rPr>
              <w:t>ECE/TRANS/WP.15/AC.1/2022/10 (UIP)</w:t>
            </w:r>
          </w:p>
        </w:tc>
        <w:tc>
          <w:tcPr>
            <w:tcW w:w="4052" w:type="dxa"/>
          </w:tcPr>
          <w:p w14:paraId="263BBEA0" w14:textId="68CAAB65" w:rsidR="001B73C8" w:rsidRPr="007A01B9" w:rsidRDefault="001B73C8" w:rsidP="001B73C8">
            <w:pPr>
              <w:pStyle w:val="SingleTxtG"/>
              <w:ind w:left="0" w:right="0"/>
              <w:jc w:val="left"/>
              <w:rPr>
                <w:lang w:val="fr-FR"/>
              </w:rPr>
            </w:pPr>
            <w:r w:rsidRPr="007A01B9">
              <w:rPr>
                <w:lang w:val="fr-FR"/>
              </w:rPr>
              <w:t>Qualification liée aux travaux de soudage − Interprétation de la norme EN</w:t>
            </w:r>
            <w:r w:rsidR="006D52BE">
              <w:rPr>
                <w:lang w:val="fr-FR"/>
              </w:rPr>
              <w:t> </w:t>
            </w:r>
            <w:r w:rsidRPr="007A01B9">
              <w:rPr>
                <w:lang w:val="fr-FR"/>
              </w:rPr>
              <w:t>14025</w:t>
            </w:r>
          </w:p>
        </w:tc>
      </w:tr>
      <w:tr w:rsidR="001B73C8" w:rsidRPr="007B74E2" w14:paraId="2E982ACF" w14:textId="77777777" w:rsidTr="006D52BE">
        <w:tc>
          <w:tcPr>
            <w:tcW w:w="3318" w:type="dxa"/>
          </w:tcPr>
          <w:p w14:paraId="4CF0D9FE" w14:textId="77777777" w:rsidR="001B73C8" w:rsidRPr="007A01B9" w:rsidRDefault="001B73C8" w:rsidP="001B73C8">
            <w:pPr>
              <w:pStyle w:val="SingleTxtG"/>
              <w:ind w:left="0" w:right="170"/>
              <w:jc w:val="left"/>
              <w:rPr>
                <w:lang w:val="fr-FR"/>
              </w:rPr>
            </w:pPr>
            <w:r w:rsidRPr="007A01B9">
              <w:rPr>
                <w:lang w:val="fr-FR"/>
              </w:rPr>
              <w:t>ECE/TRANS/WP.15/AC.1/2022/12 (Liquid Gas Europe)</w:t>
            </w:r>
          </w:p>
        </w:tc>
        <w:tc>
          <w:tcPr>
            <w:tcW w:w="4052" w:type="dxa"/>
          </w:tcPr>
          <w:p w14:paraId="4EE7D30B" w14:textId="77777777" w:rsidR="001B73C8" w:rsidRPr="007A01B9" w:rsidRDefault="001B73C8" w:rsidP="001B73C8">
            <w:pPr>
              <w:pStyle w:val="SingleTxtG"/>
              <w:ind w:left="0" w:right="0"/>
              <w:jc w:val="left"/>
              <w:rPr>
                <w:lang w:val="fr-FR"/>
              </w:rPr>
            </w:pPr>
            <w:r w:rsidRPr="007A01B9">
              <w:rPr>
                <w:lang w:val="fr-FR"/>
              </w:rPr>
              <w:t>Marquage des citernes à gaz liquéfiés inflammables équipées de soupapes de sécurité</w:t>
            </w:r>
          </w:p>
        </w:tc>
      </w:tr>
      <w:tr w:rsidR="001B73C8" w:rsidRPr="007B74E2" w14:paraId="56ABC886" w14:textId="77777777" w:rsidTr="006D52BE">
        <w:tc>
          <w:tcPr>
            <w:tcW w:w="3318" w:type="dxa"/>
          </w:tcPr>
          <w:p w14:paraId="1EAF0A90" w14:textId="77777777" w:rsidR="001B73C8" w:rsidRPr="007A01B9" w:rsidRDefault="001B73C8" w:rsidP="001B73C8">
            <w:pPr>
              <w:pStyle w:val="SingleTxtG"/>
              <w:ind w:left="0" w:right="170"/>
              <w:jc w:val="left"/>
              <w:rPr>
                <w:lang w:val="fr-FR"/>
              </w:rPr>
            </w:pPr>
            <w:r w:rsidRPr="007A01B9">
              <w:rPr>
                <w:lang w:val="fr-FR"/>
              </w:rPr>
              <w:t>ECE/TRANS/WP.15/AC.1/2022/13 (Allemagne)</w:t>
            </w:r>
          </w:p>
        </w:tc>
        <w:tc>
          <w:tcPr>
            <w:tcW w:w="4052" w:type="dxa"/>
          </w:tcPr>
          <w:p w14:paraId="3C34F51A" w14:textId="18FBD79B" w:rsidR="001B73C8" w:rsidRPr="006D52BE" w:rsidRDefault="001B73C8" w:rsidP="001B73C8">
            <w:pPr>
              <w:pStyle w:val="SingleTxtG"/>
              <w:ind w:left="0" w:right="0"/>
              <w:jc w:val="left"/>
              <w:rPr>
                <w:spacing w:val="-2"/>
                <w:lang w:val="fr-FR"/>
              </w:rPr>
            </w:pPr>
            <w:r w:rsidRPr="006D52BE">
              <w:rPr>
                <w:spacing w:val="-2"/>
                <w:lang w:val="fr-FR"/>
              </w:rPr>
              <w:t>Citernes à déchets opérant sous vide</w:t>
            </w:r>
            <w:r w:rsidR="006D52BE" w:rsidRPr="006D52BE">
              <w:rPr>
                <w:spacing w:val="-2"/>
                <w:lang w:val="fr-FR"/>
              </w:rPr>
              <w:t> </w:t>
            </w:r>
            <w:r w:rsidRPr="006D52BE">
              <w:rPr>
                <w:spacing w:val="-2"/>
                <w:lang w:val="fr-FR"/>
              </w:rPr>
              <w:t>: protection des équipements non électriques contre les explosions</w:t>
            </w:r>
          </w:p>
        </w:tc>
      </w:tr>
      <w:tr w:rsidR="001B73C8" w:rsidRPr="007B74E2" w14:paraId="08B67B55" w14:textId="77777777" w:rsidTr="006D52BE">
        <w:tc>
          <w:tcPr>
            <w:tcW w:w="3318" w:type="dxa"/>
          </w:tcPr>
          <w:p w14:paraId="1738B3F8" w14:textId="77777777" w:rsidR="001B73C8" w:rsidRPr="007A01B9" w:rsidRDefault="001B73C8" w:rsidP="001B73C8">
            <w:pPr>
              <w:pStyle w:val="SingleTxtG"/>
              <w:ind w:left="0" w:right="170"/>
              <w:jc w:val="left"/>
              <w:rPr>
                <w:lang w:val="fr-FR"/>
              </w:rPr>
            </w:pPr>
            <w:r w:rsidRPr="007A01B9">
              <w:rPr>
                <w:lang w:val="fr-FR"/>
              </w:rPr>
              <w:t>ECE/TRANS/WP.15/AC.1/2022/16 (Pays-Bas) et document informel INF.32 de la session d</w:t>
            </w:r>
            <w:r>
              <w:rPr>
                <w:lang w:val="fr-FR"/>
              </w:rPr>
              <w:t>’</w:t>
            </w:r>
            <w:r w:rsidRPr="007A01B9">
              <w:rPr>
                <w:lang w:val="fr-FR"/>
              </w:rPr>
              <w:t>automne 2021 (Président du groupe de travail spécial)</w:t>
            </w:r>
          </w:p>
        </w:tc>
        <w:tc>
          <w:tcPr>
            <w:tcW w:w="4052" w:type="dxa"/>
          </w:tcPr>
          <w:p w14:paraId="755CEB29" w14:textId="3C46A94B" w:rsidR="001B73C8" w:rsidRPr="007A01B9" w:rsidRDefault="001B73C8" w:rsidP="001B73C8">
            <w:pPr>
              <w:pStyle w:val="SingleTxtG"/>
              <w:ind w:left="0" w:right="0"/>
              <w:jc w:val="left"/>
              <w:rPr>
                <w:lang w:val="fr-FR"/>
              </w:rPr>
            </w:pPr>
            <w:r w:rsidRPr="007A01B9">
              <w:rPr>
                <w:lang w:val="fr-FR"/>
              </w:rPr>
              <w:t>Vannes d</w:t>
            </w:r>
            <w:r>
              <w:rPr>
                <w:lang w:val="fr-FR"/>
              </w:rPr>
              <w:t>’</w:t>
            </w:r>
            <w:r w:rsidRPr="007A01B9">
              <w:rPr>
                <w:lang w:val="fr-FR"/>
              </w:rPr>
              <w:t>arrêt à fermeture automatique instantanée sur les raccords à la phase vapeur des</w:t>
            </w:r>
            <w:r w:rsidR="006D52BE">
              <w:rPr>
                <w:lang w:val="fr-FR"/>
              </w:rPr>
              <w:t> </w:t>
            </w:r>
            <w:r w:rsidRPr="007A01B9">
              <w:rPr>
                <w:lang w:val="fr-FR"/>
              </w:rPr>
              <w:t xml:space="preserve">citernes cryogéniques à gaz inflammables </w:t>
            </w:r>
          </w:p>
        </w:tc>
      </w:tr>
      <w:tr w:rsidR="001B73C8" w:rsidRPr="007B74E2" w14:paraId="00388426" w14:textId="77777777" w:rsidTr="006D52BE">
        <w:tc>
          <w:tcPr>
            <w:tcW w:w="3318" w:type="dxa"/>
          </w:tcPr>
          <w:p w14:paraId="5BA63409" w14:textId="77777777" w:rsidR="001B73C8" w:rsidRPr="007A01B9" w:rsidRDefault="001B73C8" w:rsidP="001B73C8">
            <w:pPr>
              <w:pStyle w:val="SingleTxtG"/>
              <w:ind w:left="0" w:right="170"/>
              <w:jc w:val="left"/>
              <w:rPr>
                <w:lang w:val="fr-FR"/>
              </w:rPr>
            </w:pPr>
            <w:r w:rsidRPr="007A01B9">
              <w:rPr>
                <w:lang w:val="fr-FR"/>
              </w:rPr>
              <w:t>ECE/TRANS/WP.15/AC.1/2022/17 (Royaume-Uni)</w:t>
            </w:r>
          </w:p>
        </w:tc>
        <w:tc>
          <w:tcPr>
            <w:tcW w:w="4052" w:type="dxa"/>
          </w:tcPr>
          <w:p w14:paraId="1227140A" w14:textId="423EC9A6" w:rsidR="001B73C8" w:rsidRPr="007A01B9" w:rsidRDefault="001B73C8" w:rsidP="001B73C8">
            <w:pPr>
              <w:pStyle w:val="SingleTxtG"/>
              <w:ind w:left="0" w:right="0"/>
              <w:jc w:val="left"/>
              <w:rPr>
                <w:lang w:val="fr-FR"/>
              </w:rPr>
            </w:pPr>
            <w:r w:rsidRPr="007A01B9">
              <w:rPr>
                <w:lang w:val="fr-FR"/>
              </w:rPr>
              <w:t>Observations concernant les nouveaux paragraphes 1.8.6.2.1, 6.8.1.5.3</w:t>
            </w:r>
            <w:r>
              <w:rPr>
                <w:lang w:val="fr-FR"/>
              </w:rPr>
              <w:t> </w:t>
            </w:r>
            <w:r w:rsidRPr="007A01B9">
              <w:rPr>
                <w:lang w:val="fr-FR"/>
              </w:rPr>
              <w:t>b) et 6.8.1.5.4</w:t>
            </w:r>
            <w:r>
              <w:rPr>
                <w:lang w:val="fr-FR"/>
              </w:rPr>
              <w:t> </w:t>
            </w:r>
            <w:r w:rsidRPr="007A01B9">
              <w:rPr>
                <w:lang w:val="fr-FR"/>
              </w:rPr>
              <w:t>b) proposés dans le ECE/TRANS/WP.15/AC.1/</w:t>
            </w:r>
            <w:r w:rsidR="006D52BE">
              <w:rPr>
                <w:lang w:val="fr-FR"/>
              </w:rPr>
              <w:br/>
            </w:r>
            <w:r w:rsidRPr="007A01B9">
              <w:rPr>
                <w:lang w:val="fr-FR"/>
              </w:rPr>
              <w:t>2021/23/Rev.1</w:t>
            </w:r>
            <w:bookmarkStart w:id="0" w:name="_Hlk90281674"/>
            <w:bookmarkEnd w:id="0"/>
          </w:p>
        </w:tc>
      </w:tr>
      <w:tr w:rsidR="001B73C8" w:rsidRPr="007B74E2" w14:paraId="2E4800CC" w14:textId="77777777" w:rsidTr="006D52BE">
        <w:tc>
          <w:tcPr>
            <w:tcW w:w="3318" w:type="dxa"/>
          </w:tcPr>
          <w:p w14:paraId="13326858" w14:textId="77777777" w:rsidR="001B73C8" w:rsidRPr="007A01B9" w:rsidRDefault="001B73C8" w:rsidP="001B73C8">
            <w:pPr>
              <w:pStyle w:val="SingleTxtG"/>
              <w:ind w:left="0" w:right="170"/>
              <w:jc w:val="left"/>
              <w:rPr>
                <w:lang w:val="fr-FR"/>
              </w:rPr>
            </w:pPr>
            <w:r w:rsidRPr="007A01B9">
              <w:rPr>
                <w:lang w:val="fr-FR"/>
              </w:rPr>
              <w:lastRenderedPageBreak/>
              <w:t>ECE/TRANS/WP.15/AC.1/2022/18 (Royaume-Uni)</w:t>
            </w:r>
          </w:p>
        </w:tc>
        <w:tc>
          <w:tcPr>
            <w:tcW w:w="4052" w:type="dxa"/>
          </w:tcPr>
          <w:p w14:paraId="0FD9B6D7" w14:textId="5DCE1BDB" w:rsidR="001B73C8" w:rsidRPr="007A01B9" w:rsidRDefault="001B73C8" w:rsidP="001B73C8">
            <w:pPr>
              <w:pStyle w:val="SingleTxtG"/>
              <w:ind w:left="0" w:right="0"/>
              <w:jc w:val="left"/>
              <w:rPr>
                <w:lang w:val="fr-FR"/>
              </w:rPr>
            </w:pPr>
            <w:r w:rsidRPr="007A01B9">
              <w:rPr>
                <w:lang w:val="fr-FR"/>
              </w:rPr>
              <w:t>Observations concernant les notes relatives aux nouveaux paragraphes 6.8.1.5.1</w:t>
            </w:r>
            <w:r>
              <w:rPr>
                <w:lang w:val="fr-FR"/>
              </w:rPr>
              <w:t> </w:t>
            </w:r>
            <w:r w:rsidRPr="007A01B9">
              <w:rPr>
                <w:lang w:val="fr-FR"/>
              </w:rPr>
              <w:t>a) et 6.8.1.5.4</w:t>
            </w:r>
            <w:r>
              <w:rPr>
                <w:lang w:val="fr-FR"/>
              </w:rPr>
              <w:t> </w:t>
            </w:r>
            <w:r w:rsidRPr="007A01B9">
              <w:rPr>
                <w:lang w:val="fr-FR"/>
              </w:rPr>
              <w:t>a) proposés dans le</w:t>
            </w:r>
            <w:r w:rsidRPr="007A01B9" w:rsidDel="00B27515">
              <w:rPr>
                <w:lang w:val="fr-FR"/>
              </w:rPr>
              <w:t xml:space="preserve"> </w:t>
            </w:r>
            <w:r w:rsidRPr="007A01B9">
              <w:rPr>
                <w:lang w:val="fr-FR"/>
              </w:rPr>
              <w:t>ECE/TRANS/WP.15/AC.1/</w:t>
            </w:r>
            <w:r w:rsidR="00E47240">
              <w:rPr>
                <w:lang w:val="fr-FR"/>
              </w:rPr>
              <w:br/>
            </w:r>
            <w:r w:rsidRPr="007A01B9">
              <w:rPr>
                <w:lang w:val="fr-FR"/>
              </w:rPr>
              <w:t>2021/23/Rev.1</w:t>
            </w:r>
          </w:p>
        </w:tc>
      </w:tr>
      <w:tr w:rsidR="001B73C8" w:rsidRPr="007B74E2" w14:paraId="442DCFB4" w14:textId="77777777" w:rsidTr="006D52BE">
        <w:tc>
          <w:tcPr>
            <w:tcW w:w="3318" w:type="dxa"/>
          </w:tcPr>
          <w:p w14:paraId="1B5361F7" w14:textId="65651A86" w:rsidR="001B73C8" w:rsidRPr="007A01B9" w:rsidRDefault="001B73C8" w:rsidP="001B73C8">
            <w:pPr>
              <w:pStyle w:val="SingleTxtG"/>
              <w:ind w:left="0" w:right="170"/>
              <w:jc w:val="left"/>
              <w:rPr>
                <w:lang w:val="fr-FR"/>
              </w:rPr>
            </w:pPr>
            <w:r w:rsidRPr="00E47240">
              <w:rPr>
                <w:lang w:val="fr-FR"/>
              </w:rPr>
              <w:t>ECE/TRANS/WP.15/AC.1/2021/34/</w:t>
            </w:r>
            <w:r w:rsidR="00E47240">
              <w:rPr>
                <w:lang w:val="fr-FR"/>
              </w:rPr>
              <w:br/>
            </w:r>
            <w:r w:rsidRPr="00E47240">
              <w:rPr>
                <w:lang w:val="fr-FR"/>
              </w:rPr>
              <w:t>Rev.1</w:t>
            </w:r>
            <w:r w:rsidRPr="007A01B9">
              <w:rPr>
                <w:lang w:val="fr-FR"/>
              </w:rPr>
              <w:t xml:space="preserve"> et document informel INF.17 de</w:t>
            </w:r>
            <w:r w:rsidR="00E47240">
              <w:rPr>
                <w:lang w:val="fr-FR"/>
              </w:rPr>
              <w:t> </w:t>
            </w:r>
            <w:r w:rsidRPr="007A01B9">
              <w:rPr>
                <w:lang w:val="fr-FR"/>
              </w:rPr>
              <w:t>la session d</w:t>
            </w:r>
            <w:r>
              <w:rPr>
                <w:lang w:val="fr-FR"/>
              </w:rPr>
              <w:t>’</w:t>
            </w:r>
            <w:r w:rsidRPr="007A01B9">
              <w:rPr>
                <w:lang w:val="fr-FR"/>
              </w:rPr>
              <w:t>automne 2021 (Suisse)</w:t>
            </w:r>
          </w:p>
        </w:tc>
        <w:tc>
          <w:tcPr>
            <w:tcW w:w="4052" w:type="dxa"/>
          </w:tcPr>
          <w:p w14:paraId="68E21433" w14:textId="135E77D1" w:rsidR="001B73C8" w:rsidRPr="007A01B9" w:rsidRDefault="001B73C8" w:rsidP="001B73C8">
            <w:pPr>
              <w:pStyle w:val="SingleTxtG"/>
              <w:ind w:left="0" w:right="0"/>
              <w:jc w:val="left"/>
              <w:rPr>
                <w:lang w:val="fr-FR"/>
              </w:rPr>
            </w:pPr>
            <w:r w:rsidRPr="007A01B9">
              <w:rPr>
                <w:lang w:val="fr-FR"/>
              </w:rPr>
              <w:t>Contrôle et agrément des citernes</w:t>
            </w:r>
            <w:r w:rsidR="006D52BE">
              <w:rPr>
                <w:lang w:val="fr-FR"/>
              </w:rPr>
              <w:t> </w:t>
            </w:r>
            <w:r w:rsidRPr="007A01B9">
              <w:rPr>
                <w:lang w:val="fr-FR"/>
              </w:rPr>
              <w:t>: explications sur les modifications devant entrer en vigueur le 1</w:t>
            </w:r>
            <w:r w:rsidRPr="00E47240">
              <w:rPr>
                <w:vertAlign w:val="superscript"/>
                <w:lang w:val="fr-FR"/>
              </w:rPr>
              <w:t>er</w:t>
            </w:r>
            <w:r w:rsidR="00E47240">
              <w:rPr>
                <w:lang w:val="fr-FR"/>
              </w:rPr>
              <w:t> </w:t>
            </w:r>
            <w:r w:rsidRPr="007A01B9">
              <w:rPr>
                <w:lang w:val="fr-FR"/>
              </w:rPr>
              <w:t>janvier 2023</w:t>
            </w:r>
            <w:r w:rsidR="00E47240">
              <w:rPr>
                <w:lang w:val="fr-FR"/>
              </w:rPr>
              <w:t xml:space="preserve"> − </w:t>
            </w:r>
            <w:r w:rsidRPr="007A01B9">
              <w:rPr>
                <w:lang w:val="fr-FR"/>
              </w:rPr>
              <w:t>Révision du ECE/TRANS/</w:t>
            </w:r>
            <w:r w:rsidR="00E47240">
              <w:rPr>
                <w:lang w:val="fr-FR"/>
              </w:rPr>
              <w:br/>
            </w:r>
            <w:r w:rsidRPr="007A01B9">
              <w:rPr>
                <w:lang w:val="fr-FR"/>
              </w:rPr>
              <w:t>WP.15/AC.1/2021/34</w:t>
            </w:r>
          </w:p>
        </w:tc>
      </w:tr>
      <w:tr w:rsidR="001B73C8" w:rsidRPr="00C86D23" w14:paraId="51753B87" w14:textId="77777777" w:rsidTr="006D52BE">
        <w:tc>
          <w:tcPr>
            <w:tcW w:w="3318" w:type="dxa"/>
          </w:tcPr>
          <w:p w14:paraId="2C860ACD" w14:textId="77777777" w:rsidR="001B73C8" w:rsidRPr="007A01B9" w:rsidRDefault="001B73C8" w:rsidP="001B73C8">
            <w:pPr>
              <w:pStyle w:val="SingleTxtG"/>
              <w:ind w:left="0" w:right="170"/>
              <w:jc w:val="left"/>
              <w:rPr>
                <w:lang w:val="fr-FR"/>
              </w:rPr>
            </w:pPr>
            <w:r w:rsidRPr="007A01B9">
              <w:rPr>
                <w:lang w:val="fr-FR"/>
              </w:rPr>
              <w:t>Document informel INF.3 de la session d</w:t>
            </w:r>
            <w:r>
              <w:rPr>
                <w:lang w:val="fr-FR"/>
              </w:rPr>
              <w:t>’</w:t>
            </w:r>
            <w:r w:rsidRPr="007A01B9">
              <w:rPr>
                <w:lang w:val="fr-FR"/>
              </w:rPr>
              <w:t>automne 2021 (Pays-Bas)</w:t>
            </w:r>
          </w:p>
        </w:tc>
        <w:tc>
          <w:tcPr>
            <w:tcW w:w="4052" w:type="dxa"/>
          </w:tcPr>
          <w:p w14:paraId="2D592F38" w14:textId="05768103" w:rsidR="001B73C8" w:rsidRPr="007A01B9" w:rsidRDefault="001B73C8" w:rsidP="001B73C8">
            <w:pPr>
              <w:pStyle w:val="SingleTxtG"/>
              <w:ind w:left="0" w:right="0"/>
              <w:jc w:val="left"/>
              <w:rPr>
                <w:lang w:val="en-US"/>
              </w:rPr>
            </w:pPr>
            <w:r w:rsidRPr="007A01B9">
              <w:rPr>
                <w:lang w:val="en-US"/>
              </w:rPr>
              <w:t>Special Provision TT4 of 6.8.4</w:t>
            </w:r>
            <w:r w:rsidR="00E47240">
              <w:rPr>
                <w:lang w:val="en-US"/>
              </w:rPr>
              <w:t> </w:t>
            </w:r>
            <w:r w:rsidRPr="007A01B9">
              <w:rPr>
                <w:lang w:val="en-US"/>
              </w:rPr>
              <w:t>(d) in RID</w:t>
            </w:r>
          </w:p>
        </w:tc>
      </w:tr>
      <w:tr w:rsidR="001B73C8" w:rsidRPr="00C86D23" w14:paraId="797AFEEA" w14:textId="77777777" w:rsidTr="006D52BE">
        <w:tc>
          <w:tcPr>
            <w:tcW w:w="3318" w:type="dxa"/>
          </w:tcPr>
          <w:p w14:paraId="19798F20" w14:textId="0D1A263E" w:rsidR="001B73C8" w:rsidRPr="007A01B9" w:rsidRDefault="001B73C8" w:rsidP="001B73C8">
            <w:pPr>
              <w:pStyle w:val="SingleTxtG"/>
              <w:ind w:left="0" w:right="170"/>
              <w:jc w:val="left"/>
              <w:rPr>
                <w:lang w:val="fr-FR"/>
              </w:rPr>
            </w:pPr>
            <w:r w:rsidRPr="00E47240">
              <w:rPr>
                <w:spacing w:val="-4"/>
                <w:lang w:val="fr-FR"/>
              </w:rPr>
              <w:t>Document informel INF.11 de la session de printemps 2021 (Royaume</w:t>
            </w:r>
            <w:r w:rsidR="00E47240" w:rsidRPr="00E47240">
              <w:rPr>
                <w:spacing w:val="-4"/>
                <w:lang w:val="fr-FR"/>
              </w:rPr>
              <w:noBreakHyphen/>
            </w:r>
            <w:r w:rsidRPr="00E47240">
              <w:rPr>
                <w:spacing w:val="-4"/>
                <w:lang w:val="fr-FR"/>
              </w:rPr>
              <w:t>Uni)</w:t>
            </w:r>
            <w:r w:rsidRPr="007A01B9">
              <w:rPr>
                <w:lang w:val="fr-FR"/>
              </w:rPr>
              <w:t xml:space="preserve"> et</w:t>
            </w:r>
            <w:r w:rsidR="00E47240">
              <w:rPr>
                <w:lang w:val="fr-FR"/>
              </w:rPr>
              <w:t> </w:t>
            </w:r>
            <w:r w:rsidRPr="007A01B9">
              <w:rPr>
                <w:lang w:val="fr-FR"/>
              </w:rPr>
              <w:t>Document informel INF.6 de la session d</w:t>
            </w:r>
            <w:r>
              <w:rPr>
                <w:lang w:val="fr-FR"/>
              </w:rPr>
              <w:t>’</w:t>
            </w:r>
            <w:r w:rsidRPr="007A01B9">
              <w:rPr>
                <w:lang w:val="fr-FR"/>
              </w:rPr>
              <w:t>automne 2021 (CLCCR)</w:t>
            </w:r>
          </w:p>
        </w:tc>
        <w:tc>
          <w:tcPr>
            <w:tcW w:w="4052" w:type="dxa"/>
          </w:tcPr>
          <w:p w14:paraId="6774735F" w14:textId="77777777" w:rsidR="001B73C8" w:rsidRPr="007A01B9" w:rsidRDefault="001B73C8" w:rsidP="001B73C8">
            <w:pPr>
              <w:pStyle w:val="SingleTxtG"/>
              <w:ind w:left="0" w:right="0"/>
              <w:jc w:val="left"/>
              <w:rPr>
                <w:lang w:val="en-US"/>
              </w:rPr>
            </w:pPr>
            <w:r w:rsidRPr="007A01B9">
              <w:rPr>
                <w:lang w:val="en-US"/>
              </w:rPr>
              <w:t>Non-destructive testing according to 6.8.2.1.23</w:t>
            </w:r>
          </w:p>
        </w:tc>
      </w:tr>
    </w:tbl>
    <w:p w14:paraId="7E925D6D" w14:textId="77777777" w:rsidR="001B73C8" w:rsidRPr="007A01B9" w:rsidRDefault="001B73C8" w:rsidP="00E47240">
      <w:pPr>
        <w:pStyle w:val="H1G"/>
        <w:rPr>
          <w:szCs w:val="24"/>
          <w:lang w:val="fr-FR"/>
        </w:rPr>
      </w:pPr>
      <w:r w:rsidRPr="007A01B9">
        <w:rPr>
          <w:lang w:val="en-US"/>
        </w:rPr>
        <w:tab/>
      </w:r>
      <w:r w:rsidRPr="007A01B9">
        <w:rPr>
          <w:lang w:val="fr-FR"/>
        </w:rPr>
        <w:t>3.</w:t>
      </w:r>
      <w:r w:rsidRPr="007A01B9">
        <w:rPr>
          <w:lang w:val="fr-FR"/>
        </w:rPr>
        <w:tab/>
        <w:t>Normes</w:t>
      </w:r>
    </w:p>
    <w:tbl>
      <w:tblPr>
        <w:tblW w:w="7370" w:type="dxa"/>
        <w:tblInd w:w="1134" w:type="dxa"/>
        <w:tblLayout w:type="fixed"/>
        <w:tblCellMar>
          <w:left w:w="0" w:type="dxa"/>
          <w:right w:w="0" w:type="dxa"/>
        </w:tblCellMar>
        <w:tblLook w:val="01E0" w:firstRow="1" w:lastRow="1" w:firstColumn="1" w:lastColumn="1" w:noHBand="0" w:noVBand="0"/>
      </w:tblPr>
      <w:tblGrid>
        <w:gridCol w:w="3332"/>
        <w:gridCol w:w="4038"/>
      </w:tblGrid>
      <w:tr w:rsidR="001B73C8" w:rsidRPr="007B74E2" w14:paraId="7AFAD422" w14:textId="77777777" w:rsidTr="00E47240">
        <w:tc>
          <w:tcPr>
            <w:tcW w:w="3332" w:type="dxa"/>
          </w:tcPr>
          <w:p w14:paraId="501719B4" w14:textId="49D997C4" w:rsidR="001B73C8" w:rsidRPr="007A01B9" w:rsidRDefault="001B73C8" w:rsidP="00E47240">
            <w:pPr>
              <w:pStyle w:val="SingleTxtG"/>
              <w:ind w:left="0" w:right="170"/>
              <w:rPr>
                <w:lang w:val="en-US"/>
              </w:rPr>
            </w:pPr>
            <w:r w:rsidRPr="007A01B9">
              <w:rPr>
                <w:lang w:val="en-US"/>
              </w:rPr>
              <w:t>ECE/TRANS/WP.15/AC.1/2022/11 (CEN)</w:t>
            </w:r>
          </w:p>
        </w:tc>
        <w:tc>
          <w:tcPr>
            <w:tcW w:w="4038" w:type="dxa"/>
          </w:tcPr>
          <w:p w14:paraId="2141F904" w14:textId="77777777" w:rsidR="001B73C8" w:rsidRPr="007A01B9" w:rsidRDefault="001B73C8" w:rsidP="00E47240">
            <w:pPr>
              <w:pStyle w:val="SingleTxtG"/>
              <w:ind w:left="0" w:right="170"/>
              <w:jc w:val="left"/>
              <w:rPr>
                <w:lang w:val="fr-FR"/>
              </w:rPr>
            </w:pPr>
            <w:r w:rsidRPr="007A01B9">
              <w:rPr>
                <w:lang w:val="fr-FR"/>
              </w:rPr>
              <w:t>Informations sur les activités du Groupe de travail des normes</w:t>
            </w:r>
          </w:p>
        </w:tc>
      </w:tr>
    </w:tbl>
    <w:p w14:paraId="03A919B6" w14:textId="77777777" w:rsidR="001B73C8" w:rsidRPr="007A01B9" w:rsidRDefault="001B73C8" w:rsidP="00E47240">
      <w:pPr>
        <w:pStyle w:val="H1G"/>
        <w:rPr>
          <w:szCs w:val="24"/>
          <w:lang w:val="fr-FR"/>
        </w:rPr>
      </w:pPr>
      <w:r w:rsidRPr="007A01B9">
        <w:rPr>
          <w:lang w:val="fr-FR"/>
        </w:rPr>
        <w:tab/>
        <w:t>4.</w:t>
      </w:r>
      <w:r w:rsidRPr="007A01B9">
        <w:rPr>
          <w:lang w:val="fr-FR"/>
        </w:rPr>
        <w:tab/>
        <w:t>Interprétation du RID, de l</w:t>
      </w:r>
      <w:r>
        <w:rPr>
          <w:lang w:val="fr-FR"/>
        </w:rPr>
        <w:t>’</w:t>
      </w:r>
      <w:r w:rsidRPr="007A01B9">
        <w:rPr>
          <w:lang w:val="fr-FR"/>
        </w:rPr>
        <w:t>ADR et de l</w:t>
      </w:r>
      <w:r>
        <w:rPr>
          <w:lang w:val="fr-FR"/>
        </w:rPr>
        <w:t>’</w:t>
      </w:r>
      <w:r w:rsidRPr="007A01B9">
        <w:rPr>
          <w:lang w:val="fr-FR"/>
        </w:rPr>
        <w:t>ADN</w:t>
      </w:r>
    </w:p>
    <w:p w14:paraId="094C0A40" w14:textId="59ACDF9A" w:rsidR="001B73C8" w:rsidRPr="007A01B9" w:rsidRDefault="001B73C8" w:rsidP="001B73C8">
      <w:pPr>
        <w:pStyle w:val="SingleTxtG"/>
        <w:ind w:firstLine="567"/>
        <w:rPr>
          <w:lang w:val="fr-FR"/>
        </w:rPr>
      </w:pPr>
      <w:r w:rsidRPr="007A01B9">
        <w:rPr>
          <w:lang w:val="fr-FR"/>
        </w:rPr>
        <w:tab/>
        <w:t>Aucun document n</w:t>
      </w:r>
      <w:r>
        <w:rPr>
          <w:lang w:val="fr-FR"/>
        </w:rPr>
        <w:t>’</w:t>
      </w:r>
      <w:r w:rsidRPr="007A01B9">
        <w:rPr>
          <w:lang w:val="fr-FR"/>
        </w:rPr>
        <w:t>a été soumis au titre de ce point de l</w:t>
      </w:r>
      <w:r>
        <w:rPr>
          <w:lang w:val="fr-FR"/>
        </w:rPr>
        <w:t>’</w:t>
      </w:r>
      <w:r w:rsidRPr="007A01B9">
        <w:rPr>
          <w:lang w:val="fr-FR"/>
        </w:rPr>
        <w:t>ordre du jour.</w:t>
      </w:r>
    </w:p>
    <w:p w14:paraId="4531F664" w14:textId="77777777" w:rsidR="001B73C8" w:rsidRPr="007A01B9" w:rsidRDefault="001B73C8" w:rsidP="00E47240">
      <w:pPr>
        <w:pStyle w:val="H1G"/>
        <w:rPr>
          <w:szCs w:val="24"/>
          <w:lang w:val="fr-FR"/>
        </w:rPr>
      </w:pPr>
      <w:r w:rsidRPr="007A01B9">
        <w:rPr>
          <w:lang w:val="fr-FR"/>
        </w:rPr>
        <w:tab/>
        <w:t>5.</w:t>
      </w:r>
      <w:r w:rsidRPr="007A01B9">
        <w:rPr>
          <w:lang w:val="fr-FR"/>
        </w:rPr>
        <w:tab/>
        <w:t>Propositions d</w:t>
      </w:r>
      <w:r>
        <w:rPr>
          <w:lang w:val="fr-FR"/>
        </w:rPr>
        <w:t>’</w:t>
      </w:r>
      <w:r w:rsidRPr="007A01B9">
        <w:rPr>
          <w:lang w:val="fr-FR"/>
        </w:rPr>
        <w:t>amendements au RID, à l</w:t>
      </w:r>
      <w:r>
        <w:rPr>
          <w:lang w:val="fr-FR"/>
        </w:rPr>
        <w:t>’</w:t>
      </w:r>
      <w:r w:rsidRPr="007A01B9">
        <w:rPr>
          <w:lang w:val="fr-FR"/>
        </w:rPr>
        <w:t>ADR et</w:t>
      </w:r>
      <w:r>
        <w:rPr>
          <w:lang w:val="fr-FR"/>
        </w:rPr>
        <w:t xml:space="preserve"> à</w:t>
      </w:r>
      <w:r w:rsidRPr="007A01B9">
        <w:rPr>
          <w:lang w:val="fr-FR"/>
        </w:rPr>
        <w:t xml:space="preserve"> l</w:t>
      </w:r>
      <w:r>
        <w:rPr>
          <w:lang w:val="fr-FR"/>
        </w:rPr>
        <w:t>’</w:t>
      </w:r>
      <w:r w:rsidRPr="007A01B9">
        <w:rPr>
          <w:lang w:val="fr-FR"/>
        </w:rPr>
        <w:t>ADN</w:t>
      </w:r>
    </w:p>
    <w:p w14:paraId="28C63C90" w14:textId="77777777" w:rsidR="001B73C8" w:rsidRPr="007A01B9" w:rsidRDefault="001B73C8" w:rsidP="00E47240">
      <w:pPr>
        <w:pStyle w:val="H23G"/>
        <w:rPr>
          <w:lang w:val="fr-FR"/>
        </w:rPr>
      </w:pPr>
      <w:r w:rsidRPr="007A01B9">
        <w:rPr>
          <w:lang w:val="fr-FR"/>
        </w:rPr>
        <w:tab/>
        <w:t>a)</w:t>
      </w:r>
      <w:r w:rsidRPr="007A01B9">
        <w:rPr>
          <w:lang w:val="fr-FR"/>
        </w:rPr>
        <w:tab/>
        <w:t>Questions en suspens</w:t>
      </w:r>
    </w:p>
    <w:tbl>
      <w:tblPr>
        <w:tblW w:w="7370" w:type="dxa"/>
        <w:tblInd w:w="1134" w:type="dxa"/>
        <w:tblLayout w:type="fixed"/>
        <w:tblCellMar>
          <w:left w:w="0" w:type="dxa"/>
          <w:right w:w="0" w:type="dxa"/>
        </w:tblCellMar>
        <w:tblLook w:val="01E0" w:firstRow="1" w:lastRow="1" w:firstColumn="1" w:lastColumn="1" w:noHBand="0" w:noVBand="0"/>
      </w:tblPr>
      <w:tblGrid>
        <w:gridCol w:w="3167"/>
        <w:gridCol w:w="4203"/>
      </w:tblGrid>
      <w:tr w:rsidR="001B73C8" w:rsidRPr="007B74E2" w14:paraId="6FA1EF26" w14:textId="77777777" w:rsidTr="00E47240">
        <w:tc>
          <w:tcPr>
            <w:tcW w:w="3654" w:type="dxa"/>
          </w:tcPr>
          <w:p w14:paraId="580E18CF" w14:textId="77777777" w:rsidR="001B73C8" w:rsidRPr="007A01B9" w:rsidRDefault="001B73C8" w:rsidP="00E47240">
            <w:pPr>
              <w:pStyle w:val="SingleTxtG"/>
              <w:ind w:left="0" w:right="170"/>
              <w:rPr>
                <w:lang w:val="en-US"/>
              </w:rPr>
            </w:pPr>
            <w:r w:rsidRPr="007A01B9">
              <w:rPr>
                <w:lang w:val="en-US"/>
              </w:rPr>
              <w:t>ECE/TRANS/WP.15/AC.1/2022/6 (IASA)</w:t>
            </w:r>
          </w:p>
        </w:tc>
        <w:tc>
          <w:tcPr>
            <w:tcW w:w="4851" w:type="dxa"/>
          </w:tcPr>
          <w:p w14:paraId="2FDA9564" w14:textId="6570720A" w:rsidR="001B73C8" w:rsidRPr="007A01B9" w:rsidRDefault="001B73C8" w:rsidP="00E47240">
            <w:pPr>
              <w:pStyle w:val="SingleTxtG"/>
              <w:ind w:left="0" w:right="170"/>
              <w:rPr>
                <w:lang w:val="fr-FR"/>
              </w:rPr>
            </w:pPr>
            <w:r w:rsidRPr="007A01B9">
              <w:rPr>
                <w:lang w:val="fr-FR"/>
              </w:rPr>
              <w:t>Amendement à la disposition spéciale</w:t>
            </w:r>
            <w:r w:rsidR="00E47240">
              <w:rPr>
                <w:lang w:val="fr-FR"/>
              </w:rPr>
              <w:t> </w:t>
            </w:r>
            <w:r w:rsidRPr="007A01B9">
              <w:rPr>
                <w:lang w:val="fr-FR"/>
              </w:rPr>
              <w:t>668</w:t>
            </w:r>
          </w:p>
        </w:tc>
      </w:tr>
      <w:tr w:rsidR="001B73C8" w:rsidRPr="007B74E2" w14:paraId="68FF019D" w14:textId="77777777" w:rsidTr="00E47240">
        <w:tc>
          <w:tcPr>
            <w:tcW w:w="3654" w:type="dxa"/>
          </w:tcPr>
          <w:p w14:paraId="32606C22" w14:textId="77777777" w:rsidR="001B73C8" w:rsidRPr="007A01B9" w:rsidRDefault="001B73C8" w:rsidP="00E47240">
            <w:pPr>
              <w:pStyle w:val="SingleTxtG"/>
              <w:ind w:left="0" w:right="170"/>
              <w:rPr>
                <w:lang w:val="en-US"/>
              </w:rPr>
            </w:pPr>
            <w:r w:rsidRPr="007A01B9">
              <w:rPr>
                <w:lang w:val="en-US"/>
              </w:rPr>
              <w:t>ECE/TRANS/WP.15/AC.1/2022/8 (EIGA)</w:t>
            </w:r>
          </w:p>
        </w:tc>
        <w:tc>
          <w:tcPr>
            <w:tcW w:w="4851" w:type="dxa"/>
          </w:tcPr>
          <w:p w14:paraId="38211A69" w14:textId="581C8E90" w:rsidR="001B73C8" w:rsidRPr="00E47240" w:rsidRDefault="001B73C8" w:rsidP="00E47240">
            <w:pPr>
              <w:pStyle w:val="SingleTxtG"/>
              <w:ind w:left="0" w:right="170"/>
              <w:rPr>
                <w:spacing w:val="-2"/>
                <w:lang w:val="fr-FR"/>
              </w:rPr>
            </w:pPr>
            <w:r w:rsidRPr="00E47240">
              <w:rPr>
                <w:spacing w:val="-2"/>
                <w:lang w:val="fr-FR"/>
              </w:rPr>
              <w:t>Proposition de modification de la note relative à la norme EN</w:t>
            </w:r>
            <w:r w:rsidR="00E47240" w:rsidRPr="00E47240">
              <w:rPr>
                <w:spacing w:val="-2"/>
                <w:lang w:val="fr-FR"/>
              </w:rPr>
              <w:t> </w:t>
            </w:r>
            <w:r w:rsidRPr="00E47240">
              <w:rPr>
                <w:spacing w:val="-2"/>
                <w:lang w:val="fr-FR"/>
              </w:rPr>
              <w:t>ISO</w:t>
            </w:r>
            <w:r w:rsidR="00E47240" w:rsidRPr="00E47240">
              <w:rPr>
                <w:spacing w:val="-2"/>
                <w:lang w:val="fr-FR"/>
              </w:rPr>
              <w:t> </w:t>
            </w:r>
            <w:r w:rsidRPr="00E47240">
              <w:rPr>
                <w:spacing w:val="-2"/>
                <w:lang w:val="fr-FR"/>
              </w:rPr>
              <w:t>18119:2018 dans les paragraphes</w:t>
            </w:r>
            <w:r w:rsidR="00E47240" w:rsidRPr="00E47240">
              <w:rPr>
                <w:spacing w:val="-2"/>
                <w:lang w:val="fr-FR"/>
              </w:rPr>
              <w:t> </w:t>
            </w:r>
            <w:r w:rsidRPr="00E47240">
              <w:rPr>
                <w:spacing w:val="-2"/>
                <w:lang w:val="fr-FR"/>
              </w:rPr>
              <w:t>6.2.3.5.1 et</w:t>
            </w:r>
            <w:r w:rsidR="00E47240" w:rsidRPr="00E47240">
              <w:rPr>
                <w:spacing w:val="-2"/>
                <w:lang w:val="fr-FR"/>
              </w:rPr>
              <w:t xml:space="preserve"> </w:t>
            </w:r>
            <w:r w:rsidRPr="00E47240">
              <w:rPr>
                <w:spacing w:val="-2"/>
                <w:lang w:val="fr-FR"/>
              </w:rPr>
              <w:t>6.2.4.2 du RID et de l’ADR</w:t>
            </w:r>
          </w:p>
        </w:tc>
      </w:tr>
      <w:tr w:rsidR="001B73C8" w:rsidRPr="007B74E2" w14:paraId="6DC2A249" w14:textId="77777777" w:rsidTr="00E47240">
        <w:tc>
          <w:tcPr>
            <w:tcW w:w="3654" w:type="dxa"/>
          </w:tcPr>
          <w:p w14:paraId="19EDCB37" w14:textId="77777777" w:rsidR="001B73C8" w:rsidRPr="007A01B9" w:rsidRDefault="001B73C8" w:rsidP="00E47240">
            <w:pPr>
              <w:pStyle w:val="SingleTxtG"/>
              <w:ind w:left="0" w:right="170"/>
              <w:rPr>
                <w:lang w:val="fr-FR"/>
              </w:rPr>
            </w:pPr>
            <w:r w:rsidRPr="007A01B9">
              <w:rPr>
                <w:lang w:val="fr-FR"/>
              </w:rPr>
              <w:t>ECE/TRANS/WP.15/AC.1/2022/20 (Suède)</w:t>
            </w:r>
          </w:p>
        </w:tc>
        <w:tc>
          <w:tcPr>
            <w:tcW w:w="4851" w:type="dxa"/>
          </w:tcPr>
          <w:p w14:paraId="5299B507" w14:textId="77777777" w:rsidR="001B73C8" w:rsidRPr="007A01B9" w:rsidRDefault="001B73C8" w:rsidP="00E47240">
            <w:pPr>
              <w:pStyle w:val="SingleTxtG"/>
              <w:ind w:left="0" w:right="170"/>
              <w:rPr>
                <w:szCs w:val="28"/>
                <w:lang w:val="fr-FR"/>
              </w:rPr>
            </w:pPr>
            <w:r w:rsidRPr="007A01B9">
              <w:rPr>
                <w:lang w:val="fr-FR"/>
              </w:rPr>
              <w:t>Transport des dispositifs de stockage et de production d</w:t>
            </w:r>
            <w:r>
              <w:rPr>
                <w:lang w:val="fr-FR"/>
              </w:rPr>
              <w:t>’</w:t>
            </w:r>
            <w:r w:rsidRPr="007A01B9">
              <w:rPr>
                <w:lang w:val="fr-FR"/>
              </w:rPr>
              <w:t>énergie électrique contenant des batteries au lithium ionique</w:t>
            </w:r>
          </w:p>
        </w:tc>
      </w:tr>
    </w:tbl>
    <w:p w14:paraId="5ED8B511" w14:textId="77777777" w:rsidR="001B73C8" w:rsidRPr="007A01B9" w:rsidRDefault="001B73C8" w:rsidP="00E47240">
      <w:pPr>
        <w:pStyle w:val="H23G"/>
        <w:rPr>
          <w:lang w:val="fr-FR"/>
        </w:rPr>
      </w:pPr>
      <w:r w:rsidRPr="007A01B9">
        <w:rPr>
          <w:lang w:val="fr-FR"/>
        </w:rPr>
        <w:tab/>
        <w:t>b)</w:t>
      </w:r>
      <w:r w:rsidRPr="007A01B9">
        <w:rPr>
          <w:lang w:val="fr-FR"/>
        </w:rPr>
        <w:tab/>
        <w:t>Nouvelles propositions</w:t>
      </w:r>
    </w:p>
    <w:tbl>
      <w:tblPr>
        <w:tblW w:w="7370" w:type="dxa"/>
        <w:tblInd w:w="1134" w:type="dxa"/>
        <w:tblLayout w:type="fixed"/>
        <w:tblCellMar>
          <w:left w:w="0" w:type="dxa"/>
          <w:right w:w="0" w:type="dxa"/>
        </w:tblCellMar>
        <w:tblLook w:val="01E0" w:firstRow="1" w:lastRow="1" w:firstColumn="1" w:lastColumn="1" w:noHBand="0" w:noVBand="0"/>
      </w:tblPr>
      <w:tblGrid>
        <w:gridCol w:w="3150"/>
        <w:gridCol w:w="4220"/>
      </w:tblGrid>
      <w:tr w:rsidR="001B73C8" w:rsidRPr="007B74E2" w14:paraId="74AB0264" w14:textId="77777777" w:rsidTr="00E47240">
        <w:tc>
          <w:tcPr>
            <w:tcW w:w="3150" w:type="dxa"/>
          </w:tcPr>
          <w:p w14:paraId="3AA73268" w14:textId="77777777" w:rsidR="001B73C8" w:rsidRPr="007A01B9" w:rsidRDefault="001B73C8" w:rsidP="001B73C8">
            <w:pPr>
              <w:pStyle w:val="SingleTxtG"/>
              <w:ind w:left="0" w:right="170"/>
              <w:rPr>
                <w:lang w:val="fr-FR"/>
              </w:rPr>
            </w:pPr>
            <w:r w:rsidRPr="007A01B9">
              <w:rPr>
                <w:lang w:val="fr-FR"/>
              </w:rPr>
              <w:t>ECE/TRANS/WP.15/AC.1/2022/1 (Allemagne)</w:t>
            </w:r>
          </w:p>
        </w:tc>
        <w:tc>
          <w:tcPr>
            <w:tcW w:w="4220" w:type="dxa"/>
          </w:tcPr>
          <w:p w14:paraId="3B458278" w14:textId="606EBB58" w:rsidR="001B73C8" w:rsidRPr="007A01B9" w:rsidRDefault="001B73C8" w:rsidP="00E47240">
            <w:pPr>
              <w:pStyle w:val="SingleTxtG"/>
              <w:ind w:left="0" w:right="170"/>
              <w:jc w:val="left"/>
              <w:rPr>
                <w:lang w:val="fr-FR"/>
              </w:rPr>
            </w:pPr>
            <w:r>
              <w:rPr>
                <w:lang w:val="fr-FR"/>
              </w:rPr>
              <w:t>Modification de</w:t>
            </w:r>
            <w:r w:rsidRPr="007A01B9">
              <w:rPr>
                <w:lang w:val="fr-FR"/>
              </w:rPr>
              <w:t xml:space="preserve"> la disposition spéciale</w:t>
            </w:r>
            <w:r>
              <w:rPr>
                <w:lang w:val="fr-FR"/>
              </w:rPr>
              <w:t> </w:t>
            </w:r>
            <w:r w:rsidRPr="007A01B9">
              <w:rPr>
                <w:lang w:val="fr-FR"/>
              </w:rPr>
              <w:t xml:space="preserve">376 sur les piles et batteries au lithium ionique et les piles et batteries au lithium métal endommagées ou défectueuses </w:t>
            </w:r>
          </w:p>
        </w:tc>
      </w:tr>
      <w:tr w:rsidR="001B73C8" w:rsidRPr="007B74E2" w14:paraId="7031BD7C" w14:textId="77777777" w:rsidTr="00E47240">
        <w:tc>
          <w:tcPr>
            <w:tcW w:w="3150" w:type="dxa"/>
          </w:tcPr>
          <w:p w14:paraId="5F87BD7F" w14:textId="77777777" w:rsidR="001B73C8" w:rsidRPr="007A01B9" w:rsidRDefault="001B73C8" w:rsidP="001B73C8">
            <w:pPr>
              <w:pStyle w:val="SingleTxtG"/>
              <w:ind w:left="0" w:right="170"/>
              <w:rPr>
                <w:lang w:val="fr-FR"/>
              </w:rPr>
            </w:pPr>
            <w:r w:rsidRPr="007A01B9">
              <w:rPr>
                <w:lang w:val="fr-FR"/>
              </w:rPr>
              <w:t>ECE/TRANS/WP.15/AC.1/2022/14 (Norvège et Suède)</w:t>
            </w:r>
          </w:p>
        </w:tc>
        <w:tc>
          <w:tcPr>
            <w:tcW w:w="4220" w:type="dxa"/>
          </w:tcPr>
          <w:p w14:paraId="757DA50C" w14:textId="7CB47E92" w:rsidR="001B73C8" w:rsidRPr="007A01B9" w:rsidRDefault="001B73C8" w:rsidP="00E47240">
            <w:pPr>
              <w:pStyle w:val="SingleTxtG"/>
              <w:ind w:left="0" w:right="170"/>
              <w:jc w:val="left"/>
              <w:rPr>
                <w:lang w:val="fr-FR"/>
              </w:rPr>
            </w:pPr>
            <w:r w:rsidRPr="007A01B9">
              <w:rPr>
                <w:lang w:val="fr-FR"/>
              </w:rPr>
              <w:t>Section</w:t>
            </w:r>
            <w:r w:rsidR="00E47240">
              <w:rPr>
                <w:lang w:val="fr-FR"/>
              </w:rPr>
              <w:t> </w:t>
            </w:r>
            <w:r w:rsidRPr="007A01B9">
              <w:rPr>
                <w:lang w:val="fr-FR"/>
              </w:rPr>
              <w:t xml:space="preserve">1.10.4 </w:t>
            </w:r>
            <w:r>
              <w:rPr>
                <w:lang w:val="fr-FR"/>
              </w:rPr>
              <w:t>−</w:t>
            </w:r>
            <w:r w:rsidRPr="007A01B9">
              <w:rPr>
                <w:lang w:val="fr-FR"/>
              </w:rPr>
              <w:t xml:space="preserve"> texte faisant référence au 1.1.3.6</w:t>
            </w:r>
          </w:p>
        </w:tc>
      </w:tr>
      <w:tr w:rsidR="001B73C8" w:rsidRPr="007B74E2" w14:paraId="3A31D2DD" w14:textId="77777777" w:rsidTr="00E47240">
        <w:tc>
          <w:tcPr>
            <w:tcW w:w="3150" w:type="dxa"/>
          </w:tcPr>
          <w:p w14:paraId="3F3F2F44" w14:textId="77777777" w:rsidR="001B73C8" w:rsidRPr="007A01B9" w:rsidRDefault="001B73C8" w:rsidP="001B73C8">
            <w:pPr>
              <w:pStyle w:val="SingleTxtG"/>
              <w:ind w:left="0" w:right="170"/>
              <w:rPr>
                <w:lang w:val="fr-FR"/>
              </w:rPr>
            </w:pPr>
            <w:r w:rsidRPr="007A01B9">
              <w:rPr>
                <w:lang w:val="fr-FR"/>
              </w:rPr>
              <w:t>ECE/TRANS/WP.15/AC.1/2022/15 (Suède)</w:t>
            </w:r>
          </w:p>
        </w:tc>
        <w:tc>
          <w:tcPr>
            <w:tcW w:w="4220" w:type="dxa"/>
          </w:tcPr>
          <w:p w14:paraId="760508DC" w14:textId="33749F21" w:rsidR="001B73C8" w:rsidRPr="007A01B9" w:rsidRDefault="001B73C8" w:rsidP="00E47240">
            <w:pPr>
              <w:pStyle w:val="SingleTxtG"/>
              <w:ind w:left="0" w:right="170"/>
              <w:jc w:val="left"/>
              <w:rPr>
                <w:lang w:val="fr-FR"/>
              </w:rPr>
            </w:pPr>
            <w:r w:rsidRPr="007A01B9">
              <w:rPr>
                <w:lang w:val="fr-FR"/>
              </w:rPr>
              <w:t xml:space="preserve">Transport de restes de peinture (déchets) </w:t>
            </w:r>
            <w:r>
              <w:rPr>
                <w:lang w:val="fr-FR"/>
              </w:rPr>
              <w:t>−</w:t>
            </w:r>
            <w:r w:rsidRPr="007A01B9">
              <w:rPr>
                <w:lang w:val="fr-FR"/>
              </w:rPr>
              <w:t xml:space="preserve"> Amendement et attribution de la disposition spéciale</w:t>
            </w:r>
            <w:r>
              <w:rPr>
                <w:lang w:val="fr-FR"/>
              </w:rPr>
              <w:t> </w:t>
            </w:r>
            <w:r w:rsidRPr="007A01B9">
              <w:rPr>
                <w:lang w:val="fr-FR"/>
              </w:rPr>
              <w:t>650 au numéro ONU</w:t>
            </w:r>
            <w:r>
              <w:rPr>
                <w:lang w:val="fr-FR"/>
              </w:rPr>
              <w:t> </w:t>
            </w:r>
            <w:r w:rsidRPr="007A01B9">
              <w:rPr>
                <w:lang w:val="fr-FR"/>
              </w:rPr>
              <w:t>3082</w:t>
            </w:r>
          </w:p>
        </w:tc>
      </w:tr>
      <w:tr w:rsidR="001B73C8" w:rsidRPr="007B74E2" w14:paraId="3F68FC1E" w14:textId="77777777" w:rsidTr="00E47240">
        <w:tc>
          <w:tcPr>
            <w:tcW w:w="3150" w:type="dxa"/>
          </w:tcPr>
          <w:p w14:paraId="24733457" w14:textId="77777777" w:rsidR="001B73C8" w:rsidRPr="007A01B9" w:rsidRDefault="001B73C8" w:rsidP="001B73C8">
            <w:pPr>
              <w:pStyle w:val="SingleTxtG"/>
              <w:ind w:left="0" w:right="170"/>
              <w:rPr>
                <w:lang w:val="fr-FR"/>
              </w:rPr>
            </w:pPr>
            <w:r w:rsidRPr="007A01B9">
              <w:rPr>
                <w:lang w:val="fr-FR"/>
              </w:rPr>
              <w:t>ECE/TRANS/WP.15/AC.1/2022/19 (France)</w:t>
            </w:r>
          </w:p>
        </w:tc>
        <w:tc>
          <w:tcPr>
            <w:tcW w:w="4220" w:type="dxa"/>
          </w:tcPr>
          <w:p w14:paraId="72ABAF17" w14:textId="77777777" w:rsidR="001B73C8" w:rsidRPr="007A01B9" w:rsidRDefault="001B73C8" w:rsidP="00E47240">
            <w:pPr>
              <w:pStyle w:val="SingleTxtG"/>
              <w:ind w:left="0" w:right="170"/>
              <w:jc w:val="left"/>
              <w:rPr>
                <w:lang w:val="fr-FR"/>
              </w:rPr>
            </w:pPr>
            <w:r w:rsidRPr="007A01B9">
              <w:rPr>
                <w:lang w:val="fr-FR"/>
              </w:rPr>
              <w:t>Clarification du contenu du certificat d</w:t>
            </w:r>
            <w:r>
              <w:rPr>
                <w:lang w:val="fr-FR"/>
              </w:rPr>
              <w:t>’</w:t>
            </w:r>
            <w:r w:rsidRPr="007A01B9">
              <w:rPr>
                <w:lang w:val="fr-FR"/>
              </w:rPr>
              <w:t>agrément de type visé au 1.8.7.2.2.1 du RID et de l</w:t>
            </w:r>
            <w:r>
              <w:rPr>
                <w:lang w:val="fr-FR"/>
              </w:rPr>
              <w:t>’</w:t>
            </w:r>
            <w:r w:rsidRPr="007A01B9">
              <w:rPr>
                <w:lang w:val="fr-FR"/>
              </w:rPr>
              <w:t>ADR</w:t>
            </w:r>
          </w:p>
        </w:tc>
      </w:tr>
    </w:tbl>
    <w:p w14:paraId="399CE0FE" w14:textId="77777777" w:rsidR="001B73C8" w:rsidRPr="007A01B9" w:rsidRDefault="001B73C8" w:rsidP="00E47240">
      <w:pPr>
        <w:pStyle w:val="H1G"/>
        <w:rPr>
          <w:szCs w:val="24"/>
          <w:lang w:val="fr-FR"/>
        </w:rPr>
      </w:pPr>
      <w:r w:rsidRPr="007A01B9">
        <w:rPr>
          <w:lang w:val="fr-FR"/>
        </w:rPr>
        <w:lastRenderedPageBreak/>
        <w:tab/>
        <w:t>6.</w:t>
      </w:r>
      <w:r w:rsidRPr="007A01B9">
        <w:rPr>
          <w:lang w:val="fr-FR"/>
        </w:rPr>
        <w:tab/>
        <w:t>Rapports des groupes de travail informels</w:t>
      </w:r>
    </w:p>
    <w:p w14:paraId="52703ECC" w14:textId="3E918CA5" w:rsidR="001B73C8" w:rsidRPr="007A01B9" w:rsidRDefault="001B73C8" w:rsidP="001B73C8">
      <w:pPr>
        <w:pStyle w:val="SingleTxtG"/>
        <w:ind w:firstLine="567"/>
        <w:rPr>
          <w:lang w:val="fr-FR"/>
        </w:rPr>
      </w:pPr>
      <w:r w:rsidRPr="007A01B9">
        <w:rPr>
          <w:lang w:val="fr-FR"/>
        </w:rPr>
        <w:tab/>
        <w:t>Aucun document n</w:t>
      </w:r>
      <w:r>
        <w:rPr>
          <w:lang w:val="fr-FR"/>
        </w:rPr>
        <w:t>’</w:t>
      </w:r>
      <w:r w:rsidRPr="007A01B9">
        <w:rPr>
          <w:lang w:val="fr-FR"/>
        </w:rPr>
        <w:t>a été soumis au titre de ce point de l</w:t>
      </w:r>
      <w:r>
        <w:rPr>
          <w:lang w:val="fr-FR"/>
        </w:rPr>
        <w:t>’</w:t>
      </w:r>
      <w:r w:rsidRPr="007A01B9">
        <w:rPr>
          <w:lang w:val="fr-FR"/>
        </w:rPr>
        <w:t>ordre du jour.</w:t>
      </w:r>
    </w:p>
    <w:p w14:paraId="3725FFBC" w14:textId="77777777" w:rsidR="001B73C8" w:rsidRPr="007A01B9" w:rsidRDefault="001B73C8" w:rsidP="00E47240">
      <w:pPr>
        <w:pStyle w:val="H1G"/>
        <w:rPr>
          <w:szCs w:val="24"/>
          <w:lang w:val="fr-FR"/>
        </w:rPr>
      </w:pPr>
      <w:r w:rsidRPr="007A01B9">
        <w:rPr>
          <w:lang w:val="fr-FR"/>
        </w:rPr>
        <w:tab/>
        <w:t>7.</w:t>
      </w:r>
      <w:r w:rsidRPr="007A01B9">
        <w:rPr>
          <w:lang w:val="fr-FR"/>
        </w:rPr>
        <w:tab/>
        <w:t>Accidents et gestion des risques</w:t>
      </w:r>
    </w:p>
    <w:p w14:paraId="47D0B127" w14:textId="70CD77CC" w:rsidR="001B73C8" w:rsidRPr="007A01B9" w:rsidRDefault="001B73C8" w:rsidP="001B73C8">
      <w:pPr>
        <w:pStyle w:val="SingleTxtG"/>
        <w:ind w:firstLine="567"/>
        <w:rPr>
          <w:lang w:val="fr-FR"/>
        </w:rPr>
      </w:pPr>
      <w:r w:rsidRPr="007A01B9">
        <w:rPr>
          <w:lang w:val="fr-FR"/>
        </w:rPr>
        <w:tab/>
        <w:t>Aucun document n</w:t>
      </w:r>
      <w:r>
        <w:rPr>
          <w:lang w:val="fr-FR"/>
        </w:rPr>
        <w:t>’</w:t>
      </w:r>
      <w:r w:rsidRPr="007A01B9">
        <w:rPr>
          <w:lang w:val="fr-FR"/>
        </w:rPr>
        <w:t>a été soumis au titre de ce point de l</w:t>
      </w:r>
      <w:r>
        <w:rPr>
          <w:lang w:val="fr-FR"/>
        </w:rPr>
        <w:t>’</w:t>
      </w:r>
      <w:r w:rsidRPr="007A01B9">
        <w:rPr>
          <w:lang w:val="fr-FR"/>
        </w:rPr>
        <w:t>ordre du jour.</w:t>
      </w:r>
      <w:bookmarkStart w:id="1" w:name="_Hlk91496170"/>
    </w:p>
    <w:bookmarkEnd w:id="1"/>
    <w:p w14:paraId="2C29078D" w14:textId="77777777" w:rsidR="001B73C8" w:rsidRPr="007A01B9" w:rsidRDefault="001B73C8" w:rsidP="00E47240">
      <w:pPr>
        <w:pStyle w:val="H1G"/>
        <w:rPr>
          <w:szCs w:val="24"/>
          <w:lang w:val="fr-FR"/>
        </w:rPr>
      </w:pPr>
      <w:r w:rsidRPr="007A01B9">
        <w:rPr>
          <w:lang w:val="fr-FR"/>
        </w:rPr>
        <w:tab/>
        <w:t>8.</w:t>
      </w:r>
      <w:r w:rsidRPr="007A01B9">
        <w:rPr>
          <w:lang w:val="fr-FR"/>
        </w:rPr>
        <w:tab/>
        <w:t>Travaux futurs</w:t>
      </w:r>
    </w:p>
    <w:p w14:paraId="3D1372A8" w14:textId="36F3A47F" w:rsidR="001B73C8" w:rsidRPr="007A01B9" w:rsidRDefault="001B73C8" w:rsidP="001B73C8">
      <w:pPr>
        <w:pStyle w:val="SingleTxtG"/>
        <w:ind w:firstLine="567"/>
        <w:rPr>
          <w:lang w:val="fr-FR"/>
        </w:rPr>
      </w:pPr>
      <w:r w:rsidRPr="007A01B9">
        <w:rPr>
          <w:lang w:val="fr-FR"/>
        </w:rPr>
        <w:tab/>
        <w:t>La Réunion commune voudra bien réfléchir à l</w:t>
      </w:r>
      <w:r>
        <w:rPr>
          <w:lang w:val="fr-FR"/>
        </w:rPr>
        <w:t>’</w:t>
      </w:r>
      <w:r w:rsidRPr="007A01B9">
        <w:rPr>
          <w:lang w:val="fr-FR"/>
        </w:rPr>
        <w:t>ordre du jour de la session d</w:t>
      </w:r>
      <w:r>
        <w:rPr>
          <w:lang w:val="fr-FR"/>
        </w:rPr>
        <w:t>’</w:t>
      </w:r>
      <w:r w:rsidRPr="007A01B9">
        <w:rPr>
          <w:lang w:val="fr-FR"/>
        </w:rPr>
        <w:t>automne 2022 (Genève, 12-16</w:t>
      </w:r>
      <w:r>
        <w:rPr>
          <w:lang w:val="fr-FR"/>
        </w:rPr>
        <w:t> </w:t>
      </w:r>
      <w:r w:rsidRPr="007A01B9">
        <w:rPr>
          <w:lang w:val="fr-FR"/>
        </w:rPr>
        <w:t>septembre 2022).</w:t>
      </w:r>
    </w:p>
    <w:p w14:paraId="2E2266FB" w14:textId="77777777" w:rsidR="001B73C8" w:rsidRPr="007A01B9" w:rsidRDefault="001B73C8" w:rsidP="00E47240">
      <w:pPr>
        <w:pStyle w:val="H1G"/>
        <w:rPr>
          <w:szCs w:val="24"/>
          <w:lang w:val="fr-FR"/>
        </w:rPr>
      </w:pPr>
      <w:r w:rsidRPr="007A01B9">
        <w:rPr>
          <w:lang w:val="fr-FR"/>
        </w:rPr>
        <w:tab/>
        <w:t>9.</w:t>
      </w:r>
      <w:r w:rsidRPr="007A01B9">
        <w:rPr>
          <w:lang w:val="fr-FR"/>
        </w:rPr>
        <w:tab/>
        <w:t>Questions diverses</w:t>
      </w:r>
    </w:p>
    <w:p w14:paraId="78D57DC0" w14:textId="784E3B47" w:rsidR="001B73C8" w:rsidRPr="007A01B9" w:rsidRDefault="001B73C8" w:rsidP="001B73C8">
      <w:pPr>
        <w:pStyle w:val="SingleTxtG"/>
        <w:ind w:firstLine="567"/>
        <w:rPr>
          <w:lang w:val="fr-FR"/>
        </w:rPr>
      </w:pPr>
      <w:r w:rsidRPr="007A01B9">
        <w:rPr>
          <w:lang w:val="fr-FR"/>
        </w:rPr>
        <w:tab/>
        <w:t>Aucun document n</w:t>
      </w:r>
      <w:r>
        <w:rPr>
          <w:lang w:val="fr-FR"/>
        </w:rPr>
        <w:t>’</w:t>
      </w:r>
      <w:r w:rsidRPr="007A01B9">
        <w:rPr>
          <w:lang w:val="fr-FR"/>
        </w:rPr>
        <w:t>a été soumis au titre de ce point de l</w:t>
      </w:r>
      <w:r>
        <w:rPr>
          <w:lang w:val="fr-FR"/>
        </w:rPr>
        <w:t>’</w:t>
      </w:r>
      <w:r w:rsidRPr="007A01B9">
        <w:rPr>
          <w:lang w:val="fr-FR"/>
        </w:rPr>
        <w:t>ordre du jour.</w:t>
      </w:r>
    </w:p>
    <w:p w14:paraId="31463566" w14:textId="77777777" w:rsidR="001B73C8" w:rsidRPr="007A01B9" w:rsidRDefault="001B73C8" w:rsidP="00E47240">
      <w:pPr>
        <w:pStyle w:val="H1G"/>
        <w:rPr>
          <w:szCs w:val="24"/>
          <w:lang w:val="fr-FR"/>
        </w:rPr>
      </w:pPr>
      <w:r w:rsidRPr="007A01B9">
        <w:rPr>
          <w:lang w:val="fr-FR"/>
        </w:rPr>
        <w:tab/>
        <w:t>10.</w:t>
      </w:r>
      <w:r w:rsidRPr="007A01B9">
        <w:rPr>
          <w:lang w:val="fr-FR"/>
        </w:rPr>
        <w:tab/>
        <w:t>Adoption du rapport</w:t>
      </w:r>
    </w:p>
    <w:p w14:paraId="6B44BAB7" w14:textId="3086775B" w:rsidR="00F9573C" w:rsidRDefault="001B73C8" w:rsidP="001B73C8">
      <w:pPr>
        <w:pStyle w:val="SingleTxtG"/>
        <w:ind w:firstLine="567"/>
        <w:rPr>
          <w:lang w:val="fr-FR"/>
        </w:rPr>
      </w:pPr>
      <w:r w:rsidRPr="007A01B9">
        <w:rPr>
          <w:lang w:val="fr-FR"/>
        </w:rPr>
        <w:tab/>
        <w:t>Conformément à l</w:t>
      </w:r>
      <w:r>
        <w:rPr>
          <w:lang w:val="fr-FR"/>
        </w:rPr>
        <w:t>’</w:t>
      </w:r>
      <w:r w:rsidRPr="007A01B9">
        <w:rPr>
          <w:lang w:val="fr-FR"/>
        </w:rPr>
        <w:t>usage, la Réunion commune adoptera le rapport de sa session sur la base d</w:t>
      </w:r>
      <w:r>
        <w:rPr>
          <w:lang w:val="fr-FR"/>
        </w:rPr>
        <w:t>’</w:t>
      </w:r>
      <w:r w:rsidRPr="007A01B9">
        <w:rPr>
          <w:lang w:val="fr-FR"/>
        </w:rPr>
        <w:t>un projet établi par le secrétariat.</w:t>
      </w:r>
    </w:p>
    <w:p w14:paraId="319D986E" w14:textId="02830463" w:rsidR="001B73C8" w:rsidRPr="001B73C8" w:rsidRDefault="001B73C8" w:rsidP="001B73C8">
      <w:pPr>
        <w:pStyle w:val="SingleTxtG"/>
        <w:spacing w:before="240" w:after="0"/>
        <w:jc w:val="center"/>
        <w:rPr>
          <w:u w:val="single"/>
        </w:rPr>
      </w:pPr>
      <w:r>
        <w:rPr>
          <w:u w:val="single"/>
        </w:rPr>
        <w:tab/>
      </w:r>
      <w:r>
        <w:rPr>
          <w:u w:val="single"/>
        </w:rPr>
        <w:tab/>
      </w:r>
      <w:r>
        <w:rPr>
          <w:u w:val="single"/>
        </w:rPr>
        <w:tab/>
      </w:r>
      <w:r>
        <w:rPr>
          <w:u w:val="single"/>
        </w:rPr>
        <w:tab/>
      </w:r>
    </w:p>
    <w:sectPr w:rsidR="001B73C8" w:rsidRPr="001B73C8" w:rsidSect="001B73C8">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4E25E" w14:textId="77777777" w:rsidR="00851F83" w:rsidRDefault="00851F83" w:rsidP="00F95C08">
      <w:pPr>
        <w:spacing w:line="240" w:lineRule="auto"/>
      </w:pPr>
    </w:p>
  </w:endnote>
  <w:endnote w:type="continuationSeparator" w:id="0">
    <w:p w14:paraId="55B374E4" w14:textId="77777777" w:rsidR="00851F83" w:rsidRPr="00AC3823" w:rsidRDefault="00851F83" w:rsidP="00AC3823">
      <w:pPr>
        <w:pStyle w:val="Footer"/>
      </w:pPr>
    </w:p>
  </w:endnote>
  <w:endnote w:type="continuationNotice" w:id="1">
    <w:p w14:paraId="47FE1E0F" w14:textId="77777777" w:rsidR="00851F83" w:rsidRDefault="00851F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BA9A1" w14:textId="090E74D4" w:rsidR="001B73C8" w:rsidRPr="001B73C8" w:rsidRDefault="001B73C8" w:rsidP="001B73C8">
    <w:pPr>
      <w:pStyle w:val="Footer"/>
      <w:tabs>
        <w:tab w:val="right" w:pos="9638"/>
      </w:tabs>
    </w:pPr>
    <w:r w:rsidRPr="001B73C8">
      <w:rPr>
        <w:b/>
        <w:sz w:val="18"/>
      </w:rPr>
      <w:fldChar w:fldCharType="begin"/>
    </w:r>
    <w:r w:rsidRPr="001B73C8">
      <w:rPr>
        <w:b/>
        <w:sz w:val="18"/>
      </w:rPr>
      <w:instrText xml:space="preserve"> PAGE  \* MERGEFORMAT </w:instrText>
    </w:r>
    <w:r w:rsidRPr="001B73C8">
      <w:rPr>
        <w:b/>
        <w:sz w:val="18"/>
      </w:rPr>
      <w:fldChar w:fldCharType="separate"/>
    </w:r>
    <w:r w:rsidRPr="001B73C8">
      <w:rPr>
        <w:b/>
        <w:noProof/>
        <w:sz w:val="18"/>
      </w:rPr>
      <w:t>2</w:t>
    </w:r>
    <w:r w:rsidRPr="001B73C8">
      <w:rPr>
        <w:b/>
        <w:sz w:val="18"/>
      </w:rPr>
      <w:fldChar w:fldCharType="end"/>
    </w:r>
    <w:r>
      <w:rPr>
        <w:b/>
        <w:sz w:val="18"/>
      </w:rPr>
      <w:tab/>
    </w:r>
    <w:r>
      <w:t>GE.21-19748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4F5B" w14:textId="5867F2A3" w:rsidR="001B73C8" w:rsidRPr="001B73C8" w:rsidRDefault="001B73C8" w:rsidP="001B73C8">
    <w:pPr>
      <w:pStyle w:val="Footer"/>
      <w:tabs>
        <w:tab w:val="right" w:pos="9638"/>
      </w:tabs>
      <w:rPr>
        <w:b/>
        <w:sz w:val="18"/>
      </w:rPr>
    </w:pPr>
    <w:r>
      <w:t>GE.21-19748</w:t>
    </w:r>
    <w:r>
      <w:tab/>
    </w:r>
    <w:r w:rsidRPr="001B73C8">
      <w:rPr>
        <w:b/>
        <w:sz w:val="18"/>
      </w:rPr>
      <w:fldChar w:fldCharType="begin"/>
    </w:r>
    <w:r w:rsidRPr="001B73C8">
      <w:rPr>
        <w:b/>
        <w:sz w:val="18"/>
      </w:rPr>
      <w:instrText xml:space="preserve"> PAGE  \* MERGEFORMAT </w:instrText>
    </w:r>
    <w:r w:rsidRPr="001B73C8">
      <w:rPr>
        <w:b/>
        <w:sz w:val="18"/>
      </w:rPr>
      <w:fldChar w:fldCharType="separate"/>
    </w:r>
    <w:r w:rsidRPr="001B73C8">
      <w:rPr>
        <w:b/>
        <w:noProof/>
        <w:sz w:val="18"/>
      </w:rPr>
      <w:t>3</w:t>
    </w:r>
    <w:r w:rsidRPr="001B73C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4840" w14:textId="57BF74AF" w:rsidR="007F20FA" w:rsidRPr="001B73C8" w:rsidRDefault="001B73C8" w:rsidP="001B73C8">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12A95BD" wp14:editId="59FF5C9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21-19748  (F)</w:t>
    </w:r>
    <w:r>
      <w:rPr>
        <w:noProof/>
        <w:sz w:val="20"/>
      </w:rPr>
      <w:drawing>
        <wp:anchor distT="0" distB="0" distL="114300" distR="114300" simplePos="0" relativeHeight="251660288" behindDoc="0" locked="0" layoutInCell="1" allowOverlap="1" wp14:anchorId="24B181CC" wp14:editId="26FD4635">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210122    210122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46734" w14:textId="77777777" w:rsidR="00851F83" w:rsidRPr="00AC3823" w:rsidRDefault="00851F83" w:rsidP="00AC3823">
      <w:pPr>
        <w:pStyle w:val="Footer"/>
        <w:tabs>
          <w:tab w:val="right" w:pos="2155"/>
        </w:tabs>
        <w:spacing w:after="80" w:line="240" w:lineRule="atLeast"/>
        <w:ind w:left="680"/>
        <w:rPr>
          <w:u w:val="single"/>
        </w:rPr>
      </w:pPr>
      <w:r>
        <w:rPr>
          <w:u w:val="single"/>
        </w:rPr>
        <w:tab/>
      </w:r>
    </w:p>
  </w:footnote>
  <w:footnote w:type="continuationSeparator" w:id="0">
    <w:p w14:paraId="144FC3D4" w14:textId="77777777" w:rsidR="00851F83" w:rsidRPr="00AC3823" w:rsidRDefault="00851F83" w:rsidP="00AC3823">
      <w:pPr>
        <w:pStyle w:val="Footer"/>
        <w:tabs>
          <w:tab w:val="right" w:pos="2155"/>
        </w:tabs>
        <w:spacing w:after="80" w:line="240" w:lineRule="atLeast"/>
        <w:ind w:left="680"/>
        <w:rPr>
          <w:u w:val="single"/>
        </w:rPr>
      </w:pPr>
      <w:r>
        <w:rPr>
          <w:u w:val="single"/>
        </w:rPr>
        <w:tab/>
      </w:r>
    </w:p>
  </w:footnote>
  <w:footnote w:type="continuationNotice" w:id="1">
    <w:p w14:paraId="664F8AB6" w14:textId="77777777" w:rsidR="00851F83" w:rsidRPr="00AC3823" w:rsidRDefault="00851F83">
      <w:pPr>
        <w:spacing w:line="240" w:lineRule="auto"/>
        <w:rPr>
          <w:sz w:val="2"/>
          <w:szCs w:val="2"/>
        </w:rPr>
      </w:pPr>
    </w:p>
  </w:footnote>
  <w:footnote w:id="2">
    <w:p w14:paraId="54B7CAE1" w14:textId="5EFB134A" w:rsidR="001B73C8" w:rsidRPr="001B73C8" w:rsidRDefault="001B73C8">
      <w:pPr>
        <w:pStyle w:val="FootnoteText"/>
      </w:pPr>
      <w:r>
        <w:rPr>
          <w:rStyle w:val="FootnoteReference"/>
        </w:rPr>
        <w:tab/>
      </w:r>
      <w:r w:rsidRPr="001B73C8">
        <w:rPr>
          <w:rStyle w:val="FootnoteReference"/>
          <w:sz w:val="20"/>
          <w:vertAlign w:val="baseline"/>
        </w:rPr>
        <w:t>*</w:t>
      </w:r>
      <w:r>
        <w:rPr>
          <w:rStyle w:val="FootnoteReference"/>
          <w:sz w:val="20"/>
          <w:vertAlign w:val="baseline"/>
        </w:rPr>
        <w:tab/>
      </w:r>
      <w:r>
        <w:rPr>
          <w:lang w:val="fr-FR"/>
        </w:rPr>
        <w:t>Il a été convenu que le présent document serait publié après la date normale de publication en raison de circonstances indépendantes de la volonté du soumetteur.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F5763" w14:textId="7B5735D2" w:rsidR="001B73C8" w:rsidRPr="001B73C8" w:rsidRDefault="00EB6294">
    <w:pPr>
      <w:pStyle w:val="Header"/>
    </w:pPr>
    <w:r>
      <w:fldChar w:fldCharType="begin"/>
    </w:r>
    <w:r>
      <w:instrText xml:space="preserve"> TITLE  \* MERGEFORMAT </w:instrText>
    </w:r>
    <w:r>
      <w:fldChar w:fldCharType="separate"/>
    </w:r>
    <w:r w:rsidR="001B73C8">
      <w:t>ECE/TRANS/WP.15/AC.1/163/Add.1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B3B9" w14:textId="11762953" w:rsidR="001B73C8" w:rsidRPr="001B73C8" w:rsidRDefault="00EB6294" w:rsidP="001B73C8">
    <w:pPr>
      <w:pStyle w:val="Header"/>
      <w:jc w:val="right"/>
    </w:pPr>
    <w:r>
      <w:fldChar w:fldCharType="begin"/>
    </w:r>
    <w:r>
      <w:instrText xml:space="preserve"> TITLE  \* MERGEFORMAT </w:instrText>
    </w:r>
    <w:r>
      <w:fldChar w:fldCharType="separate"/>
    </w:r>
    <w:r w:rsidR="001B73C8">
      <w:t>ECE/TRANS/WP.15/AC.1/163/Add.1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83"/>
    <w:rsid w:val="00017F94"/>
    <w:rsid w:val="00023842"/>
    <w:rsid w:val="000334F9"/>
    <w:rsid w:val="00045FEB"/>
    <w:rsid w:val="0007796D"/>
    <w:rsid w:val="000B7790"/>
    <w:rsid w:val="00111F2F"/>
    <w:rsid w:val="0014365E"/>
    <w:rsid w:val="00143C66"/>
    <w:rsid w:val="00176178"/>
    <w:rsid w:val="001B73C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6D52BE"/>
    <w:rsid w:val="0071601D"/>
    <w:rsid w:val="007A62E6"/>
    <w:rsid w:val="007F20FA"/>
    <w:rsid w:val="0080684C"/>
    <w:rsid w:val="00851F83"/>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507C"/>
    <w:rsid w:val="00B765F7"/>
    <w:rsid w:val="00B77993"/>
    <w:rsid w:val="00BA0CA9"/>
    <w:rsid w:val="00C02897"/>
    <w:rsid w:val="00C97039"/>
    <w:rsid w:val="00D3439C"/>
    <w:rsid w:val="00D7622E"/>
    <w:rsid w:val="00DB1831"/>
    <w:rsid w:val="00DD3BFD"/>
    <w:rsid w:val="00DF6678"/>
    <w:rsid w:val="00E0299A"/>
    <w:rsid w:val="00E43362"/>
    <w:rsid w:val="00E47240"/>
    <w:rsid w:val="00E85C74"/>
    <w:rsid w:val="00EA6547"/>
    <w:rsid w:val="00EB6294"/>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99F64"/>
  <w15:docId w15:val="{EAD5BDC3-3E60-4ED2-B911-614A7029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FootnoteReference">
    <w:name w:val="footnote reference"/>
    <w:aliases w:val="4_G,Footnote Reference/,4_GR"/>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styleId="UnresolvedMention">
    <w:name w:val="Unresolved Mention"/>
    <w:basedOn w:val="DefaultParagraphFont"/>
    <w:uiPriority w:val="99"/>
    <w:semiHidden/>
    <w:unhideWhenUsed/>
    <w:rsid w:val="001B7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info/Transport/events/36295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otif.org/en/?page_id=214" TargetMode="External"/><Relationship Id="rId4" Type="http://schemas.openxmlformats.org/officeDocument/2006/relationships/webSettings" Target="webSettings.xml"/><Relationship Id="rId9" Type="http://schemas.openxmlformats.org/officeDocument/2006/relationships/hyperlink" Target="http://otif.org/de/?page_id=1124"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6622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ECE/TRANS/WP.15/AC.1/163/Add.1</vt:lpstr>
    </vt:vector>
  </TitlesOfParts>
  <Company>DCM</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ECE/TRANS/WP.15/AC.1/163/Add.1</dc:title>
  <dc:subject/>
  <dc:creator>Marie DESCHAMPS</dc:creator>
  <cp:keywords/>
  <cp:lastModifiedBy>Christine Barrio-Champeau</cp:lastModifiedBy>
  <cp:revision>2</cp:revision>
  <cp:lastPrinted>2014-05-14T10:59:00Z</cp:lastPrinted>
  <dcterms:created xsi:type="dcterms:W3CDTF">2022-01-24T08:03:00Z</dcterms:created>
  <dcterms:modified xsi:type="dcterms:W3CDTF">2022-01-24T08:03:00Z</dcterms:modified>
</cp:coreProperties>
</file>