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02C54F8" w14:textId="77777777" w:rsidTr="00C97039">
        <w:trPr>
          <w:trHeight w:hRule="exact" w:val="851"/>
        </w:trPr>
        <w:tc>
          <w:tcPr>
            <w:tcW w:w="1276" w:type="dxa"/>
            <w:tcBorders>
              <w:bottom w:val="single" w:sz="4" w:space="0" w:color="auto"/>
            </w:tcBorders>
          </w:tcPr>
          <w:p w14:paraId="4363D92B" w14:textId="77777777" w:rsidR="00F35BAF" w:rsidRPr="00DB58B5" w:rsidRDefault="00F35BAF" w:rsidP="00C97039"/>
        </w:tc>
        <w:tc>
          <w:tcPr>
            <w:tcW w:w="2268" w:type="dxa"/>
            <w:tcBorders>
              <w:bottom w:val="single" w:sz="4" w:space="0" w:color="auto"/>
            </w:tcBorders>
            <w:vAlign w:val="bottom"/>
          </w:tcPr>
          <w:p w14:paraId="688F0DA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0BA100" w14:textId="241F0B11" w:rsidR="00F35BAF" w:rsidRPr="00DB58B5" w:rsidRDefault="004E0ADE" w:rsidP="004E0ADE">
            <w:pPr>
              <w:jc w:val="right"/>
            </w:pPr>
            <w:r w:rsidRPr="004E0ADE">
              <w:rPr>
                <w:sz w:val="40"/>
              </w:rPr>
              <w:t>ECE</w:t>
            </w:r>
            <w:r>
              <w:t>/TRANS/WP.29/GRSG/2022/13</w:t>
            </w:r>
          </w:p>
        </w:tc>
      </w:tr>
      <w:tr w:rsidR="00F35BAF" w:rsidRPr="00DB58B5" w14:paraId="664A943E" w14:textId="77777777" w:rsidTr="00C97039">
        <w:trPr>
          <w:trHeight w:hRule="exact" w:val="2835"/>
        </w:trPr>
        <w:tc>
          <w:tcPr>
            <w:tcW w:w="1276" w:type="dxa"/>
            <w:tcBorders>
              <w:top w:val="single" w:sz="4" w:space="0" w:color="auto"/>
              <w:bottom w:val="single" w:sz="12" w:space="0" w:color="auto"/>
            </w:tcBorders>
          </w:tcPr>
          <w:p w14:paraId="3FC46B03" w14:textId="77777777" w:rsidR="00F35BAF" w:rsidRPr="00DB58B5" w:rsidRDefault="00F35BAF" w:rsidP="00C97039">
            <w:pPr>
              <w:spacing w:before="120"/>
              <w:jc w:val="center"/>
            </w:pPr>
            <w:r>
              <w:rPr>
                <w:noProof/>
                <w:lang w:eastAsia="fr-CH"/>
              </w:rPr>
              <w:drawing>
                <wp:inline distT="0" distB="0" distL="0" distR="0" wp14:anchorId="1F325E1A" wp14:editId="6A50CC5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4A1F6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225CEE9" w14:textId="77777777" w:rsidR="00F35BAF" w:rsidRDefault="004E0ADE" w:rsidP="00C97039">
            <w:pPr>
              <w:spacing w:before="240"/>
            </w:pPr>
            <w:r>
              <w:t>Distr. générale</w:t>
            </w:r>
          </w:p>
          <w:p w14:paraId="1D390E32" w14:textId="79278459" w:rsidR="004E0ADE" w:rsidRDefault="004E0ADE" w:rsidP="004E0ADE">
            <w:pPr>
              <w:spacing w:line="240" w:lineRule="exact"/>
            </w:pPr>
            <w:r>
              <w:t>13 janvier 2022</w:t>
            </w:r>
          </w:p>
          <w:p w14:paraId="2AC56D70" w14:textId="77777777" w:rsidR="004E0ADE" w:rsidRDefault="004E0ADE" w:rsidP="004E0ADE">
            <w:pPr>
              <w:spacing w:line="240" w:lineRule="exact"/>
            </w:pPr>
            <w:r>
              <w:t>Français</w:t>
            </w:r>
          </w:p>
          <w:p w14:paraId="4FA41F1E" w14:textId="23EE8728" w:rsidR="004E0ADE" w:rsidRPr="00DB58B5" w:rsidRDefault="004E0ADE" w:rsidP="004E0ADE">
            <w:pPr>
              <w:spacing w:line="240" w:lineRule="exact"/>
            </w:pPr>
            <w:r>
              <w:t>Original : anglais</w:t>
            </w:r>
          </w:p>
        </w:tc>
      </w:tr>
    </w:tbl>
    <w:p w14:paraId="56260043" w14:textId="77777777" w:rsidR="007F20FA" w:rsidRPr="000312C0" w:rsidRDefault="007F20FA" w:rsidP="007F20FA">
      <w:pPr>
        <w:spacing w:before="120"/>
        <w:rPr>
          <w:b/>
          <w:sz w:val="28"/>
          <w:szCs w:val="28"/>
        </w:rPr>
      </w:pPr>
      <w:r w:rsidRPr="000312C0">
        <w:rPr>
          <w:b/>
          <w:sz w:val="28"/>
          <w:szCs w:val="28"/>
        </w:rPr>
        <w:t>Commission économique pour l’Europe</w:t>
      </w:r>
    </w:p>
    <w:p w14:paraId="0AE50035" w14:textId="77777777" w:rsidR="007F20FA" w:rsidRDefault="007F20FA" w:rsidP="007F20FA">
      <w:pPr>
        <w:spacing w:before="120"/>
        <w:rPr>
          <w:sz w:val="28"/>
          <w:szCs w:val="28"/>
        </w:rPr>
      </w:pPr>
      <w:r w:rsidRPr="00685843">
        <w:rPr>
          <w:sz w:val="28"/>
          <w:szCs w:val="28"/>
        </w:rPr>
        <w:t>Comité des transports intérieurs</w:t>
      </w:r>
    </w:p>
    <w:p w14:paraId="49EFF1C6" w14:textId="7D1F2217" w:rsidR="004E0ADE" w:rsidRDefault="004E0ADE"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51B1E76" w14:textId="77777777" w:rsidR="004E0ADE" w:rsidRDefault="004E0ADE" w:rsidP="00257168">
      <w:pPr>
        <w:spacing w:before="120" w:after="120" w:line="240" w:lineRule="exact"/>
        <w:rPr>
          <w:b/>
        </w:rPr>
      </w:pPr>
      <w:r>
        <w:rPr>
          <w:b/>
        </w:rPr>
        <w:t>Groupe de travail des dispositions générales de sécurité</w:t>
      </w:r>
    </w:p>
    <w:p w14:paraId="4C6C4D10" w14:textId="7C9FBC1D" w:rsidR="004E0ADE" w:rsidRDefault="004E0ADE" w:rsidP="00257168">
      <w:pPr>
        <w:spacing w:before="120" w:line="240" w:lineRule="exact"/>
        <w:rPr>
          <w:b/>
        </w:rPr>
      </w:pPr>
      <w:r>
        <w:rPr>
          <w:b/>
        </w:rPr>
        <w:t>123</w:t>
      </w:r>
      <w:r w:rsidRPr="004E0ADE">
        <w:rPr>
          <w:b/>
          <w:vertAlign w:val="superscript"/>
        </w:rPr>
        <w:t>e</w:t>
      </w:r>
      <w:r>
        <w:rPr>
          <w:b/>
        </w:rPr>
        <w:t> session</w:t>
      </w:r>
    </w:p>
    <w:p w14:paraId="71D5417E" w14:textId="07BF0FB6" w:rsidR="004E0ADE" w:rsidRDefault="004E0ADE" w:rsidP="00257168">
      <w:pPr>
        <w:spacing w:line="240" w:lineRule="exact"/>
      </w:pPr>
      <w:r>
        <w:t>Genève, 29 mars-1</w:t>
      </w:r>
      <w:r w:rsidRPr="004E0ADE">
        <w:rPr>
          <w:vertAlign w:val="superscript"/>
        </w:rPr>
        <w:t>er</w:t>
      </w:r>
      <w:r>
        <w:t> avril 2022</w:t>
      </w:r>
    </w:p>
    <w:p w14:paraId="1D3E6115" w14:textId="6DC9556D" w:rsidR="004E0ADE" w:rsidRDefault="004E0ADE" w:rsidP="00257168">
      <w:pPr>
        <w:spacing w:line="240" w:lineRule="exact"/>
      </w:pPr>
      <w:r>
        <w:t>Point 7 b) de l’ordre du jour provisoire</w:t>
      </w:r>
    </w:p>
    <w:p w14:paraId="6B1BBB20" w14:textId="3E569D99" w:rsidR="004E0ADE" w:rsidRPr="00CB023B" w:rsidRDefault="004E0ADE" w:rsidP="004E0ADE">
      <w:pPr>
        <w:rPr>
          <w:rFonts w:asciiTheme="majorBidi" w:hAnsiTheme="majorBidi" w:cstheme="majorBidi"/>
          <w:b/>
          <w:lang w:val="fr-FR"/>
        </w:rPr>
      </w:pPr>
      <w:r>
        <w:rPr>
          <w:b/>
          <w:bCs/>
          <w:lang w:val="fr-FR"/>
        </w:rPr>
        <w:t>Amendements aux Règlements sur les véhicules fonctionnant au gaz</w:t>
      </w:r>
      <w:r>
        <w:rPr>
          <w:b/>
          <w:bCs/>
          <w:lang w:val="fr-FR"/>
        </w:rPr>
        <w:t> </w:t>
      </w:r>
      <w:r>
        <w:rPr>
          <w:b/>
          <w:bCs/>
          <w:lang w:val="fr-FR"/>
        </w:rPr>
        <w:t>:</w:t>
      </w:r>
      <w:r>
        <w:rPr>
          <w:b/>
          <w:bCs/>
          <w:lang w:val="fr-FR"/>
        </w:rPr>
        <w:t xml:space="preserve"> </w:t>
      </w:r>
      <w:r>
        <w:rPr>
          <w:rFonts w:asciiTheme="majorBidi" w:hAnsiTheme="majorBidi" w:cstheme="majorBidi"/>
          <w:b/>
          <w:lang w:val="fr-FR"/>
        </w:rPr>
        <w:br/>
      </w:r>
      <w:r>
        <w:rPr>
          <w:b/>
          <w:bCs/>
          <w:lang w:val="fr-FR"/>
        </w:rPr>
        <w:t xml:space="preserve">Règlement ONU </w:t>
      </w:r>
      <w:r>
        <w:rPr>
          <w:b/>
          <w:bCs/>
          <w:lang w:val="fr-FR"/>
        </w:rPr>
        <w:t>n</w:t>
      </w:r>
      <w:r w:rsidRPr="004E0ADE">
        <w:rPr>
          <w:b/>
          <w:bCs/>
          <w:vertAlign w:val="superscript"/>
          <w:lang w:val="fr-FR"/>
        </w:rPr>
        <w:t>o</w:t>
      </w:r>
      <w:r>
        <w:rPr>
          <w:b/>
          <w:bCs/>
          <w:lang w:val="fr-FR"/>
        </w:rPr>
        <w:t> </w:t>
      </w:r>
      <w:r>
        <w:rPr>
          <w:b/>
          <w:bCs/>
          <w:lang w:val="fr-FR"/>
        </w:rPr>
        <w:t>110 (Véhicules alimentés au GNC ou au GNL)</w:t>
      </w:r>
    </w:p>
    <w:p w14:paraId="21E69E6F" w14:textId="394C8A7C" w:rsidR="004E0ADE" w:rsidRPr="00CB023B" w:rsidRDefault="004E0ADE" w:rsidP="004E0ADE">
      <w:pPr>
        <w:pStyle w:val="HChG"/>
        <w:rPr>
          <w:lang w:val="fr-FR"/>
        </w:rPr>
      </w:pPr>
      <w:r>
        <w:rPr>
          <w:lang w:val="fr-FR"/>
        </w:rPr>
        <w:tab/>
      </w:r>
      <w:r>
        <w:rPr>
          <w:lang w:val="fr-FR"/>
        </w:rPr>
        <w:tab/>
        <w:t>Proposition de complément</w:t>
      </w:r>
      <w:r>
        <w:rPr>
          <w:lang w:val="fr-FR"/>
        </w:rPr>
        <w:t> </w:t>
      </w:r>
      <w:r>
        <w:rPr>
          <w:lang w:val="fr-FR"/>
        </w:rPr>
        <w:t>4 à la série</w:t>
      </w:r>
      <w:r>
        <w:rPr>
          <w:lang w:val="fr-FR"/>
        </w:rPr>
        <w:t> </w:t>
      </w:r>
      <w:r>
        <w:rPr>
          <w:lang w:val="fr-FR"/>
        </w:rPr>
        <w:t>04 d’amendements et de complément</w:t>
      </w:r>
      <w:r>
        <w:rPr>
          <w:lang w:val="fr-FR"/>
        </w:rPr>
        <w:t> </w:t>
      </w:r>
      <w:r>
        <w:rPr>
          <w:lang w:val="fr-FR"/>
        </w:rPr>
        <w:t>1 à la série</w:t>
      </w:r>
      <w:r>
        <w:rPr>
          <w:lang w:val="fr-FR"/>
        </w:rPr>
        <w:t> </w:t>
      </w:r>
      <w:r>
        <w:rPr>
          <w:lang w:val="fr-FR"/>
        </w:rPr>
        <w:t>05 d’amendements au Règlement ONU n</w:t>
      </w:r>
      <w:r w:rsidRPr="00CB023B">
        <w:rPr>
          <w:vertAlign w:val="superscript"/>
          <w:lang w:val="fr-FR"/>
        </w:rPr>
        <w:t>o</w:t>
      </w:r>
      <w:r>
        <w:rPr>
          <w:lang w:val="fr-FR"/>
        </w:rPr>
        <w:t> </w:t>
      </w:r>
      <w:r>
        <w:rPr>
          <w:lang w:val="fr-FR"/>
        </w:rPr>
        <w:t>110 (Véhicules alimentés au GNC ou au GNL)</w:t>
      </w:r>
    </w:p>
    <w:p w14:paraId="2758B9B4" w14:textId="6DC033E5" w:rsidR="004E0ADE" w:rsidRPr="00CB023B" w:rsidRDefault="004E0ADE" w:rsidP="004E0ADE">
      <w:pPr>
        <w:pStyle w:val="H1G"/>
        <w:rPr>
          <w:lang w:val="fr-FR"/>
        </w:rPr>
      </w:pPr>
      <w:r>
        <w:rPr>
          <w:lang w:val="fr-FR"/>
        </w:rPr>
        <w:tab/>
      </w:r>
      <w:r>
        <w:rPr>
          <w:lang w:val="fr-FR"/>
        </w:rPr>
        <w:tab/>
        <w:t>Communication de l’expert des Pays-Bas</w:t>
      </w:r>
      <w:r w:rsidRPr="004E0ADE">
        <w:rPr>
          <w:rStyle w:val="Appelnotedebasdep"/>
          <w:b w:val="0"/>
          <w:bCs/>
          <w:sz w:val="20"/>
          <w:vertAlign w:val="baseline"/>
        </w:rPr>
        <w:footnoteReference w:customMarkFollows="1" w:id="2"/>
        <w:t>*</w:t>
      </w:r>
    </w:p>
    <w:p w14:paraId="4DFB3CEF" w14:textId="65B10D01" w:rsidR="004E0ADE" w:rsidRDefault="004E0ADE" w:rsidP="004E0ADE">
      <w:pPr>
        <w:pStyle w:val="SingleTxtG"/>
        <w:ind w:firstLine="567"/>
        <w:rPr>
          <w:lang w:val="fr-FR"/>
        </w:rPr>
      </w:pPr>
      <w:r>
        <w:rPr>
          <w:lang w:val="fr-FR"/>
        </w:rPr>
        <w:t>Le texte ci-après, établi par l’expert des Pays-Bas, vise à mettre à jour les prescriptions qui s’appliquent actuellement aux organes alimentés au gaz naturel comprimé (GNC) ou au gaz naturel liquéfié (GNL). Il est fondé sur le document informel GRSG-119-16, distribué à la 119</w:t>
      </w:r>
      <w:r>
        <w:rPr>
          <w:vertAlign w:val="superscript"/>
          <w:lang w:val="fr-FR"/>
        </w:rPr>
        <w:t>e</w:t>
      </w:r>
      <w:r>
        <w:rPr>
          <w:lang w:val="fr-FR"/>
        </w:rPr>
        <w:t> </w:t>
      </w:r>
      <w:r>
        <w:rPr>
          <w:lang w:val="fr-FR"/>
        </w:rPr>
        <w:t>session du Groupe de travail des dispositions générales de sécurité (GRSG) (voir ECE/TRANS/WP.29/GRSG/98, par.</w:t>
      </w:r>
      <w:r>
        <w:rPr>
          <w:lang w:val="fr-FR"/>
        </w:rPr>
        <w:t> </w:t>
      </w:r>
      <w:r>
        <w:rPr>
          <w:lang w:val="fr-FR"/>
        </w:rPr>
        <w:t>44 et 45).</w:t>
      </w:r>
    </w:p>
    <w:p w14:paraId="19A71D8A" w14:textId="544CC976" w:rsidR="00F9573C" w:rsidRDefault="004E0ADE" w:rsidP="004E0ADE">
      <w:pPr>
        <w:pStyle w:val="SingleTxtG"/>
        <w:ind w:firstLine="567"/>
        <w:rPr>
          <w:lang w:val="fr-FR"/>
        </w:rPr>
      </w:pPr>
      <w:r>
        <w:rPr>
          <w:lang w:val="fr-FR"/>
        </w:rPr>
        <w:t>Les modifications qu’il est proposé d’apporter au texte actuel du Règlement ONU figurent en caractères gras pour les ajouts et biffés pour les suppressions.</w:t>
      </w:r>
    </w:p>
    <w:p w14:paraId="20D99580" w14:textId="4DE9759E" w:rsidR="004E0ADE" w:rsidRDefault="004E0ADE" w:rsidP="004E0ADE">
      <w:pPr>
        <w:pStyle w:val="SingleTxtG"/>
        <w:ind w:firstLine="567"/>
        <w:rPr>
          <w:lang w:val="fr-FR"/>
        </w:rPr>
      </w:pPr>
      <w:r>
        <w:rPr>
          <w:lang w:val="fr-FR"/>
        </w:rPr>
        <w:br w:type="page"/>
      </w:r>
    </w:p>
    <w:p w14:paraId="214E0F80" w14:textId="77777777" w:rsidR="004E0ADE" w:rsidRPr="00CB023B" w:rsidRDefault="004E0ADE" w:rsidP="004E0ADE">
      <w:pPr>
        <w:pStyle w:val="HChG"/>
        <w:rPr>
          <w:w w:val="101"/>
          <w:lang w:val="fr-FR"/>
        </w:rPr>
      </w:pPr>
      <w:r>
        <w:rPr>
          <w:lang w:val="fr-FR"/>
        </w:rPr>
        <w:lastRenderedPageBreak/>
        <w:tab/>
        <w:t>I.</w:t>
      </w:r>
      <w:r>
        <w:rPr>
          <w:lang w:val="fr-FR"/>
        </w:rPr>
        <w:tab/>
        <w:t>Proposition</w:t>
      </w:r>
    </w:p>
    <w:p w14:paraId="4AB561B7" w14:textId="62FE6AEB" w:rsidR="004E0ADE" w:rsidRPr="00CB023B" w:rsidRDefault="004E0ADE" w:rsidP="004E0ADE">
      <w:pPr>
        <w:pStyle w:val="SingleTxtG"/>
        <w:rPr>
          <w:lang w:val="fr-FR"/>
        </w:rPr>
      </w:pPr>
      <w:r>
        <w:rPr>
          <w:lang w:val="fr-FR"/>
        </w:rPr>
        <w:t>Paragraphe</w:t>
      </w:r>
      <w:r>
        <w:rPr>
          <w:lang w:val="fr-FR"/>
        </w:rPr>
        <w:t> </w:t>
      </w:r>
      <w:r>
        <w:rPr>
          <w:lang w:val="fr-FR"/>
        </w:rPr>
        <w:t>8.4</w:t>
      </w:r>
      <w:r>
        <w:rPr>
          <w:lang w:val="fr-FR"/>
        </w:rPr>
        <w:t>-</w:t>
      </w:r>
      <w:r>
        <w:rPr>
          <w:lang w:val="fr-FR"/>
        </w:rPr>
        <w:t>8.11, lire</w:t>
      </w:r>
      <w:r>
        <w:rPr>
          <w:lang w:val="fr-FR"/>
        </w:rPr>
        <w:t> </w:t>
      </w:r>
      <w:r>
        <w:rPr>
          <w:lang w:val="fr-FR"/>
        </w:rPr>
        <w:t>:</w:t>
      </w:r>
    </w:p>
    <w:p w14:paraId="2B727682" w14:textId="77777777" w:rsidR="004E0ADE" w:rsidRPr="00CB023B" w:rsidRDefault="004E0ADE" w:rsidP="004E0ADE">
      <w:pPr>
        <w:pStyle w:val="SingleTxtG"/>
        <w:rPr>
          <w:lang w:val="fr-FR"/>
        </w:rPr>
      </w:pPr>
      <w:r>
        <w:rPr>
          <w:lang w:val="fr-FR"/>
        </w:rPr>
        <w:t>« 8.4-8.11</w:t>
      </w:r>
      <w:r>
        <w:rPr>
          <w:lang w:val="fr-FR"/>
        </w:rPr>
        <w:tab/>
        <w:t>Prescriptions relatives aux autres organes GNC</w:t>
      </w:r>
    </w:p>
    <w:p w14:paraId="1051FD3A" w14:textId="681C1E35" w:rsidR="004E0ADE" w:rsidRDefault="004E0ADE" w:rsidP="004E0ADE">
      <w:pPr>
        <w:pStyle w:val="SingleTxtG"/>
        <w:ind w:left="2268"/>
        <w:rPr>
          <w:lang w:val="fr-FR"/>
        </w:rPr>
      </w:pPr>
      <w:r>
        <w:rPr>
          <w:lang w:val="fr-FR"/>
        </w:rPr>
        <w:t>Les autres organes GNC doivent être homologués conformément aux dispositions des annexes indiquées dans le tableau ci-dessous</w:t>
      </w:r>
      <w:r>
        <w:rPr>
          <w:lang w:val="fr-FR"/>
        </w:rPr>
        <w:t> </w:t>
      </w:r>
      <w:r>
        <w:rPr>
          <w:lang w:val="fr-FR"/>
        </w:rPr>
        <w:t>:</w:t>
      </w:r>
    </w:p>
    <w:tbl>
      <w:tblPr>
        <w:tblStyle w:val="Grilledutableau"/>
        <w:tblW w:w="623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969"/>
        <w:gridCol w:w="849"/>
      </w:tblGrid>
      <w:tr w:rsidR="004E0ADE" w:rsidRPr="004E0ADE" w14:paraId="6C354A39" w14:textId="77777777" w:rsidTr="002D1E3A">
        <w:tc>
          <w:tcPr>
            <w:tcW w:w="1418" w:type="dxa"/>
            <w:tcBorders>
              <w:top w:val="single" w:sz="4" w:space="0" w:color="auto"/>
              <w:bottom w:val="single" w:sz="12" w:space="0" w:color="auto"/>
            </w:tcBorders>
            <w:shd w:val="clear" w:color="auto" w:fill="auto"/>
            <w:vAlign w:val="bottom"/>
          </w:tcPr>
          <w:p w14:paraId="1CB6C33B" w14:textId="788741B7" w:rsidR="004E0ADE" w:rsidRPr="004E0ADE" w:rsidRDefault="004E0ADE" w:rsidP="004E0ADE">
            <w:pPr>
              <w:spacing w:before="80" w:after="80" w:line="200" w:lineRule="exact"/>
              <w:ind w:right="113"/>
              <w:rPr>
                <w:i/>
                <w:sz w:val="16"/>
              </w:rPr>
            </w:pPr>
            <w:r>
              <w:rPr>
                <w:i/>
                <w:sz w:val="16"/>
              </w:rPr>
              <w:t>Paragraphe</w:t>
            </w:r>
          </w:p>
        </w:tc>
        <w:tc>
          <w:tcPr>
            <w:tcW w:w="3969" w:type="dxa"/>
            <w:tcBorders>
              <w:top w:val="single" w:sz="4" w:space="0" w:color="auto"/>
              <w:bottom w:val="single" w:sz="12" w:space="0" w:color="auto"/>
            </w:tcBorders>
            <w:shd w:val="clear" w:color="auto" w:fill="auto"/>
            <w:vAlign w:val="bottom"/>
          </w:tcPr>
          <w:p w14:paraId="2A6C69DA" w14:textId="3238C1B0" w:rsidR="004E0ADE" w:rsidRPr="004E0ADE" w:rsidRDefault="004E0ADE" w:rsidP="004E0ADE">
            <w:pPr>
              <w:spacing w:before="80" w:after="80" w:line="200" w:lineRule="exact"/>
              <w:ind w:right="113"/>
              <w:rPr>
                <w:i/>
                <w:sz w:val="16"/>
              </w:rPr>
            </w:pPr>
            <w:r>
              <w:rPr>
                <w:i/>
                <w:sz w:val="16"/>
              </w:rPr>
              <w:t>Organe</w:t>
            </w:r>
          </w:p>
        </w:tc>
        <w:tc>
          <w:tcPr>
            <w:tcW w:w="849" w:type="dxa"/>
            <w:tcBorders>
              <w:top w:val="single" w:sz="4" w:space="0" w:color="auto"/>
              <w:bottom w:val="single" w:sz="12" w:space="0" w:color="auto"/>
            </w:tcBorders>
            <w:shd w:val="clear" w:color="auto" w:fill="auto"/>
            <w:vAlign w:val="bottom"/>
          </w:tcPr>
          <w:p w14:paraId="1C25AB9C" w14:textId="70080711" w:rsidR="004E0ADE" w:rsidRPr="004E0ADE" w:rsidRDefault="004E0ADE" w:rsidP="004E0ADE">
            <w:pPr>
              <w:spacing w:before="80" w:after="80" w:line="200" w:lineRule="exact"/>
              <w:ind w:right="113"/>
              <w:rPr>
                <w:i/>
                <w:sz w:val="16"/>
              </w:rPr>
            </w:pPr>
            <w:r>
              <w:rPr>
                <w:i/>
                <w:sz w:val="16"/>
              </w:rPr>
              <w:t>Annexe</w:t>
            </w:r>
          </w:p>
        </w:tc>
      </w:tr>
      <w:tr w:rsidR="004E0ADE" w:rsidRPr="004E0ADE" w14:paraId="63E482D0" w14:textId="77777777" w:rsidTr="002D1E3A">
        <w:trPr>
          <w:trHeight w:hRule="exact" w:val="113"/>
        </w:trPr>
        <w:tc>
          <w:tcPr>
            <w:tcW w:w="1418" w:type="dxa"/>
            <w:tcBorders>
              <w:top w:val="single" w:sz="12" w:space="0" w:color="auto"/>
            </w:tcBorders>
            <w:shd w:val="clear" w:color="auto" w:fill="auto"/>
            <w:vAlign w:val="bottom"/>
          </w:tcPr>
          <w:p w14:paraId="536082CF" w14:textId="77777777" w:rsidR="004E0ADE" w:rsidRPr="004E0ADE" w:rsidRDefault="004E0ADE" w:rsidP="004E0ADE">
            <w:pPr>
              <w:spacing w:before="80" w:after="80" w:line="200" w:lineRule="exact"/>
              <w:ind w:right="113"/>
              <w:rPr>
                <w:i/>
                <w:sz w:val="16"/>
              </w:rPr>
            </w:pPr>
          </w:p>
        </w:tc>
        <w:tc>
          <w:tcPr>
            <w:tcW w:w="3969" w:type="dxa"/>
            <w:tcBorders>
              <w:top w:val="single" w:sz="12" w:space="0" w:color="auto"/>
            </w:tcBorders>
            <w:shd w:val="clear" w:color="auto" w:fill="auto"/>
            <w:vAlign w:val="bottom"/>
          </w:tcPr>
          <w:p w14:paraId="38870EB3" w14:textId="77777777" w:rsidR="004E0ADE" w:rsidRPr="004E0ADE" w:rsidRDefault="004E0ADE" w:rsidP="004E0ADE">
            <w:pPr>
              <w:spacing w:before="80" w:after="80" w:line="200" w:lineRule="exact"/>
              <w:ind w:right="113"/>
              <w:rPr>
                <w:i/>
                <w:sz w:val="16"/>
              </w:rPr>
            </w:pPr>
          </w:p>
        </w:tc>
        <w:tc>
          <w:tcPr>
            <w:tcW w:w="849" w:type="dxa"/>
            <w:tcBorders>
              <w:top w:val="single" w:sz="12" w:space="0" w:color="auto"/>
            </w:tcBorders>
            <w:shd w:val="clear" w:color="auto" w:fill="auto"/>
            <w:vAlign w:val="bottom"/>
          </w:tcPr>
          <w:p w14:paraId="304BB827" w14:textId="77777777" w:rsidR="004E0ADE" w:rsidRPr="004E0ADE" w:rsidRDefault="004E0ADE" w:rsidP="004E0ADE">
            <w:pPr>
              <w:spacing w:before="80" w:after="80" w:line="200" w:lineRule="exact"/>
              <w:ind w:right="113"/>
              <w:rPr>
                <w:i/>
                <w:sz w:val="16"/>
              </w:rPr>
            </w:pPr>
          </w:p>
        </w:tc>
      </w:tr>
      <w:tr w:rsidR="004E0ADE" w:rsidRPr="004E0ADE" w14:paraId="3D274C27" w14:textId="77777777" w:rsidTr="002D1E3A">
        <w:tc>
          <w:tcPr>
            <w:tcW w:w="1418" w:type="dxa"/>
            <w:shd w:val="clear" w:color="auto" w:fill="auto"/>
          </w:tcPr>
          <w:p w14:paraId="536D62A5" w14:textId="6007D262" w:rsidR="004E0ADE" w:rsidRPr="004E0ADE" w:rsidRDefault="004E0ADE" w:rsidP="004E0ADE">
            <w:pPr>
              <w:spacing w:before="40" w:after="120"/>
              <w:ind w:right="113"/>
            </w:pPr>
            <w:r>
              <w:t>8.4</w:t>
            </w:r>
          </w:p>
        </w:tc>
        <w:tc>
          <w:tcPr>
            <w:tcW w:w="3969" w:type="dxa"/>
            <w:shd w:val="clear" w:color="auto" w:fill="auto"/>
          </w:tcPr>
          <w:p w14:paraId="581AF012" w14:textId="77777777" w:rsidR="004E0ADE" w:rsidRPr="00CB023B" w:rsidRDefault="004E0ADE" w:rsidP="004E0ADE">
            <w:pPr>
              <w:rPr>
                <w:snapToGrid w:val="0"/>
                <w:sz w:val="18"/>
                <w:lang w:val="fr-FR"/>
              </w:rPr>
            </w:pPr>
            <w:r>
              <w:rPr>
                <w:lang w:val="fr-FR"/>
              </w:rPr>
              <w:t>Vanne automatique</w:t>
            </w:r>
          </w:p>
          <w:p w14:paraId="1C78D15C" w14:textId="77777777" w:rsidR="004E0ADE" w:rsidRPr="00CB023B" w:rsidRDefault="004E0ADE" w:rsidP="004E0ADE">
            <w:pPr>
              <w:rPr>
                <w:snapToGrid w:val="0"/>
                <w:sz w:val="18"/>
                <w:lang w:val="fr-FR"/>
              </w:rPr>
            </w:pPr>
            <w:r>
              <w:rPr>
                <w:lang w:val="fr-FR"/>
              </w:rPr>
              <w:t>Clapet antiretour</w:t>
            </w:r>
          </w:p>
          <w:p w14:paraId="620482B2" w14:textId="77777777" w:rsidR="004E0ADE" w:rsidRPr="00CB023B" w:rsidRDefault="004E0ADE" w:rsidP="004E0ADE">
            <w:pPr>
              <w:rPr>
                <w:snapToGrid w:val="0"/>
                <w:sz w:val="18"/>
                <w:lang w:val="fr-FR"/>
              </w:rPr>
            </w:pPr>
            <w:r>
              <w:rPr>
                <w:lang w:val="fr-FR"/>
              </w:rPr>
              <w:t>Soupape de surpression</w:t>
            </w:r>
          </w:p>
          <w:p w14:paraId="6216E36B" w14:textId="77777777" w:rsidR="004E0ADE" w:rsidRPr="00CB023B" w:rsidRDefault="004E0ADE" w:rsidP="004E0ADE">
            <w:pPr>
              <w:rPr>
                <w:bCs/>
                <w:snapToGrid w:val="0"/>
                <w:sz w:val="18"/>
                <w:lang w:val="fr-FR"/>
              </w:rPr>
            </w:pPr>
            <w:r>
              <w:rPr>
                <w:lang w:val="fr-FR"/>
              </w:rPr>
              <w:t>Dispositif de surpression (à déclenchement thermique)</w:t>
            </w:r>
          </w:p>
          <w:p w14:paraId="231F6A45" w14:textId="77777777" w:rsidR="004E0ADE" w:rsidRPr="00CB023B" w:rsidRDefault="004E0ADE" w:rsidP="004E0ADE">
            <w:pPr>
              <w:rPr>
                <w:b/>
                <w:bCs/>
                <w:snapToGrid w:val="0"/>
                <w:sz w:val="18"/>
                <w:lang w:val="fr-FR"/>
              </w:rPr>
            </w:pPr>
            <w:r>
              <w:rPr>
                <w:b/>
                <w:bCs/>
                <w:lang w:val="fr-FR"/>
              </w:rPr>
              <w:t>Vanne manuelle</w:t>
            </w:r>
          </w:p>
          <w:p w14:paraId="073CB036" w14:textId="77777777" w:rsidR="004E0ADE" w:rsidRPr="00CB023B" w:rsidRDefault="004E0ADE" w:rsidP="004E0ADE">
            <w:pPr>
              <w:rPr>
                <w:snapToGrid w:val="0"/>
                <w:sz w:val="18"/>
                <w:lang w:val="fr-FR"/>
              </w:rPr>
            </w:pPr>
            <w:r>
              <w:rPr>
                <w:lang w:val="fr-FR"/>
              </w:rPr>
              <w:t>Limiteur de débit</w:t>
            </w:r>
          </w:p>
          <w:p w14:paraId="266E2A30" w14:textId="3E40C49C" w:rsidR="004E0ADE" w:rsidRPr="004E0ADE" w:rsidRDefault="004E0ADE" w:rsidP="004E0ADE">
            <w:pPr>
              <w:spacing w:before="40" w:after="120"/>
              <w:ind w:right="113"/>
            </w:pPr>
            <w:r>
              <w:rPr>
                <w:lang w:val="fr-FR"/>
              </w:rPr>
              <w:t>Dispositif de surpression (à déclenchement manométrique)</w:t>
            </w:r>
          </w:p>
        </w:tc>
        <w:tc>
          <w:tcPr>
            <w:tcW w:w="849" w:type="dxa"/>
            <w:shd w:val="clear" w:color="auto" w:fill="auto"/>
          </w:tcPr>
          <w:p w14:paraId="6B552989" w14:textId="449EB2D5" w:rsidR="004E0ADE" w:rsidRPr="004E0ADE" w:rsidRDefault="004E0ADE" w:rsidP="004E0ADE">
            <w:pPr>
              <w:spacing w:before="40" w:after="120"/>
              <w:ind w:right="113"/>
            </w:pPr>
            <w:r>
              <w:t>4A</w:t>
            </w:r>
          </w:p>
        </w:tc>
      </w:tr>
      <w:tr w:rsidR="004E0ADE" w:rsidRPr="004E0ADE" w14:paraId="0A1849A5" w14:textId="77777777" w:rsidTr="002D1E3A">
        <w:tc>
          <w:tcPr>
            <w:tcW w:w="1418" w:type="dxa"/>
            <w:shd w:val="clear" w:color="auto" w:fill="auto"/>
          </w:tcPr>
          <w:p w14:paraId="27A156DA" w14:textId="1B8038E1" w:rsidR="004E0ADE" w:rsidRPr="004E0ADE" w:rsidRDefault="004E0ADE" w:rsidP="004E0ADE">
            <w:pPr>
              <w:spacing w:before="40" w:after="120"/>
              <w:ind w:right="113"/>
            </w:pPr>
            <w:r>
              <w:t>8.5</w:t>
            </w:r>
          </w:p>
        </w:tc>
        <w:tc>
          <w:tcPr>
            <w:tcW w:w="3969" w:type="dxa"/>
            <w:shd w:val="clear" w:color="auto" w:fill="auto"/>
          </w:tcPr>
          <w:p w14:paraId="738DA523" w14:textId="5B5E6CA0" w:rsidR="004E0ADE" w:rsidRPr="004E0ADE" w:rsidRDefault="004E0ADE" w:rsidP="004E0ADE">
            <w:pPr>
              <w:spacing w:before="40" w:after="120"/>
              <w:ind w:right="113"/>
            </w:pPr>
            <w:r>
              <w:rPr>
                <w:lang w:val="fr-FR"/>
              </w:rPr>
              <w:t>Flexible d’alimentation</w:t>
            </w:r>
          </w:p>
        </w:tc>
        <w:tc>
          <w:tcPr>
            <w:tcW w:w="849" w:type="dxa"/>
            <w:shd w:val="clear" w:color="auto" w:fill="auto"/>
          </w:tcPr>
          <w:p w14:paraId="1C05158B" w14:textId="0E21CED5" w:rsidR="004E0ADE" w:rsidRPr="004E0ADE" w:rsidRDefault="004E0ADE" w:rsidP="004E0ADE">
            <w:pPr>
              <w:spacing w:before="40" w:after="120"/>
              <w:ind w:right="113"/>
            </w:pPr>
            <w:r>
              <w:t>4B</w:t>
            </w:r>
          </w:p>
        </w:tc>
      </w:tr>
      <w:tr w:rsidR="004E0ADE" w:rsidRPr="004E0ADE" w14:paraId="5418BDDD" w14:textId="77777777" w:rsidTr="002D1E3A">
        <w:tc>
          <w:tcPr>
            <w:tcW w:w="1418" w:type="dxa"/>
            <w:shd w:val="clear" w:color="auto" w:fill="auto"/>
          </w:tcPr>
          <w:p w14:paraId="60CDF1BE" w14:textId="0244B637" w:rsidR="004E0ADE" w:rsidRPr="004E0ADE" w:rsidRDefault="004E0ADE" w:rsidP="004E0ADE">
            <w:pPr>
              <w:spacing w:before="40" w:after="120"/>
              <w:ind w:right="113"/>
            </w:pPr>
            <w:r>
              <w:t>8.6</w:t>
            </w:r>
          </w:p>
        </w:tc>
        <w:tc>
          <w:tcPr>
            <w:tcW w:w="3969" w:type="dxa"/>
            <w:shd w:val="clear" w:color="auto" w:fill="auto"/>
          </w:tcPr>
          <w:p w14:paraId="57BFE5B5" w14:textId="44A8FEB5" w:rsidR="004E0ADE" w:rsidRPr="004E0ADE" w:rsidRDefault="004E0ADE" w:rsidP="004E0ADE">
            <w:pPr>
              <w:spacing w:before="40" w:after="120"/>
              <w:ind w:right="113"/>
            </w:pPr>
            <w:r>
              <w:rPr>
                <w:lang w:val="fr-FR"/>
              </w:rPr>
              <w:t>Filtre à GNC</w:t>
            </w:r>
          </w:p>
        </w:tc>
        <w:tc>
          <w:tcPr>
            <w:tcW w:w="849" w:type="dxa"/>
            <w:shd w:val="clear" w:color="auto" w:fill="auto"/>
          </w:tcPr>
          <w:p w14:paraId="77DC28DE" w14:textId="5B2413F6" w:rsidR="004E0ADE" w:rsidRPr="004E0ADE" w:rsidRDefault="004E0ADE" w:rsidP="004E0ADE">
            <w:pPr>
              <w:spacing w:before="40" w:after="120"/>
              <w:ind w:right="113"/>
            </w:pPr>
            <w:r>
              <w:t>4C</w:t>
            </w:r>
          </w:p>
        </w:tc>
      </w:tr>
      <w:tr w:rsidR="004E0ADE" w:rsidRPr="004E0ADE" w14:paraId="10E35115" w14:textId="77777777" w:rsidTr="002D1E3A">
        <w:tc>
          <w:tcPr>
            <w:tcW w:w="1418" w:type="dxa"/>
            <w:shd w:val="clear" w:color="auto" w:fill="auto"/>
          </w:tcPr>
          <w:p w14:paraId="5438B2CE" w14:textId="2A4B3B7C" w:rsidR="004E0ADE" w:rsidRPr="004E0ADE" w:rsidRDefault="004E0ADE" w:rsidP="004E0ADE">
            <w:pPr>
              <w:spacing w:before="40" w:after="120"/>
              <w:ind w:right="113"/>
            </w:pPr>
            <w:r>
              <w:t>8.7</w:t>
            </w:r>
          </w:p>
        </w:tc>
        <w:tc>
          <w:tcPr>
            <w:tcW w:w="3969" w:type="dxa"/>
            <w:shd w:val="clear" w:color="auto" w:fill="auto"/>
          </w:tcPr>
          <w:p w14:paraId="108296A4" w14:textId="77777777" w:rsidR="004E0ADE" w:rsidRDefault="004E0ADE" w:rsidP="004E0ADE">
            <w:pPr>
              <w:rPr>
                <w:sz w:val="18"/>
              </w:rPr>
            </w:pPr>
            <w:r>
              <w:rPr>
                <w:lang w:val="fr-FR"/>
              </w:rPr>
              <w:t>Détendeur GNC</w:t>
            </w:r>
          </w:p>
          <w:p w14:paraId="1E307BC7" w14:textId="7CD9C341" w:rsidR="004E0ADE" w:rsidRPr="004E0ADE" w:rsidRDefault="004E0ADE" w:rsidP="004E0ADE">
            <w:pPr>
              <w:spacing w:before="40" w:after="120"/>
              <w:ind w:right="113"/>
            </w:pPr>
            <w:r>
              <w:rPr>
                <w:lang w:val="fr-FR"/>
              </w:rPr>
              <w:t>Compresseur GNC</w:t>
            </w:r>
          </w:p>
        </w:tc>
        <w:tc>
          <w:tcPr>
            <w:tcW w:w="849" w:type="dxa"/>
            <w:shd w:val="clear" w:color="auto" w:fill="auto"/>
          </w:tcPr>
          <w:p w14:paraId="45094D32" w14:textId="3B8E4A17" w:rsidR="004E0ADE" w:rsidRPr="004E0ADE" w:rsidRDefault="004E0ADE" w:rsidP="004E0ADE">
            <w:pPr>
              <w:spacing w:before="40" w:after="120"/>
              <w:ind w:right="113"/>
            </w:pPr>
            <w:r>
              <w:t>4D</w:t>
            </w:r>
          </w:p>
        </w:tc>
      </w:tr>
      <w:tr w:rsidR="004E0ADE" w:rsidRPr="004E0ADE" w14:paraId="1EC76EA0" w14:textId="77777777" w:rsidTr="002D1E3A">
        <w:tc>
          <w:tcPr>
            <w:tcW w:w="1418" w:type="dxa"/>
            <w:shd w:val="clear" w:color="auto" w:fill="auto"/>
          </w:tcPr>
          <w:p w14:paraId="7BAA44E7" w14:textId="6D6703F2" w:rsidR="004E0ADE" w:rsidRPr="004E0ADE" w:rsidRDefault="004E0ADE" w:rsidP="004E0ADE">
            <w:pPr>
              <w:spacing w:before="40" w:after="120"/>
              <w:ind w:right="113"/>
            </w:pPr>
            <w:r>
              <w:t>8.8</w:t>
            </w:r>
          </w:p>
        </w:tc>
        <w:tc>
          <w:tcPr>
            <w:tcW w:w="3969" w:type="dxa"/>
            <w:shd w:val="clear" w:color="auto" w:fill="auto"/>
          </w:tcPr>
          <w:p w14:paraId="4E224D8D" w14:textId="629F740D" w:rsidR="004E0ADE" w:rsidRPr="004E0ADE" w:rsidRDefault="004E0ADE" w:rsidP="004E0ADE">
            <w:pPr>
              <w:spacing w:before="40" w:after="120"/>
              <w:ind w:right="113"/>
            </w:pPr>
            <w:r>
              <w:rPr>
                <w:lang w:val="fr-FR"/>
              </w:rPr>
              <w:t>Capteurs de pression et de température</w:t>
            </w:r>
          </w:p>
        </w:tc>
        <w:tc>
          <w:tcPr>
            <w:tcW w:w="849" w:type="dxa"/>
            <w:shd w:val="clear" w:color="auto" w:fill="auto"/>
          </w:tcPr>
          <w:p w14:paraId="1505E8FA" w14:textId="605FE8CF" w:rsidR="004E0ADE" w:rsidRPr="004E0ADE" w:rsidRDefault="004E0ADE" w:rsidP="004E0ADE">
            <w:pPr>
              <w:spacing w:before="40" w:after="120"/>
              <w:ind w:right="113"/>
            </w:pPr>
            <w:r>
              <w:t>4</w:t>
            </w:r>
            <w:r w:rsidRPr="004E0ADE">
              <w:t>E</w:t>
            </w:r>
          </w:p>
        </w:tc>
      </w:tr>
      <w:tr w:rsidR="004E0ADE" w:rsidRPr="004E0ADE" w14:paraId="4ADBF9AA" w14:textId="77777777" w:rsidTr="002D1E3A">
        <w:tc>
          <w:tcPr>
            <w:tcW w:w="1418" w:type="dxa"/>
            <w:shd w:val="clear" w:color="auto" w:fill="auto"/>
          </w:tcPr>
          <w:p w14:paraId="63EBC59E" w14:textId="76BA6C88" w:rsidR="004E0ADE" w:rsidRPr="004E0ADE" w:rsidRDefault="004E0ADE" w:rsidP="004E0ADE">
            <w:pPr>
              <w:spacing w:before="40" w:after="120"/>
              <w:ind w:right="113"/>
            </w:pPr>
            <w:r>
              <w:t>8.9</w:t>
            </w:r>
          </w:p>
        </w:tc>
        <w:tc>
          <w:tcPr>
            <w:tcW w:w="3969" w:type="dxa"/>
            <w:shd w:val="clear" w:color="auto" w:fill="auto"/>
          </w:tcPr>
          <w:p w14:paraId="670921E7" w14:textId="12957765" w:rsidR="004E0ADE" w:rsidRPr="004E0ADE" w:rsidRDefault="004E0ADE" w:rsidP="004E0ADE">
            <w:pPr>
              <w:spacing w:before="40" w:after="120"/>
              <w:ind w:right="113"/>
            </w:pPr>
            <w:r>
              <w:rPr>
                <w:lang w:val="fr-FR"/>
              </w:rPr>
              <w:t>Embout ou réceptacle de remplissage</w:t>
            </w:r>
          </w:p>
        </w:tc>
        <w:tc>
          <w:tcPr>
            <w:tcW w:w="849" w:type="dxa"/>
            <w:shd w:val="clear" w:color="auto" w:fill="auto"/>
          </w:tcPr>
          <w:p w14:paraId="64667D26" w14:textId="1150FDEB" w:rsidR="004E0ADE" w:rsidRPr="004E0ADE" w:rsidRDefault="004E0ADE" w:rsidP="004E0ADE">
            <w:pPr>
              <w:spacing w:before="40" w:after="120"/>
              <w:ind w:right="113"/>
            </w:pPr>
            <w:r>
              <w:t>4F</w:t>
            </w:r>
          </w:p>
        </w:tc>
      </w:tr>
      <w:tr w:rsidR="004E0ADE" w:rsidRPr="004E0ADE" w14:paraId="588DCA20" w14:textId="77777777" w:rsidTr="002D1E3A">
        <w:tc>
          <w:tcPr>
            <w:tcW w:w="1418" w:type="dxa"/>
            <w:shd w:val="clear" w:color="auto" w:fill="auto"/>
          </w:tcPr>
          <w:p w14:paraId="7405C6F2" w14:textId="743258A6" w:rsidR="004E0ADE" w:rsidRPr="004E0ADE" w:rsidRDefault="004E0ADE" w:rsidP="004E0ADE">
            <w:pPr>
              <w:spacing w:before="40" w:after="120"/>
              <w:ind w:right="113"/>
            </w:pPr>
            <w:r>
              <w:t>8.10</w:t>
            </w:r>
          </w:p>
        </w:tc>
        <w:tc>
          <w:tcPr>
            <w:tcW w:w="3969" w:type="dxa"/>
            <w:shd w:val="clear" w:color="auto" w:fill="auto"/>
          </w:tcPr>
          <w:p w14:paraId="1CAE2A1A" w14:textId="43A4289C" w:rsidR="004E0ADE" w:rsidRPr="004E0ADE" w:rsidRDefault="004E0ADE" w:rsidP="004E0ADE">
            <w:pPr>
              <w:spacing w:before="40" w:after="120"/>
              <w:ind w:right="113"/>
            </w:pPr>
            <w:r>
              <w:rPr>
                <w:lang w:val="fr-FR"/>
              </w:rPr>
              <w:t>Régulateur de débit de gaz et mélangeur gaz/air, injecteur ou rampe d’alimentation</w:t>
            </w:r>
          </w:p>
        </w:tc>
        <w:tc>
          <w:tcPr>
            <w:tcW w:w="849" w:type="dxa"/>
            <w:shd w:val="clear" w:color="auto" w:fill="auto"/>
          </w:tcPr>
          <w:p w14:paraId="6091E868" w14:textId="3D386E72" w:rsidR="004E0ADE" w:rsidRPr="004E0ADE" w:rsidRDefault="004E0ADE" w:rsidP="004E0ADE">
            <w:pPr>
              <w:spacing w:before="40" w:after="120"/>
              <w:ind w:right="113"/>
            </w:pPr>
            <w:r>
              <w:t>4G</w:t>
            </w:r>
          </w:p>
        </w:tc>
      </w:tr>
      <w:tr w:rsidR="004E0ADE" w:rsidRPr="004E0ADE" w14:paraId="0177FCBA" w14:textId="77777777" w:rsidTr="002D1E3A">
        <w:tc>
          <w:tcPr>
            <w:tcW w:w="1418" w:type="dxa"/>
            <w:tcBorders>
              <w:bottom w:val="single" w:sz="12" w:space="0" w:color="auto"/>
            </w:tcBorders>
            <w:shd w:val="clear" w:color="auto" w:fill="auto"/>
          </w:tcPr>
          <w:p w14:paraId="5290207D" w14:textId="54A6D7F7" w:rsidR="004E0ADE" w:rsidRPr="004E0ADE" w:rsidRDefault="004E0ADE" w:rsidP="004E0ADE">
            <w:pPr>
              <w:spacing w:before="40" w:after="120"/>
              <w:ind w:right="113"/>
            </w:pPr>
            <w:r>
              <w:t>8.11</w:t>
            </w:r>
          </w:p>
        </w:tc>
        <w:tc>
          <w:tcPr>
            <w:tcW w:w="3969" w:type="dxa"/>
            <w:tcBorders>
              <w:bottom w:val="single" w:sz="12" w:space="0" w:color="auto"/>
            </w:tcBorders>
            <w:shd w:val="clear" w:color="auto" w:fill="auto"/>
          </w:tcPr>
          <w:p w14:paraId="7E3B46B4" w14:textId="7822CA76" w:rsidR="004E0ADE" w:rsidRPr="004E0ADE" w:rsidRDefault="004E0ADE" w:rsidP="004E0ADE">
            <w:pPr>
              <w:spacing w:before="40" w:after="120"/>
              <w:ind w:right="113"/>
            </w:pPr>
            <w:r>
              <w:rPr>
                <w:lang w:val="fr-FR"/>
              </w:rPr>
              <w:t>Module électronique de commande</w:t>
            </w:r>
          </w:p>
        </w:tc>
        <w:tc>
          <w:tcPr>
            <w:tcW w:w="849" w:type="dxa"/>
            <w:tcBorders>
              <w:bottom w:val="single" w:sz="12" w:space="0" w:color="auto"/>
            </w:tcBorders>
            <w:shd w:val="clear" w:color="auto" w:fill="auto"/>
          </w:tcPr>
          <w:p w14:paraId="43146BCA" w14:textId="3350BC26" w:rsidR="004E0ADE" w:rsidRPr="004E0ADE" w:rsidRDefault="004E0ADE" w:rsidP="004E0ADE">
            <w:pPr>
              <w:spacing w:before="40" w:after="120"/>
              <w:ind w:right="113"/>
            </w:pPr>
            <w:r>
              <w:t>4H</w:t>
            </w:r>
          </w:p>
        </w:tc>
      </w:tr>
    </w:tbl>
    <w:p w14:paraId="0AA22001" w14:textId="323A623B" w:rsidR="004E0ADE" w:rsidRPr="00CB023B" w:rsidRDefault="004E0ADE" w:rsidP="004E0ADE">
      <w:pPr>
        <w:pStyle w:val="SingleTxtG"/>
        <w:spacing w:before="120"/>
        <w:jc w:val="right"/>
        <w:rPr>
          <w:lang w:val="fr-FR"/>
        </w:rPr>
      </w:pPr>
      <w:r>
        <w:rPr>
          <w:lang w:val="fr-FR"/>
        </w:rPr>
        <w:t> </w:t>
      </w:r>
      <w:r w:rsidRPr="00CB023B">
        <w:rPr>
          <w:lang w:val="fr-FR"/>
        </w:rPr>
        <w:t>»</w:t>
      </w:r>
      <w:r>
        <w:rPr>
          <w:lang w:val="fr-FR"/>
        </w:rPr>
        <w:t>.</w:t>
      </w:r>
    </w:p>
    <w:p w14:paraId="08B26FCD" w14:textId="3E34238C" w:rsidR="004E0ADE" w:rsidRPr="00CB023B" w:rsidRDefault="004E0ADE" w:rsidP="004E0ADE">
      <w:pPr>
        <w:pStyle w:val="SingleTxtG"/>
        <w:rPr>
          <w:lang w:val="fr-FR"/>
        </w:rPr>
      </w:pPr>
      <w:r>
        <w:rPr>
          <w:i/>
          <w:iCs/>
          <w:lang w:val="fr-FR"/>
        </w:rPr>
        <w:t>Annexe 3A, appendice A</w:t>
      </w:r>
      <w:r>
        <w:rPr>
          <w:lang w:val="fr-FR"/>
        </w:rPr>
        <w:t>, lire</w:t>
      </w:r>
      <w:r>
        <w:rPr>
          <w:lang w:val="fr-FR"/>
        </w:rPr>
        <w:t> </w:t>
      </w:r>
      <w:r>
        <w:rPr>
          <w:lang w:val="fr-FR"/>
        </w:rPr>
        <w:t>:</w:t>
      </w:r>
    </w:p>
    <w:p w14:paraId="4077D01B" w14:textId="527BCA05" w:rsidR="004E0ADE" w:rsidRPr="00CB023B" w:rsidRDefault="004E0ADE" w:rsidP="004E0ADE">
      <w:pPr>
        <w:pStyle w:val="SingleTxtG"/>
        <w:rPr>
          <w:lang w:val="fr-FR"/>
        </w:rPr>
      </w:pPr>
      <w:r>
        <w:rPr>
          <w:lang w:val="fr-FR"/>
        </w:rPr>
        <w:t>« A.24</w:t>
      </w:r>
      <w:r>
        <w:rPr>
          <w:lang w:val="fr-FR"/>
        </w:rPr>
        <w:tab/>
      </w:r>
      <w:r>
        <w:rPr>
          <w:lang w:val="fr-FR"/>
        </w:rPr>
        <w:tab/>
      </w:r>
      <w:r>
        <w:rPr>
          <w:lang w:val="fr-FR"/>
        </w:rPr>
        <w:t>Prescriptions relatives aux dispositifs de surpression</w:t>
      </w:r>
    </w:p>
    <w:p w14:paraId="4F778455" w14:textId="363045FC" w:rsidR="004E0ADE" w:rsidRPr="00CB023B" w:rsidRDefault="004E0ADE" w:rsidP="004E0ADE">
      <w:pPr>
        <w:pStyle w:val="SingleTxtG"/>
        <w:ind w:left="2268"/>
        <w:rPr>
          <w:lang w:val="fr-FR"/>
        </w:rPr>
      </w:pPr>
      <w:r>
        <w:rPr>
          <w:lang w:val="fr-FR"/>
        </w:rPr>
        <w:t>La compatibilité des dispositifs de surpression spécifiés par le fabricant avec les conditions de service énumérées au paragraphe</w:t>
      </w:r>
      <w:r>
        <w:rPr>
          <w:lang w:val="fr-FR"/>
        </w:rPr>
        <w:t> </w:t>
      </w:r>
      <w:r>
        <w:rPr>
          <w:lang w:val="fr-FR"/>
        </w:rPr>
        <w:t>4 de l’annexe</w:t>
      </w:r>
      <w:r>
        <w:rPr>
          <w:lang w:val="fr-FR"/>
        </w:rPr>
        <w:t> </w:t>
      </w:r>
      <w:r>
        <w:rPr>
          <w:lang w:val="fr-FR"/>
        </w:rPr>
        <w:t>3A doit être démontrée par les essais de qualification suivants</w:t>
      </w:r>
      <w:r>
        <w:rPr>
          <w:lang w:val="fr-FR"/>
        </w:rPr>
        <w:t> </w:t>
      </w:r>
      <w:r>
        <w:rPr>
          <w:lang w:val="fr-FR"/>
        </w:rPr>
        <w:t>:</w:t>
      </w:r>
    </w:p>
    <w:p w14:paraId="371C99A1" w14:textId="61D70082" w:rsidR="004E0ADE" w:rsidRPr="00CB023B" w:rsidRDefault="004E0ADE" w:rsidP="004E0ADE">
      <w:pPr>
        <w:pStyle w:val="SingleTxtG"/>
        <w:ind w:left="2835" w:hanging="567"/>
        <w:rPr>
          <w:lang w:val="fr-FR"/>
        </w:rPr>
      </w:pPr>
      <w:r>
        <w:rPr>
          <w:lang w:val="fr-FR"/>
        </w:rPr>
        <w:t>a)</w:t>
      </w:r>
      <w:r>
        <w:rPr>
          <w:lang w:val="fr-FR"/>
        </w:rPr>
        <w:tab/>
        <w:t>Une bouteille doit être maintenue à une température contrôlée supérieure ou égale à 95</w:t>
      </w:r>
      <w:r>
        <w:rPr>
          <w:lang w:val="fr-FR"/>
        </w:rPr>
        <w:t> </w:t>
      </w:r>
      <w:r>
        <w:rPr>
          <w:lang w:val="fr-FR"/>
        </w:rPr>
        <w:t>°C et à une pression supérieure ou égale à la pression d’essai (30</w:t>
      </w:r>
      <w:r>
        <w:rPr>
          <w:lang w:val="fr-FR"/>
        </w:rPr>
        <w:t> </w:t>
      </w:r>
      <w:r>
        <w:rPr>
          <w:lang w:val="fr-FR"/>
        </w:rPr>
        <w:t>MPa) pendant 24</w:t>
      </w:r>
      <w:r>
        <w:rPr>
          <w:lang w:val="fr-FR"/>
        </w:rPr>
        <w:t> </w:t>
      </w:r>
      <w:r>
        <w:rPr>
          <w:lang w:val="fr-FR"/>
        </w:rPr>
        <w:t>h. À la fin de cette période, il ne doit y avoir aucune trace de fuite ni aucun signe visible d’extrusion de tout métal fusible utilisé dans la conception</w:t>
      </w:r>
      <w:r>
        <w:rPr>
          <w:lang w:val="fr-FR"/>
        </w:rPr>
        <w:t> </w:t>
      </w:r>
      <w:r>
        <w:rPr>
          <w:lang w:val="fr-FR"/>
        </w:rPr>
        <w:t>;</w:t>
      </w:r>
    </w:p>
    <w:p w14:paraId="5F3E8CC7" w14:textId="3AE94FBD" w:rsidR="004E0ADE" w:rsidRPr="00CB023B" w:rsidRDefault="004E0ADE" w:rsidP="004E0ADE">
      <w:pPr>
        <w:pStyle w:val="SingleTxtG"/>
        <w:ind w:left="2835" w:hanging="567"/>
        <w:rPr>
          <w:lang w:val="fr-FR"/>
        </w:rPr>
      </w:pPr>
      <w:r>
        <w:rPr>
          <w:lang w:val="fr-FR"/>
        </w:rPr>
        <w:t>b)</w:t>
      </w:r>
      <w:r>
        <w:rPr>
          <w:lang w:val="fr-FR"/>
        </w:rPr>
        <w:tab/>
        <w:t>Une bouteille doit faire l’objet d’un essai de fatigue à un taux de cyclage en pression ne devant pas dépasser 4 cycles par minute, comme suit</w:t>
      </w:r>
      <w:r>
        <w:rPr>
          <w:lang w:val="fr-FR"/>
        </w:rPr>
        <w:t> </w:t>
      </w:r>
      <w:r>
        <w:rPr>
          <w:lang w:val="fr-FR"/>
        </w:rPr>
        <w:t>:</w:t>
      </w:r>
    </w:p>
    <w:p w14:paraId="40ADF465" w14:textId="77777777" w:rsidR="004E0ADE" w:rsidRDefault="004E0ADE" w:rsidP="004E0ADE">
      <w:pPr>
        <w:pStyle w:val="SingleTxtG"/>
        <w:ind w:left="3402" w:hanging="567"/>
        <w:rPr>
          <w:lang w:val="fr-FR"/>
        </w:rPr>
      </w:pPr>
      <w:r>
        <w:rPr>
          <w:lang w:val="fr-FR"/>
        </w:rPr>
        <w:t>i)</w:t>
      </w:r>
      <w:r>
        <w:rPr>
          <w:lang w:val="fr-FR"/>
        </w:rPr>
        <w:tab/>
        <w:t>Maintenue à 82</w:t>
      </w:r>
      <w:r>
        <w:rPr>
          <w:lang w:val="fr-FR"/>
        </w:rPr>
        <w:t> </w:t>
      </w:r>
      <w:r>
        <w:rPr>
          <w:lang w:val="fr-FR"/>
        </w:rPr>
        <w:t>°C, tout en étant mise sous pression pendant 10 000 cycles entre 2</w:t>
      </w:r>
      <w:r>
        <w:rPr>
          <w:lang w:val="fr-FR"/>
        </w:rPr>
        <w:t> </w:t>
      </w:r>
      <w:r>
        <w:rPr>
          <w:lang w:val="fr-FR"/>
        </w:rPr>
        <w:t>MPa et 26</w:t>
      </w:r>
      <w:r>
        <w:rPr>
          <w:lang w:val="fr-FR"/>
        </w:rPr>
        <w:t> </w:t>
      </w:r>
      <w:r>
        <w:rPr>
          <w:lang w:val="fr-FR"/>
        </w:rPr>
        <w:t>MPa</w:t>
      </w:r>
      <w:r>
        <w:rPr>
          <w:lang w:val="fr-FR"/>
        </w:rPr>
        <w:t> </w:t>
      </w:r>
      <w:r>
        <w:rPr>
          <w:lang w:val="fr-FR"/>
        </w:rPr>
        <w:t>;</w:t>
      </w:r>
    </w:p>
    <w:p w14:paraId="3C16098C" w14:textId="0F58F87E" w:rsidR="004E0ADE" w:rsidRPr="00CB023B" w:rsidRDefault="004E0ADE" w:rsidP="004E0ADE">
      <w:pPr>
        <w:pStyle w:val="SingleTxtG"/>
        <w:ind w:left="3402" w:hanging="567"/>
        <w:rPr>
          <w:lang w:val="fr-FR"/>
        </w:rPr>
      </w:pPr>
      <w:r>
        <w:rPr>
          <w:lang w:val="fr-FR"/>
        </w:rPr>
        <w:t>ii)</w:t>
      </w:r>
      <w:r>
        <w:rPr>
          <w:lang w:val="fr-FR"/>
        </w:rPr>
        <w:tab/>
        <w:t>Maintenue à -40</w:t>
      </w:r>
      <w:r>
        <w:rPr>
          <w:lang w:val="fr-FR"/>
        </w:rPr>
        <w:t> </w:t>
      </w:r>
      <w:r>
        <w:rPr>
          <w:lang w:val="fr-FR"/>
        </w:rPr>
        <w:t>°C, tout en étant mise sous pression pendant 10 000 cycles entre 2</w:t>
      </w:r>
      <w:r>
        <w:rPr>
          <w:lang w:val="fr-FR"/>
        </w:rPr>
        <w:t> </w:t>
      </w:r>
      <w:r>
        <w:rPr>
          <w:lang w:val="fr-FR"/>
        </w:rPr>
        <w:t>MPa et 20</w:t>
      </w:r>
      <w:r>
        <w:rPr>
          <w:lang w:val="fr-FR"/>
        </w:rPr>
        <w:t> </w:t>
      </w:r>
      <w:r>
        <w:rPr>
          <w:lang w:val="fr-FR"/>
        </w:rPr>
        <w:t>MPa.</w:t>
      </w:r>
    </w:p>
    <w:p w14:paraId="3479016C" w14:textId="77777777" w:rsidR="004E0ADE" w:rsidRPr="00CB023B" w:rsidRDefault="004E0ADE" w:rsidP="004E0ADE">
      <w:pPr>
        <w:pStyle w:val="SingleTxtG"/>
        <w:ind w:left="2835"/>
        <w:rPr>
          <w:lang w:val="fr-FR"/>
        </w:rPr>
      </w:pPr>
      <w:r>
        <w:rPr>
          <w:lang w:val="fr-FR"/>
        </w:rPr>
        <w:t>À la fin de cet essai, il ne doit y avoir aucune trace de fuite ni aucun signe visible d’extrusion de tout métal fusible utilisé dans la conception.</w:t>
      </w:r>
    </w:p>
    <w:p w14:paraId="2138639A" w14:textId="77777777" w:rsidR="004E0ADE" w:rsidRPr="00CB023B" w:rsidRDefault="004E0ADE" w:rsidP="002D1E3A">
      <w:pPr>
        <w:pStyle w:val="SingleTxtG"/>
        <w:keepNext/>
        <w:keepLines/>
        <w:ind w:left="2835" w:hanging="567"/>
        <w:rPr>
          <w:lang w:val="fr-FR"/>
        </w:rPr>
      </w:pPr>
      <w:r>
        <w:rPr>
          <w:lang w:val="fr-FR"/>
        </w:rPr>
        <w:lastRenderedPageBreak/>
        <w:t>c)</w:t>
      </w:r>
      <w:r>
        <w:rPr>
          <w:lang w:val="fr-FR"/>
        </w:rPr>
        <w:tab/>
        <w:t>Les composants exposés, en laiton, destinés à maintenir la pression sur les dispositifs de surpression, doivent supporter</w:t>
      </w:r>
      <w:r w:rsidRPr="0061334D">
        <w:rPr>
          <w:b/>
          <w:bCs/>
          <w:lang w:val="fr-FR"/>
        </w:rPr>
        <w:t xml:space="preserve"> </w:t>
      </w:r>
      <w:r>
        <w:rPr>
          <w:b/>
          <w:bCs/>
          <w:lang w:val="fr-FR"/>
        </w:rPr>
        <w:t>une immersion dans de l’ammoniaque</w:t>
      </w:r>
      <w:r>
        <w:rPr>
          <w:lang w:val="fr-FR"/>
        </w:rPr>
        <w:t xml:space="preserve"> sans subir aucune fissure de corrosion </w:t>
      </w:r>
      <w:r>
        <w:rPr>
          <w:strike/>
          <w:lang w:val="fr-FR"/>
        </w:rPr>
        <w:t>un essai au nitrate de mercure comme décrit dans la norme ASTM B154</w:t>
      </w:r>
      <w:r>
        <w:rPr>
          <w:lang w:val="fr-FR"/>
        </w:rPr>
        <w:t xml:space="preserve">. </w:t>
      </w:r>
      <w:r>
        <w:rPr>
          <w:strike/>
          <w:lang w:val="fr-FR"/>
        </w:rPr>
        <w:t>Le dispositif de surpression doit être immergé pendant 30 min dans une solution de nitrate de mercure aqueuse contenant 10 g de nitrate de mercure et 10 ml d’acide nitrique par litre de solution.</w:t>
      </w:r>
      <w:r>
        <w:rPr>
          <w:lang w:val="fr-FR"/>
        </w:rPr>
        <w:t xml:space="preserve"> </w:t>
      </w:r>
      <w:r>
        <w:rPr>
          <w:strike/>
          <w:lang w:val="fr-FR"/>
        </w:rPr>
        <w:t>Après cette immersion, le dispositif de surpression doit être soumis à un essai d’étanchéité par l’application d’une pression aérostatique de 26 MPa pendant 1 min, au cours de laquelle l’absence de fuite sur le composant doit être observée.</w:t>
      </w:r>
      <w:r>
        <w:rPr>
          <w:lang w:val="fr-FR"/>
        </w:rPr>
        <w:t xml:space="preserve"> </w:t>
      </w:r>
      <w:r>
        <w:rPr>
          <w:strike/>
          <w:lang w:val="fr-FR"/>
        </w:rPr>
        <w:t>Toute fuite ne doit pas dépasser 200 cm</w:t>
      </w:r>
      <w:r>
        <w:rPr>
          <w:strike/>
          <w:vertAlign w:val="superscript"/>
          <w:lang w:val="fr-FR"/>
        </w:rPr>
        <w:t>3</w:t>
      </w:r>
      <w:r>
        <w:rPr>
          <w:strike/>
          <w:lang w:val="fr-FR"/>
        </w:rPr>
        <w:t>/h</w:t>
      </w:r>
      <w:r w:rsidRPr="0061334D">
        <w:rPr>
          <w:lang w:val="fr-FR"/>
        </w:rPr>
        <w:t>.</w:t>
      </w:r>
      <w:r>
        <w:rPr>
          <w:lang w:val="fr-FR"/>
        </w:rPr>
        <w:t xml:space="preserve"> </w:t>
      </w:r>
    </w:p>
    <w:p w14:paraId="0B51DCD8" w14:textId="076FB135" w:rsidR="004E0ADE" w:rsidRPr="00CB023B" w:rsidRDefault="004E0ADE" w:rsidP="004E0ADE">
      <w:pPr>
        <w:pStyle w:val="SingleTxtG"/>
        <w:ind w:left="3402" w:hanging="567"/>
        <w:rPr>
          <w:b/>
          <w:lang w:val="fr-FR"/>
        </w:rPr>
      </w:pPr>
      <w:r>
        <w:rPr>
          <w:b/>
          <w:bCs/>
          <w:lang w:val="fr-FR"/>
        </w:rPr>
        <w:t>i)</w:t>
      </w:r>
      <w:r>
        <w:rPr>
          <w:lang w:val="fr-FR"/>
        </w:rPr>
        <w:tab/>
      </w:r>
      <w:r>
        <w:rPr>
          <w:b/>
          <w:bCs/>
          <w:lang w:val="fr-FR"/>
        </w:rPr>
        <w:t>Soumettre chaque échantillon d’essai aux contraintes physiques qui s’exercent normalement sur une pièce, ou à l’intérieur de celle-ci, du fait de son assemblage avec d’autres pièces.</w:t>
      </w:r>
      <w:r>
        <w:rPr>
          <w:lang w:val="fr-FR"/>
        </w:rPr>
        <w:t xml:space="preserve"> </w:t>
      </w:r>
      <w:r>
        <w:rPr>
          <w:b/>
          <w:bCs/>
          <w:lang w:val="fr-FR"/>
        </w:rPr>
        <w:t>Appliquer ces contraintes à l’échantillon avant l’essai et les maintenir tout au long de l’essai.</w:t>
      </w:r>
      <w:r>
        <w:rPr>
          <w:lang w:val="fr-FR"/>
        </w:rPr>
        <w:t xml:space="preserve"> </w:t>
      </w:r>
      <w:r>
        <w:rPr>
          <w:b/>
          <w:bCs/>
          <w:lang w:val="fr-FR"/>
        </w:rPr>
        <w:t>Pour les échantillons comportant un filet, destinés à être utilisés en conditions réelles, le filet doit être engagé et serré au couple spécifié dans les instructions d’utilisation de l’échantillon ou par le fabricant.</w:t>
      </w:r>
      <w:r>
        <w:rPr>
          <w:lang w:val="fr-FR"/>
        </w:rPr>
        <w:t xml:space="preserve"> </w:t>
      </w:r>
      <w:r>
        <w:rPr>
          <w:b/>
          <w:bCs/>
          <w:lang w:val="fr-FR"/>
        </w:rPr>
        <w:t>Le filet ne doit pas comporter de composant en polytétrafluoréthylène (PTFE)</w:t>
      </w:r>
      <w:r w:rsidRPr="004E0ADE">
        <w:rPr>
          <w:lang w:val="fr-FR"/>
        </w:rPr>
        <w:t> ;</w:t>
      </w:r>
    </w:p>
    <w:p w14:paraId="5E921266" w14:textId="78DFA6B0" w:rsidR="004E0ADE" w:rsidRPr="00CB023B" w:rsidRDefault="004E0ADE" w:rsidP="004E0ADE">
      <w:pPr>
        <w:pStyle w:val="SingleTxtG"/>
        <w:ind w:left="3402" w:hanging="567"/>
        <w:rPr>
          <w:b/>
          <w:lang w:val="fr-FR"/>
        </w:rPr>
      </w:pPr>
      <w:r w:rsidRPr="004E0ADE">
        <w:rPr>
          <w:lang w:val="fr-FR"/>
        </w:rPr>
        <w:t>ii</w:t>
      </w:r>
      <w:r>
        <w:rPr>
          <w:b/>
          <w:bCs/>
          <w:lang w:val="fr-FR"/>
        </w:rPr>
        <w:t>)</w:t>
      </w:r>
      <w:r>
        <w:rPr>
          <w:lang w:val="fr-FR"/>
        </w:rPr>
        <w:tab/>
      </w:r>
      <w:r>
        <w:rPr>
          <w:b/>
          <w:bCs/>
          <w:lang w:val="fr-FR"/>
        </w:rPr>
        <w:t xml:space="preserve">Dégraisser trois échantillons et les exposer en continu pendant </w:t>
      </w:r>
      <w:r w:rsidR="002D1E3A">
        <w:rPr>
          <w:b/>
          <w:bCs/>
          <w:lang w:val="fr-FR"/>
        </w:rPr>
        <w:t>dix</w:t>
      </w:r>
      <w:r>
        <w:rPr>
          <w:b/>
          <w:bCs/>
          <w:lang w:val="fr-FR"/>
        </w:rPr>
        <w:t xml:space="preserve"> jours, dans une position donnée, à un brouillard d’ammoniaque à l’intérieur d’un récipient en verre d’environ 30</w:t>
      </w:r>
      <w:r>
        <w:rPr>
          <w:b/>
          <w:bCs/>
          <w:lang w:val="fr-FR"/>
        </w:rPr>
        <w:t> </w:t>
      </w:r>
      <w:r>
        <w:rPr>
          <w:b/>
          <w:bCs/>
          <w:lang w:val="fr-FR"/>
        </w:rPr>
        <w:t>l muni d’un couvercle en verre.</w:t>
      </w:r>
      <w:r>
        <w:rPr>
          <w:lang w:val="fr-FR"/>
        </w:rPr>
        <w:t xml:space="preserve"> </w:t>
      </w:r>
      <w:r>
        <w:rPr>
          <w:b/>
          <w:bCs/>
          <w:lang w:val="fr-FR"/>
        </w:rPr>
        <w:t>Pour cela, placer 600</w:t>
      </w:r>
      <w:r>
        <w:rPr>
          <w:b/>
          <w:bCs/>
          <w:lang w:val="fr-FR"/>
        </w:rPr>
        <w:t> </w:t>
      </w:r>
      <w:r>
        <w:rPr>
          <w:b/>
          <w:bCs/>
          <w:lang w:val="fr-FR"/>
        </w:rPr>
        <w:t>cm</w:t>
      </w:r>
      <w:r w:rsidRPr="00CB023B">
        <w:rPr>
          <w:b/>
          <w:bCs/>
          <w:vertAlign w:val="superscript"/>
          <w:lang w:val="fr-FR"/>
        </w:rPr>
        <w:t>3</w:t>
      </w:r>
      <w:r>
        <w:rPr>
          <w:b/>
          <w:bCs/>
          <w:lang w:val="fr-FR"/>
        </w:rPr>
        <w:t xml:space="preserve"> environ d’ammoniaque, à une densité relative de 0,94 et à une concentration de 21,2</w:t>
      </w:r>
      <w:r>
        <w:rPr>
          <w:b/>
          <w:bCs/>
          <w:lang w:val="fr-FR"/>
        </w:rPr>
        <w:t> </w:t>
      </w:r>
      <w:r>
        <w:rPr>
          <w:b/>
          <w:bCs/>
          <w:lang w:val="fr-FR"/>
        </w:rPr>
        <w:t>ml par litre de volume du récipient, au fond d’un récipient en verre, sous les échantillons,</w:t>
      </w:r>
      <w:r>
        <w:rPr>
          <w:lang w:val="fr-FR"/>
        </w:rPr>
        <w:t xml:space="preserve"> </w:t>
      </w:r>
      <w:r>
        <w:rPr>
          <w:b/>
          <w:bCs/>
          <w:lang w:val="fr-FR"/>
        </w:rPr>
        <w:t>et maintenir la solution en place.</w:t>
      </w:r>
      <w:r>
        <w:rPr>
          <w:lang w:val="fr-FR"/>
        </w:rPr>
        <w:t xml:space="preserve"> </w:t>
      </w:r>
      <w:r w:rsidRPr="004E0ADE">
        <w:rPr>
          <w:b/>
          <w:bCs/>
          <w:spacing w:val="-2"/>
          <w:lang w:val="fr-FR"/>
        </w:rPr>
        <w:t>Les</w:t>
      </w:r>
      <w:r w:rsidRPr="004E0ADE">
        <w:rPr>
          <w:b/>
          <w:bCs/>
          <w:spacing w:val="-2"/>
          <w:lang w:val="fr-FR"/>
        </w:rPr>
        <w:t> </w:t>
      </w:r>
      <w:r w:rsidRPr="004E0ADE">
        <w:rPr>
          <w:b/>
          <w:bCs/>
          <w:spacing w:val="-2"/>
          <w:lang w:val="fr-FR"/>
        </w:rPr>
        <w:t>échantillons doivent être placés à 40</w:t>
      </w:r>
      <w:r w:rsidRPr="004E0ADE">
        <w:rPr>
          <w:b/>
          <w:bCs/>
          <w:spacing w:val="-2"/>
          <w:lang w:val="fr-FR"/>
        </w:rPr>
        <w:t> </w:t>
      </w:r>
      <w:r w:rsidRPr="004E0ADE">
        <w:rPr>
          <w:b/>
          <w:bCs/>
          <w:spacing w:val="-2"/>
          <w:lang w:val="fr-FR"/>
        </w:rPr>
        <w:t>mm au-dessus de la solution, sur un plateau en matériau inerte.</w:t>
      </w:r>
      <w:r w:rsidRPr="004E0ADE">
        <w:rPr>
          <w:spacing w:val="-2"/>
          <w:lang w:val="fr-FR"/>
        </w:rPr>
        <w:t xml:space="preserve"> </w:t>
      </w:r>
      <w:r w:rsidRPr="004E0ADE">
        <w:rPr>
          <w:b/>
          <w:bCs/>
          <w:spacing w:val="-2"/>
          <w:lang w:val="fr-FR"/>
        </w:rPr>
        <w:t>Maintenir le brouillard d’ammoniaque présent dans le récipient sous pression atmosphérique et à une température de 34</w:t>
      </w:r>
      <w:r w:rsidRPr="004E0ADE">
        <w:rPr>
          <w:b/>
          <w:bCs/>
          <w:spacing w:val="-2"/>
          <w:lang w:val="fr-FR"/>
        </w:rPr>
        <w:t> </w:t>
      </w:r>
      <w:r w:rsidRPr="004E0ADE">
        <w:rPr>
          <w:b/>
          <w:bCs/>
          <w:spacing w:val="-2"/>
          <w:lang w:val="fr-FR"/>
        </w:rPr>
        <w:t>°C ± 2</w:t>
      </w:r>
      <w:r w:rsidRPr="004E0ADE">
        <w:rPr>
          <w:b/>
          <w:bCs/>
          <w:spacing w:val="-2"/>
          <w:lang w:val="fr-FR"/>
        </w:rPr>
        <w:t> </w:t>
      </w:r>
      <w:r w:rsidRPr="004E0ADE">
        <w:rPr>
          <w:b/>
          <w:bCs/>
          <w:spacing w:val="-2"/>
          <w:lang w:val="fr-FR"/>
        </w:rPr>
        <w:t>°C.</w:t>
      </w:r>
    </w:p>
    <w:p w14:paraId="24D8BB48" w14:textId="5648ED0D" w:rsidR="004E0ADE" w:rsidRPr="00CB023B" w:rsidRDefault="004E0ADE" w:rsidP="004E0ADE">
      <w:pPr>
        <w:pStyle w:val="SingleTxtG"/>
        <w:ind w:left="2835"/>
        <w:rPr>
          <w:lang w:val="fr-FR"/>
        </w:rPr>
      </w:pPr>
      <w:r>
        <w:rPr>
          <w:b/>
          <w:bCs/>
          <w:lang w:val="fr-FR"/>
        </w:rPr>
        <w:t>Après avoir été soumis aux conditions ci-dessus, les échantillons ne doivent présenter aucun signe de fissuration lorsqu’ils sont examinés à un grossissement de 25</w:t>
      </w:r>
      <w:r>
        <w:rPr>
          <w:b/>
          <w:bCs/>
          <w:lang w:val="fr-FR"/>
        </w:rPr>
        <w:t> </w:t>
      </w:r>
      <w:r>
        <w:rPr>
          <w:b/>
          <w:bCs/>
          <w:lang w:val="fr-FR"/>
        </w:rPr>
        <w:t>fois.</w:t>
      </w:r>
    </w:p>
    <w:p w14:paraId="29958609" w14:textId="77777777" w:rsidR="004E0ADE" w:rsidRPr="00CB023B" w:rsidRDefault="004E0ADE" w:rsidP="004E0ADE">
      <w:pPr>
        <w:pStyle w:val="SingleTxtG"/>
        <w:ind w:left="2835" w:hanging="567"/>
        <w:rPr>
          <w:lang w:val="fr-FR"/>
        </w:rPr>
      </w:pPr>
      <w:r>
        <w:rPr>
          <w:lang w:val="fr-FR"/>
        </w:rPr>
        <w:t>d)</w:t>
      </w:r>
      <w:r>
        <w:rPr>
          <w:lang w:val="fr-FR"/>
        </w:rPr>
        <w:tab/>
        <w:t>Les composants exposés, en acier inoxydable, destinés à maintenir la pression sur les dispositifs de surpression, doivent être fabriqués dans un type d’alliage résistant aux fissures de corrosion sous contrainte par chlorure. ».</w:t>
      </w:r>
    </w:p>
    <w:p w14:paraId="6843C8AE" w14:textId="1AF54B48" w:rsidR="004E0ADE" w:rsidRPr="00CB023B" w:rsidRDefault="004E0ADE" w:rsidP="004E0ADE">
      <w:pPr>
        <w:pStyle w:val="SingleTxtG"/>
        <w:rPr>
          <w:lang w:val="fr-FR"/>
        </w:rPr>
      </w:pPr>
      <w:r>
        <w:rPr>
          <w:i/>
          <w:iCs/>
          <w:lang w:val="fr-FR"/>
        </w:rPr>
        <w:t>Annexe 4A, paragraphe 3.2.3</w:t>
      </w:r>
      <w:r>
        <w:rPr>
          <w:lang w:val="fr-FR"/>
        </w:rPr>
        <w:t>, lire</w:t>
      </w:r>
      <w:r w:rsidR="00EC4D2D">
        <w:rPr>
          <w:lang w:val="fr-FR"/>
        </w:rPr>
        <w:t> </w:t>
      </w:r>
      <w:r>
        <w:rPr>
          <w:lang w:val="fr-FR"/>
        </w:rPr>
        <w:t>:</w:t>
      </w:r>
    </w:p>
    <w:p w14:paraId="0B76AB02" w14:textId="0A2069AF" w:rsidR="004E0ADE" w:rsidRPr="00CB023B" w:rsidRDefault="004E0ADE" w:rsidP="00EC4D2D">
      <w:pPr>
        <w:pStyle w:val="SingleTxtG"/>
        <w:ind w:left="2268" w:hanging="1134"/>
        <w:rPr>
          <w:lang w:val="fr-FR"/>
        </w:rPr>
      </w:pPr>
      <w:r>
        <w:rPr>
          <w:lang w:val="fr-FR"/>
        </w:rPr>
        <w:t>« 3.2.3</w:t>
      </w:r>
      <w:r>
        <w:rPr>
          <w:lang w:val="fr-FR"/>
        </w:rPr>
        <w:tab/>
      </w:r>
      <w:r w:rsidR="00EC4D2D">
        <w:rPr>
          <w:lang w:val="fr-FR"/>
        </w:rPr>
        <w:tab/>
      </w:r>
      <w:r>
        <w:rPr>
          <w:lang w:val="fr-FR"/>
        </w:rPr>
        <w:t xml:space="preserve">Le clapet antiretour, placé dans la position normale d’utilisation spécifiée par le fabricant, est soumis à 20 000 déplacements, puis désactivé. </w:t>
      </w:r>
      <w:r>
        <w:rPr>
          <w:b/>
          <w:bCs/>
          <w:lang w:val="fr-FR"/>
        </w:rPr>
        <w:t>Il est ensuite soumis pendant 240</w:t>
      </w:r>
      <w:r w:rsidR="00EC4D2D">
        <w:rPr>
          <w:b/>
          <w:bCs/>
          <w:lang w:val="fr-FR"/>
        </w:rPr>
        <w:t> </w:t>
      </w:r>
      <w:r>
        <w:rPr>
          <w:b/>
          <w:bCs/>
          <w:lang w:val="fr-FR"/>
        </w:rPr>
        <w:t>h au débit produisant le battement maximal.</w:t>
      </w:r>
      <w:r>
        <w:rPr>
          <w:lang w:val="fr-FR"/>
        </w:rPr>
        <w:t xml:space="preserve"> </w:t>
      </w:r>
      <w:r>
        <w:rPr>
          <w:b/>
          <w:bCs/>
          <w:lang w:val="fr-FR"/>
        </w:rPr>
        <w:t>Toute défaillance</w:t>
      </w:r>
      <w:r w:rsidRPr="00D8684A">
        <w:rPr>
          <w:b/>
          <w:bCs/>
          <w:lang w:val="fr-FR"/>
        </w:rPr>
        <w:t xml:space="preserve"> </w:t>
      </w:r>
      <w:r>
        <w:rPr>
          <w:b/>
          <w:bCs/>
          <w:lang w:val="fr-FR"/>
        </w:rPr>
        <w:t>durant l’essai, quelle qu’elle soit, entraîne l’échec de ce dernier.</w:t>
      </w:r>
      <w:r>
        <w:rPr>
          <w:lang w:val="fr-FR"/>
        </w:rPr>
        <w:t xml:space="preserve"> </w:t>
      </w:r>
      <w:r>
        <w:rPr>
          <w:b/>
          <w:bCs/>
          <w:lang w:val="fr-FR"/>
        </w:rPr>
        <w:t>Après l’essai, toutes les pièces du dispositif doivent être à leur place et fonctionner correctement.</w:t>
      </w:r>
      <w:r>
        <w:rPr>
          <w:lang w:val="fr-FR"/>
        </w:rPr>
        <w:t xml:space="preserve"> Le clapet antiretour doit rester étanche (vers l’extérieur) à une pression égale à 1,5</w:t>
      </w:r>
      <w:r w:rsidR="00EC4D2D">
        <w:rPr>
          <w:lang w:val="fr-FR"/>
        </w:rPr>
        <w:t> </w:t>
      </w:r>
      <w:r>
        <w:rPr>
          <w:lang w:val="fr-FR"/>
        </w:rPr>
        <w:t>fois la pression maximale de fonctionnement (en MPa) (voir annexe</w:t>
      </w:r>
      <w:r w:rsidR="00EC4D2D">
        <w:rPr>
          <w:lang w:val="fr-FR"/>
        </w:rPr>
        <w:t> </w:t>
      </w:r>
      <w:r>
        <w:rPr>
          <w:lang w:val="fr-FR"/>
        </w:rPr>
        <w:t>5B). ».</w:t>
      </w:r>
    </w:p>
    <w:p w14:paraId="628B1F80" w14:textId="7A800A0D" w:rsidR="004E0ADE" w:rsidRPr="00CB023B" w:rsidRDefault="004E0ADE" w:rsidP="004E0ADE">
      <w:pPr>
        <w:pStyle w:val="SingleTxtG"/>
        <w:rPr>
          <w:lang w:val="fr-FR"/>
        </w:rPr>
      </w:pPr>
      <w:r>
        <w:rPr>
          <w:i/>
          <w:iCs/>
          <w:lang w:val="fr-FR"/>
        </w:rPr>
        <w:t>Annexe 5L</w:t>
      </w:r>
      <w:r>
        <w:rPr>
          <w:lang w:val="fr-FR"/>
        </w:rPr>
        <w:t>, lire</w:t>
      </w:r>
      <w:r w:rsidR="00EC4D2D">
        <w:rPr>
          <w:lang w:val="fr-FR"/>
        </w:rPr>
        <w:t> </w:t>
      </w:r>
      <w:r>
        <w:rPr>
          <w:lang w:val="fr-FR"/>
        </w:rPr>
        <w:t>:</w:t>
      </w:r>
    </w:p>
    <w:p w14:paraId="0E445F0C" w14:textId="77777777" w:rsidR="004E0ADE" w:rsidRPr="00CB023B" w:rsidRDefault="004E0ADE" w:rsidP="00EC4D2D">
      <w:pPr>
        <w:pStyle w:val="HChG"/>
        <w:rPr>
          <w:lang w:val="fr-FR"/>
        </w:rPr>
      </w:pPr>
      <w:bookmarkStart w:id="0" w:name="_Toc384289003"/>
      <w:r w:rsidRPr="00D8684A">
        <w:rPr>
          <w:lang w:val="fr-FR"/>
        </w:rPr>
        <w:lastRenderedPageBreak/>
        <w:t>« </w:t>
      </w:r>
      <w:r>
        <w:rPr>
          <w:lang w:val="fr-FR"/>
        </w:rPr>
        <w:t>Annexe 5L</w:t>
      </w:r>
      <w:bookmarkEnd w:id="0"/>
    </w:p>
    <w:p w14:paraId="6FFF1843" w14:textId="77777777" w:rsidR="004E0ADE" w:rsidRPr="00CB023B" w:rsidRDefault="004E0ADE" w:rsidP="00EC4D2D">
      <w:pPr>
        <w:pStyle w:val="HChG"/>
        <w:rPr>
          <w:lang w:val="fr-FR"/>
        </w:rPr>
      </w:pPr>
      <w:r>
        <w:rPr>
          <w:lang w:val="fr-FR"/>
        </w:rPr>
        <w:tab/>
      </w:r>
      <w:r>
        <w:rPr>
          <w:lang w:val="fr-FR"/>
        </w:rPr>
        <w:tab/>
        <w:t>Essai de stabilité (fonctionnement continu)</w:t>
      </w:r>
      <w:bookmarkStart w:id="1" w:name="_Toc384289004"/>
      <w:bookmarkEnd w:id="1"/>
    </w:p>
    <w:p w14:paraId="2852B86E" w14:textId="77777777" w:rsidR="004E0ADE" w:rsidRPr="00CB023B" w:rsidRDefault="004E0ADE" w:rsidP="004E0ADE">
      <w:pPr>
        <w:pStyle w:val="SingleTxtG"/>
        <w:rPr>
          <w:lang w:val="fr-FR"/>
        </w:rPr>
      </w:pPr>
      <w:r>
        <w:rPr>
          <w:lang w:val="fr-FR"/>
        </w:rPr>
        <w:t>1.</w:t>
      </w:r>
      <w:r>
        <w:rPr>
          <w:lang w:val="fr-FR"/>
        </w:rPr>
        <w:tab/>
        <w:t>Méthode d’essai pour les organes GNC</w:t>
      </w:r>
    </w:p>
    <w:p w14:paraId="087A11A1" w14:textId="7CABFD20" w:rsidR="004E0ADE" w:rsidRPr="00CB023B" w:rsidRDefault="004E0ADE" w:rsidP="00EC4D2D">
      <w:pPr>
        <w:pStyle w:val="SingleTxtG"/>
        <w:ind w:left="1701" w:hanging="567"/>
        <w:rPr>
          <w:lang w:val="fr-FR"/>
        </w:rPr>
      </w:pPr>
      <w:r>
        <w:rPr>
          <w:lang w:val="fr-FR"/>
        </w:rPr>
        <w:t>1.1</w:t>
      </w:r>
      <w:r>
        <w:rPr>
          <w:lang w:val="fr-FR"/>
        </w:rPr>
        <w:tab/>
        <w:t>L’organe doit être relié à une source d’air ou d’azote sec sous pression, au moyen d’un raccord d’une résistance suffisante, et soumis au nombre de cycles spécifié pour ledit organe. Un cycle consiste en une ouverture et une fermeture de l’organe pendant une période qui ne doit pas être inférieure à 10 ± 2</w:t>
      </w:r>
      <w:r w:rsidR="00EC4D2D">
        <w:rPr>
          <w:lang w:val="fr-FR"/>
        </w:rPr>
        <w:t> </w:t>
      </w:r>
      <w:r>
        <w:rPr>
          <w:lang w:val="fr-FR"/>
        </w:rPr>
        <w:t>s.</w:t>
      </w:r>
    </w:p>
    <w:p w14:paraId="4E0313C5" w14:textId="77777777" w:rsidR="004E0ADE" w:rsidRPr="00CB023B" w:rsidRDefault="004E0ADE" w:rsidP="00EC4D2D">
      <w:pPr>
        <w:pStyle w:val="SingleTxtG"/>
        <w:ind w:left="1701"/>
        <w:rPr>
          <w:lang w:val="fr-FR"/>
        </w:rPr>
      </w:pPr>
      <w:r>
        <w:rPr>
          <w:lang w:val="fr-FR"/>
        </w:rPr>
        <w:t>a)</w:t>
      </w:r>
      <w:r>
        <w:rPr>
          <w:lang w:val="fr-FR"/>
        </w:rPr>
        <w:tab/>
        <w:t>Cycles à température ambiante</w:t>
      </w:r>
    </w:p>
    <w:p w14:paraId="671A54F1" w14:textId="5B968008" w:rsidR="004E0ADE" w:rsidRPr="00CB023B" w:rsidRDefault="004E0ADE" w:rsidP="00EC4D2D">
      <w:pPr>
        <w:pStyle w:val="SingleTxtG"/>
        <w:ind w:left="2268"/>
        <w:rPr>
          <w:lang w:val="fr-FR"/>
        </w:rPr>
      </w:pPr>
      <w:r>
        <w:rPr>
          <w:lang w:val="fr-FR"/>
        </w:rPr>
        <w:t>L’organe doit fonctionner pendant 96</w:t>
      </w:r>
      <w:r w:rsidR="00EC4D2D">
        <w:rPr>
          <w:lang w:val="fr-FR"/>
        </w:rPr>
        <w:t> </w:t>
      </w:r>
      <w:r>
        <w:rPr>
          <w:lang w:val="fr-FR"/>
        </w:rPr>
        <w:t>% de la totalité des cycles à la température ambiante et à la pression de service nominale. Pendant la fermeture, la pression en aval de l’appareil d’essai doit pouvoir être ramenée jusqu’à 50</w:t>
      </w:r>
      <w:r w:rsidR="00EC4D2D">
        <w:rPr>
          <w:lang w:val="fr-FR"/>
        </w:rPr>
        <w:t> </w:t>
      </w:r>
      <w:r>
        <w:rPr>
          <w:lang w:val="fr-FR"/>
        </w:rPr>
        <w:t>% de la pression d’essai. Après cela, l’organe doit satisfaire à l’essai d’étanchéité de l’annexe</w:t>
      </w:r>
      <w:r w:rsidR="00EC4D2D">
        <w:rPr>
          <w:lang w:val="fr-FR"/>
        </w:rPr>
        <w:t> </w:t>
      </w:r>
      <w:r>
        <w:rPr>
          <w:lang w:val="fr-FR"/>
        </w:rPr>
        <w:t>5B à la température ambiante. Il est permis d’interrompre cette partie de l’essai à des intervalles de 20</w:t>
      </w:r>
      <w:r w:rsidR="00EC4D2D">
        <w:rPr>
          <w:lang w:val="fr-FR"/>
        </w:rPr>
        <w:t> </w:t>
      </w:r>
      <w:r>
        <w:rPr>
          <w:lang w:val="fr-FR"/>
        </w:rPr>
        <w:t>% afin de vérifier l’étanchéité.</w:t>
      </w:r>
    </w:p>
    <w:p w14:paraId="78397C5C" w14:textId="77777777" w:rsidR="004E0ADE" w:rsidRPr="00CB023B" w:rsidRDefault="004E0ADE" w:rsidP="00EC4D2D">
      <w:pPr>
        <w:pStyle w:val="SingleTxtG"/>
        <w:ind w:left="1701"/>
        <w:rPr>
          <w:lang w:val="fr-FR"/>
        </w:rPr>
      </w:pPr>
      <w:r>
        <w:rPr>
          <w:lang w:val="fr-FR"/>
        </w:rPr>
        <w:t>b)</w:t>
      </w:r>
      <w:r>
        <w:rPr>
          <w:lang w:val="fr-FR"/>
        </w:rPr>
        <w:tab/>
        <w:t>Cycles à haute température</w:t>
      </w:r>
    </w:p>
    <w:p w14:paraId="5064DB51" w14:textId="4443F06E" w:rsidR="004E0ADE" w:rsidRPr="00CB023B" w:rsidRDefault="004E0ADE" w:rsidP="00EC4D2D">
      <w:pPr>
        <w:pStyle w:val="SingleTxtG"/>
        <w:ind w:left="2268"/>
        <w:rPr>
          <w:lang w:val="fr-FR"/>
        </w:rPr>
      </w:pPr>
      <w:r>
        <w:rPr>
          <w:lang w:val="fr-FR"/>
        </w:rPr>
        <w:t>L’organe doit fonctionner pendant 2</w:t>
      </w:r>
      <w:r w:rsidR="00EC4D2D">
        <w:rPr>
          <w:lang w:val="fr-FR"/>
        </w:rPr>
        <w:t> </w:t>
      </w:r>
      <w:r>
        <w:rPr>
          <w:lang w:val="fr-FR"/>
        </w:rPr>
        <w:t>% de la totalité des cycles à la température maximale appropriée fixée pour la pression de service nominale. À la fin des cycles à haute température, l’organe doit satisfaire à l’essai d’étanchéité de l’annexe</w:t>
      </w:r>
      <w:r w:rsidR="00EC4D2D">
        <w:rPr>
          <w:lang w:val="fr-FR"/>
        </w:rPr>
        <w:t> </w:t>
      </w:r>
      <w:r>
        <w:rPr>
          <w:lang w:val="fr-FR"/>
        </w:rPr>
        <w:t>5B à la température maximale appropriée.</w:t>
      </w:r>
    </w:p>
    <w:p w14:paraId="483EA30B" w14:textId="77777777" w:rsidR="004E0ADE" w:rsidRPr="00CB023B" w:rsidRDefault="004E0ADE" w:rsidP="00EC4D2D">
      <w:pPr>
        <w:pStyle w:val="SingleTxtG"/>
        <w:ind w:left="1701"/>
        <w:rPr>
          <w:lang w:val="fr-FR"/>
        </w:rPr>
      </w:pPr>
      <w:r>
        <w:rPr>
          <w:lang w:val="fr-FR"/>
        </w:rPr>
        <w:t>c)</w:t>
      </w:r>
      <w:r>
        <w:rPr>
          <w:lang w:val="fr-FR"/>
        </w:rPr>
        <w:tab/>
        <w:t>Cycles à basse température</w:t>
      </w:r>
    </w:p>
    <w:p w14:paraId="2601B710" w14:textId="72E03C11" w:rsidR="004E0ADE" w:rsidRPr="00CB023B" w:rsidRDefault="004E0ADE" w:rsidP="00EC4D2D">
      <w:pPr>
        <w:pStyle w:val="SingleTxtG"/>
        <w:ind w:left="2268"/>
        <w:rPr>
          <w:lang w:val="fr-FR"/>
        </w:rPr>
      </w:pPr>
      <w:r>
        <w:rPr>
          <w:lang w:val="fr-FR"/>
        </w:rPr>
        <w:t>Pendant 2</w:t>
      </w:r>
      <w:r w:rsidR="00EC4D2D">
        <w:rPr>
          <w:lang w:val="fr-FR"/>
        </w:rPr>
        <w:t> </w:t>
      </w:r>
      <w:r>
        <w:rPr>
          <w:lang w:val="fr-FR"/>
        </w:rPr>
        <w:t>% de la totalité des cycles, l’organe doit fonctionner à la température minimale appropriée fixée pour la pression de service nominale. À la fin des cycles à basse température, l’organe doit satisfaire à l’essai d’étanchéité de l’annexe</w:t>
      </w:r>
      <w:r w:rsidR="00EC4D2D">
        <w:rPr>
          <w:lang w:val="fr-FR"/>
        </w:rPr>
        <w:t> </w:t>
      </w:r>
      <w:r>
        <w:rPr>
          <w:lang w:val="fr-FR"/>
        </w:rPr>
        <w:t>5B à la température minimale appropriée.</w:t>
      </w:r>
    </w:p>
    <w:p w14:paraId="2AD8A107" w14:textId="4E63517C" w:rsidR="004E0ADE" w:rsidRPr="00CB023B" w:rsidRDefault="004E0ADE" w:rsidP="00EC4D2D">
      <w:pPr>
        <w:pStyle w:val="SingleTxtG"/>
        <w:ind w:left="2268"/>
        <w:rPr>
          <w:lang w:val="fr-FR"/>
        </w:rPr>
      </w:pPr>
      <w:r>
        <w:rPr>
          <w:lang w:val="fr-FR"/>
        </w:rPr>
        <w:t>À la suite de tous les cycles et d’un nouvel essai d’étanchéité, l’organe doit pouvoir s’ouvrir et se fermer complètement lorsqu’un couple dont la valeur maximale n’est pas supérieure à celle indiquée dans le tableau</w:t>
      </w:r>
      <w:r w:rsidR="00EC4D2D">
        <w:rPr>
          <w:lang w:val="fr-FR"/>
        </w:rPr>
        <w:t> </w:t>
      </w:r>
      <w:r>
        <w:rPr>
          <w:lang w:val="fr-FR"/>
        </w:rPr>
        <w:t xml:space="preserve">5.3 ci-dessous est appliqué à la manette de l’organe dans un sens permettant son ouverture complète et inversement. </w:t>
      </w:r>
      <w:r>
        <w:rPr>
          <w:b/>
          <w:bCs/>
          <w:lang w:val="fr-FR"/>
        </w:rPr>
        <w:t>Dans le cas d’une vanne à levier, le couple maximal approprié doit être déterminé en appliquant une force de traction de 150</w:t>
      </w:r>
      <w:r w:rsidR="00EC4D2D">
        <w:rPr>
          <w:b/>
          <w:bCs/>
          <w:lang w:val="fr-FR"/>
        </w:rPr>
        <w:t> </w:t>
      </w:r>
      <w:r>
        <w:rPr>
          <w:b/>
          <w:bCs/>
          <w:lang w:val="fr-FR"/>
        </w:rPr>
        <w:t>N à l’extrémité du mécanisme de commande.</w:t>
      </w:r>
    </w:p>
    <w:p w14:paraId="2F53EE64" w14:textId="5E3D9942" w:rsidR="004E0ADE" w:rsidRPr="00EC4D2D" w:rsidRDefault="00EC4D2D" w:rsidP="00EC4D2D">
      <w:pPr>
        <w:pStyle w:val="H23G"/>
        <w:ind w:left="2268"/>
      </w:pPr>
      <w:bookmarkStart w:id="2" w:name="_Toc343849610"/>
      <w:r>
        <w:rPr>
          <w:b w:val="0"/>
          <w:bCs/>
          <w:lang w:val="fr-FR"/>
        </w:rPr>
        <w:tab/>
      </w:r>
      <w:r>
        <w:rPr>
          <w:b w:val="0"/>
          <w:bCs/>
          <w:lang w:val="fr-FR"/>
        </w:rPr>
        <w:tab/>
      </w:r>
      <w:r w:rsidR="004E0ADE" w:rsidRPr="00EC4D2D">
        <w:rPr>
          <w:b w:val="0"/>
          <w:bCs/>
          <w:lang w:val="fr-FR"/>
        </w:rPr>
        <w:t>Tableau 5.3</w:t>
      </w:r>
      <w:bookmarkEnd w:id="2"/>
      <w:r w:rsidRPr="00EC4D2D">
        <w:rPr>
          <w:lang w:val="fr-FR"/>
        </w:rPr>
        <w:t xml:space="preserve"> </w:t>
      </w:r>
      <w:r w:rsidRPr="00EC4D2D">
        <w:rPr>
          <w:lang w:val="fr-FR"/>
        </w:rPr>
        <w:br/>
      </w:r>
      <w:r w:rsidR="004E0ADE">
        <w:rPr>
          <w:lang w:val="fr-FR"/>
        </w:rPr>
        <w:t>Titre du tableau</w:t>
      </w:r>
    </w:p>
    <w:tbl>
      <w:tblPr>
        <w:tblW w:w="6236" w:type="dxa"/>
        <w:tblInd w:w="2268" w:type="dxa"/>
        <w:tblLayout w:type="fixed"/>
        <w:tblCellMar>
          <w:left w:w="0" w:type="dxa"/>
          <w:right w:w="0" w:type="dxa"/>
        </w:tblCellMar>
        <w:tblLook w:val="0000" w:firstRow="0" w:lastRow="0" w:firstColumn="0" w:lastColumn="0" w:noHBand="0" w:noVBand="0"/>
      </w:tblPr>
      <w:tblGrid>
        <w:gridCol w:w="3828"/>
        <w:gridCol w:w="2408"/>
      </w:tblGrid>
      <w:tr w:rsidR="00EC4D2D" w:rsidRPr="00EC4D2D" w14:paraId="3CF8039C" w14:textId="77777777" w:rsidTr="00EC4D2D">
        <w:trPr>
          <w:tblHeader/>
        </w:trPr>
        <w:tc>
          <w:tcPr>
            <w:tcW w:w="3828" w:type="dxa"/>
            <w:tcBorders>
              <w:top w:val="single" w:sz="4" w:space="0" w:color="auto"/>
              <w:bottom w:val="single" w:sz="12" w:space="0" w:color="auto"/>
            </w:tcBorders>
            <w:shd w:val="clear" w:color="auto" w:fill="auto"/>
            <w:vAlign w:val="bottom"/>
          </w:tcPr>
          <w:p w14:paraId="41ED3384" w14:textId="77777777" w:rsidR="004E0ADE" w:rsidRPr="00EC4D2D" w:rsidRDefault="004E0ADE" w:rsidP="002D1E3A">
            <w:pPr>
              <w:suppressAutoHyphens w:val="0"/>
              <w:spacing w:before="80" w:after="80" w:line="200" w:lineRule="exact"/>
              <w:jc w:val="center"/>
              <w:rPr>
                <w:i/>
                <w:sz w:val="16"/>
                <w:lang w:val="fr-FR"/>
              </w:rPr>
            </w:pPr>
            <w:r w:rsidRPr="00EC4D2D">
              <w:rPr>
                <w:i/>
                <w:sz w:val="16"/>
                <w:lang w:val="fr-FR"/>
              </w:rPr>
              <w:t>Dimension du tuyau d’admission de l’organe (mm)</w:t>
            </w:r>
          </w:p>
        </w:tc>
        <w:tc>
          <w:tcPr>
            <w:tcW w:w="2408" w:type="dxa"/>
            <w:tcBorders>
              <w:top w:val="single" w:sz="4" w:space="0" w:color="auto"/>
              <w:bottom w:val="single" w:sz="12" w:space="0" w:color="auto"/>
            </w:tcBorders>
            <w:shd w:val="clear" w:color="auto" w:fill="auto"/>
            <w:vAlign w:val="bottom"/>
          </w:tcPr>
          <w:p w14:paraId="43DE29D7" w14:textId="77777777" w:rsidR="004E0ADE" w:rsidRPr="00EC4D2D" w:rsidRDefault="004E0ADE" w:rsidP="002D1E3A">
            <w:pPr>
              <w:suppressAutoHyphens w:val="0"/>
              <w:spacing w:before="80" w:after="80" w:line="200" w:lineRule="exact"/>
              <w:jc w:val="center"/>
              <w:rPr>
                <w:i/>
                <w:sz w:val="16"/>
              </w:rPr>
            </w:pPr>
            <w:r w:rsidRPr="00EC4D2D">
              <w:rPr>
                <w:i/>
                <w:sz w:val="16"/>
                <w:lang w:val="fr-FR"/>
              </w:rPr>
              <w:t>Couple maximal (Nm)</w:t>
            </w:r>
          </w:p>
        </w:tc>
      </w:tr>
      <w:tr w:rsidR="00EC4D2D" w:rsidRPr="00EC4D2D" w14:paraId="4EC91098" w14:textId="77777777" w:rsidTr="00EC4D2D">
        <w:tc>
          <w:tcPr>
            <w:tcW w:w="3828" w:type="dxa"/>
            <w:tcBorders>
              <w:top w:val="single" w:sz="12" w:space="0" w:color="auto"/>
            </w:tcBorders>
            <w:shd w:val="clear" w:color="auto" w:fill="auto"/>
          </w:tcPr>
          <w:p w14:paraId="11AF3DBC" w14:textId="77777777" w:rsidR="004E0ADE" w:rsidRPr="00EC4D2D" w:rsidRDefault="004E0ADE" w:rsidP="002D1E3A">
            <w:pPr>
              <w:suppressAutoHyphens w:val="0"/>
              <w:spacing w:before="40" w:after="40" w:line="220" w:lineRule="exact"/>
              <w:jc w:val="center"/>
              <w:rPr>
                <w:sz w:val="18"/>
                <w:szCs w:val="18"/>
              </w:rPr>
            </w:pPr>
            <w:r w:rsidRPr="00EC4D2D">
              <w:rPr>
                <w:sz w:val="18"/>
                <w:lang w:val="fr-FR"/>
              </w:rPr>
              <w:t>6</w:t>
            </w:r>
          </w:p>
        </w:tc>
        <w:tc>
          <w:tcPr>
            <w:tcW w:w="2408" w:type="dxa"/>
            <w:tcBorders>
              <w:top w:val="single" w:sz="12" w:space="0" w:color="auto"/>
            </w:tcBorders>
            <w:shd w:val="clear" w:color="auto" w:fill="auto"/>
            <w:vAlign w:val="bottom"/>
          </w:tcPr>
          <w:p w14:paraId="0AE00268" w14:textId="77777777" w:rsidR="004E0ADE" w:rsidRPr="00EC4D2D" w:rsidRDefault="004E0ADE" w:rsidP="002D1E3A">
            <w:pPr>
              <w:suppressAutoHyphens w:val="0"/>
              <w:spacing w:before="40" w:after="40" w:line="220" w:lineRule="exact"/>
              <w:jc w:val="center"/>
              <w:rPr>
                <w:sz w:val="18"/>
                <w:szCs w:val="18"/>
              </w:rPr>
            </w:pPr>
            <w:r w:rsidRPr="00EC4D2D">
              <w:rPr>
                <w:sz w:val="18"/>
                <w:lang w:val="fr-FR"/>
              </w:rPr>
              <w:t>1,7</w:t>
            </w:r>
          </w:p>
        </w:tc>
      </w:tr>
      <w:tr w:rsidR="00EC4D2D" w:rsidRPr="00EC4D2D" w14:paraId="7D1B9FFA" w14:textId="77777777" w:rsidTr="00EC4D2D">
        <w:tc>
          <w:tcPr>
            <w:tcW w:w="3828" w:type="dxa"/>
            <w:shd w:val="clear" w:color="auto" w:fill="auto"/>
          </w:tcPr>
          <w:p w14:paraId="128E75A2" w14:textId="77777777" w:rsidR="004E0ADE" w:rsidRPr="00EC4D2D" w:rsidRDefault="004E0ADE" w:rsidP="002D1E3A">
            <w:pPr>
              <w:suppressAutoHyphens w:val="0"/>
              <w:spacing w:before="40" w:after="40" w:line="220" w:lineRule="exact"/>
              <w:jc w:val="center"/>
              <w:rPr>
                <w:sz w:val="18"/>
                <w:szCs w:val="18"/>
              </w:rPr>
            </w:pPr>
            <w:r w:rsidRPr="00EC4D2D">
              <w:rPr>
                <w:sz w:val="18"/>
                <w:lang w:val="fr-FR"/>
              </w:rPr>
              <w:t>8 ou 10</w:t>
            </w:r>
          </w:p>
        </w:tc>
        <w:tc>
          <w:tcPr>
            <w:tcW w:w="2408" w:type="dxa"/>
            <w:shd w:val="clear" w:color="auto" w:fill="auto"/>
            <w:vAlign w:val="bottom"/>
          </w:tcPr>
          <w:p w14:paraId="7E43763B" w14:textId="77777777" w:rsidR="004E0ADE" w:rsidRPr="00EC4D2D" w:rsidRDefault="004E0ADE" w:rsidP="002D1E3A">
            <w:pPr>
              <w:suppressAutoHyphens w:val="0"/>
              <w:spacing w:before="40" w:after="40" w:line="220" w:lineRule="exact"/>
              <w:jc w:val="center"/>
              <w:rPr>
                <w:sz w:val="18"/>
                <w:szCs w:val="18"/>
              </w:rPr>
            </w:pPr>
            <w:r w:rsidRPr="00EC4D2D">
              <w:rPr>
                <w:sz w:val="18"/>
                <w:lang w:val="fr-FR"/>
              </w:rPr>
              <w:t>2,3</w:t>
            </w:r>
          </w:p>
        </w:tc>
      </w:tr>
      <w:tr w:rsidR="00EC4D2D" w:rsidRPr="00EC4D2D" w14:paraId="6A6148D5" w14:textId="77777777" w:rsidTr="00EC4D2D">
        <w:tc>
          <w:tcPr>
            <w:tcW w:w="3828" w:type="dxa"/>
            <w:tcBorders>
              <w:bottom w:val="single" w:sz="12" w:space="0" w:color="auto"/>
            </w:tcBorders>
            <w:shd w:val="clear" w:color="auto" w:fill="auto"/>
          </w:tcPr>
          <w:p w14:paraId="27D5456A" w14:textId="77777777" w:rsidR="004E0ADE" w:rsidRPr="00EC4D2D" w:rsidRDefault="004E0ADE" w:rsidP="002D1E3A">
            <w:pPr>
              <w:suppressAutoHyphens w:val="0"/>
              <w:spacing w:before="40" w:after="40" w:line="220" w:lineRule="exact"/>
              <w:jc w:val="center"/>
              <w:rPr>
                <w:sz w:val="18"/>
                <w:szCs w:val="18"/>
              </w:rPr>
            </w:pPr>
            <w:r w:rsidRPr="00EC4D2D">
              <w:rPr>
                <w:sz w:val="18"/>
                <w:lang w:val="fr-FR"/>
              </w:rPr>
              <w:t>12</w:t>
            </w:r>
          </w:p>
        </w:tc>
        <w:tc>
          <w:tcPr>
            <w:tcW w:w="2408" w:type="dxa"/>
            <w:tcBorders>
              <w:bottom w:val="single" w:sz="12" w:space="0" w:color="auto"/>
            </w:tcBorders>
            <w:shd w:val="clear" w:color="auto" w:fill="auto"/>
            <w:vAlign w:val="bottom"/>
          </w:tcPr>
          <w:p w14:paraId="3BD4B645" w14:textId="77777777" w:rsidR="004E0ADE" w:rsidRPr="00EC4D2D" w:rsidRDefault="004E0ADE" w:rsidP="002D1E3A">
            <w:pPr>
              <w:suppressAutoHyphens w:val="0"/>
              <w:spacing w:before="40" w:after="40" w:line="220" w:lineRule="exact"/>
              <w:jc w:val="center"/>
              <w:rPr>
                <w:sz w:val="18"/>
                <w:szCs w:val="18"/>
              </w:rPr>
            </w:pPr>
            <w:r w:rsidRPr="00EC4D2D">
              <w:rPr>
                <w:sz w:val="18"/>
                <w:lang w:val="fr-FR"/>
              </w:rPr>
              <w:t>2,8</w:t>
            </w:r>
          </w:p>
        </w:tc>
      </w:tr>
    </w:tbl>
    <w:p w14:paraId="3134166E" w14:textId="7A146FE2" w:rsidR="004E0ADE" w:rsidRPr="00CB023B" w:rsidRDefault="004E0ADE" w:rsidP="00EC4D2D">
      <w:pPr>
        <w:pStyle w:val="SingleTxtG"/>
        <w:spacing w:before="240"/>
        <w:ind w:left="1701" w:hanging="567"/>
        <w:rPr>
          <w:lang w:val="fr-FR"/>
        </w:rPr>
      </w:pPr>
      <w:r>
        <w:rPr>
          <w:lang w:val="fr-FR"/>
        </w:rPr>
        <w:t>1.2</w:t>
      </w:r>
      <w:r>
        <w:rPr>
          <w:lang w:val="fr-FR"/>
        </w:rPr>
        <w:tab/>
        <w:t>Cet essai doit être effectué à la température maximale appropriée spécifiée et doit être répété à la température de -40</w:t>
      </w:r>
      <w:r w:rsidR="00EC4D2D">
        <w:rPr>
          <w:lang w:val="fr-FR"/>
        </w:rPr>
        <w:t> </w:t>
      </w:r>
      <w:r>
        <w:rPr>
          <w:lang w:val="fr-FR"/>
        </w:rPr>
        <w:t>°C.</w:t>
      </w:r>
    </w:p>
    <w:p w14:paraId="364D47E3" w14:textId="3785F676" w:rsidR="004E0ADE" w:rsidRPr="00EC4D2D" w:rsidRDefault="004E0ADE" w:rsidP="00EC4D2D">
      <w:pPr>
        <w:pStyle w:val="SingleTxtG"/>
        <w:ind w:left="1701" w:hanging="567"/>
        <w:rPr>
          <w:spacing w:val="-2"/>
          <w:lang w:val="fr-FR"/>
        </w:rPr>
      </w:pPr>
      <w:r w:rsidRPr="00EC4D2D">
        <w:rPr>
          <w:spacing w:val="-2"/>
          <w:lang w:val="fr-FR"/>
        </w:rPr>
        <w:t>1.3</w:t>
      </w:r>
      <w:r w:rsidRPr="00EC4D2D">
        <w:rPr>
          <w:spacing w:val="-2"/>
          <w:lang w:val="fr-FR"/>
        </w:rPr>
        <w:tab/>
        <w:t>L’essai de stabilité pour les organes GNL est présenté aux annexes</w:t>
      </w:r>
      <w:r w:rsidR="00EC4D2D" w:rsidRPr="00EC4D2D">
        <w:rPr>
          <w:spacing w:val="-2"/>
          <w:lang w:val="fr-FR"/>
        </w:rPr>
        <w:t> </w:t>
      </w:r>
      <w:r w:rsidRPr="00EC4D2D">
        <w:rPr>
          <w:spacing w:val="-2"/>
          <w:lang w:val="fr-FR"/>
        </w:rPr>
        <w:t>4I à 4O selon le</w:t>
      </w:r>
      <w:r w:rsidR="00EC4D2D" w:rsidRPr="00EC4D2D">
        <w:rPr>
          <w:spacing w:val="-2"/>
          <w:lang w:val="fr-FR"/>
        </w:rPr>
        <w:t> </w:t>
      </w:r>
      <w:r w:rsidRPr="00EC4D2D">
        <w:rPr>
          <w:spacing w:val="-2"/>
          <w:lang w:val="fr-FR"/>
        </w:rPr>
        <w:t>cas.</w:t>
      </w:r>
    </w:p>
    <w:p w14:paraId="4DCBA5B5" w14:textId="77777777" w:rsidR="004E0ADE" w:rsidRPr="006F4C48" w:rsidRDefault="004E0ADE" w:rsidP="002D1E3A">
      <w:pPr>
        <w:pStyle w:val="HChG"/>
      </w:pPr>
      <w:r>
        <w:rPr>
          <w:lang w:val="fr-FR"/>
        </w:rPr>
        <w:lastRenderedPageBreak/>
        <w:tab/>
        <w:t>II.</w:t>
      </w:r>
      <w:r>
        <w:rPr>
          <w:lang w:val="fr-FR"/>
        </w:rPr>
        <w:tab/>
        <w:t>Justification</w:t>
      </w:r>
    </w:p>
    <w:p w14:paraId="18A0ED38" w14:textId="24A68278" w:rsidR="004E0ADE" w:rsidRPr="00CB023B" w:rsidRDefault="00EC4D2D" w:rsidP="002D1E3A">
      <w:pPr>
        <w:pStyle w:val="SingleTxtG"/>
        <w:keepNext/>
        <w:keepLines/>
        <w:spacing w:before="240"/>
        <w:ind w:left="1701" w:hanging="567"/>
        <w:rPr>
          <w:lang w:val="fr-FR"/>
        </w:rPr>
      </w:pPr>
      <w:r>
        <w:rPr>
          <w:lang w:val="fr-FR"/>
        </w:rPr>
        <w:t>1.</w:t>
      </w:r>
      <w:r>
        <w:rPr>
          <w:lang w:val="fr-FR"/>
        </w:rPr>
        <w:tab/>
      </w:r>
      <w:r w:rsidR="004E0ADE">
        <w:rPr>
          <w:lang w:val="fr-FR"/>
        </w:rPr>
        <w:t>La proposition ci-dessus a pour but :</w:t>
      </w:r>
    </w:p>
    <w:p w14:paraId="70B9365D" w14:textId="677F77E8" w:rsidR="004E0ADE" w:rsidRPr="00CB023B" w:rsidRDefault="00EC4D2D" w:rsidP="00EC4D2D">
      <w:pPr>
        <w:pStyle w:val="SingleTxtG"/>
        <w:ind w:left="2268" w:hanging="567"/>
        <w:rPr>
          <w:lang w:val="fr-FR"/>
        </w:rPr>
      </w:pPr>
      <w:r>
        <w:rPr>
          <w:lang w:val="fr-FR"/>
        </w:rPr>
        <w:t>a)</w:t>
      </w:r>
      <w:r>
        <w:rPr>
          <w:lang w:val="fr-FR"/>
        </w:rPr>
        <w:tab/>
      </w:r>
      <w:r w:rsidR="004E0ADE">
        <w:rPr>
          <w:lang w:val="fr-FR"/>
        </w:rPr>
        <w:t>De corriger les erreurs présentes dans la version actuelle du Règlement ONU n</w:t>
      </w:r>
      <w:r w:rsidRPr="00EC4D2D">
        <w:rPr>
          <w:vertAlign w:val="superscript"/>
          <w:lang w:val="fr-FR"/>
        </w:rPr>
        <w:t>o</w:t>
      </w:r>
      <w:r>
        <w:rPr>
          <w:lang w:val="fr-FR"/>
        </w:rPr>
        <w:t> </w:t>
      </w:r>
      <w:r w:rsidR="004E0ADE">
        <w:rPr>
          <w:lang w:val="fr-FR"/>
        </w:rPr>
        <w:t>110</w:t>
      </w:r>
      <w:r>
        <w:rPr>
          <w:lang w:val="fr-FR"/>
        </w:rPr>
        <w:t> </w:t>
      </w:r>
      <w:r w:rsidR="004E0ADE">
        <w:rPr>
          <w:lang w:val="fr-FR"/>
        </w:rPr>
        <w:t>;</w:t>
      </w:r>
    </w:p>
    <w:p w14:paraId="0C677065" w14:textId="4F86E570" w:rsidR="004E0ADE" w:rsidRPr="00CB023B" w:rsidRDefault="00EC4D2D" w:rsidP="00EC4D2D">
      <w:pPr>
        <w:pStyle w:val="SingleTxtG"/>
        <w:ind w:left="2268" w:hanging="567"/>
        <w:rPr>
          <w:lang w:val="fr-FR"/>
        </w:rPr>
      </w:pPr>
      <w:r>
        <w:rPr>
          <w:lang w:val="fr-FR"/>
        </w:rPr>
        <w:t>b)</w:t>
      </w:r>
      <w:r>
        <w:rPr>
          <w:lang w:val="fr-FR"/>
        </w:rPr>
        <w:tab/>
      </w:r>
      <w:r w:rsidR="004E0ADE">
        <w:rPr>
          <w:lang w:val="fr-FR"/>
        </w:rPr>
        <w:t>De mettre à jour les dispositions afin qu’elles soient conformes à celles des normes ISO</w:t>
      </w:r>
      <w:r>
        <w:rPr>
          <w:lang w:val="fr-FR"/>
        </w:rPr>
        <w:t> </w:t>
      </w:r>
      <w:r w:rsidR="004E0ADE">
        <w:rPr>
          <w:lang w:val="fr-FR"/>
        </w:rPr>
        <w:t>15500 et NGV</w:t>
      </w:r>
      <w:r>
        <w:rPr>
          <w:lang w:val="fr-FR"/>
        </w:rPr>
        <w:t> </w:t>
      </w:r>
      <w:r w:rsidR="004E0ADE">
        <w:rPr>
          <w:lang w:val="fr-FR"/>
        </w:rPr>
        <w:t>3.1 (normes industrielles pour le GNC) :</w:t>
      </w:r>
    </w:p>
    <w:p w14:paraId="774F87AA" w14:textId="0CAF1D35" w:rsidR="004E0ADE" w:rsidRPr="00CB023B" w:rsidRDefault="00EC4D2D" w:rsidP="00EC4D2D">
      <w:pPr>
        <w:pStyle w:val="SingleTxtG"/>
        <w:ind w:left="2835" w:hanging="567"/>
        <w:rPr>
          <w:lang w:val="fr-FR"/>
        </w:rPr>
      </w:pPr>
      <w:r w:rsidRPr="00EC4D2D">
        <w:rPr>
          <w:lang w:val="en-US"/>
        </w:rPr>
        <w:t>i)</w:t>
      </w:r>
      <w:r w:rsidRPr="00EC4D2D">
        <w:rPr>
          <w:lang w:val="en-US"/>
        </w:rPr>
        <w:tab/>
      </w:r>
      <w:r w:rsidR="004E0ADE" w:rsidRPr="00EC4D2D">
        <w:rPr>
          <w:lang w:val="en-US"/>
        </w:rPr>
        <w:t>Annexe</w:t>
      </w:r>
      <w:r>
        <w:rPr>
          <w:lang w:val="en-US"/>
        </w:rPr>
        <w:t> </w:t>
      </w:r>
      <w:r w:rsidR="004E0ADE" w:rsidRPr="00EC4D2D">
        <w:rPr>
          <w:lang w:val="en-US"/>
        </w:rPr>
        <w:t>3A, essai</w:t>
      </w:r>
      <w:r>
        <w:rPr>
          <w:lang w:val="en-US"/>
        </w:rPr>
        <w:t> </w:t>
      </w:r>
      <w:r w:rsidR="004E0ADE" w:rsidRPr="00EC4D2D">
        <w:rPr>
          <w:lang w:val="en-US"/>
        </w:rPr>
        <w:t xml:space="preserve">A.24. </w:t>
      </w:r>
      <w:r w:rsidR="004E0ADE">
        <w:rPr>
          <w:lang w:val="fr-FR"/>
        </w:rPr>
        <w:t xml:space="preserve">L’essai actuel, au nitrate de mercure, est remplacé par une immersion dans de l’ammoniaque pendant </w:t>
      </w:r>
      <w:r>
        <w:rPr>
          <w:lang w:val="fr-FR"/>
        </w:rPr>
        <w:t>dix</w:t>
      </w:r>
      <w:r w:rsidR="004E0ADE">
        <w:rPr>
          <w:lang w:val="fr-FR"/>
        </w:rPr>
        <w:t xml:space="preserve"> jours. Le nitrate de mercure est en effet connu en tant que substance chimique cancérigène, mutagène et toxique pour la reproduction, et doit donc être remplacé</w:t>
      </w:r>
      <w:r>
        <w:rPr>
          <w:lang w:val="fr-FR"/>
        </w:rPr>
        <w:t> ;</w:t>
      </w:r>
    </w:p>
    <w:p w14:paraId="41146EB5" w14:textId="14FE37B4" w:rsidR="004E0ADE" w:rsidRPr="00CB023B" w:rsidRDefault="004E0ADE" w:rsidP="00EC4D2D">
      <w:pPr>
        <w:pStyle w:val="SingleTxtG"/>
        <w:ind w:left="2835" w:hanging="567"/>
        <w:rPr>
          <w:lang w:val="fr-FR"/>
        </w:rPr>
      </w:pPr>
      <w:r w:rsidRPr="0061334D">
        <w:rPr>
          <w:lang w:val="fr-FR"/>
        </w:rPr>
        <w:t>ii)</w:t>
      </w:r>
      <w:r>
        <w:rPr>
          <w:lang w:val="fr-FR"/>
        </w:rPr>
        <w:tab/>
        <w:t>Annexe 4A. À la suite d’un essai de longue durée sur un clapet antiretour, il est courant de soumettre celui-ci au débit produisant le battement maximal. Ce battement est un phénomène qui peut se manifester dans une station-service. On exécute cet autre essai à la suite de l’essai de longue durée afin de contrôler la fonction de fermeture (conformément aux normes ISO</w:t>
      </w:r>
      <w:r w:rsidR="00EC4D2D">
        <w:rPr>
          <w:lang w:val="fr-FR"/>
        </w:rPr>
        <w:t> </w:t>
      </w:r>
      <w:r>
        <w:rPr>
          <w:lang w:val="fr-FR"/>
        </w:rPr>
        <w:t>15500 et NGV</w:t>
      </w:r>
      <w:r w:rsidR="00EC4D2D">
        <w:rPr>
          <w:lang w:val="fr-FR"/>
        </w:rPr>
        <w:t> </w:t>
      </w:r>
      <w:r>
        <w:rPr>
          <w:lang w:val="fr-FR"/>
        </w:rPr>
        <w:t>3.1)</w:t>
      </w:r>
      <w:r w:rsidR="00EC4D2D">
        <w:rPr>
          <w:lang w:val="fr-FR"/>
        </w:rPr>
        <w:t> ;</w:t>
      </w:r>
    </w:p>
    <w:p w14:paraId="47E7E999" w14:textId="10FD2E2F" w:rsidR="004E0ADE" w:rsidRPr="00CF07FF" w:rsidRDefault="004E0ADE" w:rsidP="00EC4D2D">
      <w:pPr>
        <w:pStyle w:val="SingleTxtG"/>
        <w:ind w:left="2835" w:hanging="567"/>
      </w:pPr>
      <w:r>
        <w:rPr>
          <w:lang w:val="fr-FR"/>
        </w:rPr>
        <w:t>iii)</w:t>
      </w:r>
      <w:r>
        <w:rPr>
          <w:lang w:val="fr-FR"/>
        </w:rPr>
        <w:tab/>
        <w:t>Pour l’essai de stabilité sur vanne manuelle de l’annexe</w:t>
      </w:r>
      <w:r w:rsidR="00EC4D2D">
        <w:rPr>
          <w:lang w:val="fr-FR"/>
        </w:rPr>
        <w:t> </w:t>
      </w:r>
      <w:r>
        <w:rPr>
          <w:lang w:val="fr-FR"/>
        </w:rPr>
        <w:t>5L, une distinction est faite entre une vanne à volant et une vanne à levier. Dans la version actuelle du Règlement, les prescriptions applicables aux deux types de vanne sont les mêmes. La nouvelle disposition proposée apporte une information supplémentaire.</w:t>
      </w:r>
    </w:p>
    <w:p w14:paraId="6F1EDBF4" w14:textId="6D820C7F" w:rsidR="004E0ADE" w:rsidRDefault="00EC4D2D" w:rsidP="00EC4D2D">
      <w:pPr>
        <w:pStyle w:val="SingleTxtG"/>
        <w:spacing w:before="240"/>
        <w:ind w:left="1701" w:hanging="567"/>
        <w:rPr>
          <w:lang w:val="fr-FR"/>
        </w:rPr>
      </w:pPr>
      <w:r>
        <w:rPr>
          <w:lang w:val="fr-FR"/>
        </w:rPr>
        <w:t>2.</w:t>
      </w:r>
      <w:r>
        <w:rPr>
          <w:lang w:val="fr-FR"/>
        </w:rPr>
        <w:tab/>
      </w:r>
      <w:r w:rsidR="004E0ADE">
        <w:rPr>
          <w:lang w:val="fr-FR"/>
        </w:rPr>
        <w:t>Par la présente proposition, les Pays-Bas souhaitent mettre à jour le Règlement ONU visé tout en veillant à un niveau de sécurité approprié.</w:t>
      </w:r>
    </w:p>
    <w:p w14:paraId="31264CE3" w14:textId="00E4D826" w:rsidR="00EC4D2D" w:rsidRPr="00EC4D2D" w:rsidRDefault="00EC4D2D" w:rsidP="00EC4D2D">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EC4D2D" w:rsidRPr="00EC4D2D" w:rsidSect="004E0AD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373DF" w14:textId="77777777" w:rsidR="0058593D" w:rsidRDefault="0058593D" w:rsidP="00F95C08">
      <w:pPr>
        <w:spacing w:line="240" w:lineRule="auto"/>
      </w:pPr>
    </w:p>
  </w:endnote>
  <w:endnote w:type="continuationSeparator" w:id="0">
    <w:p w14:paraId="1007F737" w14:textId="77777777" w:rsidR="0058593D" w:rsidRPr="00AC3823" w:rsidRDefault="0058593D" w:rsidP="00AC3823">
      <w:pPr>
        <w:pStyle w:val="Pieddepage"/>
      </w:pPr>
    </w:p>
  </w:endnote>
  <w:endnote w:type="continuationNotice" w:id="1">
    <w:p w14:paraId="4ECE0E28" w14:textId="77777777" w:rsidR="0058593D" w:rsidRDefault="005859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BA93" w14:textId="3E3606F7" w:rsidR="004E0ADE" w:rsidRPr="004E0ADE" w:rsidRDefault="004E0ADE" w:rsidP="004E0ADE">
    <w:pPr>
      <w:pStyle w:val="Pieddepage"/>
      <w:tabs>
        <w:tab w:val="right" w:pos="9638"/>
      </w:tabs>
    </w:pPr>
    <w:r w:rsidRPr="004E0ADE">
      <w:rPr>
        <w:b/>
        <w:sz w:val="18"/>
      </w:rPr>
      <w:fldChar w:fldCharType="begin"/>
    </w:r>
    <w:r w:rsidRPr="004E0ADE">
      <w:rPr>
        <w:b/>
        <w:sz w:val="18"/>
      </w:rPr>
      <w:instrText xml:space="preserve"> PAGE  \* MERGEFORMAT </w:instrText>
    </w:r>
    <w:r w:rsidRPr="004E0ADE">
      <w:rPr>
        <w:b/>
        <w:sz w:val="18"/>
      </w:rPr>
      <w:fldChar w:fldCharType="separate"/>
    </w:r>
    <w:r w:rsidRPr="004E0ADE">
      <w:rPr>
        <w:b/>
        <w:noProof/>
        <w:sz w:val="18"/>
      </w:rPr>
      <w:t>2</w:t>
    </w:r>
    <w:r w:rsidRPr="004E0ADE">
      <w:rPr>
        <w:b/>
        <w:sz w:val="18"/>
      </w:rPr>
      <w:fldChar w:fldCharType="end"/>
    </w:r>
    <w:r>
      <w:rPr>
        <w:b/>
        <w:sz w:val="18"/>
      </w:rPr>
      <w:tab/>
    </w:r>
    <w:r>
      <w:t>GE.22-00378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6CBB" w14:textId="5D6D6346" w:rsidR="004E0ADE" w:rsidRPr="004E0ADE" w:rsidRDefault="004E0ADE" w:rsidP="004E0ADE">
    <w:pPr>
      <w:pStyle w:val="Pieddepage"/>
      <w:tabs>
        <w:tab w:val="right" w:pos="9638"/>
      </w:tabs>
      <w:rPr>
        <w:b/>
        <w:sz w:val="18"/>
      </w:rPr>
    </w:pPr>
    <w:r>
      <w:t>GE.22-00378</w:t>
    </w:r>
    <w:r>
      <w:tab/>
    </w:r>
    <w:r w:rsidRPr="004E0ADE">
      <w:rPr>
        <w:b/>
        <w:sz w:val="18"/>
      </w:rPr>
      <w:fldChar w:fldCharType="begin"/>
    </w:r>
    <w:r w:rsidRPr="004E0ADE">
      <w:rPr>
        <w:b/>
        <w:sz w:val="18"/>
      </w:rPr>
      <w:instrText xml:space="preserve"> PAGE  \* MERGEFORMAT </w:instrText>
    </w:r>
    <w:r w:rsidRPr="004E0ADE">
      <w:rPr>
        <w:b/>
        <w:sz w:val="18"/>
      </w:rPr>
      <w:fldChar w:fldCharType="separate"/>
    </w:r>
    <w:r w:rsidRPr="004E0ADE">
      <w:rPr>
        <w:b/>
        <w:noProof/>
        <w:sz w:val="18"/>
      </w:rPr>
      <w:t>3</w:t>
    </w:r>
    <w:r w:rsidRPr="004E0A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6E75" w14:textId="7B6F1C7E" w:rsidR="007F20FA" w:rsidRPr="004E0ADE" w:rsidRDefault="004E0ADE" w:rsidP="004E0AD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7BD7940" wp14:editId="5B8351C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22-00378  (F)</w:t>
    </w:r>
    <w:r>
      <w:rPr>
        <w:noProof/>
        <w:sz w:val="20"/>
      </w:rPr>
      <w:drawing>
        <wp:anchor distT="0" distB="0" distL="114300" distR="114300" simplePos="0" relativeHeight="251660288" behindDoc="0" locked="0" layoutInCell="1" allowOverlap="1" wp14:anchorId="7BE1EB08" wp14:editId="1D47082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E3A">
      <w:rPr>
        <w:sz w:val="20"/>
      </w:rPr>
      <w:t xml:space="preserve">    180122    180122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BBE42" w14:textId="77777777" w:rsidR="0058593D" w:rsidRPr="00AC3823" w:rsidRDefault="0058593D" w:rsidP="00AC3823">
      <w:pPr>
        <w:pStyle w:val="Pieddepage"/>
        <w:tabs>
          <w:tab w:val="right" w:pos="2155"/>
        </w:tabs>
        <w:spacing w:after="80" w:line="240" w:lineRule="atLeast"/>
        <w:ind w:left="680"/>
        <w:rPr>
          <w:u w:val="single"/>
        </w:rPr>
      </w:pPr>
      <w:r>
        <w:rPr>
          <w:u w:val="single"/>
        </w:rPr>
        <w:tab/>
      </w:r>
    </w:p>
  </w:footnote>
  <w:footnote w:type="continuationSeparator" w:id="0">
    <w:p w14:paraId="39C96A81" w14:textId="77777777" w:rsidR="0058593D" w:rsidRPr="00AC3823" w:rsidRDefault="0058593D" w:rsidP="00AC3823">
      <w:pPr>
        <w:pStyle w:val="Pieddepage"/>
        <w:tabs>
          <w:tab w:val="right" w:pos="2155"/>
        </w:tabs>
        <w:spacing w:after="80" w:line="240" w:lineRule="atLeast"/>
        <w:ind w:left="680"/>
        <w:rPr>
          <w:u w:val="single"/>
        </w:rPr>
      </w:pPr>
      <w:r>
        <w:rPr>
          <w:u w:val="single"/>
        </w:rPr>
        <w:tab/>
      </w:r>
    </w:p>
  </w:footnote>
  <w:footnote w:type="continuationNotice" w:id="1">
    <w:p w14:paraId="663ACDBD" w14:textId="77777777" w:rsidR="0058593D" w:rsidRPr="00AC3823" w:rsidRDefault="0058593D">
      <w:pPr>
        <w:spacing w:line="240" w:lineRule="auto"/>
        <w:rPr>
          <w:sz w:val="2"/>
          <w:szCs w:val="2"/>
        </w:rPr>
      </w:pPr>
    </w:p>
  </w:footnote>
  <w:footnote w:id="2">
    <w:p w14:paraId="0193C644" w14:textId="46037A97" w:rsidR="004E0ADE" w:rsidRPr="004E0ADE" w:rsidRDefault="004E0ADE">
      <w:pPr>
        <w:pStyle w:val="Notedebasdepage"/>
      </w:pPr>
      <w:r>
        <w:rPr>
          <w:rStyle w:val="Appelnotedebasdep"/>
        </w:rPr>
        <w:tab/>
      </w:r>
      <w:r w:rsidRPr="004E0ADE">
        <w:rPr>
          <w:rStyle w:val="Appelnotedebasdep"/>
          <w:sz w:val="20"/>
          <w:vertAlign w:val="baseline"/>
        </w:rPr>
        <w:t>*</w:t>
      </w:r>
      <w:r>
        <w:rPr>
          <w:rStyle w:val="Appelnotedebasdep"/>
          <w:sz w:val="20"/>
          <w:vertAlign w:val="baseline"/>
        </w:rPr>
        <w:tab/>
      </w:r>
      <w:r w:rsidRPr="00CB023B">
        <w:rPr>
          <w:lang w:val="fr-FR"/>
        </w:rPr>
        <w:t>Conformément au programme de travail du Comité des transports intérieurs pour 2022 tel qu</w:t>
      </w:r>
      <w:r>
        <w:rPr>
          <w:lang w:val="fr-FR"/>
        </w:rPr>
        <w:t>’</w:t>
      </w:r>
      <w:r w:rsidRPr="00CB023B">
        <w:rPr>
          <w:lang w:val="fr-FR"/>
        </w:rPr>
        <w:t>il figure dans le projet de budget-programme pour 2022 (A/76/6 (titre</w:t>
      </w:r>
      <w:r>
        <w:rPr>
          <w:lang w:val="fr-FR"/>
        </w:rPr>
        <w:t> </w:t>
      </w:r>
      <w:r w:rsidRPr="00CB023B">
        <w:rPr>
          <w:lang w:val="fr-FR"/>
        </w:rPr>
        <w:t>V, chap.</w:t>
      </w:r>
      <w:r>
        <w:rPr>
          <w:lang w:val="fr-FR"/>
        </w:rPr>
        <w:t> </w:t>
      </w:r>
      <w:r w:rsidRPr="00CB023B">
        <w:rPr>
          <w:lang w:val="fr-FR"/>
        </w:rPr>
        <w:t>20), par.</w:t>
      </w:r>
      <w:r>
        <w:rPr>
          <w:lang w:val="fr-FR"/>
        </w:rPr>
        <w:t> </w:t>
      </w:r>
      <w:r w:rsidRPr="00CB023B">
        <w:rPr>
          <w:lang w:val="fr-FR"/>
        </w:rPr>
        <w:t>20.76), le Forum mondial a pour mission d</w:t>
      </w:r>
      <w:r>
        <w:rPr>
          <w:lang w:val="fr-FR"/>
        </w:rPr>
        <w:t>’</w:t>
      </w:r>
      <w:r w:rsidRPr="00CB023B">
        <w:rPr>
          <w:lang w:val="fr-FR"/>
        </w:rPr>
        <w:t>élaborer, d</w:t>
      </w:r>
      <w:r>
        <w:rPr>
          <w:lang w:val="fr-FR"/>
        </w:rPr>
        <w:t>’</w:t>
      </w:r>
      <w:r w:rsidRPr="00CB023B">
        <w:rPr>
          <w:lang w:val="fr-FR"/>
        </w:rPr>
        <w:t>harmoniser et de mettre à jour les Règlements ONU en vue d</w:t>
      </w:r>
      <w:r>
        <w:rPr>
          <w:lang w:val="fr-FR"/>
        </w:rPr>
        <w:t>’</w:t>
      </w:r>
      <w:r w:rsidRPr="00CB023B">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49FD" w14:textId="2CE8C986" w:rsidR="004E0ADE" w:rsidRPr="004E0ADE" w:rsidRDefault="004E0ADE">
    <w:pPr>
      <w:pStyle w:val="En-tte"/>
    </w:pPr>
    <w:fldSimple w:instr=" TITLE  \* MERGEFORMAT ">
      <w:r>
        <w:t>ECE/TRANS/WP.29/GRSG/2022/13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6516" w14:textId="6A190C79" w:rsidR="004E0ADE" w:rsidRPr="004E0ADE" w:rsidRDefault="004E0ADE" w:rsidP="004E0ADE">
    <w:pPr>
      <w:pStyle w:val="En-tte"/>
      <w:jc w:val="right"/>
    </w:pPr>
    <w:fldSimple w:instr=" TITLE  \* MERGEFORMAT ">
      <w:r>
        <w:t>ECE/TRANS/WP.29/GRSG/2022/13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3D"/>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1E3A"/>
    <w:rsid w:val="002D7C93"/>
    <w:rsid w:val="00305801"/>
    <w:rsid w:val="003916DE"/>
    <w:rsid w:val="00421996"/>
    <w:rsid w:val="00441C3B"/>
    <w:rsid w:val="00446FE5"/>
    <w:rsid w:val="00452396"/>
    <w:rsid w:val="00477EB2"/>
    <w:rsid w:val="004837D8"/>
    <w:rsid w:val="004E0ADE"/>
    <w:rsid w:val="004E2EED"/>
    <w:rsid w:val="004E468C"/>
    <w:rsid w:val="004F2CD7"/>
    <w:rsid w:val="005505B7"/>
    <w:rsid w:val="00573BE5"/>
    <w:rsid w:val="0058593D"/>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76A5C"/>
    <w:rsid w:val="00C97039"/>
    <w:rsid w:val="00D3439C"/>
    <w:rsid w:val="00D7622E"/>
    <w:rsid w:val="00DB1831"/>
    <w:rsid w:val="00DD3BFD"/>
    <w:rsid w:val="00DF6678"/>
    <w:rsid w:val="00E0299A"/>
    <w:rsid w:val="00E1608C"/>
    <w:rsid w:val="00E85C74"/>
    <w:rsid w:val="00EA6547"/>
    <w:rsid w:val="00EC4D2D"/>
    <w:rsid w:val="00ED7237"/>
    <w:rsid w:val="00EF2E22"/>
    <w:rsid w:val="00F35BAF"/>
    <w:rsid w:val="00F366C5"/>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718747"/>
  <w15:docId w15:val="{DFCA2390-69DD-4D68-AD76-6C6D7264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1635</Words>
  <Characters>8472</Characters>
  <Application>Microsoft Office Word</Application>
  <DocSecurity>0</DocSecurity>
  <Lines>215</Lines>
  <Paragraphs>104</Paragraphs>
  <ScaleCrop>false</ScaleCrop>
  <HeadingPairs>
    <vt:vector size="2" baseType="variant">
      <vt:variant>
        <vt:lpstr>Titre</vt:lpstr>
      </vt:variant>
      <vt:variant>
        <vt:i4>1</vt:i4>
      </vt:variant>
    </vt:vector>
  </HeadingPairs>
  <TitlesOfParts>
    <vt:vector size="1" baseType="lpstr">
      <vt:lpstr>ECE/TRANS/WP.29/GRSG/2022/13</vt:lpstr>
    </vt:vector>
  </TitlesOfParts>
  <Company>DCM</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ECE/TRANS/WP.29/GRSG/2022/13</dc:title>
  <dc:subject/>
  <dc:creator>Marie DESCHAMPS</dc:creator>
  <cp:keywords/>
  <cp:lastModifiedBy>Marie Deschamps</cp:lastModifiedBy>
  <cp:revision>2</cp:revision>
  <cp:lastPrinted>2014-05-14T10:59:00Z</cp:lastPrinted>
  <dcterms:created xsi:type="dcterms:W3CDTF">2022-01-18T13:22:00Z</dcterms:created>
  <dcterms:modified xsi:type="dcterms:W3CDTF">2022-01-18T13:22:00Z</dcterms:modified>
</cp:coreProperties>
</file>