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52A1ABA" w14:textId="77777777" w:rsidTr="005316B0">
        <w:trPr>
          <w:trHeight w:hRule="exact" w:val="851"/>
        </w:trPr>
        <w:tc>
          <w:tcPr>
            <w:tcW w:w="1276" w:type="dxa"/>
            <w:tcBorders>
              <w:bottom w:val="single" w:sz="4" w:space="0" w:color="auto"/>
            </w:tcBorders>
          </w:tcPr>
          <w:p w14:paraId="0A6ECE29" w14:textId="77777777" w:rsidR="001433FD" w:rsidRPr="00DB58B5" w:rsidRDefault="001433FD" w:rsidP="0001207F"/>
        </w:tc>
        <w:tc>
          <w:tcPr>
            <w:tcW w:w="2268" w:type="dxa"/>
            <w:tcBorders>
              <w:bottom w:val="single" w:sz="4" w:space="0" w:color="auto"/>
            </w:tcBorders>
            <w:vAlign w:val="bottom"/>
          </w:tcPr>
          <w:p w14:paraId="57E7C2C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272101" w14:textId="77777777" w:rsidR="001433FD" w:rsidRPr="00DB58B5" w:rsidRDefault="008575FB" w:rsidP="008575FB">
            <w:pPr>
              <w:jc w:val="right"/>
            </w:pPr>
            <w:r w:rsidRPr="008575FB">
              <w:rPr>
                <w:sz w:val="40"/>
              </w:rPr>
              <w:t>ECE</w:t>
            </w:r>
            <w:r>
              <w:t>/TRANS/WP.15/AC.2/2022/13</w:t>
            </w:r>
          </w:p>
        </w:tc>
      </w:tr>
      <w:tr w:rsidR="001433FD" w:rsidRPr="00DB58B5" w14:paraId="2AB9E288" w14:textId="77777777" w:rsidTr="007D3236">
        <w:trPr>
          <w:trHeight w:hRule="exact" w:val="2835"/>
        </w:trPr>
        <w:tc>
          <w:tcPr>
            <w:tcW w:w="1276" w:type="dxa"/>
            <w:tcBorders>
              <w:top w:val="single" w:sz="4" w:space="0" w:color="auto"/>
              <w:bottom w:val="single" w:sz="12" w:space="0" w:color="auto"/>
            </w:tcBorders>
          </w:tcPr>
          <w:p w14:paraId="3B5012AF" w14:textId="77777777" w:rsidR="001433FD" w:rsidRPr="00DB58B5" w:rsidRDefault="001433FD" w:rsidP="007D3236">
            <w:pPr>
              <w:spacing w:before="120"/>
              <w:jc w:val="center"/>
            </w:pPr>
            <w:r>
              <w:rPr>
                <w:noProof/>
                <w:lang w:eastAsia="fr-CH"/>
              </w:rPr>
              <w:drawing>
                <wp:inline distT="0" distB="0" distL="0" distR="0" wp14:anchorId="46DA500C" wp14:editId="403DB3F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E9977F"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65A765" w14:textId="77777777" w:rsidR="0001207F" w:rsidRDefault="008575FB" w:rsidP="008575FB">
            <w:pPr>
              <w:spacing w:before="240" w:line="240" w:lineRule="exact"/>
            </w:pPr>
            <w:r>
              <w:t>Distr. générale</w:t>
            </w:r>
          </w:p>
          <w:p w14:paraId="13D3B9BE" w14:textId="31E53405" w:rsidR="008575FB" w:rsidRDefault="008575FB" w:rsidP="008575FB">
            <w:pPr>
              <w:spacing w:line="240" w:lineRule="exact"/>
            </w:pPr>
            <w:r>
              <w:t>1</w:t>
            </w:r>
            <w:r w:rsidR="00FF39CC">
              <w:t>2</w:t>
            </w:r>
            <w:r>
              <w:t xml:space="preserve"> novembre 2021</w:t>
            </w:r>
          </w:p>
          <w:p w14:paraId="3C895EA7" w14:textId="77777777" w:rsidR="008575FB" w:rsidRDefault="008575FB" w:rsidP="008575FB">
            <w:pPr>
              <w:spacing w:line="240" w:lineRule="exact"/>
            </w:pPr>
          </w:p>
          <w:p w14:paraId="7D010215" w14:textId="77777777" w:rsidR="008575FB" w:rsidRPr="00DB58B5" w:rsidRDefault="008575FB" w:rsidP="008575FB">
            <w:pPr>
              <w:spacing w:line="240" w:lineRule="exact"/>
            </w:pPr>
            <w:r>
              <w:t>Original : français</w:t>
            </w:r>
          </w:p>
        </w:tc>
      </w:tr>
    </w:tbl>
    <w:p w14:paraId="38343B79" w14:textId="7399F328" w:rsidR="00564657" w:rsidRDefault="00564657" w:rsidP="008575FB">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79EAC78F" w14:textId="77777777" w:rsidR="00730692" w:rsidRPr="009E01B8" w:rsidRDefault="00730692" w:rsidP="00730692">
      <w:pPr>
        <w:spacing w:before="120"/>
        <w:rPr>
          <w:sz w:val="28"/>
          <w:szCs w:val="28"/>
        </w:rPr>
      </w:pPr>
      <w:r w:rsidRPr="009E01B8">
        <w:rPr>
          <w:sz w:val="28"/>
          <w:szCs w:val="28"/>
        </w:rPr>
        <w:t>Comité des transports intérieurs</w:t>
      </w:r>
    </w:p>
    <w:p w14:paraId="3EF6ABF7" w14:textId="77777777" w:rsidR="00730692" w:rsidRPr="009E01B8" w:rsidRDefault="00730692" w:rsidP="00730692">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182FF5AE" w14:textId="77777777" w:rsidR="00730692" w:rsidRPr="004812F5" w:rsidRDefault="00730692" w:rsidP="00730692">
      <w:pPr>
        <w:spacing w:before="120" w:line="240" w:lineRule="auto"/>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02F0CA9D" w14:textId="77777777" w:rsidR="00730692" w:rsidRPr="00234E40" w:rsidRDefault="00730692" w:rsidP="00730692">
      <w:pPr>
        <w:tabs>
          <w:tab w:val="left" w:pos="4030"/>
        </w:tabs>
        <w:spacing w:before="120"/>
        <w:rPr>
          <w:b/>
        </w:rPr>
      </w:pPr>
      <w:r w:rsidRPr="006D2D76">
        <w:rPr>
          <w:b/>
          <w:bCs/>
          <w:lang w:val="fr-FR"/>
        </w:rPr>
        <w:t>Trente-neuvième</w:t>
      </w:r>
      <w:r w:rsidRPr="00B336E0">
        <w:rPr>
          <w:b/>
        </w:rPr>
        <w:t xml:space="preserve"> </w:t>
      </w:r>
      <w:r w:rsidRPr="00D36F25">
        <w:rPr>
          <w:b/>
        </w:rPr>
        <w:t>session</w:t>
      </w:r>
    </w:p>
    <w:p w14:paraId="6A999790" w14:textId="77777777" w:rsidR="00730692" w:rsidRDefault="00730692" w:rsidP="00730692">
      <w:pPr>
        <w:rPr>
          <w:bCs/>
          <w:lang w:val="fr-FR"/>
        </w:rPr>
      </w:pPr>
      <w:r>
        <w:t xml:space="preserve">Genève, </w:t>
      </w:r>
      <w:r>
        <w:rPr>
          <w:bCs/>
          <w:lang w:val="fr-FR"/>
        </w:rPr>
        <w:t>24-28 janvier 2022</w:t>
      </w:r>
    </w:p>
    <w:p w14:paraId="215867CD" w14:textId="67DC3233" w:rsidR="00730692" w:rsidRDefault="00730692" w:rsidP="00730692">
      <w:r>
        <w:t>Point 5</w:t>
      </w:r>
      <w:r w:rsidR="00B25283">
        <w:t xml:space="preserve"> </w:t>
      </w:r>
      <w:r>
        <w:t>b) de l'ordre du jour provisoire</w:t>
      </w:r>
    </w:p>
    <w:p w14:paraId="5792F0F3" w14:textId="77777777" w:rsidR="00730692" w:rsidRDefault="00730692" w:rsidP="00730692">
      <w:pPr>
        <w:rPr>
          <w:b/>
          <w:lang w:val="fr-FR"/>
        </w:rPr>
      </w:pPr>
      <w:r w:rsidRPr="0083676C">
        <w:rPr>
          <w:b/>
          <w:lang w:val="fr-FR"/>
        </w:rPr>
        <w:t>Propositions d’amendements au Règlement annexé à l’ADN</w:t>
      </w:r>
      <w:r>
        <w:rPr>
          <w:b/>
          <w:lang w:val="fr-FR"/>
        </w:rPr>
        <w:t> :</w:t>
      </w:r>
    </w:p>
    <w:p w14:paraId="3B326D13" w14:textId="565C66DD" w:rsidR="00730692" w:rsidRDefault="00F620F4" w:rsidP="00730692">
      <w:r>
        <w:rPr>
          <w:b/>
          <w:lang w:val="fr-FR"/>
        </w:rPr>
        <w:t xml:space="preserve">autres </w:t>
      </w:r>
      <w:r w:rsidR="00730692">
        <w:rPr>
          <w:b/>
          <w:lang w:val="fr-FR"/>
        </w:rPr>
        <w:t>propositions</w:t>
      </w:r>
    </w:p>
    <w:p w14:paraId="2271E34C" w14:textId="77777777" w:rsidR="006B2AB4" w:rsidRDefault="006B2AB4" w:rsidP="006B2AB4">
      <w:pPr>
        <w:pStyle w:val="HChG"/>
        <w:keepNext w:val="0"/>
        <w:keepLines w:val="0"/>
        <w:rPr>
          <w:lang w:val="fr-FR"/>
        </w:rPr>
      </w:pPr>
      <w:r>
        <w:rPr>
          <w:lang w:val="fr-FR"/>
        </w:rPr>
        <w:tab/>
      </w:r>
      <w:r>
        <w:rPr>
          <w:lang w:val="fr-FR"/>
        </w:rPr>
        <w:tab/>
        <w:t>Certificats d’agrément et navires de mer</w:t>
      </w:r>
    </w:p>
    <w:p w14:paraId="0629AED5" w14:textId="416E8EB2" w:rsidR="006B2AB4" w:rsidRPr="00D81920" w:rsidRDefault="006B2AB4" w:rsidP="001A2831">
      <w:pPr>
        <w:pStyle w:val="H1G"/>
        <w:rPr>
          <w:rFonts w:ascii="(Utiliser une police de caractè" w:hAnsi="(Utiliser une police de caractè"/>
          <w:lang w:val="fr-FR"/>
        </w:rPr>
      </w:pPr>
      <w:r w:rsidRPr="00D81920">
        <w:rPr>
          <w:lang w:val="fr-FR"/>
        </w:rPr>
        <w:tab/>
      </w:r>
      <w:r w:rsidRPr="00D81920">
        <w:rPr>
          <w:lang w:val="fr-FR"/>
        </w:rPr>
        <w:tab/>
        <w:t xml:space="preserve">Communication du </w:t>
      </w:r>
      <w:r w:rsidRPr="001A2831">
        <w:t>Gouvernement</w:t>
      </w:r>
      <w:r w:rsidRPr="00D81920">
        <w:rPr>
          <w:lang w:val="fr-FR"/>
        </w:rPr>
        <w:t xml:space="preserve"> de la France</w:t>
      </w:r>
      <w:r w:rsidR="00CE0096" w:rsidRPr="00CE0096">
        <w:rPr>
          <w:rStyle w:val="FootnoteReference"/>
          <w:sz w:val="20"/>
          <w:vertAlign w:val="baseline"/>
        </w:rPr>
        <w:footnoteReference w:customMarkFollows="1" w:id="2"/>
        <w:t>*</w:t>
      </w:r>
      <w:r w:rsidR="00CF60BB" w:rsidRPr="00834685">
        <w:rPr>
          <w:sz w:val="20"/>
          <w:vertAlign w:val="superscript"/>
        </w:rPr>
        <w:t>,</w:t>
      </w:r>
      <w:r w:rsidR="00CF60BB" w:rsidRPr="00834685">
        <w:rPr>
          <w:rStyle w:val="FootnoteReference"/>
          <w:sz w:val="20"/>
          <w:vertAlign w:val="baseline"/>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6B2AB4" w:rsidRPr="00D81920" w14:paraId="31651AA4" w14:textId="77777777" w:rsidTr="00B50957">
        <w:trPr>
          <w:jc w:val="center"/>
        </w:trPr>
        <w:tc>
          <w:tcPr>
            <w:tcW w:w="2330" w:type="dxa"/>
            <w:tcBorders>
              <w:bottom w:val="nil"/>
              <w:right w:val="nil"/>
            </w:tcBorders>
            <w:shd w:val="clear" w:color="auto" w:fill="auto"/>
          </w:tcPr>
          <w:p w14:paraId="0824DB27" w14:textId="77777777" w:rsidR="006B2AB4" w:rsidRPr="008631F7" w:rsidRDefault="006B2AB4" w:rsidP="0097417C">
            <w:pPr>
              <w:widowControl w:val="0"/>
              <w:tabs>
                <w:tab w:val="left" w:pos="284"/>
              </w:tabs>
              <w:suppressAutoHyphens w:val="0"/>
              <w:spacing w:before="120" w:after="120" w:line="240" w:lineRule="auto"/>
              <w:ind w:left="1134" w:hanging="1134"/>
              <w:jc w:val="both"/>
              <w:textAlignment w:val="baseline"/>
              <w:rPr>
                <w:i/>
                <w:lang w:eastAsia="fr-FR"/>
              </w:rPr>
            </w:pPr>
            <w:bookmarkStart w:id="0" w:name="_Hlk515009299"/>
            <w:r w:rsidRPr="008631F7">
              <w:rPr>
                <w:i/>
                <w:sz w:val="24"/>
                <w:szCs w:val="24"/>
                <w:lang w:eastAsia="fr-FR"/>
              </w:rPr>
              <w:t>Résumé</w:t>
            </w:r>
          </w:p>
        </w:tc>
        <w:tc>
          <w:tcPr>
            <w:tcW w:w="7309" w:type="dxa"/>
            <w:tcBorders>
              <w:left w:val="nil"/>
              <w:bottom w:val="nil"/>
            </w:tcBorders>
            <w:shd w:val="clear" w:color="auto" w:fill="auto"/>
          </w:tcPr>
          <w:p w14:paraId="08F81C5F" w14:textId="77777777" w:rsidR="006B2AB4" w:rsidRPr="008631F7" w:rsidRDefault="006B2AB4" w:rsidP="0097417C">
            <w:pPr>
              <w:widowControl w:val="0"/>
              <w:suppressAutoHyphens w:val="0"/>
              <w:spacing w:before="120" w:after="120" w:line="240" w:lineRule="auto"/>
              <w:ind w:left="1134" w:hanging="1134"/>
              <w:jc w:val="both"/>
              <w:textAlignment w:val="baseline"/>
              <w:rPr>
                <w:lang w:eastAsia="fr-FR"/>
              </w:rPr>
            </w:pPr>
            <w:r>
              <w:rPr>
                <w:lang w:eastAsia="fr-FR"/>
              </w:rPr>
              <w:t>La France propose un amendement au Chapitre 1.16 relatif aux navires de mer.</w:t>
            </w:r>
          </w:p>
        </w:tc>
      </w:tr>
      <w:tr w:rsidR="006B2AB4" w:rsidRPr="00D81920" w14:paraId="7D2DCBE3" w14:textId="77777777" w:rsidTr="00B50957">
        <w:trPr>
          <w:jc w:val="center"/>
        </w:trPr>
        <w:tc>
          <w:tcPr>
            <w:tcW w:w="2330" w:type="dxa"/>
            <w:tcBorders>
              <w:top w:val="nil"/>
              <w:bottom w:val="nil"/>
              <w:right w:val="nil"/>
            </w:tcBorders>
            <w:shd w:val="clear" w:color="auto" w:fill="auto"/>
          </w:tcPr>
          <w:p w14:paraId="0EBBCCEA" w14:textId="77777777" w:rsidR="006B2AB4" w:rsidRPr="008631F7" w:rsidRDefault="006B2AB4" w:rsidP="0097417C">
            <w:pPr>
              <w:widowControl w:val="0"/>
              <w:suppressAutoHyphens w:val="0"/>
              <w:spacing w:before="40" w:after="120" w:line="240" w:lineRule="auto"/>
              <w:textAlignment w:val="baseline"/>
              <w:rPr>
                <w:b/>
                <w:lang w:eastAsia="fr-FR"/>
              </w:rPr>
            </w:pPr>
            <w:r w:rsidRPr="008631F7">
              <w:rPr>
                <w:b/>
                <w:lang w:eastAsia="fr-FR"/>
              </w:rPr>
              <w:t>Résumé analytique :</w:t>
            </w:r>
          </w:p>
        </w:tc>
        <w:tc>
          <w:tcPr>
            <w:tcW w:w="7309" w:type="dxa"/>
            <w:tcBorders>
              <w:top w:val="nil"/>
              <w:left w:val="nil"/>
              <w:bottom w:val="nil"/>
            </w:tcBorders>
            <w:shd w:val="clear" w:color="auto" w:fill="auto"/>
          </w:tcPr>
          <w:p w14:paraId="55B0DD7C" w14:textId="77777777" w:rsidR="006B2AB4" w:rsidRPr="008631F7" w:rsidRDefault="006B2AB4" w:rsidP="0097417C">
            <w:pPr>
              <w:suppressAutoHyphens w:val="0"/>
              <w:spacing w:before="40" w:after="120" w:line="240" w:lineRule="auto"/>
              <w:jc w:val="both"/>
              <w:rPr>
                <w:rFonts w:cs="Arial"/>
                <w:lang w:eastAsia="fr-FR"/>
              </w:rPr>
            </w:pPr>
            <w:r w:rsidRPr="008631F7">
              <w:t xml:space="preserve">La France souhaite </w:t>
            </w:r>
            <w:r>
              <w:t>qu’il soit possible d’exempter de la possession d’un certificat d’agrément les navires de mer naviguant sur des voies de navigation intérieures, sous réserve que ces navires soient munis des certificats pertinents applicables dans le cadre de la navigation maritime.</w:t>
            </w:r>
          </w:p>
        </w:tc>
      </w:tr>
      <w:tr w:rsidR="006B2AB4" w:rsidRPr="00D81920" w14:paraId="246EB10C" w14:textId="77777777" w:rsidTr="00B50957">
        <w:trPr>
          <w:jc w:val="center"/>
        </w:trPr>
        <w:tc>
          <w:tcPr>
            <w:tcW w:w="2330" w:type="dxa"/>
            <w:tcBorders>
              <w:top w:val="nil"/>
              <w:bottom w:val="nil"/>
              <w:right w:val="nil"/>
            </w:tcBorders>
            <w:shd w:val="clear" w:color="auto" w:fill="auto"/>
          </w:tcPr>
          <w:p w14:paraId="60F3CE9B" w14:textId="77777777" w:rsidR="006B2AB4" w:rsidRPr="008631F7" w:rsidRDefault="006B2AB4" w:rsidP="0097417C">
            <w:pPr>
              <w:widowControl w:val="0"/>
              <w:suppressAutoHyphens w:val="0"/>
              <w:spacing w:before="40" w:after="120" w:line="240" w:lineRule="auto"/>
              <w:textAlignment w:val="baseline"/>
              <w:rPr>
                <w:b/>
                <w:lang w:eastAsia="fr-FR"/>
              </w:rPr>
            </w:pPr>
            <w:r w:rsidRPr="008631F7">
              <w:rPr>
                <w:b/>
                <w:lang w:eastAsia="fr-FR"/>
              </w:rPr>
              <w:t>Mesure à prendre :</w:t>
            </w:r>
          </w:p>
        </w:tc>
        <w:tc>
          <w:tcPr>
            <w:tcW w:w="7309" w:type="dxa"/>
            <w:tcBorders>
              <w:top w:val="nil"/>
              <w:left w:val="nil"/>
              <w:bottom w:val="nil"/>
            </w:tcBorders>
            <w:shd w:val="clear" w:color="auto" w:fill="auto"/>
          </w:tcPr>
          <w:p w14:paraId="0449F5FE" w14:textId="77777777" w:rsidR="006B2AB4" w:rsidRPr="00E67329" w:rsidRDefault="006B2AB4" w:rsidP="0097417C">
            <w:pPr>
              <w:widowControl w:val="0"/>
              <w:suppressAutoHyphens w:val="0"/>
              <w:spacing w:before="40" w:after="120" w:line="240" w:lineRule="auto"/>
              <w:ind w:left="11"/>
              <w:jc w:val="both"/>
              <w:textAlignment w:val="baseline"/>
              <w:rPr>
                <w:lang w:eastAsia="fr-FR"/>
              </w:rPr>
            </w:pPr>
            <w:r w:rsidRPr="00E67329">
              <w:t xml:space="preserve">Voir paragraphes 5 </w:t>
            </w:r>
            <w:r>
              <w:t>à</w:t>
            </w:r>
            <w:r w:rsidRPr="00E67329">
              <w:t xml:space="preserve"> 7</w:t>
            </w:r>
            <w:r>
              <w:t>, et l’Annexe.</w:t>
            </w:r>
          </w:p>
        </w:tc>
      </w:tr>
      <w:tr w:rsidR="006B2AB4" w:rsidRPr="00952082" w14:paraId="5CE6AE05" w14:textId="77777777" w:rsidTr="00B50957">
        <w:trPr>
          <w:jc w:val="center"/>
        </w:trPr>
        <w:tc>
          <w:tcPr>
            <w:tcW w:w="2330" w:type="dxa"/>
            <w:tcBorders>
              <w:top w:val="nil"/>
              <w:right w:val="nil"/>
            </w:tcBorders>
            <w:shd w:val="clear" w:color="auto" w:fill="auto"/>
          </w:tcPr>
          <w:p w14:paraId="458ACD6F" w14:textId="77777777" w:rsidR="006B2AB4" w:rsidRPr="008631F7" w:rsidRDefault="006B2AB4" w:rsidP="0097417C">
            <w:pPr>
              <w:widowControl w:val="0"/>
              <w:tabs>
                <w:tab w:val="left" w:pos="284"/>
              </w:tabs>
              <w:suppressAutoHyphens w:val="0"/>
              <w:spacing w:before="40" w:after="120" w:line="240" w:lineRule="auto"/>
              <w:textAlignment w:val="baseline"/>
              <w:rPr>
                <w:b/>
                <w:lang w:eastAsia="fr-FR"/>
              </w:rPr>
            </w:pPr>
            <w:r w:rsidRPr="008631F7">
              <w:rPr>
                <w:b/>
                <w:lang w:eastAsia="fr-FR"/>
              </w:rPr>
              <w:t>Documents de référence :</w:t>
            </w:r>
          </w:p>
        </w:tc>
        <w:tc>
          <w:tcPr>
            <w:tcW w:w="7309" w:type="dxa"/>
            <w:tcBorders>
              <w:top w:val="nil"/>
              <w:left w:val="nil"/>
            </w:tcBorders>
            <w:shd w:val="clear" w:color="auto" w:fill="auto"/>
          </w:tcPr>
          <w:p w14:paraId="78F7FE60" w14:textId="77777777" w:rsidR="006B2AB4" w:rsidRPr="00E67329" w:rsidRDefault="006B2AB4" w:rsidP="0097417C">
            <w:pPr>
              <w:widowControl w:val="0"/>
              <w:suppressAutoHyphens w:val="0"/>
              <w:spacing w:before="40" w:after="120" w:line="240" w:lineRule="auto"/>
              <w:ind w:left="11"/>
              <w:jc w:val="both"/>
              <w:textAlignment w:val="baseline"/>
              <w:rPr>
                <w:lang w:eastAsia="fr-FR"/>
              </w:rPr>
            </w:pPr>
            <w:r w:rsidRPr="00E67329">
              <w:rPr>
                <w:lang w:eastAsia="de-DE"/>
              </w:rPr>
              <w:t>Néant</w:t>
            </w:r>
            <w:r>
              <w:rPr>
                <w:lang w:eastAsia="de-DE"/>
              </w:rPr>
              <w:t>.</w:t>
            </w:r>
          </w:p>
        </w:tc>
      </w:tr>
    </w:tbl>
    <w:bookmarkEnd w:id="0"/>
    <w:p w14:paraId="18AEED7B" w14:textId="7F367519" w:rsidR="006B2AB4" w:rsidRDefault="006B2AB4" w:rsidP="00C60314">
      <w:pPr>
        <w:pStyle w:val="HChG"/>
        <w:rPr>
          <w:lang w:val="fr-FR"/>
        </w:rPr>
      </w:pPr>
      <w:r>
        <w:rPr>
          <w:lang w:val="fr-FR"/>
        </w:rPr>
        <w:tab/>
      </w:r>
      <w:r w:rsidR="00027DC0">
        <w:rPr>
          <w:lang w:val="fr-FR"/>
        </w:rPr>
        <w:t>I.</w:t>
      </w:r>
      <w:r>
        <w:rPr>
          <w:lang w:val="fr-FR"/>
        </w:rPr>
        <w:tab/>
        <w:t xml:space="preserve">Analyse </w:t>
      </w:r>
      <w:r w:rsidRPr="00C60314">
        <w:t>du</w:t>
      </w:r>
      <w:r>
        <w:rPr>
          <w:lang w:val="fr-FR"/>
        </w:rPr>
        <w:t xml:space="preserve"> problème</w:t>
      </w:r>
    </w:p>
    <w:p w14:paraId="09D93E3C" w14:textId="2ED4DF17" w:rsidR="006B2AB4" w:rsidRDefault="00CC2037" w:rsidP="00CC2037">
      <w:pPr>
        <w:pStyle w:val="SingleTxtG"/>
        <w:rPr>
          <w:lang w:val="fr-FR"/>
        </w:rPr>
      </w:pPr>
      <w:r w:rsidRPr="00CC2037">
        <w:rPr>
          <w:lang w:val="fr-FR"/>
        </w:rPr>
        <w:t>1.</w:t>
      </w:r>
      <w:r>
        <w:rPr>
          <w:lang w:val="fr-FR"/>
        </w:rPr>
        <w:tab/>
      </w:r>
      <w:r w:rsidR="006B2AB4">
        <w:rPr>
          <w:lang w:val="fr-FR"/>
        </w:rPr>
        <w:t xml:space="preserve">Dans l’accord ADN en </w:t>
      </w:r>
      <w:r w:rsidR="006B2AB4" w:rsidRPr="00CC2037">
        <w:t>vigueur</w:t>
      </w:r>
      <w:r w:rsidR="006B2AB4">
        <w:rPr>
          <w:lang w:val="fr-FR"/>
        </w:rPr>
        <w:t xml:space="preserve"> et son Règlement annexé, à l’ADN en vigueur, on ne trouve qu’un petit nombre de dispositions particulières applicables aux navires de mer.</w:t>
      </w:r>
    </w:p>
    <w:p w14:paraId="6E354043" w14:textId="77777777" w:rsidR="006B2AB4" w:rsidRPr="00C60314" w:rsidRDefault="006B2AB4" w:rsidP="003C0E6F">
      <w:pPr>
        <w:pStyle w:val="Bullet1G"/>
        <w:rPr>
          <w:lang w:val="fr-FR"/>
        </w:rPr>
      </w:pPr>
      <w:r>
        <w:rPr>
          <w:lang w:val="fr-FR"/>
        </w:rPr>
        <w:lastRenderedPageBreak/>
        <w:t xml:space="preserve">Le paragraphe 2 de l’Article premier de l’Accord ADN prévoit que l’ADN ne s’applique pas </w:t>
      </w:r>
      <w:r w:rsidRPr="00C60314">
        <w:rPr>
          <w:lang w:val="fr-FR"/>
        </w:rPr>
        <w:t>« au transport de marchandises dangereuses par navires de mer sur les voies de navigation maritime comprises dans les voies de navigation intérieures ».</w:t>
      </w:r>
    </w:p>
    <w:p w14:paraId="0BEF3A96" w14:textId="77777777" w:rsidR="006B2AB4" w:rsidRPr="0047339F" w:rsidRDefault="006B2AB4" w:rsidP="003C0E6F">
      <w:pPr>
        <w:pStyle w:val="Bullet1G"/>
        <w:rPr>
          <w:lang w:val="fr-FR"/>
        </w:rPr>
      </w:pPr>
      <w:r>
        <w:rPr>
          <w:lang w:val="fr-FR"/>
        </w:rPr>
        <w:t xml:space="preserve">L’alinéa e) de l’article 3 de l’Accord définit les voies de navigation maritime comme </w:t>
      </w:r>
      <w:r w:rsidRPr="0047339F">
        <w:rPr>
          <w:lang w:val="fr-FR"/>
        </w:rPr>
        <w:t>« les voies de navigation intérieures reliées à la mer, servant essentiellement au trafic des navires de mer et désignées comme telles en vertu du droit national ».</w:t>
      </w:r>
    </w:p>
    <w:p w14:paraId="73A743DD" w14:textId="77777777" w:rsidR="006B2AB4" w:rsidRPr="007438B2" w:rsidRDefault="006B2AB4" w:rsidP="003C0E6F">
      <w:pPr>
        <w:pStyle w:val="Bullet1G"/>
        <w:rPr>
          <w:lang w:val="fr-FR"/>
        </w:rPr>
      </w:pPr>
      <w:r>
        <w:rPr>
          <w:lang w:val="fr-FR"/>
        </w:rPr>
        <w:t>Dans le Règlement annexé à l’ADN, hormis quelques prescriptions des chapitres 7.1 ou 7.2 applicables aux navires de mer, la principale référence aux navires de mer se situe au niveau de leur construction, dans la section 9.2.0.</w:t>
      </w:r>
    </w:p>
    <w:p w14:paraId="72E3580A" w14:textId="1D8761C3" w:rsidR="006B2AB4" w:rsidRPr="00CC2037" w:rsidRDefault="006B2AB4" w:rsidP="00CC2037">
      <w:pPr>
        <w:pStyle w:val="SingleTxtG"/>
      </w:pPr>
      <w:r>
        <w:rPr>
          <w:lang w:val="fr-FR"/>
        </w:rPr>
        <w:t>2.</w:t>
      </w:r>
      <w:r>
        <w:rPr>
          <w:lang w:val="fr-FR"/>
        </w:rPr>
        <w:tab/>
      </w:r>
      <w:r w:rsidRPr="00CC2037">
        <w:t xml:space="preserve">Par ailleurs, aussi bien à l’alinéa a) de l’Article 3 de l’Accord ADN que dans la section 1.2.1 du Règlement annexé, la définition de </w:t>
      </w:r>
      <w:r w:rsidR="008E65FF" w:rsidRPr="0047339F">
        <w:rPr>
          <w:lang w:val="fr-FR"/>
        </w:rPr>
        <w:t>«</w:t>
      </w:r>
      <w:r w:rsidRPr="00CC2037">
        <w:t> bateau » inclut les navires de mer.</w:t>
      </w:r>
    </w:p>
    <w:p w14:paraId="16B5610F" w14:textId="77777777" w:rsidR="006B2AB4" w:rsidRPr="00CC2037" w:rsidRDefault="006B2AB4" w:rsidP="00CC2037">
      <w:pPr>
        <w:pStyle w:val="SingleTxtG"/>
      </w:pPr>
      <w:r w:rsidRPr="00CC2037">
        <w:t>3.</w:t>
      </w:r>
      <w:r w:rsidRPr="00CC2037">
        <w:tab/>
        <w:t>Compte tenu de ce qui précède, une application stricte du 1.16.1.1.1 du Règlement annexé rend exigible la possession d’un certificat d’agrément pour un navire de mer transportant des marchandises dangereuses lorsqu’il navigue sur une voie de navigation intérieure qui ne peut pas être considérée comme une voie de navigation maritime.</w:t>
      </w:r>
    </w:p>
    <w:p w14:paraId="475945CE" w14:textId="2E5DC2D0" w:rsidR="006B2AB4" w:rsidRPr="00CC2037" w:rsidRDefault="006B2AB4" w:rsidP="00CC2037">
      <w:pPr>
        <w:pStyle w:val="SingleTxtG"/>
      </w:pPr>
      <w:r w:rsidRPr="00CC2037">
        <w:t>4.</w:t>
      </w:r>
      <w:r w:rsidRPr="00CC2037">
        <w:tab/>
        <w:t xml:space="preserve">Pour autant, les divers instruments pertinents de l’Organisation Maritime Internationale (OMI) prévoient l’existence et la délivrance obligatoire de </w:t>
      </w:r>
      <w:r w:rsidR="00DE33AC" w:rsidRPr="0047339F">
        <w:rPr>
          <w:lang w:val="fr-FR"/>
        </w:rPr>
        <w:t>«</w:t>
      </w:r>
      <w:r w:rsidR="00DE33AC">
        <w:rPr>
          <w:lang w:val="fr-FR"/>
        </w:rPr>
        <w:t> </w:t>
      </w:r>
      <w:r w:rsidRPr="00CC2037">
        <w:t>certificats d’aptitude</w:t>
      </w:r>
      <w:r w:rsidR="00DE33AC">
        <w:t> </w:t>
      </w:r>
      <w:r w:rsidR="00DE33AC" w:rsidRPr="00CC2037">
        <w:t>»</w:t>
      </w:r>
      <w:r w:rsidRPr="00CC2037">
        <w:t xml:space="preserve"> pour le transport de marchandises dangereuses par voie maritime, et la correspondance entre les certificats </w:t>
      </w:r>
      <w:r w:rsidR="00DE33AC" w:rsidRPr="0047339F">
        <w:rPr>
          <w:lang w:val="fr-FR"/>
        </w:rPr>
        <w:t>«</w:t>
      </w:r>
      <w:r w:rsidR="00DE33AC">
        <w:rPr>
          <w:lang w:val="fr-FR"/>
        </w:rPr>
        <w:t> </w:t>
      </w:r>
      <w:r w:rsidRPr="00CC2037">
        <w:t>maritimes et les certificats</w:t>
      </w:r>
      <w:r w:rsidR="00DE33AC">
        <w:t> </w:t>
      </w:r>
      <w:r w:rsidR="00DE33AC" w:rsidRPr="00CC2037">
        <w:t>»</w:t>
      </w:r>
      <w:r w:rsidRPr="00CC2037">
        <w:t xml:space="preserve"> d’agrément ADN est relativement simple à établir.</w:t>
      </w:r>
    </w:p>
    <w:p w14:paraId="46D7C302" w14:textId="1C6EF05E" w:rsidR="006B2AB4" w:rsidRDefault="006B2AB4" w:rsidP="006B2AB4">
      <w:pPr>
        <w:pStyle w:val="HChG"/>
        <w:keepNext w:val="0"/>
        <w:rPr>
          <w:lang w:val="fr-FR"/>
        </w:rPr>
      </w:pPr>
      <w:r>
        <w:rPr>
          <w:lang w:val="fr-FR"/>
        </w:rPr>
        <w:tab/>
      </w:r>
      <w:r w:rsidR="00027DC0">
        <w:rPr>
          <w:lang w:val="fr-FR"/>
        </w:rPr>
        <w:t>II.</w:t>
      </w:r>
      <w:r>
        <w:rPr>
          <w:lang w:val="fr-FR"/>
        </w:rPr>
        <w:tab/>
        <w:t>Proposition</w:t>
      </w:r>
    </w:p>
    <w:p w14:paraId="5E60EF07" w14:textId="77777777" w:rsidR="006B2AB4" w:rsidRDefault="006B2AB4" w:rsidP="00293005">
      <w:pPr>
        <w:pStyle w:val="SingleTxtG"/>
        <w:rPr>
          <w:lang w:val="fr-FR"/>
        </w:rPr>
      </w:pPr>
      <w:r>
        <w:rPr>
          <w:lang w:val="fr-FR"/>
        </w:rPr>
        <w:t>5.</w:t>
      </w:r>
      <w:r>
        <w:rPr>
          <w:lang w:val="fr-FR"/>
        </w:rPr>
        <w:tab/>
        <w:t xml:space="preserve">La </w:t>
      </w:r>
      <w:r w:rsidRPr="00293005">
        <w:t>proposition</w:t>
      </w:r>
      <w:r>
        <w:rPr>
          <w:lang w:val="fr-FR"/>
        </w:rPr>
        <w:t xml:space="preserve"> faisant l’objet de la présente soumission vise à ajouter, dans le Règlement annexé à l’ADN, un article 1.16.1.1.3, dont le texte figure en annexe.</w:t>
      </w:r>
    </w:p>
    <w:p w14:paraId="47BECE70" w14:textId="15FD446E" w:rsidR="006B2AB4" w:rsidRDefault="006B2AB4" w:rsidP="00293005">
      <w:pPr>
        <w:pStyle w:val="SingleTxtG"/>
        <w:rPr>
          <w:rStyle w:val="SingleTxtGChar"/>
          <w:lang w:val="fr-FR"/>
        </w:rPr>
      </w:pPr>
      <w:r>
        <w:t>6.</w:t>
      </w:r>
      <w:r>
        <w:tab/>
      </w:r>
      <w:r>
        <w:rPr>
          <w:rStyle w:val="SingleTxtGChar"/>
          <w:lang w:val="fr-FR"/>
        </w:rPr>
        <w:t xml:space="preserve">Les titres </w:t>
      </w:r>
      <w:r w:rsidRPr="00293005">
        <w:t>de</w:t>
      </w:r>
      <w:r>
        <w:rPr>
          <w:rStyle w:val="SingleTxtGChar"/>
          <w:lang w:val="fr-FR"/>
        </w:rPr>
        <w:t xml:space="preserve"> sécurité, visés au premier indent de la proposition du nouvel article 1.16.1.1.3, constituent le pendant du </w:t>
      </w:r>
      <w:r w:rsidR="00DE33AC" w:rsidRPr="0047339F">
        <w:rPr>
          <w:lang w:val="fr-FR"/>
        </w:rPr>
        <w:t>«</w:t>
      </w:r>
      <w:r w:rsidR="00DE33AC">
        <w:rPr>
          <w:lang w:val="fr-FR"/>
        </w:rPr>
        <w:t> </w:t>
      </w:r>
      <w:r>
        <w:rPr>
          <w:rStyle w:val="SingleTxtGChar"/>
          <w:lang w:val="fr-FR"/>
        </w:rPr>
        <w:t>certificat de bateau</w:t>
      </w:r>
      <w:r w:rsidR="00DE33AC">
        <w:rPr>
          <w:rStyle w:val="SingleTxtGChar"/>
          <w:lang w:val="fr-FR"/>
        </w:rPr>
        <w:t> </w:t>
      </w:r>
      <w:r w:rsidR="00DE33AC" w:rsidRPr="00CC2037">
        <w:t>»</w:t>
      </w:r>
      <w:r>
        <w:rPr>
          <w:rStyle w:val="SingleTxtGChar"/>
          <w:lang w:val="fr-FR"/>
        </w:rPr>
        <w:t>, visé dans le Règlement annexé à l’ADN.</w:t>
      </w:r>
    </w:p>
    <w:p w14:paraId="7E0271EE" w14:textId="77777777" w:rsidR="006B2AB4" w:rsidRDefault="006B2AB4" w:rsidP="00293005">
      <w:pPr>
        <w:pStyle w:val="SingleTxtG"/>
        <w:rPr>
          <w:lang w:val="fr-FR"/>
        </w:rPr>
      </w:pPr>
      <w:r>
        <w:rPr>
          <w:lang w:val="fr-FR"/>
        </w:rPr>
        <w:t>7.</w:t>
      </w:r>
      <w:r>
        <w:rPr>
          <w:lang w:val="fr-FR"/>
        </w:rPr>
        <w:tab/>
        <w:t xml:space="preserve">En formulant </w:t>
      </w:r>
      <w:r w:rsidRPr="00293005">
        <w:t>la</w:t>
      </w:r>
      <w:r>
        <w:rPr>
          <w:lang w:val="fr-FR"/>
        </w:rPr>
        <w:t xml:space="preserve"> proposition figurant en annexe, la France considère que la problématique serait mieux traitée, et de manière harmonisée, dans le Règlement annexé à l’ADN. Cependant, certaines Parties contractantes pourraient préférer adopter des solutions ou doctrines nationales, en fonction de leur législation et réglementation internes.</w:t>
      </w:r>
    </w:p>
    <w:p w14:paraId="3ED9B019" w14:textId="703DA52E" w:rsidR="006B2AB4" w:rsidRDefault="00027DC0" w:rsidP="00027DC0">
      <w:pPr>
        <w:pStyle w:val="HChG"/>
        <w:rPr>
          <w:lang w:val="fr-FR"/>
        </w:rPr>
      </w:pPr>
      <w:r>
        <w:tab/>
        <w:t>III.</w:t>
      </w:r>
      <w:r>
        <w:tab/>
      </w:r>
      <w:r w:rsidR="006B2AB4" w:rsidRPr="00027DC0">
        <w:t>Suites</w:t>
      </w:r>
      <w:r w:rsidR="006B2AB4">
        <w:rPr>
          <w:lang w:val="fr-FR"/>
        </w:rPr>
        <w:t xml:space="preserve"> à donner</w:t>
      </w:r>
    </w:p>
    <w:p w14:paraId="404573A4" w14:textId="5037FAB2" w:rsidR="006B2AB4" w:rsidRDefault="006B2AB4" w:rsidP="00293005">
      <w:pPr>
        <w:pStyle w:val="SingleTxtG"/>
        <w:rPr>
          <w:lang w:val="fr-FR"/>
        </w:rPr>
      </w:pPr>
      <w:r>
        <w:rPr>
          <w:lang w:val="fr-FR"/>
        </w:rPr>
        <w:t>8.</w:t>
      </w:r>
      <w:r>
        <w:rPr>
          <w:lang w:val="fr-FR"/>
        </w:rPr>
        <w:tab/>
        <w:t xml:space="preserve">Le Comité de </w:t>
      </w:r>
      <w:r w:rsidRPr="00293005">
        <w:t>sécurité</w:t>
      </w:r>
      <w:r w:rsidR="00C063F2">
        <w:t xml:space="preserve"> de l’ADN</w:t>
      </w:r>
      <w:r>
        <w:rPr>
          <w:lang w:val="fr-FR"/>
        </w:rPr>
        <w:t xml:space="preserve"> est invité à prendre connaissance des paragraphes 5 à 7 ci-dessus, et de l’Annexe ci-après, et à leur donner la suite qu’il jugera appropriée.</w:t>
      </w:r>
    </w:p>
    <w:p w14:paraId="63BEE230" w14:textId="77777777" w:rsidR="00972778" w:rsidRDefault="00972778" w:rsidP="00684917">
      <w:pPr>
        <w:pStyle w:val="SingleTxtG"/>
        <w:sectPr w:rsidR="00972778" w:rsidSect="008575F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0598B0EF" w14:textId="4DA49A3E" w:rsidR="0098152D" w:rsidRPr="003558EE" w:rsidRDefault="004A151A" w:rsidP="0098152D">
      <w:pPr>
        <w:pStyle w:val="HChG"/>
        <w:rPr>
          <w:lang w:val="fr-FR"/>
        </w:rPr>
      </w:pPr>
      <w:r w:rsidRPr="003558EE">
        <w:rPr>
          <w:lang w:val="fr-FR"/>
        </w:rPr>
        <w:lastRenderedPageBreak/>
        <w:t>Annexe</w:t>
      </w:r>
    </w:p>
    <w:p w14:paraId="206165C8" w14:textId="77777777" w:rsidR="0098152D" w:rsidRDefault="0098152D" w:rsidP="00414148">
      <w:pPr>
        <w:pStyle w:val="SingleTxtG"/>
        <w:ind w:left="1701"/>
        <w:rPr>
          <w:lang w:val="fr-FR"/>
        </w:rPr>
      </w:pPr>
      <w:r>
        <w:rPr>
          <w:lang w:val="fr-FR"/>
        </w:rPr>
        <w:t xml:space="preserve">« 1.16.1.1.3 </w:t>
      </w:r>
      <w:r>
        <w:rPr>
          <w:lang w:val="fr-FR"/>
        </w:rPr>
        <w:tab/>
        <w:t>Nonobstant les dispositions du 1.16.1.1.1, un navire de mer transportant des marchandises dangereuses sur une voie de navigation intérieure peut être dispensé de la possession d’un certificat d’agrément sous réserve du respect des dispositions ci-après :</w:t>
      </w:r>
    </w:p>
    <w:p w14:paraId="538A7076" w14:textId="77777777" w:rsidR="0098152D" w:rsidRDefault="0098152D" w:rsidP="00C27A8D">
      <w:pPr>
        <w:pStyle w:val="Bullet2G"/>
        <w:ind w:left="3005"/>
        <w:rPr>
          <w:lang w:val="fr-FR"/>
        </w:rPr>
      </w:pPr>
      <w:r>
        <w:rPr>
          <w:lang w:val="fr-FR"/>
        </w:rPr>
        <w:t xml:space="preserve">Le navire de mer est en possession de ses titres de sécurité, délivrés en vertu de la Convention internationale de 1974 </w:t>
      </w:r>
      <w:r w:rsidRPr="003C36C2">
        <w:rPr>
          <w:lang w:val="fr-FR"/>
        </w:rPr>
        <w:t>pour la sauvegarde de la vie humaine en mer</w:t>
      </w:r>
      <w:r>
        <w:rPr>
          <w:lang w:val="fr-FR"/>
        </w:rPr>
        <w:t>, telle que modifiée par le Protocole de 1988 y relatif (SOLAS 74) ; et</w:t>
      </w:r>
    </w:p>
    <w:p w14:paraId="010951A9" w14:textId="77777777" w:rsidR="0098152D" w:rsidRDefault="0098152D" w:rsidP="00BB76C1">
      <w:pPr>
        <w:pStyle w:val="Bullet2G"/>
        <w:ind w:left="3005"/>
        <w:rPr>
          <w:lang w:val="fr-FR"/>
        </w:rPr>
      </w:pPr>
      <w:r>
        <w:rPr>
          <w:lang w:val="fr-FR"/>
        </w:rPr>
        <w:t>Le navire de mer est en possession d’un document de conformité ou d’un certificat d’aptitude, conformément au tableau de correspondance suivant :</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9"/>
        <w:gridCol w:w="2008"/>
        <w:gridCol w:w="4736"/>
        <w:gridCol w:w="4453"/>
      </w:tblGrid>
      <w:tr w:rsidR="003511DB" w:rsidRPr="003511DB" w14:paraId="2DAAB1B0" w14:textId="77777777" w:rsidTr="003511DB">
        <w:trPr>
          <w:cantSplit/>
          <w:tblHeader/>
        </w:trPr>
        <w:tc>
          <w:tcPr>
            <w:tcW w:w="2579" w:type="dxa"/>
            <w:tcBorders>
              <w:top w:val="single" w:sz="4" w:space="0" w:color="auto"/>
              <w:bottom w:val="single" w:sz="12" w:space="0" w:color="auto"/>
            </w:tcBorders>
            <w:shd w:val="clear" w:color="auto" w:fill="auto"/>
            <w:vAlign w:val="bottom"/>
          </w:tcPr>
          <w:p w14:paraId="5D8E7E5C" w14:textId="77777777" w:rsidR="0098152D" w:rsidRPr="003511DB" w:rsidRDefault="0098152D" w:rsidP="003511DB">
            <w:pPr>
              <w:suppressAutoHyphens w:val="0"/>
              <w:spacing w:before="80" w:after="80" w:line="200" w:lineRule="exact"/>
              <w:ind w:right="113"/>
              <w:rPr>
                <w:i/>
                <w:sz w:val="16"/>
                <w:lang w:val="fr-FR"/>
              </w:rPr>
            </w:pPr>
            <w:r w:rsidRPr="003511DB">
              <w:rPr>
                <w:i/>
                <w:sz w:val="16"/>
                <w:lang w:val="fr-FR"/>
              </w:rPr>
              <w:t>Règlement annexé à l’ADN</w:t>
            </w:r>
          </w:p>
        </w:tc>
        <w:tc>
          <w:tcPr>
            <w:tcW w:w="2008" w:type="dxa"/>
            <w:tcBorders>
              <w:top w:val="single" w:sz="4" w:space="0" w:color="auto"/>
              <w:bottom w:val="single" w:sz="12" w:space="0" w:color="auto"/>
            </w:tcBorders>
            <w:shd w:val="clear" w:color="auto" w:fill="auto"/>
            <w:vAlign w:val="bottom"/>
          </w:tcPr>
          <w:p w14:paraId="3E927194" w14:textId="77777777" w:rsidR="0098152D" w:rsidRPr="003511DB" w:rsidRDefault="0098152D" w:rsidP="003511DB">
            <w:pPr>
              <w:suppressAutoHyphens w:val="0"/>
              <w:spacing w:before="80" w:after="80" w:line="200" w:lineRule="exact"/>
              <w:ind w:right="113"/>
              <w:rPr>
                <w:i/>
                <w:sz w:val="16"/>
                <w:lang w:val="fr-FR"/>
              </w:rPr>
            </w:pPr>
            <w:r w:rsidRPr="003511DB">
              <w:rPr>
                <w:i/>
                <w:sz w:val="16"/>
                <w:lang w:val="fr-FR"/>
              </w:rPr>
              <w:t>Type de cargaison</w:t>
            </w:r>
          </w:p>
        </w:tc>
        <w:tc>
          <w:tcPr>
            <w:tcW w:w="4736" w:type="dxa"/>
            <w:tcBorders>
              <w:top w:val="single" w:sz="4" w:space="0" w:color="auto"/>
              <w:bottom w:val="single" w:sz="12" w:space="0" w:color="auto"/>
            </w:tcBorders>
            <w:shd w:val="clear" w:color="auto" w:fill="auto"/>
            <w:vAlign w:val="bottom"/>
          </w:tcPr>
          <w:p w14:paraId="131C1E20" w14:textId="77777777" w:rsidR="0098152D" w:rsidRPr="003511DB" w:rsidRDefault="0098152D" w:rsidP="003511DB">
            <w:pPr>
              <w:suppressAutoHyphens w:val="0"/>
              <w:spacing w:before="80" w:after="80" w:line="200" w:lineRule="exact"/>
              <w:ind w:right="113"/>
              <w:rPr>
                <w:i/>
                <w:sz w:val="16"/>
                <w:lang w:val="fr-FR"/>
              </w:rPr>
            </w:pPr>
            <w:r w:rsidRPr="003511DB">
              <w:rPr>
                <w:i/>
                <w:sz w:val="16"/>
                <w:lang w:val="fr-FR"/>
              </w:rPr>
              <w:t>Intitulé du document OMI</w:t>
            </w:r>
          </w:p>
        </w:tc>
        <w:tc>
          <w:tcPr>
            <w:tcW w:w="4453" w:type="dxa"/>
            <w:tcBorders>
              <w:top w:val="single" w:sz="4" w:space="0" w:color="auto"/>
              <w:bottom w:val="single" w:sz="12" w:space="0" w:color="auto"/>
            </w:tcBorders>
            <w:shd w:val="clear" w:color="auto" w:fill="auto"/>
            <w:vAlign w:val="bottom"/>
          </w:tcPr>
          <w:p w14:paraId="38BC5F8F" w14:textId="77777777" w:rsidR="0098152D" w:rsidRPr="003511DB" w:rsidRDefault="0098152D" w:rsidP="003511DB">
            <w:pPr>
              <w:suppressAutoHyphens w:val="0"/>
              <w:spacing w:before="80" w:after="80" w:line="200" w:lineRule="exact"/>
              <w:ind w:right="113"/>
              <w:rPr>
                <w:i/>
                <w:sz w:val="16"/>
                <w:lang w:val="fr-FR"/>
              </w:rPr>
            </w:pPr>
            <w:r w:rsidRPr="003511DB">
              <w:rPr>
                <w:i/>
                <w:sz w:val="16"/>
                <w:lang w:val="fr-FR"/>
              </w:rPr>
              <w:t>Instrument OMI pertinent</w:t>
            </w:r>
          </w:p>
        </w:tc>
      </w:tr>
      <w:tr w:rsidR="003511DB" w:rsidRPr="003511DB" w14:paraId="67C0E0CC" w14:textId="77777777" w:rsidTr="003511DB">
        <w:trPr>
          <w:cantSplit/>
          <w:trHeight w:hRule="exact" w:val="113"/>
        </w:trPr>
        <w:tc>
          <w:tcPr>
            <w:tcW w:w="2579" w:type="dxa"/>
            <w:tcBorders>
              <w:top w:val="single" w:sz="12" w:space="0" w:color="auto"/>
            </w:tcBorders>
            <w:shd w:val="clear" w:color="auto" w:fill="auto"/>
          </w:tcPr>
          <w:p w14:paraId="227CC2EF" w14:textId="77777777" w:rsidR="003511DB" w:rsidRPr="003511DB" w:rsidRDefault="003511DB" w:rsidP="003511DB">
            <w:pPr>
              <w:suppressAutoHyphens w:val="0"/>
              <w:spacing w:before="40" w:after="120"/>
              <w:ind w:right="113"/>
              <w:rPr>
                <w:lang w:val="fr-FR"/>
              </w:rPr>
            </w:pPr>
          </w:p>
        </w:tc>
        <w:tc>
          <w:tcPr>
            <w:tcW w:w="2008" w:type="dxa"/>
            <w:tcBorders>
              <w:top w:val="single" w:sz="12" w:space="0" w:color="auto"/>
            </w:tcBorders>
            <w:shd w:val="clear" w:color="auto" w:fill="auto"/>
          </w:tcPr>
          <w:p w14:paraId="274F0652" w14:textId="77777777" w:rsidR="003511DB" w:rsidRPr="003511DB" w:rsidRDefault="003511DB" w:rsidP="003511DB">
            <w:pPr>
              <w:suppressAutoHyphens w:val="0"/>
              <w:spacing w:before="40" w:after="120"/>
              <w:ind w:right="113"/>
              <w:rPr>
                <w:lang w:val="fr-FR"/>
              </w:rPr>
            </w:pPr>
          </w:p>
        </w:tc>
        <w:tc>
          <w:tcPr>
            <w:tcW w:w="4736" w:type="dxa"/>
            <w:tcBorders>
              <w:top w:val="single" w:sz="12" w:space="0" w:color="auto"/>
            </w:tcBorders>
            <w:shd w:val="clear" w:color="auto" w:fill="auto"/>
          </w:tcPr>
          <w:p w14:paraId="1DB233CF" w14:textId="77777777" w:rsidR="003511DB" w:rsidRPr="003511DB" w:rsidRDefault="003511DB" w:rsidP="003511DB">
            <w:pPr>
              <w:suppressAutoHyphens w:val="0"/>
              <w:spacing w:before="40" w:after="120"/>
              <w:ind w:right="113"/>
              <w:rPr>
                <w:lang w:val="fr-FR"/>
              </w:rPr>
            </w:pPr>
          </w:p>
        </w:tc>
        <w:tc>
          <w:tcPr>
            <w:tcW w:w="4453" w:type="dxa"/>
            <w:tcBorders>
              <w:top w:val="single" w:sz="12" w:space="0" w:color="auto"/>
            </w:tcBorders>
            <w:shd w:val="clear" w:color="auto" w:fill="auto"/>
          </w:tcPr>
          <w:p w14:paraId="587A52A1" w14:textId="77777777" w:rsidR="003511DB" w:rsidRPr="003511DB" w:rsidRDefault="003511DB" w:rsidP="003511DB">
            <w:pPr>
              <w:suppressAutoHyphens w:val="0"/>
              <w:spacing w:before="40" w:after="120"/>
              <w:ind w:right="113"/>
              <w:rPr>
                <w:lang w:val="fr-FR"/>
              </w:rPr>
            </w:pPr>
          </w:p>
        </w:tc>
      </w:tr>
      <w:tr w:rsidR="003511DB" w:rsidRPr="003511DB" w14:paraId="72E07C5A" w14:textId="77777777" w:rsidTr="003511DB">
        <w:trPr>
          <w:cantSplit/>
        </w:trPr>
        <w:tc>
          <w:tcPr>
            <w:tcW w:w="2579" w:type="dxa"/>
            <w:shd w:val="clear" w:color="auto" w:fill="auto"/>
          </w:tcPr>
          <w:p w14:paraId="086F8462" w14:textId="77777777" w:rsidR="0098152D" w:rsidRPr="003511DB" w:rsidRDefault="0098152D" w:rsidP="003511DB">
            <w:pPr>
              <w:suppressAutoHyphens w:val="0"/>
              <w:spacing w:before="40" w:after="120"/>
              <w:ind w:right="113"/>
              <w:rPr>
                <w:lang w:val="fr-FR"/>
              </w:rPr>
            </w:pPr>
            <w:r w:rsidRPr="003511DB">
              <w:rPr>
                <w:lang w:val="fr-FR"/>
              </w:rPr>
              <w:t>Certificat d’agrément bateau à cargaisons sèches</w:t>
            </w:r>
          </w:p>
        </w:tc>
        <w:tc>
          <w:tcPr>
            <w:tcW w:w="2008" w:type="dxa"/>
            <w:shd w:val="clear" w:color="auto" w:fill="auto"/>
          </w:tcPr>
          <w:p w14:paraId="3936561B" w14:textId="77777777" w:rsidR="0098152D" w:rsidRPr="003511DB" w:rsidRDefault="0098152D" w:rsidP="003511DB">
            <w:pPr>
              <w:suppressAutoHyphens w:val="0"/>
              <w:spacing w:before="40" w:after="120"/>
              <w:ind w:right="113"/>
              <w:rPr>
                <w:lang w:val="fr-FR"/>
              </w:rPr>
            </w:pPr>
            <w:r w:rsidRPr="003511DB">
              <w:rPr>
                <w:lang w:val="fr-FR"/>
              </w:rPr>
              <w:t>Colis</w:t>
            </w:r>
          </w:p>
        </w:tc>
        <w:tc>
          <w:tcPr>
            <w:tcW w:w="4736" w:type="dxa"/>
            <w:shd w:val="clear" w:color="auto" w:fill="auto"/>
          </w:tcPr>
          <w:p w14:paraId="74920D9E" w14:textId="77777777" w:rsidR="0098152D" w:rsidRPr="003511DB" w:rsidRDefault="0098152D" w:rsidP="003511DB">
            <w:pPr>
              <w:suppressAutoHyphens w:val="0"/>
              <w:spacing w:before="40" w:after="120"/>
              <w:ind w:right="113"/>
              <w:rPr>
                <w:lang w:val="fr-FR"/>
              </w:rPr>
            </w:pPr>
            <w:r w:rsidRPr="003511DB">
              <w:rPr>
                <w:lang w:val="fr-FR"/>
              </w:rPr>
              <w:t>Document de conformité avec les prescriptions spéciales applicables aux navires transportant des marchandises dangereuses</w:t>
            </w:r>
          </w:p>
        </w:tc>
        <w:tc>
          <w:tcPr>
            <w:tcW w:w="4453" w:type="dxa"/>
            <w:shd w:val="clear" w:color="auto" w:fill="auto"/>
          </w:tcPr>
          <w:p w14:paraId="22214F00" w14:textId="77777777" w:rsidR="0098152D" w:rsidRPr="003511DB" w:rsidRDefault="0098152D" w:rsidP="003511DB">
            <w:pPr>
              <w:suppressAutoHyphens w:val="0"/>
              <w:spacing w:before="40" w:after="120"/>
              <w:ind w:right="113"/>
              <w:rPr>
                <w:lang w:val="fr-FR"/>
              </w:rPr>
            </w:pPr>
            <w:r w:rsidRPr="003511DB">
              <w:rPr>
                <w:lang w:val="fr-FR"/>
              </w:rPr>
              <w:t>SOLAS Règle II-2/19 (ou SOLAS Règle II-2/54 pour les navires construits avant le 1</w:t>
            </w:r>
            <w:r w:rsidRPr="003511DB">
              <w:rPr>
                <w:vertAlign w:val="superscript"/>
                <w:lang w:val="fr-FR"/>
              </w:rPr>
              <w:t>er</w:t>
            </w:r>
            <w:r w:rsidRPr="003511DB">
              <w:rPr>
                <w:lang w:val="fr-FR"/>
              </w:rPr>
              <w:t xml:space="preserve"> juillet 2002)</w:t>
            </w:r>
          </w:p>
        </w:tc>
      </w:tr>
      <w:tr w:rsidR="003511DB" w:rsidRPr="003511DB" w14:paraId="3E855D09" w14:textId="77777777" w:rsidTr="003511DB">
        <w:trPr>
          <w:cantSplit/>
        </w:trPr>
        <w:tc>
          <w:tcPr>
            <w:tcW w:w="2579" w:type="dxa"/>
            <w:shd w:val="clear" w:color="auto" w:fill="auto"/>
          </w:tcPr>
          <w:p w14:paraId="290F823B" w14:textId="77777777" w:rsidR="0098152D" w:rsidRPr="003511DB" w:rsidRDefault="0098152D" w:rsidP="003511DB">
            <w:pPr>
              <w:suppressAutoHyphens w:val="0"/>
              <w:spacing w:before="40" w:after="120"/>
              <w:ind w:right="113"/>
              <w:rPr>
                <w:lang w:val="fr-FR"/>
              </w:rPr>
            </w:pPr>
            <w:r w:rsidRPr="003511DB">
              <w:rPr>
                <w:lang w:val="fr-FR"/>
              </w:rPr>
              <w:t>Certificat d’agrément bateau à cargaisons sèches</w:t>
            </w:r>
          </w:p>
        </w:tc>
        <w:tc>
          <w:tcPr>
            <w:tcW w:w="2008" w:type="dxa"/>
            <w:shd w:val="clear" w:color="auto" w:fill="auto"/>
          </w:tcPr>
          <w:p w14:paraId="5303DCE3" w14:textId="77777777" w:rsidR="0098152D" w:rsidRPr="003511DB" w:rsidRDefault="0098152D" w:rsidP="003511DB">
            <w:pPr>
              <w:suppressAutoHyphens w:val="0"/>
              <w:spacing w:before="40" w:after="120"/>
              <w:ind w:right="113"/>
              <w:rPr>
                <w:lang w:val="fr-FR"/>
              </w:rPr>
            </w:pPr>
            <w:r w:rsidRPr="003511DB">
              <w:rPr>
                <w:lang w:val="fr-FR"/>
              </w:rPr>
              <w:t>Vrac solide</w:t>
            </w:r>
          </w:p>
        </w:tc>
        <w:tc>
          <w:tcPr>
            <w:tcW w:w="4736" w:type="dxa"/>
            <w:shd w:val="clear" w:color="auto" w:fill="auto"/>
          </w:tcPr>
          <w:p w14:paraId="563DC6EE" w14:textId="77777777" w:rsidR="0098152D" w:rsidRPr="003511DB" w:rsidRDefault="0098152D" w:rsidP="003511DB">
            <w:pPr>
              <w:suppressAutoHyphens w:val="0"/>
              <w:spacing w:before="40" w:after="120"/>
              <w:ind w:right="113"/>
              <w:rPr>
                <w:lang w:val="fr-FR"/>
              </w:rPr>
            </w:pPr>
            <w:r w:rsidRPr="003511DB">
              <w:rPr>
                <w:lang w:val="fr-FR"/>
              </w:rPr>
              <w:t>Document de conformité avec les prescriptions spéciales applicables aux navires transportant des marchandises dangereuses</w:t>
            </w:r>
          </w:p>
        </w:tc>
        <w:tc>
          <w:tcPr>
            <w:tcW w:w="4453" w:type="dxa"/>
            <w:shd w:val="clear" w:color="auto" w:fill="auto"/>
          </w:tcPr>
          <w:p w14:paraId="1B0589D4" w14:textId="77777777" w:rsidR="0098152D" w:rsidRPr="003511DB" w:rsidRDefault="0098152D" w:rsidP="003511DB">
            <w:pPr>
              <w:suppressAutoHyphens w:val="0"/>
              <w:spacing w:before="40" w:after="120"/>
              <w:ind w:right="113"/>
              <w:rPr>
                <w:lang w:val="fr-FR"/>
              </w:rPr>
            </w:pPr>
            <w:r w:rsidRPr="003511DB">
              <w:rPr>
                <w:lang w:val="fr-FR"/>
              </w:rPr>
              <w:t>SOLAS Règle II-2/19 (ou SOLAS Règle II-2/54 pour les navires construits avant le 1</w:t>
            </w:r>
            <w:r w:rsidRPr="003511DB">
              <w:rPr>
                <w:vertAlign w:val="superscript"/>
                <w:lang w:val="fr-FR"/>
              </w:rPr>
              <w:t>er</w:t>
            </w:r>
            <w:r w:rsidRPr="003511DB">
              <w:rPr>
                <w:lang w:val="fr-FR"/>
              </w:rPr>
              <w:t xml:space="preserve"> juillet 2002)</w:t>
            </w:r>
          </w:p>
        </w:tc>
      </w:tr>
      <w:tr w:rsidR="003511DB" w:rsidRPr="003511DB" w14:paraId="71B15222" w14:textId="77777777" w:rsidTr="003511DB">
        <w:trPr>
          <w:cantSplit/>
        </w:trPr>
        <w:tc>
          <w:tcPr>
            <w:tcW w:w="2579" w:type="dxa"/>
            <w:shd w:val="clear" w:color="auto" w:fill="auto"/>
          </w:tcPr>
          <w:p w14:paraId="1D4F0600" w14:textId="77777777" w:rsidR="0098152D" w:rsidRPr="003511DB" w:rsidRDefault="0098152D" w:rsidP="003511DB">
            <w:pPr>
              <w:suppressAutoHyphens w:val="0"/>
              <w:spacing w:before="40" w:after="120"/>
              <w:ind w:right="113"/>
              <w:rPr>
                <w:lang w:val="fr-FR"/>
              </w:rPr>
            </w:pPr>
            <w:r w:rsidRPr="003511DB">
              <w:rPr>
                <w:lang w:val="fr-FR"/>
              </w:rPr>
              <w:t>Certificat d’agrément pour bateau-citerne de type N</w:t>
            </w:r>
          </w:p>
        </w:tc>
        <w:tc>
          <w:tcPr>
            <w:tcW w:w="2008" w:type="dxa"/>
            <w:shd w:val="clear" w:color="auto" w:fill="auto"/>
          </w:tcPr>
          <w:p w14:paraId="7BA5FEC5" w14:textId="77777777" w:rsidR="0098152D" w:rsidRPr="003511DB" w:rsidRDefault="0098152D" w:rsidP="003511DB">
            <w:pPr>
              <w:suppressAutoHyphens w:val="0"/>
              <w:spacing w:before="40" w:after="120"/>
              <w:ind w:right="113"/>
              <w:rPr>
                <w:lang w:val="fr-FR"/>
              </w:rPr>
            </w:pPr>
            <w:r w:rsidRPr="003511DB">
              <w:rPr>
                <w:lang w:val="fr-FR"/>
              </w:rPr>
              <w:t>Hydrocarbures liquides</w:t>
            </w:r>
          </w:p>
        </w:tc>
        <w:tc>
          <w:tcPr>
            <w:tcW w:w="4736" w:type="dxa"/>
            <w:shd w:val="clear" w:color="auto" w:fill="auto"/>
          </w:tcPr>
          <w:p w14:paraId="2A2BC46D" w14:textId="77777777" w:rsidR="0098152D" w:rsidRPr="003511DB" w:rsidRDefault="0098152D" w:rsidP="003511DB">
            <w:pPr>
              <w:suppressAutoHyphens w:val="0"/>
              <w:spacing w:before="40" w:after="120"/>
              <w:ind w:right="113"/>
              <w:rPr>
                <w:lang w:val="fr-FR"/>
              </w:rPr>
            </w:pPr>
            <w:r w:rsidRPr="003511DB">
              <w:rPr>
                <w:lang w:val="fr-FR"/>
              </w:rPr>
              <w:t>Certificat international de prévention de la pollution par les hydrocarbures (IOPP) + Supplément Modèle B (Fiche d’équipement pour les pétroliers)</w:t>
            </w:r>
          </w:p>
        </w:tc>
        <w:tc>
          <w:tcPr>
            <w:tcW w:w="4453" w:type="dxa"/>
            <w:shd w:val="clear" w:color="auto" w:fill="auto"/>
          </w:tcPr>
          <w:p w14:paraId="6C1B62FC" w14:textId="77777777" w:rsidR="0098152D" w:rsidRPr="003511DB" w:rsidRDefault="0098152D" w:rsidP="003511DB">
            <w:pPr>
              <w:suppressAutoHyphens w:val="0"/>
              <w:spacing w:before="40" w:after="120"/>
              <w:ind w:right="113"/>
              <w:rPr>
                <w:lang w:val="fr-FR"/>
              </w:rPr>
            </w:pPr>
            <w:r w:rsidRPr="003511DB">
              <w:rPr>
                <w:lang w:val="fr-FR"/>
              </w:rPr>
              <w:t>MARPOL Annexe I</w:t>
            </w:r>
          </w:p>
        </w:tc>
      </w:tr>
      <w:tr w:rsidR="003511DB" w:rsidRPr="003511DB" w14:paraId="05504D34" w14:textId="77777777" w:rsidTr="003511DB">
        <w:trPr>
          <w:cantSplit/>
        </w:trPr>
        <w:tc>
          <w:tcPr>
            <w:tcW w:w="2579" w:type="dxa"/>
            <w:vMerge w:val="restart"/>
            <w:shd w:val="clear" w:color="auto" w:fill="auto"/>
          </w:tcPr>
          <w:p w14:paraId="3AA8D478" w14:textId="77777777" w:rsidR="0098152D" w:rsidRPr="003511DB" w:rsidRDefault="0098152D" w:rsidP="003511DB">
            <w:pPr>
              <w:suppressAutoHyphens w:val="0"/>
              <w:spacing w:before="40" w:after="120"/>
              <w:ind w:right="113"/>
              <w:rPr>
                <w:lang w:val="fr-FR"/>
              </w:rPr>
            </w:pPr>
            <w:r w:rsidRPr="003511DB">
              <w:rPr>
                <w:lang w:val="fr-FR"/>
              </w:rPr>
              <w:t>Certificat d’agrément pour bateau-citerne de type C</w:t>
            </w:r>
          </w:p>
        </w:tc>
        <w:tc>
          <w:tcPr>
            <w:tcW w:w="2008" w:type="dxa"/>
            <w:vMerge w:val="restart"/>
            <w:shd w:val="clear" w:color="auto" w:fill="auto"/>
          </w:tcPr>
          <w:p w14:paraId="79EBCBA5" w14:textId="77777777" w:rsidR="0098152D" w:rsidRPr="003511DB" w:rsidRDefault="0098152D" w:rsidP="003511DB">
            <w:pPr>
              <w:suppressAutoHyphens w:val="0"/>
              <w:spacing w:before="40" w:after="120"/>
              <w:ind w:right="113"/>
              <w:rPr>
                <w:lang w:val="fr-FR"/>
              </w:rPr>
            </w:pPr>
            <w:r w:rsidRPr="003511DB">
              <w:rPr>
                <w:lang w:val="fr-FR"/>
              </w:rPr>
              <w:t>Produits chimiques liquides</w:t>
            </w:r>
          </w:p>
        </w:tc>
        <w:tc>
          <w:tcPr>
            <w:tcW w:w="4736" w:type="dxa"/>
            <w:shd w:val="clear" w:color="auto" w:fill="auto"/>
          </w:tcPr>
          <w:p w14:paraId="65F060CA" w14:textId="77777777" w:rsidR="0098152D" w:rsidRPr="003511DB" w:rsidRDefault="0098152D" w:rsidP="003511DB">
            <w:pPr>
              <w:suppressAutoHyphens w:val="0"/>
              <w:spacing w:before="40" w:after="120"/>
              <w:ind w:right="113"/>
              <w:rPr>
                <w:lang w:val="fr-FR"/>
              </w:rPr>
            </w:pPr>
            <w:r w:rsidRPr="003511DB">
              <w:rPr>
                <w:lang w:val="fr-FR"/>
              </w:rPr>
              <w:t>Certificat international d</w:t>
            </w:r>
            <w:r w:rsidRPr="003511DB">
              <w:rPr>
                <w:rFonts w:hint="eastAsia"/>
                <w:lang w:val="fr-FR"/>
              </w:rPr>
              <w:t>’</w:t>
            </w:r>
            <w:r w:rsidRPr="003511DB">
              <w:rPr>
                <w:lang w:val="fr-FR"/>
              </w:rPr>
              <w:t>aptitude au transport de produits chimiques dangereux en vrac</w:t>
            </w:r>
          </w:p>
        </w:tc>
        <w:tc>
          <w:tcPr>
            <w:tcW w:w="4453" w:type="dxa"/>
            <w:shd w:val="clear" w:color="auto" w:fill="auto"/>
          </w:tcPr>
          <w:p w14:paraId="51BE1C4B" w14:textId="77777777" w:rsidR="0098152D" w:rsidRPr="003511DB" w:rsidRDefault="0098152D" w:rsidP="003511DB">
            <w:pPr>
              <w:suppressAutoHyphens w:val="0"/>
              <w:spacing w:before="40" w:after="120"/>
              <w:ind w:right="113"/>
              <w:rPr>
                <w:lang w:val="fr-FR"/>
              </w:rPr>
            </w:pPr>
            <w:r w:rsidRPr="003511DB">
              <w:rPr>
                <w:lang w:val="fr-FR"/>
              </w:rPr>
              <w:t>Recueil international de règles relatives à la construction et à l</w:t>
            </w:r>
            <w:r w:rsidRPr="003511DB">
              <w:rPr>
                <w:rFonts w:hint="eastAsia"/>
                <w:lang w:val="fr-FR"/>
              </w:rPr>
              <w:t>’é</w:t>
            </w:r>
            <w:r w:rsidRPr="003511DB">
              <w:rPr>
                <w:lang w:val="fr-FR"/>
              </w:rPr>
              <w:t>quipement des navires transportant des produits chimiques dangereux en vrac (Recueil IBC)</w:t>
            </w:r>
          </w:p>
        </w:tc>
      </w:tr>
      <w:tr w:rsidR="003511DB" w:rsidRPr="003511DB" w14:paraId="16CF80BF" w14:textId="77777777" w:rsidTr="003511DB">
        <w:trPr>
          <w:cantSplit/>
        </w:trPr>
        <w:tc>
          <w:tcPr>
            <w:tcW w:w="2579" w:type="dxa"/>
            <w:vMerge/>
            <w:shd w:val="clear" w:color="auto" w:fill="auto"/>
          </w:tcPr>
          <w:p w14:paraId="74AE8334" w14:textId="77777777" w:rsidR="0098152D" w:rsidRPr="003511DB" w:rsidRDefault="0098152D" w:rsidP="003511DB">
            <w:pPr>
              <w:suppressAutoHyphens w:val="0"/>
              <w:spacing w:before="40" w:after="120"/>
              <w:ind w:right="113"/>
              <w:rPr>
                <w:lang w:val="fr-FR"/>
              </w:rPr>
            </w:pPr>
          </w:p>
        </w:tc>
        <w:tc>
          <w:tcPr>
            <w:tcW w:w="2008" w:type="dxa"/>
            <w:vMerge/>
            <w:shd w:val="clear" w:color="auto" w:fill="auto"/>
          </w:tcPr>
          <w:p w14:paraId="65EC4E63" w14:textId="77777777" w:rsidR="0098152D" w:rsidRPr="003511DB" w:rsidRDefault="0098152D" w:rsidP="003511DB">
            <w:pPr>
              <w:suppressAutoHyphens w:val="0"/>
              <w:spacing w:before="40" w:after="120"/>
              <w:ind w:right="113"/>
              <w:rPr>
                <w:lang w:val="fr-FR"/>
              </w:rPr>
            </w:pPr>
          </w:p>
        </w:tc>
        <w:tc>
          <w:tcPr>
            <w:tcW w:w="4736" w:type="dxa"/>
            <w:shd w:val="clear" w:color="auto" w:fill="auto"/>
          </w:tcPr>
          <w:p w14:paraId="35880667" w14:textId="77777777" w:rsidR="0098152D" w:rsidRPr="003511DB" w:rsidRDefault="0098152D" w:rsidP="003511DB">
            <w:pPr>
              <w:suppressAutoHyphens w:val="0"/>
              <w:spacing w:before="40" w:after="120"/>
              <w:ind w:right="113"/>
              <w:rPr>
                <w:lang w:val="fr-FR"/>
              </w:rPr>
            </w:pPr>
            <w:r w:rsidRPr="003511DB">
              <w:rPr>
                <w:bCs/>
                <w:lang w:val="fr-FR"/>
              </w:rPr>
              <w:t>Certificat international de prévention de la pollution pour le transport des substances liquides nocives en vrac (Certificat NLS)</w:t>
            </w:r>
          </w:p>
        </w:tc>
        <w:tc>
          <w:tcPr>
            <w:tcW w:w="4453" w:type="dxa"/>
            <w:shd w:val="clear" w:color="auto" w:fill="auto"/>
          </w:tcPr>
          <w:p w14:paraId="3E6A8079" w14:textId="77777777" w:rsidR="0098152D" w:rsidRPr="003511DB" w:rsidRDefault="0098152D" w:rsidP="003511DB">
            <w:pPr>
              <w:suppressAutoHyphens w:val="0"/>
              <w:spacing w:before="40" w:after="120"/>
              <w:ind w:right="113"/>
              <w:rPr>
                <w:lang w:val="fr-FR"/>
              </w:rPr>
            </w:pPr>
            <w:r w:rsidRPr="003511DB">
              <w:rPr>
                <w:lang w:val="fr-FR"/>
              </w:rPr>
              <w:t>MARPOL Annexe II</w:t>
            </w:r>
          </w:p>
        </w:tc>
      </w:tr>
      <w:tr w:rsidR="003511DB" w:rsidRPr="003511DB" w14:paraId="7560A0B0" w14:textId="77777777" w:rsidTr="003511DB">
        <w:trPr>
          <w:cantSplit/>
        </w:trPr>
        <w:tc>
          <w:tcPr>
            <w:tcW w:w="2579" w:type="dxa"/>
            <w:tcBorders>
              <w:bottom w:val="single" w:sz="12" w:space="0" w:color="auto"/>
            </w:tcBorders>
            <w:shd w:val="clear" w:color="auto" w:fill="auto"/>
          </w:tcPr>
          <w:p w14:paraId="318ACA3F" w14:textId="77777777" w:rsidR="0098152D" w:rsidRPr="003511DB" w:rsidRDefault="0098152D" w:rsidP="003511DB">
            <w:pPr>
              <w:suppressAutoHyphens w:val="0"/>
              <w:spacing w:before="40" w:after="120"/>
              <w:ind w:right="113"/>
              <w:rPr>
                <w:lang w:val="fr-FR"/>
              </w:rPr>
            </w:pPr>
            <w:r w:rsidRPr="003511DB">
              <w:rPr>
                <w:lang w:val="fr-FR"/>
              </w:rPr>
              <w:t>Certificat d’agrément pour bateau-citerne de type G</w:t>
            </w:r>
          </w:p>
        </w:tc>
        <w:tc>
          <w:tcPr>
            <w:tcW w:w="2008" w:type="dxa"/>
            <w:tcBorders>
              <w:bottom w:val="single" w:sz="12" w:space="0" w:color="auto"/>
            </w:tcBorders>
            <w:shd w:val="clear" w:color="auto" w:fill="auto"/>
          </w:tcPr>
          <w:p w14:paraId="347DA8D5" w14:textId="77777777" w:rsidR="0098152D" w:rsidRPr="003511DB" w:rsidRDefault="0098152D" w:rsidP="003511DB">
            <w:pPr>
              <w:suppressAutoHyphens w:val="0"/>
              <w:spacing w:before="40" w:after="120"/>
              <w:ind w:right="113"/>
              <w:rPr>
                <w:lang w:val="fr-FR"/>
              </w:rPr>
            </w:pPr>
            <w:r w:rsidRPr="003511DB">
              <w:rPr>
                <w:lang w:val="fr-FR"/>
              </w:rPr>
              <w:t>Gaz</w:t>
            </w:r>
          </w:p>
        </w:tc>
        <w:tc>
          <w:tcPr>
            <w:tcW w:w="4736" w:type="dxa"/>
            <w:tcBorders>
              <w:bottom w:val="single" w:sz="12" w:space="0" w:color="auto"/>
            </w:tcBorders>
            <w:shd w:val="clear" w:color="auto" w:fill="auto"/>
          </w:tcPr>
          <w:p w14:paraId="53C2B3F7" w14:textId="77777777" w:rsidR="0098152D" w:rsidRPr="003511DB" w:rsidRDefault="0098152D" w:rsidP="003511DB">
            <w:pPr>
              <w:suppressAutoHyphens w:val="0"/>
              <w:spacing w:before="40" w:after="120"/>
              <w:ind w:right="113"/>
              <w:rPr>
                <w:lang w:val="fr-FR"/>
              </w:rPr>
            </w:pPr>
            <w:r w:rsidRPr="003511DB">
              <w:rPr>
                <w:lang w:val="fr-FR"/>
              </w:rPr>
              <w:t>Certificat international d'aptitude au transport de gaz liquéfiés en vrac</w:t>
            </w:r>
          </w:p>
        </w:tc>
        <w:tc>
          <w:tcPr>
            <w:tcW w:w="4453" w:type="dxa"/>
            <w:tcBorders>
              <w:bottom w:val="single" w:sz="12" w:space="0" w:color="auto"/>
            </w:tcBorders>
            <w:shd w:val="clear" w:color="auto" w:fill="auto"/>
          </w:tcPr>
          <w:p w14:paraId="6F7EFA99" w14:textId="3F358C4B" w:rsidR="0098152D" w:rsidRPr="003511DB" w:rsidRDefault="0098152D" w:rsidP="003511DB">
            <w:pPr>
              <w:suppressAutoHyphens w:val="0"/>
              <w:spacing w:before="40" w:after="120"/>
              <w:ind w:right="113"/>
              <w:rPr>
                <w:lang w:val="fr-FR"/>
              </w:rPr>
            </w:pPr>
            <w:r w:rsidRPr="003511DB">
              <w:rPr>
                <w:bCs/>
                <w:lang w:val="fr-FR"/>
              </w:rPr>
              <w:t>Recueil international de règles relatives à la construction et à l'équipement des navires transportant des gaz liquéfiés en vrac (Recueil IGC)</w:t>
            </w:r>
            <w:r w:rsidR="00FD4D17">
              <w:rPr>
                <w:bCs/>
                <w:lang w:val="fr-FR"/>
              </w:rPr>
              <w:t> </w:t>
            </w:r>
            <w:r w:rsidR="00BA095C" w:rsidRPr="00CC2037">
              <w:t>»</w:t>
            </w:r>
          </w:p>
        </w:tc>
      </w:tr>
    </w:tbl>
    <w:p w14:paraId="74123792" w14:textId="1CD5BE5F" w:rsidR="00972778" w:rsidRDefault="0098152D" w:rsidP="003511DB">
      <w:pPr>
        <w:pStyle w:val="SingleTxtG"/>
        <w:spacing w:before="240" w:after="0"/>
        <w:jc w:val="center"/>
      </w:pPr>
      <w:r>
        <w:rPr>
          <w:u w:val="single"/>
          <w:lang w:val="fr-FR"/>
        </w:rPr>
        <w:tab/>
      </w:r>
      <w:r>
        <w:rPr>
          <w:u w:val="single"/>
          <w:lang w:val="fr-FR"/>
        </w:rPr>
        <w:tab/>
      </w:r>
      <w:r>
        <w:rPr>
          <w:u w:val="single"/>
          <w:lang w:val="fr-FR"/>
        </w:rPr>
        <w:tab/>
      </w:r>
      <w:r>
        <w:rPr>
          <w:u w:val="single"/>
          <w:lang w:val="fr-FR"/>
        </w:rPr>
        <w:tab/>
      </w:r>
    </w:p>
    <w:p w14:paraId="58B244FA" w14:textId="77777777" w:rsidR="00730692" w:rsidRPr="008575FB" w:rsidRDefault="00730692" w:rsidP="00972778"/>
    <w:sectPr w:rsidR="00730692" w:rsidRPr="008575FB" w:rsidSect="00972778">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E5CD" w14:textId="77777777" w:rsidR="008342B0" w:rsidRDefault="008342B0" w:rsidP="00F95C08">
      <w:pPr>
        <w:spacing w:line="240" w:lineRule="auto"/>
      </w:pPr>
    </w:p>
  </w:endnote>
  <w:endnote w:type="continuationSeparator" w:id="0">
    <w:p w14:paraId="4CA6D1AC" w14:textId="77777777" w:rsidR="008342B0" w:rsidRPr="00AC3823" w:rsidRDefault="008342B0" w:rsidP="00AC3823">
      <w:pPr>
        <w:pStyle w:val="Footer"/>
      </w:pPr>
    </w:p>
  </w:endnote>
  <w:endnote w:type="continuationNotice" w:id="1">
    <w:p w14:paraId="7D27F84A" w14:textId="77777777" w:rsidR="008342B0" w:rsidRDefault="00834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7B7B" w14:textId="77777777" w:rsidR="008575FB" w:rsidRPr="008575FB" w:rsidRDefault="008575FB" w:rsidP="008575FB">
    <w:pPr>
      <w:pStyle w:val="Footer"/>
      <w:tabs>
        <w:tab w:val="right" w:pos="9638"/>
      </w:tabs>
      <w:rPr>
        <w:sz w:val="18"/>
      </w:rPr>
    </w:pPr>
    <w:r w:rsidRPr="008575FB">
      <w:rPr>
        <w:b/>
        <w:sz w:val="18"/>
      </w:rPr>
      <w:fldChar w:fldCharType="begin"/>
    </w:r>
    <w:r w:rsidRPr="008575FB">
      <w:rPr>
        <w:b/>
        <w:sz w:val="18"/>
      </w:rPr>
      <w:instrText xml:space="preserve"> PAGE  \* MERGEFORMAT </w:instrText>
    </w:r>
    <w:r w:rsidRPr="008575FB">
      <w:rPr>
        <w:b/>
        <w:sz w:val="18"/>
      </w:rPr>
      <w:fldChar w:fldCharType="separate"/>
    </w:r>
    <w:r w:rsidRPr="008575FB">
      <w:rPr>
        <w:b/>
        <w:noProof/>
        <w:sz w:val="18"/>
      </w:rPr>
      <w:t>2</w:t>
    </w:r>
    <w:r w:rsidRPr="008575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C8AC" w14:textId="77777777" w:rsidR="008575FB" w:rsidRPr="008575FB" w:rsidRDefault="008575FB" w:rsidP="008575FB">
    <w:pPr>
      <w:pStyle w:val="Footer"/>
      <w:tabs>
        <w:tab w:val="right" w:pos="9638"/>
      </w:tabs>
      <w:rPr>
        <w:b/>
        <w:sz w:val="18"/>
      </w:rPr>
    </w:pPr>
    <w:r>
      <w:tab/>
    </w:r>
    <w:r w:rsidRPr="008575FB">
      <w:rPr>
        <w:b/>
        <w:sz w:val="18"/>
      </w:rPr>
      <w:fldChar w:fldCharType="begin"/>
    </w:r>
    <w:r w:rsidRPr="008575FB">
      <w:rPr>
        <w:b/>
        <w:sz w:val="18"/>
      </w:rPr>
      <w:instrText xml:space="preserve"> PAGE  \* MERGEFORMAT </w:instrText>
    </w:r>
    <w:r w:rsidRPr="008575FB">
      <w:rPr>
        <w:b/>
        <w:sz w:val="18"/>
      </w:rPr>
      <w:fldChar w:fldCharType="separate"/>
    </w:r>
    <w:r w:rsidRPr="008575FB">
      <w:rPr>
        <w:b/>
        <w:noProof/>
        <w:sz w:val="18"/>
      </w:rPr>
      <w:t>3</w:t>
    </w:r>
    <w:r w:rsidRPr="008575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9FE4" w14:textId="77777777" w:rsidR="000D3EE9" w:rsidRPr="008575FB" w:rsidRDefault="000942EE" w:rsidP="0001207F">
    <w:pPr>
      <w:pStyle w:val="Footer"/>
      <w:spacing w:before="120"/>
      <w:rPr>
        <w:sz w:val="20"/>
      </w:rPr>
    </w:pPr>
    <w:r w:rsidRPr="000942EE">
      <w:rPr>
        <w:noProof/>
        <w:lang w:eastAsia="fr-CH"/>
      </w:rPr>
      <w:drawing>
        <wp:anchor distT="0" distB="0" distL="114300" distR="114300" simplePos="0" relativeHeight="251651072" behindDoc="0" locked="0" layoutInCell="1" allowOverlap="0" wp14:anchorId="24AC41B8" wp14:editId="7F61F72C">
          <wp:simplePos x="0" y="0"/>
          <wp:positionH relativeFrom="margin">
            <wp:posOffset>5004435</wp:posOffset>
          </wp:positionH>
          <wp:positionV relativeFrom="margin">
            <wp:posOffset>9324975</wp:posOffset>
          </wp:positionV>
          <wp:extent cx="1105200" cy="234000"/>
          <wp:effectExtent l="0" t="0" r="0" b="0"/>
          <wp:wrapNone/>
          <wp:docPr id="2"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F2AE" w14:textId="5E38B75B" w:rsidR="00972778" w:rsidRPr="00972778" w:rsidRDefault="00972778" w:rsidP="00972778">
    <w:pPr>
      <w:pStyle w:val="Footer"/>
    </w:pPr>
    <w:r>
      <w:rPr>
        <w:noProof/>
      </w:rPr>
      <mc:AlternateContent>
        <mc:Choice Requires="wps">
          <w:drawing>
            <wp:anchor distT="0" distB="0" distL="114300" distR="114300" simplePos="0" relativeHeight="251667456" behindDoc="0" locked="0" layoutInCell="1" allowOverlap="1" wp14:anchorId="40DF0B9B" wp14:editId="4A9A71EC">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D5240C" w14:textId="77777777" w:rsidR="00972778" w:rsidRPr="008575FB" w:rsidRDefault="00972778" w:rsidP="00972778">
                          <w:pPr>
                            <w:pStyle w:val="Footer"/>
                            <w:tabs>
                              <w:tab w:val="right" w:pos="9638"/>
                            </w:tabs>
                            <w:rPr>
                              <w:sz w:val="18"/>
                            </w:rPr>
                          </w:pP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4</w:t>
                          </w:r>
                          <w:r w:rsidRPr="008575FB">
                            <w:rPr>
                              <w:b/>
                              <w:sz w:val="18"/>
                            </w:rPr>
                            <w:fldChar w:fldCharType="end"/>
                          </w:r>
                          <w:r>
                            <w:rPr>
                              <w:sz w:val="18"/>
                            </w:rPr>
                            <w:tab/>
                          </w:r>
                        </w:p>
                        <w:p w14:paraId="4A2C286B" w14:textId="77777777" w:rsidR="00972778" w:rsidRDefault="009727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DF0B9B" id="_x0000_t202" coordsize="21600,21600" o:spt="202" path="m,l,21600r21600,l21600,xe">
              <v:stroke joinstyle="miter"/>
              <v:path gradientshapeok="t" o:connecttype="rect"/>
            </v:shapetype>
            <v:shape id="Text Box 7"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u5dGg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0D5240C" w14:textId="77777777" w:rsidR="00972778" w:rsidRPr="008575FB" w:rsidRDefault="00972778" w:rsidP="00972778">
                    <w:pPr>
                      <w:pStyle w:val="Footer"/>
                      <w:tabs>
                        <w:tab w:val="right" w:pos="9638"/>
                      </w:tabs>
                      <w:rPr>
                        <w:sz w:val="18"/>
                      </w:rPr>
                    </w:pP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4</w:t>
                    </w:r>
                    <w:r w:rsidRPr="008575FB">
                      <w:rPr>
                        <w:b/>
                        <w:sz w:val="18"/>
                      </w:rPr>
                      <w:fldChar w:fldCharType="end"/>
                    </w:r>
                    <w:r>
                      <w:rPr>
                        <w:sz w:val="18"/>
                      </w:rPr>
                      <w:tab/>
                    </w:r>
                  </w:p>
                  <w:p w14:paraId="4A2C286B" w14:textId="77777777" w:rsidR="00972778" w:rsidRDefault="0097277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29B0" w14:textId="20F5964E" w:rsidR="00972778" w:rsidRPr="00972778" w:rsidRDefault="00972778" w:rsidP="00972778">
    <w:pPr>
      <w:pStyle w:val="Footer"/>
    </w:pPr>
    <w:r>
      <w:rPr>
        <w:noProof/>
      </w:rPr>
      <mc:AlternateContent>
        <mc:Choice Requires="wps">
          <w:drawing>
            <wp:anchor distT="0" distB="0" distL="114300" distR="114300" simplePos="0" relativeHeight="251659264" behindDoc="0" locked="0" layoutInCell="1" allowOverlap="1" wp14:anchorId="0893FFDD" wp14:editId="55B58036">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4EC1A1" w14:textId="77777777" w:rsidR="00972778" w:rsidRPr="008575FB" w:rsidRDefault="00972778" w:rsidP="00972778">
                          <w:pPr>
                            <w:pStyle w:val="Footer"/>
                            <w:tabs>
                              <w:tab w:val="right" w:pos="9638"/>
                            </w:tabs>
                            <w:rPr>
                              <w:b/>
                              <w:sz w:val="18"/>
                            </w:rPr>
                          </w:pPr>
                          <w:r>
                            <w:tab/>
                          </w: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3</w:t>
                          </w:r>
                          <w:r w:rsidRPr="008575FB">
                            <w:rPr>
                              <w:b/>
                              <w:sz w:val="18"/>
                            </w:rPr>
                            <w:fldChar w:fldCharType="end"/>
                          </w:r>
                        </w:p>
                        <w:p w14:paraId="1274C5FA" w14:textId="77777777" w:rsidR="00972778" w:rsidRDefault="009727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93FFDD" id="_x0000_t202" coordsize="21600,21600" o:spt="202" path="m,l,21600r21600,l21600,xe">
              <v:stroke joinstyle="miter"/>
              <v:path gradientshapeok="t" o:connecttype="rect"/>
            </v:shapetype>
            <v:shape id="Text Box 5"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C4EC1A1" w14:textId="77777777" w:rsidR="00972778" w:rsidRPr="008575FB" w:rsidRDefault="00972778" w:rsidP="00972778">
                    <w:pPr>
                      <w:pStyle w:val="Footer"/>
                      <w:tabs>
                        <w:tab w:val="right" w:pos="9638"/>
                      </w:tabs>
                      <w:rPr>
                        <w:b/>
                        <w:sz w:val="18"/>
                      </w:rPr>
                    </w:pPr>
                    <w:r>
                      <w:tab/>
                    </w: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3</w:t>
                    </w:r>
                    <w:r w:rsidRPr="008575FB">
                      <w:rPr>
                        <w:b/>
                        <w:sz w:val="18"/>
                      </w:rPr>
                      <w:fldChar w:fldCharType="end"/>
                    </w:r>
                  </w:p>
                  <w:p w14:paraId="1274C5FA" w14:textId="77777777" w:rsidR="00972778" w:rsidRDefault="0097277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2E3B" w14:textId="77777777" w:rsidR="008342B0" w:rsidRPr="00AC3823" w:rsidRDefault="008342B0" w:rsidP="00AC3823">
      <w:pPr>
        <w:pStyle w:val="Footer"/>
        <w:tabs>
          <w:tab w:val="right" w:pos="2155"/>
        </w:tabs>
        <w:spacing w:after="80" w:line="240" w:lineRule="atLeast"/>
        <w:ind w:left="680"/>
        <w:rPr>
          <w:u w:val="single"/>
        </w:rPr>
      </w:pPr>
      <w:r>
        <w:rPr>
          <w:u w:val="single"/>
        </w:rPr>
        <w:tab/>
      </w:r>
    </w:p>
  </w:footnote>
  <w:footnote w:type="continuationSeparator" w:id="0">
    <w:p w14:paraId="5DE51C72" w14:textId="77777777" w:rsidR="008342B0" w:rsidRPr="00AC3823" w:rsidRDefault="008342B0" w:rsidP="00AC3823">
      <w:pPr>
        <w:pStyle w:val="Footer"/>
        <w:tabs>
          <w:tab w:val="right" w:pos="2155"/>
        </w:tabs>
        <w:spacing w:after="80" w:line="240" w:lineRule="atLeast"/>
        <w:ind w:left="680"/>
        <w:rPr>
          <w:u w:val="single"/>
        </w:rPr>
      </w:pPr>
      <w:r>
        <w:rPr>
          <w:u w:val="single"/>
        </w:rPr>
        <w:tab/>
      </w:r>
    </w:p>
  </w:footnote>
  <w:footnote w:type="continuationNotice" w:id="1">
    <w:p w14:paraId="298C37F3" w14:textId="77777777" w:rsidR="008342B0" w:rsidRPr="00AC3823" w:rsidRDefault="008342B0">
      <w:pPr>
        <w:spacing w:line="240" w:lineRule="auto"/>
        <w:rPr>
          <w:sz w:val="2"/>
          <w:szCs w:val="2"/>
        </w:rPr>
      </w:pPr>
    </w:p>
  </w:footnote>
  <w:footnote w:id="2">
    <w:p w14:paraId="786E1A6D" w14:textId="71B5FA05" w:rsidR="00CE0096" w:rsidRPr="00CE0096" w:rsidRDefault="00CE0096" w:rsidP="00CF60BB">
      <w:pPr>
        <w:pStyle w:val="FootnoteText"/>
      </w:pPr>
      <w:r>
        <w:rPr>
          <w:rStyle w:val="FootnoteReference"/>
        </w:rPr>
        <w:tab/>
      </w:r>
      <w:r w:rsidRPr="00CE0096">
        <w:rPr>
          <w:rStyle w:val="FootnoteReference"/>
          <w:sz w:val="20"/>
          <w:vertAlign w:val="baseline"/>
        </w:rPr>
        <w:t>*</w:t>
      </w:r>
      <w:r>
        <w:rPr>
          <w:rStyle w:val="FootnoteReference"/>
          <w:sz w:val="20"/>
          <w:vertAlign w:val="baseline"/>
        </w:rPr>
        <w:tab/>
      </w:r>
      <w:r w:rsidRPr="008374EF">
        <w:rPr>
          <w:sz w:val="16"/>
          <w:szCs w:val="16"/>
          <w:lang w:val="fr-FR"/>
        </w:rPr>
        <w:t>.</w:t>
      </w:r>
      <w:r w:rsidR="00D7359D" w:rsidRPr="00D7359D">
        <w:rPr>
          <w:sz w:val="16"/>
          <w:szCs w:val="16"/>
          <w:lang w:val="fr-FR"/>
        </w:rPr>
        <w:t xml:space="preserve"> </w:t>
      </w:r>
      <w:r w:rsidR="00D7359D" w:rsidRPr="00FC239B">
        <w:rPr>
          <w:sz w:val="16"/>
          <w:szCs w:val="16"/>
          <w:lang w:val="fr-FR"/>
        </w:rPr>
        <w:t>Diffusée en langue allemande par la Commission centrale pour la navigation du Rhin sous la cote CCNR-ZKR/ADN/WP.15/AC.2/2022/</w:t>
      </w:r>
      <w:r w:rsidR="00D7359D">
        <w:rPr>
          <w:sz w:val="16"/>
          <w:szCs w:val="16"/>
          <w:lang w:val="fr-FR"/>
        </w:rPr>
        <w:t>13</w:t>
      </w:r>
    </w:p>
  </w:footnote>
  <w:footnote w:id="3">
    <w:p w14:paraId="69FC57EB" w14:textId="77777777" w:rsidR="00CF60BB" w:rsidRPr="00CE0096" w:rsidRDefault="00CF60BB" w:rsidP="00CF60BB">
      <w:pPr>
        <w:pStyle w:val="FootnoteText"/>
      </w:pPr>
      <w:r>
        <w:rPr>
          <w:rStyle w:val="FootnoteReference"/>
        </w:rPr>
        <w:tab/>
      </w:r>
      <w:r w:rsidRPr="00834685">
        <w:rPr>
          <w:rStyle w:val="FootnoteReference"/>
          <w:sz w:val="20"/>
          <w:vertAlign w:val="baseline"/>
        </w:rPr>
        <w:t>**</w:t>
      </w:r>
      <w:r>
        <w:rPr>
          <w:rStyle w:val="FootnoteReference"/>
          <w:sz w:val="20"/>
          <w:vertAlign w:val="baseline"/>
        </w:rPr>
        <w:tab/>
      </w:r>
      <w:r w:rsidRPr="008374EF">
        <w:rPr>
          <w:sz w:val="16"/>
          <w:szCs w:val="16"/>
          <w:lang w:val="fr-FR"/>
        </w:rPr>
        <w:t>Conformément au programme de travail du Comité des transports intérieurs pour 2021 tel qu’il figure dans le projet de budget-programme pour 2021 (A/75/6 (Sect. 20), par. 20.51).</w:t>
      </w:r>
    </w:p>
    <w:p w14:paraId="49650DAB" w14:textId="10C5C10B" w:rsidR="00CF60BB" w:rsidRPr="00CF60BB" w:rsidRDefault="00CF60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76AB" w14:textId="03ED7821" w:rsidR="008575FB" w:rsidRPr="008575FB" w:rsidRDefault="008342B0">
    <w:pPr>
      <w:pStyle w:val="Header"/>
    </w:pPr>
    <w:r>
      <w:fldChar w:fldCharType="begin"/>
    </w:r>
    <w:r>
      <w:instrText xml:space="preserve"> TITLE  \* MERGEFORMAT </w:instrText>
    </w:r>
    <w:r>
      <w:fldChar w:fldCharType="separate"/>
    </w:r>
    <w:r w:rsidR="001910E2">
      <w:t>ECE/TRANS/WP.15/AC.2/2022/13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3A85" w14:textId="7DF6F110" w:rsidR="008575FB" w:rsidRPr="008575FB" w:rsidRDefault="008342B0" w:rsidP="008575FB">
    <w:pPr>
      <w:pStyle w:val="Header"/>
      <w:jc w:val="right"/>
    </w:pPr>
    <w:r>
      <w:fldChar w:fldCharType="begin"/>
    </w:r>
    <w:r>
      <w:instrText xml:space="preserve"> TITLE  \* MERGEFORMAT </w:instrText>
    </w:r>
    <w:r>
      <w:fldChar w:fldCharType="separate"/>
    </w:r>
    <w:r w:rsidR="001910E2">
      <w:t>ECE/TRANS/WP.15/AC.2/2022/13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12B3" w14:textId="65C8FABF" w:rsidR="00972778" w:rsidRPr="00972778" w:rsidRDefault="00972778" w:rsidP="00972778">
    <w:r>
      <w:rPr>
        <w:noProof/>
      </w:rPr>
      <mc:AlternateContent>
        <mc:Choice Requires="wps">
          <w:drawing>
            <wp:anchor distT="0" distB="0" distL="114300" distR="114300" simplePos="0" relativeHeight="251663360" behindDoc="0" locked="0" layoutInCell="1" allowOverlap="1" wp14:anchorId="6A484E85" wp14:editId="2EC93AF4">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567CF26" w14:textId="3E57951A" w:rsidR="00972778" w:rsidRPr="008575FB" w:rsidRDefault="006C089C" w:rsidP="00972778">
                          <w:pPr>
                            <w:pStyle w:val="Header"/>
                          </w:pPr>
                          <w:fldSimple w:instr=" TITLE  \* MERGEFORMAT ">
                            <w:r w:rsidR="001910E2">
                              <w:t>ECE/TRANS/WP.15/AC.2/2022/13</w:t>
                            </w:r>
                          </w:fldSimple>
                        </w:p>
                        <w:p w14:paraId="2E47CCBB" w14:textId="77777777" w:rsidR="00972778" w:rsidRDefault="009727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484E85" id="_x0000_t202" coordsize="21600,21600" o:spt="202" path="m,l,21600r21600,l21600,xe">
              <v:stroke joinstyle="miter"/>
              <v:path gradientshapeok="t" o:connecttype="rect"/>
            </v:shapetype>
            <v:shape id="Text Box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XSTwIAAKU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0OiV0k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3567CF26" w14:textId="3E57951A" w:rsidR="00972778" w:rsidRPr="008575FB" w:rsidRDefault="006C089C" w:rsidP="00972778">
                    <w:pPr>
                      <w:pStyle w:val="Header"/>
                    </w:pPr>
                    <w:fldSimple w:instr=" TITLE  \* MERGEFORMAT ">
                      <w:r w:rsidR="001910E2">
                        <w:t>ECE/TRANS/WP.15/AC.2/2022/13</w:t>
                      </w:r>
                    </w:fldSimple>
                  </w:p>
                  <w:p w14:paraId="2E47CCBB" w14:textId="77777777" w:rsidR="00972778" w:rsidRDefault="0097277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6EB7" w14:textId="4B037EFC" w:rsidR="00972778" w:rsidRPr="00972778" w:rsidRDefault="00972778" w:rsidP="00972778">
    <w:r>
      <w:rPr>
        <w:noProof/>
      </w:rPr>
      <mc:AlternateContent>
        <mc:Choice Requires="wps">
          <w:drawing>
            <wp:anchor distT="0" distB="0" distL="114300" distR="114300" simplePos="0" relativeHeight="251655168" behindDoc="0" locked="0" layoutInCell="1" allowOverlap="1" wp14:anchorId="602B6DF3" wp14:editId="69A11973">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2A8567" w14:textId="302FE604" w:rsidR="00972778" w:rsidRPr="008575FB" w:rsidRDefault="006C089C" w:rsidP="00972778">
                          <w:pPr>
                            <w:pStyle w:val="Header"/>
                            <w:jc w:val="right"/>
                          </w:pPr>
                          <w:fldSimple w:instr=" TITLE  \* MERGEFORMAT ">
                            <w:r w:rsidR="001910E2">
                              <w:t>ECE/TRANS/WP.15/AC.2/2022/13</w:t>
                            </w:r>
                          </w:fldSimple>
                        </w:p>
                        <w:p w14:paraId="2539A64B" w14:textId="77777777" w:rsidR="00972778" w:rsidRDefault="009727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2B6DF3" id="_x0000_t202" coordsize="21600,21600" o:spt="202" path="m,l,21600r21600,l21600,xe">
              <v:stroke joinstyle="miter"/>
              <v:path gradientshapeok="t" o:connecttype="rect"/>
            </v:shapetype>
            <v:shape id="Text Box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VBXoJ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122A8567" w14:textId="302FE604" w:rsidR="00972778" w:rsidRPr="008575FB" w:rsidRDefault="006C089C" w:rsidP="00972778">
                    <w:pPr>
                      <w:pStyle w:val="Header"/>
                      <w:jc w:val="right"/>
                    </w:pPr>
                    <w:fldSimple w:instr=" TITLE  \* MERGEFORMAT ">
                      <w:r w:rsidR="001910E2">
                        <w:t>ECE/TRANS/WP.15/AC.2/2022/13</w:t>
                      </w:r>
                    </w:fldSimple>
                  </w:p>
                  <w:p w14:paraId="2539A64B" w14:textId="77777777" w:rsidR="00972778" w:rsidRDefault="0097277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42957"/>
    <w:multiLevelType w:val="hybridMultilevel"/>
    <w:tmpl w:val="B49408B8"/>
    <w:lvl w:ilvl="0" w:tplc="A8F8A8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8F3F4D"/>
    <w:multiLevelType w:val="hybridMultilevel"/>
    <w:tmpl w:val="0720CE1A"/>
    <w:lvl w:ilvl="0" w:tplc="593CCA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2D3373"/>
    <w:multiLevelType w:val="hybridMultilevel"/>
    <w:tmpl w:val="E8B89D7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1F43F0"/>
    <w:multiLevelType w:val="hybridMultilevel"/>
    <w:tmpl w:val="1B001B8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FB"/>
    <w:rsid w:val="0001207F"/>
    <w:rsid w:val="00017F94"/>
    <w:rsid w:val="00023842"/>
    <w:rsid w:val="00027DC0"/>
    <w:rsid w:val="000334F9"/>
    <w:rsid w:val="0007796D"/>
    <w:rsid w:val="000942EE"/>
    <w:rsid w:val="000A52BF"/>
    <w:rsid w:val="000B7790"/>
    <w:rsid w:val="000C074B"/>
    <w:rsid w:val="000C350E"/>
    <w:rsid w:val="000D3EE9"/>
    <w:rsid w:val="000D62F3"/>
    <w:rsid w:val="00111F2F"/>
    <w:rsid w:val="001433FD"/>
    <w:rsid w:val="0014365E"/>
    <w:rsid w:val="001541D3"/>
    <w:rsid w:val="00176178"/>
    <w:rsid w:val="001910E2"/>
    <w:rsid w:val="001A064B"/>
    <w:rsid w:val="001A2831"/>
    <w:rsid w:val="001D400F"/>
    <w:rsid w:val="001F525A"/>
    <w:rsid w:val="00223272"/>
    <w:rsid w:val="00240333"/>
    <w:rsid w:val="0024779E"/>
    <w:rsid w:val="002832AC"/>
    <w:rsid w:val="002834A0"/>
    <w:rsid w:val="00293005"/>
    <w:rsid w:val="002D7C93"/>
    <w:rsid w:val="00343829"/>
    <w:rsid w:val="003511DB"/>
    <w:rsid w:val="0037241C"/>
    <w:rsid w:val="003C0E6F"/>
    <w:rsid w:val="003F64BA"/>
    <w:rsid w:val="00414148"/>
    <w:rsid w:val="00441C3B"/>
    <w:rsid w:val="00446B0A"/>
    <w:rsid w:val="00446FE5"/>
    <w:rsid w:val="00452396"/>
    <w:rsid w:val="0047264D"/>
    <w:rsid w:val="0047339F"/>
    <w:rsid w:val="00496291"/>
    <w:rsid w:val="004A151A"/>
    <w:rsid w:val="004E468C"/>
    <w:rsid w:val="004F2920"/>
    <w:rsid w:val="005316B0"/>
    <w:rsid w:val="00531E65"/>
    <w:rsid w:val="0054420D"/>
    <w:rsid w:val="005505B7"/>
    <w:rsid w:val="00564657"/>
    <w:rsid w:val="00573BE5"/>
    <w:rsid w:val="00586ED3"/>
    <w:rsid w:val="00596AA9"/>
    <w:rsid w:val="0065700C"/>
    <w:rsid w:val="006814DC"/>
    <w:rsid w:val="00684917"/>
    <w:rsid w:val="006B2AB4"/>
    <w:rsid w:val="006C089C"/>
    <w:rsid w:val="006E1EF0"/>
    <w:rsid w:val="006E2F73"/>
    <w:rsid w:val="00703D0F"/>
    <w:rsid w:val="00706363"/>
    <w:rsid w:val="0071601D"/>
    <w:rsid w:val="00730692"/>
    <w:rsid w:val="007A62E6"/>
    <w:rsid w:val="0080684C"/>
    <w:rsid w:val="008204DA"/>
    <w:rsid w:val="0083123A"/>
    <w:rsid w:val="008342B0"/>
    <w:rsid w:val="00834685"/>
    <w:rsid w:val="008575FB"/>
    <w:rsid w:val="00871C75"/>
    <w:rsid w:val="008767E8"/>
    <w:rsid w:val="008776DC"/>
    <w:rsid w:val="008E65FF"/>
    <w:rsid w:val="00915979"/>
    <w:rsid w:val="00915E16"/>
    <w:rsid w:val="00930279"/>
    <w:rsid w:val="0093193E"/>
    <w:rsid w:val="009705C8"/>
    <w:rsid w:val="00972778"/>
    <w:rsid w:val="0098152D"/>
    <w:rsid w:val="009C1CF4"/>
    <w:rsid w:val="009F02C9"/>
    <w:rsid w:val="00A30353"/>
    <w:rsid w:val="00A62D91"/>
    <w:rsid w:val="00A825A9"/>
    <w:rsid w:val="00A90D54"/>
    <w:rsid w:val="00AA113A"/>
    <w:rsid w:val="00AC3823"/>
    <w:rsid w:val="00AE323C"/>
    <w:rsid w:val="00B00181"/>
    <w:rsid w:val="00B00B0D"/>
    <w:rsid w:val="00B07F65"/>
    <w:rsid w:val="00B25283"/>
    <w:rsid w:val="00B30069"/>
    <w:rsid w:val="00B50957"/>
    <w:rsid w:val="00B50E25"/>
    <w:rsid w:val="00B64918"/>
    <w:rsid w:val="00B765F7"/>
    <w:rsid w:val="00BA095C"/>
    <w:rsid w:val="00BA0CA9"/>
    <w:rsid w:val="00BB76C1"/>
    <w:rsid w:val="00C02897"/>
    <w:rsid w:val="00C063F2"/>
    <w:rsid w:val="00C27A8D"/>
    <w:rsid w:val="00C60314"/>
    <w:rsid w:val="00C7616F"/>
    <w:rsid w:val="00CB16B5"/>
    <w:rsid w:val="00CC2037"/>
    <w:rsid w:val="00CE0096"/>
    <w:rsid w:val="00CE0608"/>
    <w:rsid w:val="00CF60BB"/>
    <w:rsid w:val="00D3439C"/>
    <w:rsid w:val="00D44CF3"/>
    <w:rsid w:val="00D70306"/>
    <w:rsid w:val="00D7359D"/>
    <w:rsid w:val="00DA6C5E"/>
    <w:rsid w:val="00DB1831"/>
    <w:rsid w:val="00DD3BFD"/>
    <w:rsid w:val="00DE33AC"/>
    <w:rsid w:val="00DF431C"/>
    <w:rsid w:val="00DF6678"/>
    <w:rsid w:val="00E939CE"/>
    <w:rsid w:val="00EF2E22"/>
    <w:rsid w:val="00F0592C"/>
    <w:rsid w:val="00F43289"/>
    <w:rsid w:val="00F620F4"/>
    <w:rsid w:val="00F660DF"/>
    <w:rsid w:val="00F95C08"/>
    <w:rsid w:val="00FD4D17"/>
    <w:rsid w:val="00FF39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45030"/>
  <w15:docId w15:val="{613BB34F-D01E-4531-BFDF-3C908B4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 w:type="character" w:customStyle="1" w:styleId="H1GChar">
    <w:name w:val="_ H_1_G Char"/>
    <w:link w:val="H1G"/>
    <w:uiPriority w:val="99"/>
    <w:locked/>
    <w:rsid w:val="006B2AB4"/>
    <w:rPr>
      <w:b/>
      <w:sz w:val="24"/>
    </w:rPr>
  </w:style>
  <w:style w:type="character" w:styleId="CommentReference">
    <w:name w:val="annotation reference"/>
    <w:basedOn w:val="DefaultParagraphFont"/>
    <w:uiPriority w:val="99"/>
    <w:semiHidden/>
    <w:unhideWhenUsed/>
    <w:rsid w:val="00496291"/>
    <w:rPr>
      <w:sz w:val="16"/>
      <w:szCs w:val="16"/>
    </w:rPr>
  </w:style>
  <w:style w:type="paragraph" w:styleId="CommentText">
    <w:name w:val="annotation text"/>
    <w:basedOn w:val="Normal"/>
    <w:link w:val="CommentTextChar"/>
    <w:uiPriority w:val="99"/>
    <w:semiHidden/>
    <w:unhideWhenUsed/>
    <w:rsid w:val="00496291"/>
    <w:pPr>
      <w:spacing w:line="240" w:lineRule="auto"/>
    </w:pPr>
  </w:style>
  <w:style w:type="character" w:customStyle="1" w:styleId="CommentTextChar">
    <w:name w:val="Comment Text Char"/>
    <w:basedOn w:val="DefaultParagraphFont"/>
    <w:link w:val="CommentText"/>
    <w:uiPriority w:val="99"/>
    <w:semiHidden/>
    <w:rsid w:val="00496291"/>
  </w:style>
  <w:style w:type="paragraph" w:styleId="CommentSubject">
    <w:name w:val="annotation subject"/>
    <w:basedOn w:val="CommentText"/>
    <w:next w:val="CommentText"/>
    <w:link w:val="CommentSubjectChar"/>
    <w:uiPriority w:val="99"/>
    <w:semiHidden/>
    <w:unhideWhenUsed/>
    <w:rsid w:val="00496291"/>
    <w:rPr>
      <w:b/>
      <w:bCs/>
    </w:rPr>
  </w:style>
  <w:style w:type="character" w:customStyle="1" w:styleId="CommentSubjectChar">
    <w:name w:val="Comment Subject Char"/>
    <w:basedOn w:val="CommentTextChar"/>
    <w:link w:val="CommentSubject"/>
    <w:uiPriority w:val="99"/>
    <w:semiHidden/>
    <w:rsid w:val="00496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24195-D6CA-499C-B310-1609880A7A62}">
  <ds:schemaRefs>
    <ds:schemaRef ds:uri="http://schemas.openxmlformats.org/officeDocument/2006/bibliography"/>
  </ds:schemaRefs>
</ds:datastoreItem>
</file>

<file path=customXml/itemProps2.xml><?xml version="1.0" encoding="utf-8"?>
<ds:datastoreItem xmlns:ds="http://schemas.openxmlformats.org/officeDocument/2006/customXml" ds:itemID="{4FB467EB-B831-4D66-B72F-AF8A8AE4A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08D16-DFC9-4C00-B154-99498A7D21EA}">
  <ds:schemaRefs>
    <ds:schemaRef ds:uri="http://schemas.microsoft.com/sharepoint/v3/contenttype/forms"/>
  </ds:schemaRefs>
</ds:datastoreItem>
</file>

<file path=customXml/itemProps4.xml><?xml version="1.0" encoding="utf-8"?>
<ds:datastoreItem xmlns:ds="http://schemas.openxmlformats.org/officeDocument/2006/customXml" ds:itemID="{CA063515-B0DD-441E-BE90-103E22D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ECE_F.dotm</Template>
  <TotalTime>5</TotalTime>
  <Pages>3</Pages>
  <Words>931</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ECE/TRANS/WP.15/AC.2/2022/13</dc:title>
  <dc:subject>FINAL</dc:subject>
  <dc:creator>Nadiya Dzyubynska</dc:creator>
  <cp:keywords/>
  <dc:description/>
  <cp:lastModifiedBy>Nadiya Dzyubynska</cp:lastModifiedBy>
  <cp:revision>9</cp:revision>
  <cp:lastPrinted>2021-11-16T18:50:00Z</cp:lastPrinted>
  <dcterms:created xsi:type="dcterms:W3CDTF">2021-11-10T22:53:00Z</dcterms:created>
  <dcterms:modified xsi:type="dcterms:W3CDTF">2021-11-16T18:50:00Z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