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0599" w14:textId="5CDE4488" w:rsidR="00881C09" w:rsidRPr="00951042" w:rsidRDefault="00881C09" w:rsidP="00881C09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 w:bidi="fr-FR"/>
        </w:rPr>
      </w:pPr>
      <w:r w:rsidRPr="00951042">
        <w:rPr>
          <w:rFonts w:ascii="Arial" w:eastAsia="Arial" w:hAnsi="Arial" w:cs="Arial"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9681C8F" wp14:editId="1A1C62D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042">
        <w:rPr>
          <w:rFonts w:ascii="Arial" w:eastAsia="Arial" w:hAnsi="Arial" w:cs="Arial"/>
          <w:bCs/>
          <w:szCs w:val="24"/>
          <w:lang w:eastAsia="de-DE"/>
        </w:rPr>
        <w:t>CCNR-ZKR/ADN/WP.15/AC.2/2022/</w:t>
      </w:r>
      <w:r w:rsidR="00DC29DD" w:rsidRPr="00951042">
        <w:rPr>
          <w:rFonts w:ascii="Arial" w:eastAsia="Arial" w:hAnsi="Arial" w:cs="Arial"/>
          <w:bCs/>
          <w:szCs w:val="24"/>
          <w:lang w:eastAsia="de-DE"/>
        </w:rPr>
        <w:t>1</w:t>
      </w:r>
      <w:r w:rsidR="000716A4" w:rsidRPr="00951042">
        <w:rPr>
          <w:rFonts w:ascii="Arial" w:eastAsia="Arial" w:hAnsi="Arial" w:cs="Arial"/>
          <w:bCs/>
          <w:szCs w:val="24"/>
          <w:lang w:eastAsia="de-DE"/>
        </w:rPr>
        <w:t>4</w:t>
      </w:r>
    </w:p>
    <w:p w14:paraId="492FBF89" w14:textId="77777777" w:rsidR="00881C09" w:rsidRPr="00951042" w:rsidRDefault="00881C09" w:rsidP="00FB5E16">
      <w:pPr>
        <w:widowControl/>
        <w:tabs>
          <w:tab w:val="left" w:pos="5670"/>
        </w:tabs>
        <w:overflowPunct/>
        <w:autoSpaceDE/>
        <w:autoSpaceDN/>
        <w:adjustRightInd/>
        <w:snapToGrid w:val="0"/>
        <w:spacing w:after="4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951042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47D3B579" w14:textId="4FFE8961" w:rsidR="00881C09" w:rsidRPr="00951042" w:rsidRDefault="00E17434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951042">
        <w:rPr>
          <w:rFonts w:ascii="Arial" w:eastAsia="Arial" w:hAnsi="Arial" w:cs="Arial"/>
          <w:szCs w:val="24"/>
          <w:lang w:eastAsia="de-DE"/>
        </w:rPr>
        <w:t>15</w:t>
      </w:r>
      <w:r w:rsidR="00881C09" w:rsidRPr="00951042">
        <w:rPr>
          <w:rFonts w:ascii="Arial" w:eastAsia="Arial" w:hAnsi="Arial" w:cs="Arial"/>
          <w:szCs w:val="24"/>
          <w:lang w:eastAsia="de-DE"/>
        </w:rPr>
        <w:t xml:space="preserve">. </w:t>
      </w:r>
      <w:r w:rsidRPr="00951042">
        <w:rPr>
          <w:rFonts w:ascii="Arial" w:eastAsia="Arial" w:hAnsi="Arial" w:cs="Arial"/>
          <w:szCs w:val="24"/>
          <w:lang w:eastAsia="de-DE"/>
        </w:rPr>
        <w:t>November</w:t>
      </w:r>
      <w:r w:rsidR="00881C09" w:rsidRPr="00951042">
        <w:rPr>
          <w:rFonts w:ascii="Arial" w:eastAsia="Arial" w:hAnsi="Arial" w:cs="Arial"/>
          <w:szCs w:val="24"/>
          <w:lang w:eastAsia="de-DE"/>
        </w:rPr>
        <w:t xml:space="preserve"> 2021</w:t>
      </w:r>
    </w:p>
    <w:p w14:paraId="1FE5C078" w14:textId="25421C9C" w:rsidR="00881C09" w:rsidRPr="00951042" w:rsidRDefault="00881C09" w:rsidP="00881C0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951042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951042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E17434" w:rsidRPr="00951042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4C158972" w14:textId="77777777" w:rsidR="00881C09" w:rsidRPr="00951042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146A9AF" w14:textId="77777777" w:rsidR="00881C09" w:rsidRPr="00951042" w:rsidRDefault="00881C09" w:rsidP="00881C0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EE8A585" w14:textId="77777777" w:rsidR="00881C09" w:rsidRPr="00951042" w:rsidRDefault="00881C09" w:rsidP="00881C09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7E22BE66" w14:textId="77777777" w:rsidR="00881C09" w:rsidRPr="00951042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951042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951042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951042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15EF3C27" w14:textId="77777777" w:rsidR="00881C09" w:rsidRPr="00951042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951042">
        <w:rPr>
          <w:rFonts w:ascii="Arial" w:hAnsi="Arial"/>
          <w:sz w:val="16"/>
          <w:szCs w:val="24"/>
        </w:rPr>
        <w:t>(39. Tagung, Genf, 24. – 28. Januar 2022)</w:t>
      </w:r>
    </w:p>
    <w:p w14:paraId="15E369A1" w14:textId="4629B717" w:rsidR="00881C09" w:rsidRPr="00951042" w:rsidRDefault="00881C09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951042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0716A4" w:rsidRPr="00951042">
        <w:rPr>
          <w:rFonts w:ascii="Arial" w:hAnsi="Arial" w:cs="Arial"/>
          <w:sz w:val="16"/>
          <w:szCs w:val="16"/>
          <w:lang w:eastAsia="en-US"/>
        </w:rPr>
        <w:t>8</w:t>
      </w:r>
      <w:r w:rsidRPr="00951042">
        <w:rPr>
          <w:rFonts w:ascii="Arial" w:hAnsi="Arial" w:cs="Arial"/>
          <w:sz w:val="16"/>
          <w:szCs w:val="16"/>
          <w:lang w:eastAsia="en-US"/>
        </w:rPr>
        <w:t xml:space="preserve">) </w:t>
      </w:r>
      <w:r w:rsidR="00C35FD1" w:rsidRPr="00951042">
        <w:rPr>
          <w:rFonts w:ascii="Arial" w:hAnsi="Arial" w:cs="Arial"/>
          <w:sz w:val="16"/>
          <w:szCs w:val="16"/>
          <w:lang w:eastAsia="en-US"/>
        </w:rPr>
        <w:t>de</w:t>
      </w:r>
      <w:r w:rsidRPr="00951042">
        <w:rPr>
          <w:rFonts w:ascii="Arial" w:hAnsi="Arial" w:cs="Arial"/>
          <w:sz w:val="16"/>
          <w:szCs w:val="16"/>
          <w:lang w:eastAsia="en-US"/>
        </w:rPr>
        <w:t>r vorläufigen Tagesordnung</w:t>
      </w:r>
    </w:p>
    <w:p w14:paraId="00A9E827" w14:textId="15698DE7" w:rsidR="000716A4" w:rsidRPr="00951042" w:rsidRDefault="000716A4" w:rsidP="00881C0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951042">
        <w:rPr>
          <w:rFonts w:ascii="Arial" w:hAnsi="Arial" w:cs="Arial"/>
          <w:b/>
          <w:bCs/>
          <w:sz w:val="16"/>
          <w:szCs w:val="16"/>
          <w:lang w:eastAsia="en-US"/>
        </w:rPr>
        <w:t>Verschiedenes</w:t>
      </w:r>
    </w:p>
    <w:p w14:paraId="18175ED3" w14:textId="7DB17500" w:rsidR="000716A4" w:rsidRPr="00951042" w:rsidRDefault="00C951AF" w:rsidP="000716A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951042">
        <w:rPr>
          <w:lang w:eastAsia="en-US"/>
        </w:rPr>
        <w:tab/>
      </w:r>
      <w:r w:rsidRPr="00951042">
        <w:rPr>
          <w:lang w:eastAsia="en-US"/>
        </w:rPr>
        <w:tab/>
      </w:r>
      <w:r w:rsidR="004934D9" w:rsidRPr="00951042">
        <w:rPr>
          <w:b/>
          <w:sz w:val="28"/>
        </w:rPr>
        <w:t xml:space="preserve">Instruktion für die Lade- und Löschraten </w:t>
      </w:r>
      <w:r w:rsidR="00DF4FEE" w:rsidRPr="00951042">
        <w:rPr>
          <w:b/>
          <w:sz w:val="28"/>
        </w:rPr>
        <w:t>–</w:t>
      </w:r>
      <w:r w:rsidR="000716A4" w:rsidRPr="00951042">
        <w:rPr>
          <w:b/>
          <w:sz w:val="28"/>
        </w:rPr>
        <w:t xml:space="preserve"> </w:t>
      </w:r>
      <w:bookmarkStart w:id="0" w:name="_Hlk88061081"/>
      <w:r w:rsidR="004934D9" w:rsidRPr="00951042">
        <w:rPr>
          <w:b/>
          <w:sz w:val="28"/>
        </w:rPr>
        <w:t xml:space="preserve">Entwurf der Aufgabenstellung </w:t>
      </w:r>
      <w:bookmarkEnd w:id="0"/>
      <w:r w:rsidR="004934D9" w:rsidRPr="00951042">
        <w:rPr>
          <w:b/>
          <w:sz w:val="28"/>
        </w:rPr>
        <w:t>für die informelle Arbeitsgruppe</w:t>
      </w:r>
    </w:p>
    <w:p w14:paraId="70A10A7C" w14:textId="7F52C795" w:rsidR="00C951AF" w:rsidRPr="00951042" w:rsidRDefault="00C951AF" w:rsidP="00E020D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951042">
        <w:rPr>
          <w:b/>
          <w:sz w:val="24"/>
          <w:lang w:eastAsia="en-US"/>
        </w:rPr>
        <w:tab/>
      </w:r>
      <w:r w:rsidRPr="00951042">
        <w:rPr>
          <w:b/>
          <w:sz w:val="24"/>
          <w:lang w:eastAsia="en-US"/>
        </w:rPr>
        <w:tab/>
        <w:t xml:space="preserve">Eingereicht von </w:t>
      </w:r>
      <w:r w:rsidR="00E17434" w:rsidRPr="00951042">
        <w:rPr>
          <w:b/>
          <w:sz w:val="24"/>
          <w:lang w:eastAsia="en-US"/>
        </w:rPr>
        <w:t>den Niederlanden</w:t>
      </w:r>
      <w:r w:rsidRPr="00951042">
        <w:rPr>
          <w:bCs/>
          <w:lang w:eastAsia="en-US"/>
        </w:rPr>
        <w:footnoteReference w:customMarkFollows="1" w:id="1"/>
        <w:t>*</w:t>
      </w:r>
      <w:r w:rsidRPr="00951042">
        <w:rPr>
          <w:bCs/>
          <w:vertAlign w:val="superscript"/>
          <w:lang w:eastAsia="en-US"/>
        </w:rPr>
        <w:t>,</w:t>
      </w:r>
      <w:r w:rsidRPr="00951042">
        <w:rPr>
          <w:b/>
          <w:vertAlign w:val="superscript"/>
          <w:lang w:eastAsia="en-US"/>
        </w:rPr>
        <w:t xml:space="preserve"> </w:t>
      </w:r>
      <w:r w:rsidRPr="00951042">
        <w:rPr>
          <w:bCs/>
          <w:lang w:eastAsia="en-US"/>
        </w:rPr>
        <w:footnoteReference w:customMarkFollows="1" w:id="2"/>
        <w:t>**</w:t>
      </w:r>
    </w:p>
    <w:tbl>
      <w:tblPr>
        <w:tblStyle w:val="Grilledutableau2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062"/>
      </w:tblGrid>
      <w:tr w:rsidR="000716A4" w:rsidRPr="00951042" w14:paraId="466D5713" w14:textId="77777777" w:rsidTr="00C35FD1">
        <w:trPr>
          <w:trHeight w:val="240"/>
          <w:jc w:val="center"/>
        </w:trPr>
        <w:tc>
          <w:tcPr>
            <w:tcW w:w="9062" w:type="dxa"/>
            <w:shd w:val="clear" w:color="auto" w:fill="auto"/>
          </w:tcPr>
          <w:p w14:paraId="6B0AA909" w14:textId="2F231E4E" w:rsidR="000716A4" w:rsidRPr="00951042" w:rsidRDefault="000716A4" w:rsidP="000716A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after="120"/>
              <w:ind w:left="2835" w:right="142" w:hanging="2835"/>
              <w:jc w:val="left"/>
              <w:textAlignment w:val="auto"/>
              <w:rPr>
                <w:i/>
                <w:sz w:val="24"/>
                <w:lang w:val="de-DE"/>
              </w:rPr>
            </w:pPr>
            <w:r w:rsidRPr="00951042">
              <w:rPr>
                <w:i/>
                <w:sz w:val="24"/>
                <w:lang w:val="de-DE"/>
              </w:rPr>
              <w:t xml:space="preserve"> Zusammenfassung</w:t>
            </w:r>
          </w:p>
          <w:p w14:paraId="3FAA374D" w14:textId="748A9503" w:rsidR="000716A4" w:rsidRPr="00951042" w:rsidRDefault="000716A4" w:rsidP="00C35FD1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after="120"/>
              <w:ind w:left="2835" w:right="142" w:hanging="2835"/>
              <w:jc w:val="left"/>
              <w:textAlignment w:val="auto"/>
              <w:rPr>
                <w:bCs/>
                <w:lang w:val="de-DE" w:eastAsia="en-US"/>
              </w:rPr>
            </w:pPr>
            <w:r w:rsidRPr="00951042">
              <w:rPr>
                <w:b/>
                <w:lang w:val="de-DE" w:eastAsia="en-US"/>
              </w:rPr>
              <w:t xml:space="preserve"> Analytische Zusammenfassung:</w:t>
            </w:r>
            <w:r w:rsidRPr="00951042">
              <w:rPr>
                <w:b/>
                <w:lang w:val="de-DE" w:eastAsia="en-US"/>
              </w:rPr>
              <w:tab/>
            </w:r>
            <w:r w:rsidR="00C35FD1" w:rsidRPr="00951042">
              <w:rPr>
                <w:bCs/>
                <w:lang w:val="de-DE" w:eastAsia="en-US"/>
              </w:rPr>
              <w:t>Der Entwurf der Aufgabenstellung für die informelle Arbeitsgruppe „Instruktion für die Lade- und Löschraten</w:t>
            </w:r>
            <w:r w:rsidR="00031F09" w:rsidRPr="00951042">
              <w:rPr>
                <w:bCs/>
                <w:lang w:val="de-DE" w:eastAsia="en-US"/>
              </w:rPr>
              <w:t>“</w:t>
            </w:r>
            <w:r w:rsidR="00C35FD1" w:rsidRPr="00951042">
              <w:rPr>
                <w:bCs/>
                <w:lang w:val="de-DE" w:eastAsia="en-US"/>
              </w:rPr>
              <w:t xml:space="preserve"> wurde auf einer Online-Sitzung festgelegt.</w:t>
            </w:r>
          </w:p>
          <w:p w14:paraId="00185E97" w14:textId="7E08E98D" w:rsidR="000716A4" w:rsidRPr="00951042" w:rsidRDefault="000716A4" w:rsidP="000716A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after="120"/>
              <w:ind w:left="2835" w:right="142" w:hanging="2835"/>
              <w:jc w:val="left"/>
              <w:textAlignment w:val="auto"/>
              <w:rPr>
                <w:b/>
                <w:lang w:val="de-DE" w:eastAsia="en-US"/>
              </w:rPr>
            </w:pPr>
            <w:r w:rsidRPr="00951042">
              <w:rPr>
                <w:b/>
                <w:lang w:val="de-DE" w:eastAsia="en-US"/>
              </w:rPr>
              <w:t xml:space="preserve"> Zu ergreifende Maßnahme:</w:t>
            </w:r>
            <w:r w:rsidRPr="00951042">
              <w:rPr>
                <w:b/>
                <w:lang w:val="de-DE" w:eastAsia="en-US"/>
              </w:rPr>
              <w:tab/>
            </w:r>
            <w:r w:rsidR="008E1F19" w:rsidRPr="00951042">
              <w:rPr>
                <w:bCs/>
                <w:lang w:val="de-DE" w:eastAsia="en-US"/>
              </w:rPr>
              <w:t>Der ADN-Sicherheitsausschuss wird ersucht, den Entwurf der Aufgabenstellung zu prüfen und die aus seiner Sicht notwendigen Maßnahmen zu ergreifen.</w:t>
            </w:r>
          </w:p>
          <w:p w14:paraId="41F1839F" w14:textId="6659F8A7" w:rsidR="000716A4" w:rsidRPr="00951042" w:rsidRDefault="000716A4" w:rsidP="000716A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ind w:left="2835" w:right="142" w:hanging="2835"/>
              <w:jc w:val="left"/>
              <w:textAlignment w:val="auto"/>
              <w:rPr>
                <w:bCs/>
                <w:lang w:val="de-DE" w:eastAsia="en-US"/>
              </w:rPr>
            </w:pPr>
            <w:r w:rsidRPr="00951042">
              <w:rPr>
                <w:b/>
                <w:lang w:val="de-DE" w:eastAsia="en-US"/>
              </w:rPr>
              <w:t xml:space="preserve"> </w:t>
            </w:r>
            <w:r w:rsidR="00D05EC4" w:rsidRPr="00951042">
              <w:rPr>
                <w:b/>
                <w:lang w:val="de-DE" w:eastAsia="en-US"/>
              </w:rPr>
              <w:t>Verbundene Dokumente</w:t>
            </w:r>
            <w:r w:rsidRPr="00951042">
              <w:rPr>
                <w:b/>
                <w:lang w:val="de-DE" w:eastAsia="en-US"/>
              </w:rPr>
              <w:t>:</w:t>
            </w:r>
            <w:r w:rsidRPr="00951042">
              <w:rPr>
                <w:b/>
                <w:lang w:val="de-DE" w:eastAsia="en-US"/>
              </w:rPr>
              <w:tab/>
            </w:r>
            <w:r w:rsidR="00D05EC4" w:rsidRPr="00951042">
              <w:rPr>
                <w:bCs/>
                <w:lang w:val="de-DE" w:eastAsia="en-US"/>
              </w:rPr>
              <w:t>Informelles Dokument</w:t>
            </w:r>
            <w:r w:rsidRPr="00951042">
              <w:rPr>
                <w:bCs/>
                <w:lang w:val="de-DE" w:eastAsia="en-US"/>
              </w:rPr>
              <w:t xml:space="preserve"> INF.12 </w:t>
            </w:r>
            <w:r w:rsidR="00D05EC4" w:rsidRPr="00951042">
              <w:rPr>
                <w:bCs/>
                <w:lang w:val="de-DE" w:eastAsia="en-US"/>
              </w:rPr>
              <w:t>der vierunddreißigsten Sitzung</w:t>
            </w:r>
            <w:r w:rsidRPr="00951042">
              <w:rPr>
                <w:bCs/>
                <w:lang w:val="de-DE" w:eastAsia="en-US"/>
              </w:rPr>
              <w:t>;</w:t>
            </w:r>
          </w:p>
          <w:p w14:paraId="69535083" w14:textId="119F99F9" w:rsidR="000716A4" w:rsidRPr="00951042" w:rsidRDefault="000716A4" w:rsidP="000716A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ind w:left="2835" w:right="139" w:firstLine="0"/>
              <w:jc w:val="left"/>
              <w:textAlignment w:val="auto"/>
              <w:rPr>
                <w:bCs/>
                <w:lang w:val="de-DE" w:eastAsia="en-US"/>
              </w:rPr>
            </w:pPr>
            <w:r w:rsidRPr="00951042">
              <w:rPr>
                <w:bCs/>
                <w:lang w:val="de-DE" w:eastAsia="en-US"/>
              </w:rPr>
              <w:t>ECE/TRANS/WP.15/AC.2/70 (</w:t>
            </w:r>
            <w:r w:rsidR="00C35FD1" w:rsidRPr="00951042">
              <w:rPr>
                <w:bCs/>
                <w:lang w:val="de-DE" w:eastAsia="en-US"/>
              </w:rPr>
              <w:t>Absätze</w:t>
            </w:r>
            <w:r w:rsidRPr="00951042">
              <w:rPr>
                <w:bCs/>
                <w:lang w:val="de-DE" w:eastAsia="en-US"/>
              </w:rPr>
              <w:t xml:space="preserve"> 16-17);</w:t>
            </w:r>
          </w:p>
          <w:p w14:paraId="3C44B2B1" w14:textId="382D9B90" w:rsidR="000716A4" w:rsidRPr="00951042" w:rsidRDefault="00D05EC4" w:rsidP="000716A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ind w:left="2835" w:right="139" w:firstLine="0"/>
              <w:jc w:val="left"/>
              <w:textAlignment w:val="auto"/>
              <w:rPr>
                <w:bCs/>
                <w:lang w:val="de-DE" w:eastAsia="en-US"/>
              </w:rPr>
            </w:pPr>
            <w:r w:rsidRPr="00951042">
              <w:rPr>
                <w:bCs/>
                <w:lang w:val="de-DE" w:eastAsia="en-US"/>
              </w:rPr>
              <w:t>Informelles Dokument</w:t>
            </w:r>
            <w:r w:rsidR="000716A4" w:rsidRPr="00951042">
              <w:rPr>
                <w:bCs/>
                <w:lang w:val="de-DE" w:eastAsia="en-US"/>
              </w:rPr>
              <w:t xml:space="preserve"> INF.9 </w:t>
            </w:r>
            <w:r w:rsidRPr="00951042">
              <w:rPr>
                <w:bCs/>
                <w:lang w:val="de-DE" w:eastAsia="en-US"/>
              </w:rPr>
              <w:t>der fünfunddreißigsten Sitzung</w:t>
            </w:r>
            <w:r w:rsidR="000716A4" w:rsidRPr="00951042">
              <w:rPr>
                <w:bCs/>
                <w:lang w:val="de-DE" w:eastAsia="en-US"/>
              </w:rPr>
              <w:t>;</w:t>
            </w:r>
          </w:p>
          <w:p w14:paraId="328808DE" w14:textId="68A5E202" w:rsidR="000716A4" w:rsidRPr="00951042" w:rsidRDefault="000716A4" w:rsidP="000716A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ind w:left="2835" w:right="139" w:firstLine="0"/>
              <w:jc w:val="left"/>
              <w:textAlignment w:val="auto"/>
              <w:rPr>
                <w:bCs/>
                <w:lang w:val="de-DE" w:eastAsia="en-US"/>
              </w:rPr>
            </w:pPr>
            <w:r w:rsidRPr="00951042">
              <w:rPr>
                <w:bCs/>
                <w:lang w:val="de-DE" w:eastAsia="en-US"/>
              </w:rPr>
              <w:t>ECE/TRANS/WP.15/AC.2/72 (</w:t>
            </w:r>
            <w:r w:rsidR="0040167A" w:rsidRPr="00951042">
              <w:rPr>
                <w:bCs/>
                <w:lang w:val="de-DE" w:eastAsia="en-US"/>
              </w:rPr>
              <w:t>Absätze</w:t>
            </w:r>
            <w:r w:rsidRPr="00951042">
              <w:rPr>
                <w:bCs/>
                <w:lang w:val="de-DE" w:eastAsia="en-US"/>
              </w:rPr>
              <w:t xml:space="preserve"> 14-16);</w:t>
            </w:r>
          </w:p>
          <w:p w14:paraId="27C8FAF3" w14:textId="77777777" w:rsidR="000716A4" w:rsidRPr="00951042" w:rsidRDefault="000716A4" w:rsidP="000716A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ind w:left="2835" w:right="139" w:firstLine="0"/>
              <w:jc w:val="left"/>
              <w:textAlignment w:val="auto"/>
              <w:rPr>
                <w:bCs/>
                <w:lang w:val="de-DE" w:eastAsia="en-US"/>
              </w:rPr>
            </w:pPr>
            <w:r w:rsidRPr="00951042">
              <w:rPr>
                <w:bCs/>
                <w:lang w:val="de-DE" w:eastAsia="en-US"/>
              </w:rPr>
              <w:t>ECE/TRANS/WP.15/AC.2/2020/37;</w:t>
            </w:r>
          </w:p>
          <w:p w14:paraId="64500EFF" w14:textId="252F8620" w:rsidR="000716A4" w:rsidRPr="00951042" w:rsidRDefault="000716A4" w:rsidP="000716A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ind w:left="2835" w:right="139" w:firstLine="0"/>
              <w:jc w:val="left"/>
              <w:textAlignment w:val="auto"/>
              <w:rPr>
                <w:bCs/>
                <w:lang w:val="de-DE" w:eastAsia="en-US"/>
              </w:rPr>
            </w:pPr>
            <w:r w:rsidRPr="00951042">
              <w:rPr>
                <w:bCs/>
                <w:lang w:val="de-DE" w:eastAsia="en-US"/>
              </w:rPr>
              <w:t>ECE/TRANS/WP.15/AC.2/76 (</w:t>
            </w:r>
            <w:r w:rsidR="0040167A" w:rsidRPr="00951042">
              <w:rPr>
                <w:bCs/>
                <w:lang w:val="de-DE" w:eastAsia="en-US"/>
              </w:rPr>
              <w:t>Absätze</w:t>
            </w:r>
            <w:r w:rsidRPr="00951042">
              <w:rPr>
                <w:bCs/>
                <w:lang w:val="de-DE" w:eastAsia="en-US"/>
              </w:rPr>
              <w:t xml:space="preserve"> 71-72);</w:t>
            </w:r>
          </w:p>
          <w:p w14:paraId="6E5C3ADB" w14:textId="77777777" w:rsidR="000716A4" w:rsidRPr="00951042" w:rsidRDefault="000716A4" w:rsidP="000716A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ind w:left="2835" w:right="139" w:firstLine="0"/>
              <w:jc w:val="left"/>
              <w:textAlignment w:val="auto"/>
              <w:rPr>
                <w:bCs/>
                <w:lang w:val="de-DE" w:eastAsia="en-US"/>
              </w:rPr>
            </w:pPr>
            <w:r w:rsidRPr="00951042">
              <w:rPr>
                <w:bCs/>
                <w:lang w:val="de-DE" w:eastAsia="en-US"/>
              </w:rPr>
              <w:t>ECE TRANS/WP15/AC.2/2021/26;</w:t>
            </w:r>
          </w:p>
          <w:p w14:paraId="634AC4D0" w14:textId="4E3E90B1" w:rsidR="000716A4" w:rsidRPr="00951042" w:rsidRDefault="000716A4" w:rsidP="000716A4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ind w:left="2835" w:right="139" w:firstLine="0"/>
              <w:jc w:val="left"/>
              <w:textAlignment w:val="auto"/>
              <w:rPr>
                <w:i/>
                <w:sz w:val="24"/>
                <w:lang w:val="de-DE"/>
              </w:rPr>
            </w:pPr>
            <w:r w:rsidRPr="00951042">
              <w:rPr>
                <w:bCs/>
                <w:lang w:val="de-DE" w:eastAsia="en-US"/>
              </w:rPr>
              <w:t>ECE/TRANS/WP.15/AC.2/78 (</w:t>
            </w:r>
            <w:r w:rsidR="0040167A" w:rsidRPr="00951042">
              <w:rPr>
                <w:bCs/>
                <w:lang w:val="de-DE" w:eastAsia="en-US"/>
              </w:rPr>
              <w:t>Absätze</w:t>
            </w:r>
            <w:r w:rsidRPr="00951042">
              <w:rPr>
                <w:bCs/>
                <w:lang w:val="de-DE" w:eastAsia="en-US"/>
              </w:rPr>
              <w:t xml:space="preserve"> 35-36).</w:t>
            </w:r>
          </w:p>
        </w:tc>
      </w:tr>
      <w:tr w:rsidR="000716A4" w:rsidRPr="00951042" w14:paraId="30BC7673" w14:textId="77777777" w:rsidTr="00C35FD1">
        <w:trPr>
          <w:jc w:val="center"/>
        </w:trPr>
        <w:tc>
          <w:tcPr>
            <w:tcW w:w="9062" w:type="dxa"/>
            <w:shd w:val="clear" w:color="auto" w:fill="auto"/>
          </w:tcPr>
          <w:p w14:paraId="6BB242E0" w14:textId="77777777" w:rsidR="000716A4" w:rsidRPr="00951042" w:rsidRDefault="000716A4" w:rsidP="000716A4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de-DE"/>
              </w:rPr>
            </w:pPr>
          </w:p>
        </w:tc>
      </w:tr>
    </w:tbl>
    <w:p w14:paraId="1F181DBD" w14:textId="77777777" w:rsidR="0040167A" w:rsidRPr="00951042" w:rsidRDefault="0040167A" w:rsidP="000716A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</w:p>
    <w:p w14:paraId="6ED7D200" w14:textId="77777777" w:rsidR="0040167A" w:rsidRPr="00951042" w:rsidRDefault="0040167A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</w:rPr>
      </w:pPr>
      <w:r w:rsidRPr="00951042">
        <w:rPr>
          <w:b/>
          <w:sz w:val="28"/>
        </w:rPr>
        <w:br w:type="page"/>
      </w:r>
    </w:p>
    <w:p w14:paraId="4918E2FB" w14:textId="7B39AE12" w:rsidR="000716A4" w:rsidRPr="00951042" w:rsidRDefault="000716A4" w:rsidP="005B7222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567"/>
        <w:jc w:val="left"/>
        <w:textAlignment w:val="auto"/>
        <w:rPr>
          <w:b/>
          <w:sz w:val="28"/>
        </w:rPr>
      </w:pPr>
      <w:r w:rsidRPr="00951042">
        <w:rPr>
          <w:b/>
          <w:sz w:val="28"/>
        </w:rPr>
        <w:lastRenderedPageBreak/>
        <w:tab/>
      </w:r>
      <w:r w:rsidRPr="00951042">
        <w:rPr>
          <w:b/>
          <w:sz w:val="28"/>
        </w:rPr>
        <w:tab/>
      </w:r>
      <w:r w:rsidR="00D05EC4" w:rsidRPr="00951042">
        <w:rPr>
          <w:b/>
          <w:sz w:val="28"/>
        </w:rPr>
        <w:t>Einleitung</w:t>
      </w:r>
    </w:p>
    <w:p w14:paraId="5AC8A2C8" w14:textId="66740A60" w:rsidR="000716A4" w:rsidRPr="00951042" w:rsidRDefault="000716A4" w:rsidP="005B722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40" w:lineRule="atLeast"/>
        <w:ind w:right="567" w:firstLine="0"/>
        <w:textAlignment w:val="auto"/>
      </w:pPr>
      <w:r w:rsidRPr="00951042">
        <w:t>1.</w:t>
      </w:r>
      <w:r w:rsidRPr="00951042">
        <w:tab/>
      </w:r>
      <w:r w:rsidR="0030535C" w:rsidRPr="00951042">
        <w:t xml:space="preserve">Auf der achtunddreißigsten Sitzung des ADN-Sicherheitsausschusses wurde der Vorschlag zur Einführung eines harmonisierten Formats für die </w:t>
      </w:r>
      <w:r w:rsidR="00787960" w:rsidRPr="00951042">
        <w:t>Instruktion für die Lade- und Löschraten</w:t>
      </w:r>
      <w:r w:rsidR="0030535C" w:rsidRPr="00951042">
        <w:t xml:space="preserve"> diskutiert.</w:t>
      </w:r>
      <w:r w:rsidRPr="00951042">
        <w:t xml:space="preserve"> </w:t>
      </w:r>
      <w:r w:rsidR="000B4C7E" w:rsidRPr="00951042">
        <w:t>Der ADN-Sicherheitsausschuss beschloss die Ein</w:t>
      </w:r>
      <w:r w:rsidR="00013E0B" w:rsidRPr="00951042">
        <w:t>setz</w:t>
      </w:r>
      <w:r w:rsidR="000B4C7E" w:rsidRPr="00951042">
        <w:t xml:space="preserve">ung einer informellen Arbeitsgruppe </w:t>
      </w:r>
      <w:r w:rsidR="00013E0B" w:rsidRPr="00951042">
        <w:t>„Instruktion für die Lade- und Löschraten“</w:t>
      </w:r>
      <w:r w:rsidR="000B4C7E" w:rsidRPr="00951042">
        <w:t>, die auf der Grundlage des Dokuments ECE/TRANS/WP.15/AC.2/2021/26 arbeiten könnte.</w:t>
      </w:r>
      <w:r w:rsidRPr="00951042">
        <w:t xml:space="preserve"> </w:t>
      </w:r>
      <w:r w:rsidR="003F61A9" w:rsidRPr="00951042">
        <w:t>Während der Diskussion wurde eine erste Reihe von Punkten für den Entwurf de</w:t>
      </w:r>
      <w:r w:rsidR="000D0C9B" w:rsidRPr="00951042">
        <w:t>r</w:t>
      </w:r>
      <w:r w:rsidR="003F61A9" w:rsidRPr="00951042">
        <w:t xml:space="preserve"> </w:t>
      </w:r>
      <w:r w:rsidR="000D0C9B" w:rsidRPr="00951042">
        <w:t>Aufgabenstellung</w:t>
      </w:r>
      <w:r w:rsidR="003F61A9" w:rsidRPr="00951042">
        <w:t xml:space="preserve"> festgelegt, und der Vertreter der Niederlande erklärte sich bereit, diese</w:t>
      </w:r>
      <w:r w:rsidR="00602EB9" w:rsidRPr="00951042">
        <w:t>n</w:t>
      </w:r>
      <w:r w:rsidR="003F61A9" w:rsidRPr="00951042">
        <w:t xml:space="preserve"> zur Prüfung auf der nächsten Sitzung des ADN-Sicherheitsausschusses weiter auszuarbeiten.</w:t>
      </w:r>
    </w:p>
    <w:p w14:paraId="5E19A633" w14:textId="16452A0A" w:rsidR="000716A4" w:rsidRPr="00951042" w:rsidRDefault="000716A4" w:rsidP="005B722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567" w:firstLine="0"/>
        <w:textAlignment w:val="auto"/>
      </w:pPr>
      <w:r w:rsidRPr="00951042">
        <w:t>2.</w:t>
      </w:r>
      <w:r w:rsidRPr="00951042">
        <w:tab/>
      </w:r>
      <w:r w:rsidR="00017CD3" w:rsidRPr="00951042">
        <w:t>Am 12. Oktober 2021 fand eine Online-Sitzung statt, um den Entwurf de</w:t>
      </w:r>
      <w:r w:rsidR="000D0C9B" w:rsidRPr="00951042">
        <w:t>r</w:t>
      </w:r>
      <w:r w:rsidR="00017CD3" w:rsidRPr="00951042">
        <w:t xml:space="preserve"> </w:t>
      </w:r>
      <w:r w:rsidR="000D0C9B" w:rsidRPr="00951042">
        <w:t>Aufgabenstellung</w:t>
      </w:r>
      <w:r w:rsidR="00017CD3" w:rsidRPr="00951042">
        <w:t xml:space="preserve"> weiterzuentwickeln, </w:t>
      </w:r>
      <w:r w:rsidR="00602EB9" w:rsidRPr="00951042">
        <w:t>wobei</w:t>
      </w:r>
      <w:r w:rsidR="00017CD3" w:rsidRPr="00951042">
        <w:t xml:space="preserve"> </w:t>
      </w:r>
      <w:r w:rsidR="00D80EE1" w:rsidRPr="00951042">
        <w:t>erste</w:t>
      </w:r>
      <w:r w:rsidR="00017CD3" w:rsidRPr="00951042">
        <w:t xml:space="preserve"> Diskussionen </w:t>
      </w:r>
      <w:r w:rsidR="008A5AFE" w:rsidRPr="00951042">
        <w:t>in Gang kamen</w:t>
      </w:r>
      <w:r w:rsidR="00017CD3" w:rsidRPr="00951042">
        <w:t>.</w:t>
      </w:r>
      <w:r w:rsidRPr="00951042">
        <w:t xml:space="preserve"> </w:t>
      </w:r>
      <w:r w:rsidR="00D80EE1" w:rsidRPr="00951042">
        <w:t xml:space="preserve">Die Teilnehmer beschlossen, </w:t>
      </w:r>
      <w:r w:rsidR="009B54B4" w:rsidRPr="00951042">
        <w:t xml:space="preserve">für die informelle Arbeitsgruppe </w:t>
      </w:r>
      <w:r w:rsidR="00D80EE1" w:rsidRPr="00951042">
        <w:t>d</w:t>
      </w:r>
      <w:r w:rsidR="00C64F85" w:rsidRPr="00951042">
        <w:t>i</w:t>
      </w:r>
      <w:r w:rsidR="00D80EE1" w:rsidRPr="00951042">
        <w:t xml:space="preserve">e </w:t>
      </w:r>
      <w:r w:rsidR="009B54B4" w:rsidRPr="00951042">
        <w:t xml:space="preserve">folgende </w:t>
      </w:r>
      <w:r w:rsidR="00C64F85" w:rsidRPr="00951042">
        <w:t>Aufgabenstellung</w:t>
      </w:r>
      <w:r w:rsidR="00D80EE1" w:rsidRPr="00951042">
        <w:t xml:space="preserve"> </w:t>
      </w:r>
      <w:r w:rsidR="00C64F85" w:rsidRPr="00951042">
        <w:t>vorzuschlagen</w:t>
      </w:r>
      <w:r w:rsidR="00D80EE1" w:rsidRPr="00951042">
        <w:t>:</w:t>
      </w:r>
    </w:p>
    <w:p w14:paraId="1909E0AD" w14:textId="334EC956" w:rsidR="000716A4" w:rsidRPr="00951042" w:rsidRDefault="00860D9C" w:rsidP="005B7222">
      <w:pPr>
        <w:widowControl/>
        <w:suppressAutoHyphens/>
        <w:overflowPunct/>
        <w:autoSpaceDE/>
        <w:autoSpaceDN/>
        <w:adjustRightInd/>
        <w:spacing w:after="120" w:line="240" w:lineRule="atLeast"/>
        <w:ind w:right="567" w:firstLine="567"/>
        <w:textAlignment w:val="auto"/>
      </w:pPr>
      <w:r w:rsidRPr="00951042">
        <w:t>a)</w:t>
      </w:r>
      <w:r w:rsidR="000716A4" w:rsidRPr="00951042">
        <w:tab/>
      </w:r>
      <w:r w:rsidR="00DD3C7C" w:rsidRPr="00951042">
        <w:t xml:space="preserve">Überprüfung des aktuellen Stands der </w:t>
      </w:r>
      <w:r w:rsidR="00464A1B" w:rsidRPr="00951042">
        <w:t xml:space="preserve">Instruktion für die Lade- und Löschraten </w:t>
      </w:r>
      <w:r w:rsidR="00DD3C7C" w:rsidRPr="00951042">
        <w:t>im ADN;</w:t>
      </w:r>
    </w:p>
    <w:p w14:paraId="2AFD00C6" w14:textId="5E89CED0" w:rsidR="000716A4" w:rsidRPr="00951042" w:rsidRDefault="005505E7" w:rsidP="005B7222">
      <w:pPr>
        <w:widowControl/>
        <w:suppressAutoHyphens/>
        <w:overflowPunct/>
        <w:autoSpaceDE/>
        <w:autoSpaceDN/>
        <w:adjustRightInd/>
        <w:spacing w:after="120" w:line="240" w:lineRule="atLeast"/>
        <w:ind w:right="567" w:firstLine="567"/>
        <w:textAlignment w:val="auto"/>
      </w:pPr>
      <w:r w:rsidRPr="00951042">
        <w:t>b)</w:t>
      </w:r>
      <w:r w:rsidR="000716A4" w:rsidRPr="00951042">
        <w:tab/>
      </w:r>
      <w:r w:rsidR="00CE0BF3" w:rsidRPr="00951042">
        <w:t>Überprüfung der Absätze 9.3.2.25.9</w:t>
      </w:r>
      <w:r w:rsidR="00627B92" w:rsidRPr="00951042">
        <w:t>,</w:t>
      </w:r>
      <w:r w:rsidR="00CE0BF3" w:rsidRPr="00951042">
        <w:t xml:space="preserve"> 9.3.3.25.9 und 7.2.4.16.15 </w:t>
      </w:r>
      <w:r w:rsidR="00C47680" w:rsidRPr="00951042">
        <w:t>–</w:t>
      </w:r>
      <w:r w:rsidR="00CE0BF3" w:rsidRPr="00951042">
        <w:t xml:space="preserve"> die Berechnung der zulässigen </w:t>
      </w:r>
      <w:r w:rsidR="00C47680" w:rsidRPr="00951042">
        <w:t>Lad</w:t>
      </w:r>
      <w:r w:rsidR="00CE0BF3" w:rsidRPr="00951042">
        <w:t xml:space="preserve">e- und </w:t>
      </w:r>
      <w:r w:rsidR="00C47680" w:rsidRPr="00951042">
        <w:t>Lösch</w:t>
      </w:r>
      <w:r w:rsidR="00CE0BF3" w:rsidRPr="00951042">
        <w:t>ströme</w:t>
      </w:r>
      <w:r w:rsidR="00ED6E07" w:rsidRPr="00951042">
        <w:t>,</w:t>
      </w:r>
      <w:r w:rsidR="000716A4" w:rsidRPr="00951042">
        <w:t xml:space="preserve"> </w:t>
      </w:r>
      <w:r w:rsidR="00596ED5" w:rsidRPr="00951042">
        <w:t>i</w:t>
      </w:r>
      <w:r w:rsidR="005B0EA6" w:rsidRPr="00951042">
        <w:t xml:space="preserve">nsbesondere Punkt 3, Relevanz der Dichte des </w:t>
      </w:r>
      <w:r w:rsidR="00F50BF5" w:rsidRPr="00951042">
        <w:t>Ladungsd</w:t>
      </w:r>
      <w:r w:rsidR="005B0EA6" w:rsidRPr="00951042">
        <w:t xml:space="preserve">ampfgemisches </w:t>
      </w:r>
      <w:r w:rsidR="00DA6DE7" w:rsidRPr="00951042">
        <w:t>basierend auf einem Gemisch</w:t>
      </w:r>
      <w:r w:rsidR="005B0EA6" w:rsidRPr="00951042">
        <w:t xml:space="preserve"> von 50 </w:t>
      </w:r>
      <w:r w:rsidR="00F50BF5" w:rsidRPr="00951042">
        <w:t>Vol</w:t>
      </w:r>
      <w:r w:rsidR="002D6456" w:rsidRPr="00951042">
        <w:t>.</w:t>
      </w:r>
      <w:r w:rsidR="00F50BF5" w:rsidRPr="00951042">
        <w:t>-</w:t>
      </w:r>
      <w:r w:rsidR="002D6456" w:rsidRPr="00951042">
        <w:t xml:space="preserve"> </w:t>
      </w:r>
      <w:r w:rsidR="005B0EA6" w:rsidRPr="00951042">
        <w:t xml:space="preserve">% Dampf und 50 </w:t>
      </w:r>
      <w:r w:rsidR="002D6456" w:rsidRPr="00951042">
        <w:t>Vol.-</w:t>
      </w:r>
      <w:r w:rsidR="005B0EA6" w:rsidRPr="00951042">
        <w:t>% Luft;</w:t>
      </w:r>
    </w:p>
    <w:p w14:paraId="4713810C" w14:textId="04F5E4B6" w:rsidR="000716A4" w:rsidRPr="00951042" w:rsidRDefault="00596ED5" w:rsidP="005B7222">
      <w:pPr>
        <w:widowControl/>
        <w:suppressAutoHyphens/>
        <w:overflowPunct/>
        <w:autoSpaceDE/>
        <w:autoSpaceDN/>
        <w:adjustRightInd/>
        <w:spacing w:after="120" w:line="240" w:lineRule="atLeast"/>
        <w:ind w:right="567" w:firstLine="567"/>
        <w:textAlignment w:val="auto"/>
      </w:pPr>
      <w:r w:rsidRPr="00951042">
        <w:t>c)</w:t>
      </w:r>
      <w:r w:rsidR="000716A4" w:rsidRPr="00951042">
        <w:tab/>
      </w:r>
      <w:r w:rsidRPr="00951042">
        <w:t xml:space="preserve">Überprüfung, ob die maximale </w:t>
      </w:r>
      <w:r w:rsidR="0007094B" w:rsidRPr="00951042">
        <w:t>Lad</w:t>
      </w:r>
      <w:r w:rsidRPr="00951042">
        <w:t xml:space="preserve">e- und </w:t>
      </w:r>
      <w:r w:rsidR="0007094B" w:rsidRPr="00951042">
        <w:t>Lösch</w:t>
      </w:r>
      <w:r w:rsidRPr="00951042">
        <w:t xml:space="preserve">rate </w:t>
      </w:r>
      <w:r w:rsidR="001F052F" w:rsidRPr="00951042">
        <w:t>Bestandt</w:t>
      </w:r>
      <w:r w:rsidRPr="00951042">
        <w:t>eil des Zulassungszeugnisses sein sollte;</w:t>
      </w:r>
    </w:p>
    <w:p w14:paraId="524A9063" w14:textId="418FF507" w:rsidR="000716A4" w:rsidRPr="00951042" w:rsidRDefault="001F052F" w:rsidP="005B7222">
      <w:pPr>
        <w:widowControl/>
        <w:suppressAutoHyphens/>
        <w:overflowPunct/>
        <w:autoSpaceDE/>
        <w:autoSpaceDN/>
        <w:adjustRightInd/>
        <w:spacing w:after="120" w:line="240" w:lineRule="atLeast"/>
        <w:ind w:right="567" w:firstLine="567"/>
        <w:textAlignment w:val="auto"/>
      </w:pPr>
      <w:r w:rsidRPr="00951042">
        <w:t>d)</w:t>
      </w:r>
      <w:r w:rsidR="000716A4" w:rsidRPr="00951042">
        <w:tab/>
      </w:r>
      <w:r w:rsidR="00263703" w:rsidRPr="00951042">
        <w:t xml:space="preserve">Überlegung, was </w:t>
      </w:r>
      <w:r w:rsidR="0021536B" w:rsidRPr="00951042">
        <w:t>in</w:t>
      </w:r>
      <w:r w:rsidR="00263703" w:rsidRPr="00951042">
        <w:t xml:space="preserve"> eine</w:t>
      </w:r>
      <w:r w:rsidR="0021536B" w:rsidRPr="00951042">
        <w:t>m</w:t>
      </w:r>
      <w:r w:rsidR="00263703" w:rsidRPr="00951042">
        <w:t xml:space="preserve"> harmonisierten Format für die </w:t>
      </w:r>
      <w:r w:rsidR="00A9747F" w:rsidRPr="00951042">
        <w:t>Instruktion für die Lade- und Löschraten</w:t>
      </w:r>
      <w:r w:rsidR="00263703" w:rsidRPr="00951042">
        <w:t xml:space="preserve"> </w:t>
      </w:r>
      <w:r w:rsidR="0021536B" w:rsidRPr="00951042">
        <w:t>enthalten</w:t>
      </w:r>
      <w:r w:rsidR="00A9747F" w:rsidRPr="00951042">
        <w:t xml:space="preserve"> sein</w:t>
      </w:r>
      <w:r w:rsidR="00263703" w:rsidRPr="00951042">
        <w:t xml:space="preserve"> sollte;</w:t>
      </w:r>
    </w:p>
    <w:p w14:paraId="1191F671" w14:textId="4462F5A9" w:rsidR="000716A4" w:rsidRPr="00951042" w:rsidRDefault="00E90FD0" w:rsidP="005B7222">
      <w:pPr>
        <w:widowControl/>
        <w:suppressAutoHyphens/>
        <w:overflowPunct/>
        <w:autoSpaceDE/>
        <w:autoSpaceDN/>
        <w:adjustRightInd/>
        <w:spacing w:after="120" w:line="240" w:lineRule="atLeast"/>
        <w:ind w:right="567" w:firstLine="567"/>
        <w:textAlignment w:val="auto"/>
      </w:pPr>
      <w:r w:rsidRPr="00951042">
        <w:t>e)</w:t>
      </w:r>
      <w:r w:rsidR="000716A4" w:rsidRPr="00951042">
        <w:tab/>
      </w:r>
      <w:r w:rsidRPr="00951042">
        <w:t xml:space="preserve">Überlegungen zu den Aufgaben und Zuständigkeiten bei der Entwicklung der </w:t>
      </w:r>
      <w:r w:rsidR="00331A6B" w:rsidRPr="00951042">
        <w:t>Instruktion für die Lade- und Löschraten</w:t>
      </w:r>
      <w:r w:rsidRPr="00951042">
        <w:t xml:space="preserve"> (Klass</w:t>
      </w:r>
      <w:r w:rsidR="00A113B0" w:rsidRPr="00951042">
        <w:t>ifizi</w:t>
      </w:r>
      <w:r w:rsidRPr="00951042">
        <w:t>e</w:t>
      </w:r>
      <w:r w:rsidR="00A113B0" w:rsidRPr="00951042">
        <w:t>r</w:t>
      </w:r>
      <w:r w:rsidRPr="00951042">
        <w:t>ung?);</w:t>
      </w:r>
    </w:p>
    <w:p w14:paraId="27A803AD" w14:textId="78924D91" w:rsidR="000716A4" w:rsidRPr="00951042" w:rsidRDefault="00E90FD0" w:rsidP="005B7222">
      <w:pPr>
        <w:widowControl/>
        <w:suppressAutoHyphens/>
        <w:overflowPunct/>
        <w:autoSpaceDE/>
        <w:autoSpaceDN/>
        <w:adjustRightInd/>
        <w:spacing w:after="120" w:line="240" w:lineRule="atLeast"/>
        <w:ind w:right="567" w:firstLine="555"/>
        <w:textAlignment w:val="auto"/>
      </w:pPr>
      <w:r w:rsidRPr="00951042">
        <w:t>f)</w:t>
      </w:r>
      <w:r w:rsidR="000716A4" w:rsidRPr="00951042">
        <w:tab/>
      </w:r>
      <w:r w:rsidR="00A113B0" w:rsidRPr="00951042">
        <w:t xml:space="preserve">Ausarbeitung eines harmonisierten Formats für die Instruktion für die Lade- und Löschraten und Ausarbeitung der </w:t>
      </w:r>
      <w:r w:rsidR="00F936B6" w:rsidRPr="00951042">
        <w:t>Folgeä</w:t>
      </w:r>
      <w:r w:rsidR="00A113B0" w:rsidRPr="00951042">
        <w:t xml:space="preserve">nderungen </w:t>
      </w:r>
      <w:r w:rsidR="00515A87" w:rsidRPr="00951042">
        <w:t xml:space="preserve">zu </w:t>
      </w:r>
      <w:r w:rsidR="00A113B0" w:rsidRPr="00951042">
        <w:t>der dem ADN beigefügten V</w:t>
      </w:r>
      <w:r w:rsidR="00F936B6" w:rsidRPr="00951042">
        <w:t>e</w:t>
      </w:r>
      <w:r w:rsidR="00A113B0" w:rsidRPr="00951042">
        <w:t>r</w:t>
      </w:r>
      <w:r w:rsidR="00F936B6" w:rsidRPr="00951042">
        <w:t>ordnung</w:t>
      </w:r>
      <w:r w:rsidR="00A113B0" w:rsidRPr="00951042">
        <w:t>.</w:t>
      </w:r>
    </w:p>
    <w:p w14:paraId="73A1C748" w14:textId="77F92429" w:rsidR="000716A4" w:rsidRPr="00951042" w:rsidRDefault="000716A4" w:rsidP="005B722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567" w:firstLine="0"/>
        <w:textAlignment w:val="auto"/>
      </w:pPr>
      <w:r w:rsidRPr="00951042">
        <w:t>3.</w:t>
      </w:r>
      <w:r w:rsidRPr="00951042">
        <w:tab/>
      </w:r>
      <w:r w:rsidR="00D7785E" w:rsidRPr="00951042">
        <w:t>Während der ersten Diskussionen stellten die Teilnehmer eine Reihe von Fragen fest, die i</w:t>
      </w:r>
      <w:r w:rsidR="007151A3" w:rsidRPr="00951042">
        <w:t>m</w:t>
      </w:r>
      <w:r w:rsidR="00D7785E" w:rsidRPr="00951042">
        <w:t xml:space="preserve"> Zuge der Arbeit der informellen Arbeitsgruppe geklärt werden müssen.</w:t>
      </w:r>
      <w:r w:rsidRPr="00951042">
        <w:t xml:space="preserve"> </w:t>
      </w:r>
      <w:r w:rsidR="00B370EA" w:rsidRPr="00951042">
        <w:t xml:space="preserve">Von besonderem Interesse war dabei die Frage, ob das harmonisierte Format für </w:t>
      </w:r>
      <w:r w:rsidR="00C406B1" w:rsidRPr="00951042">
        <w:t xml:space="preserve">die </w:t>
      </w:r>
      <w:r w:rsidR="00740D23" w:rsidRPr="00951042">
        <w:t xml:space="preserve">Instruktion für die Lade- und Löschraten </w:t>
      </w:r>
      <w:r w:rsidR="00B370EA" w:rsidRPr="00951042">
        <w:t>wie die ADN-</w:t>
      </w:r>
      <w:r w:rsidR="00C406B1" w:rsidRPr="00951042">
        <w:t>Prüf</w:t>
      </w:r>
      <w:r w:rsidR="00B370EA" w:rsidRPr="00951042">
        <w:t>liste (8.6.3) i</w:t>
      </w:r>
      <w:r w:rsidR="009578AD" w:rsidRPr="00951042">
        <w:t>n das</w:t>
      </w:r>
      <w:r w:rsidR="00B370EA" w:rsidRPr="00951042">
        <w:t xml:space="preserve"> ADN </w:t>
      </w:r>
      <w:r w:rsidR="009578AD" w:rsidRPr="00951042">
        <w:t>aufgenommen</w:t>
      </w:r>
      <w:r w:rsidR="00B370EA" w:rsidRPr="00951042">
        <w:t xml:space="preserve"> werden muss oder ob eine allgemeine Beschreibung ausreicht, wie </w:t>
      </w:r>
      <w:r w:rsidR="00AB6BF6" w:rsidRPr="00951042">
        <w:t>s</w:t>
      </w:r>
      <w:r w:rsidR="00B83499" w:rsidRPr="00951042">
        <w:t>ie</w:t>
      </w:r>
      <w:r w:rsidR="00AB6BF6" w:rsidRPr="00951042">
        <w:t xml:space="preserve"> derzeit </w:t>
      </w:r>
      <w:r w:rsidR="00941663" w:rsidRPr="00951042">
        <w:t>für</w:t>
      </w:r>
      <w:r w:rsidR="00B370EA" w:rsidRPr="00951042">
        <w:t xml:space="preserve"> d</w:t>
      </w:r>
      <w:r w:rsidR="00941663" w:rsidRPr="00951042">
        <w:t>i</w:t>
      </w:r>
      <w:r w:rsidR="00B370EA" w:rsidRPr="00951042">
        <w:t xml:space="preserve">e </w:t>
      </w:r>
      <w:r w:rsidR="009578AD" w:rsidRPr="00951042">
        <w:t>Instruktion für die Lade- und Löschraten</w:t>
      </w:r>
      <w:r w:rsidR="008E4559" w:rsidRPr="00951042">
        <w:t xml:space="preserve"> </w:t>
      </w:r>
      <w:r w:rsidR="00B83499" w:rsidRPr="00951042">
        <w:t>vorgesehen</w:t>
      </w:r>
      <w:r w:rsidR="008E4559" w:rsidRPr="00951042">
        <w:t xml:space="preserve"> ist</w:t>
      </w:r>
      <w:r w:rsidR="00B370EA" w:rsidRPr="00951042">
        <w:t>.</w:t>
      </w:r>
      <w:r w:rsidRPr="00951042">
        <w:t xml:space="preserve"> </w:t>
      </w:r>
      <w:r w:rsidR="00B7076D" w:rsidRPr="00951042">
        <w:t xml:space="preserve">Die Teilnehmer </w:t>
      </w:r>
      <w:r w:rsidR="009B6BC2" w:rsidRPr="00951042">
        <w:t>stellten</w:t>
      </w:r>
      <w:r w:rsidR="00B7076D" w:rsidRPr="00951042">
        <w:t xml:space="preserve"> </w:t>
      </w:r>
      <w:r w:rsidR="009B6BC2" w:rsidRPr="00951042">
        <w:t>fest</w:t>
      </w:r>
      <w:r w:rsidR="00B7076D" w:rsidRPr="00951042">
        <w:t xml:space="preserve">, dass eine solche Frage am besten beantwortet werden kann, wenn das neue Format </w:t>
      </w:r>
      <w:r w:rsidR="009B6BC2" w:rsidRPr="00951042">
        <w:t>vorliegt</w:t>
      </w:r>
      <w:r w:rsidR="00B7076D" w:rsidRPr="00951042">
        <w:t>.</w:t>
      </w:r>
    </w:p>
    <w:p w14:paraId="20670148" w14:textId="46F662EE" w:rsidR="000716A4" w:rsidRPr="00951042" w:rsidRDefault="000716A4" w:rsidP="005B722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567" w:firstLine="0"/>
        <w:textAlignment w:val="auto"/>
      </w:pPr>
      <w:r w:rsidRPr="00951042">
        <w:t>4.</w:t>
      </w:r>
      <w:r w:rsidRPr="00951042">
        <w:tab/>
      </w:r>
      <w:r w:rsidR="00266629" w:rsidRPr="00951042">
        <w:t>Sollte</w:t>
      </w:r>
      <w:r w:rsidR="0037658A" w:rsidRPr="00951042">
        <w:t xml:space="preserve"> der ADN-Sicherheitsausschuss beschließ</w:t>
      </w:r>
      <w:r w:rsidR="00266629" w:rsidRPr="00951042">
        <w:t>en</w:t>
      </w:r>
      <w:r w:rsidR="0037658A" w:rsidRPr="00951042">
        <w:t>, diesen Entwurf de</w:t>
      </w:r>
      <w:r w:rsidR="000D0C9B" w:rsidRPr="00951042">
        <w:t>r</w:t>
      </w:r>
      <w:r w:rsidR="0037658A" w:rsidRPr="00951042">
        <w:t xml:space="preserve"> </w:t>
      </w:r>
      <w:r w:rsidR="000D0C9B" w:rsidRPr="00951042">
        <w:t>Aufgabenstellung</w:t>
      </w:r>
      <w:r w:rsidR="0037658A" w:rsidRPr="00951042">
        <w:t xml:space="preserve"> zu billigen, wäre die niederländische Delegation gerne bereit, </w:t>
      </w:r>
      <w:r w:rsidR="00E017BA" w:rsidRPr="00951042">
        <w:t xml:space="preserve">in der ersten oder zweiten Aprilwoche 2022 </w:t>
      </w:r>
      <w:r w:rsidR="0037658A" w:rsidRPr="00951042">
        <w:t xml:space="preserve">eine erste Sitzung </w:t>
      </w:r>
      <w:r w:rsidR="00307367" w:rsidRPr="00951042">
        <w:t xml:space="preserve">der Arbeitsgruppe </w:t>
      </w:r>
      <w:r w:rsidR="00E017BA" w:rsidRPr="00951042">
        <w:t>auszurichten</w:t>
      </w:r>
      <w:r w:rsidR="0037658A" w:rsidRPr="00951042">
        <w:t>.</w:t>
      </w:r>
      <w:r w:rsidRPr="00951042">
        <w:t xml:space="preserve"> </w:t>
      </w:r>
    </w:p>
    <w:p w14:paraId="7BA6B72C" w14:textId="77777777" w:rsidR="00D05EC4" w:rsidRPr="00951042" w:rsidRDefault="000716A4" w:rsidP="005B7222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567"/>
        <w:jc w:val="left"/>
        <w:textAlignment w:val="auto"/>
        <w:rPr>
          <w:b/>
          <w:sz w:val="28"/>
        </w:rPr>
      </w:pPr>
      <w:r w:rsidRPr="00951042">
        <w:rPr>
          <w:b/>
          <w:sz w:val="28"/>
        </w:rPr>
        <w:tab/>
      </w:r>
      <w:r w:rsidRPr="00951042">
        <w:rPr>
          <w:b/>
          <w:sz w:val="28"/>
        </w:rPr>
        <w:tab/>
      </w:r>
      <w:r w:rsidR="00D05EC4" w:rsidRPr="00951042">
        <w:rPr>
          <w:b/>
          <w:sz w:val="28"/>
        </w:rPr>
        <w:t>Zu ergreifende Maßnahme</w:t>
      </w:r>
    </w:p>
    <w:p w14:paraId="69F010C7" w14:textId="36BD0C65" w:rsidR="008E1F19" w:rsidRPr="00951042" w:rsidRDefault="000716A4" w:rsidP="005B722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567" w:firstLine="0"/>
        <w:textAlignment w:val="auto"/>
      </w:pPr>
      <w:r w:rsidRPr="00951042">
        <w:t>5.</w:t>
      </w:r>
      <w:r w:rsidRPr="00951042">
        <w:tab/>
      </w:r>
      <w:r w:rsidR="008E1F19" w:rsidRPr="00951042">
        <w:t>Die niederländische Delegation bittet den ADN-Sicherheitsausschuss, den vorgeschlagenen Entwurf der Aufgabenstellung in Absatz 2 zu prüfen und die aus seiner Sicht notwendigen Maßnahmen zu ergreifen.</w:t>
      </w:r>
    </w:p>
    <w:p w14:paraId="3F7C94E0" w14:textId="28593754" w:rsidR="00D405D0" w:rsidRPr="00951042" w:rsidRDefault="00D405D0" w:rsidP="00D405D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</w:pPr>
      <w:r w:rsidRPr="00951042">
        <w:t>***</w:t>
      </w:r>
    </w:p>
    <w:sectPr w:rsidR="00D405D0" w:rsidRPr="00951042" w:rsidSect="00D3674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4EB5" w14:textId="77777777" w:rsidR="00C3092A" w:rsidRDefault="00C3092A" w:rsidP="00277F70">
      <w:r>
        <w:separator/>
      </w:r>
    </w:p>
  </w:endnote>
  <w:endnote w:type="continuationSeparator" w:id="0">
    <w:p w14:paraId="04CE3600" w14:textId="77777777" w:rsidR="00C3092A" w:rsidRDefault="00C3092A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A220" w14:textId="348BD0FC" w:rsidR="00D36741" w:rsidRPr="000671E2" w:rsidRDefault="00C350A9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="00B741AB">
      <w:rPr>
        <w:rFonts w:ascii="Arial" w:hAnsi="Arial"/>
        <w:noProof/>
        <w:snapToGrid w:val="0"/>
        <w:sz w:val="12"/>
        <w:szCs w:val="24"/>
        <w:lang w:val="fr-FR"/>
      </w:rPr>
      <w:t>m</w:t>
    </w:r>
    <w:r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81C09">
      <w:rPr>
        <w:rFonts w:ascii="Arial" w:hAnsi="Arial"/>
        <w:noProof/>
        <w:snapToGrid w:val="0"/>
        <w:sz w:val="12"/>
        <w:szCs w:val="24"/>
        <w:lang w:val="fr-FR"/>
      </w:rPr>
      <w:t>2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</w:t>
    </w:r>
    <w:r w:rsidR="000716A4">
      <w:rPr>
        <w:rFonts w:ascii="Arial" w:hAnsi="Arial"/>
        <w:noProof/>
        <w:snapToGrid w:val="0"/>
        <w:sz w:val="12"/>
        <w:szCs w:val="24"/>
        <w:lang w:val="fr-FR"/>
      </w:rPr>
      <w:t>4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EF51" w14:textId="53AF6EB1" w:rsidR="00881C09" w:rsidRPr="000671E2" w:rsidRDefault="000716A4" w:rsidP="00881C0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="00881C09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81C09">
      <w:rPr>
        <w:rFonts w:ascii="Arial" w:hAnsi="Arial"/>
        <w:noProof/>
        <w:snapToGrid w:val="0"/>
        <w:sz w:val="12"/>
        <w:szCs w:val="24"/>
        <w:lang w:val="fr-FR"/>
      </w:rPr>
      <w:t>2</w:t>
    </w:r>
    <w:r w:rsidR="00881C09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14</w:t>
    </w:r>
    <w:r w:rsidR="00881C09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1EDB" w14:textId="77777777" w:rsidR="00C3092A" w:rsidRDefault="00C3092A" w:rsidP="00277F70">
      <w:r>
        <w:separator/>
      </w:r>
    </w:p>
  </w:footnote>
  <w:footnote w:type="continuationSeparator" w:id="0">
    <w:p w14:paraId="1E4EFE9F" w14:textId="77777777" w:rsidR="00C3092A" w:rsidRDefault="00C3092A" w:rsidP="00277F70">
      <w:r>
        <w:continuationSeparator/>
      </w:r>
    </w:p>
  </w:footnote>
  <w:footnote w:id="1">
    <w:p w14:paraId="00665A02" w14:textId="76654D80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 w:rsidR="00881C09"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D05EC4">
        <w:rPr>
          <w:sz w:val="16"/>
          <w:szCs w:val="16"/>
        </w:rPr>
        <w:t>14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7197BECA" w14:textId="77777777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Entsprechend dem Arbeitsprogramm des Binnenverkehrsausschusses für 2021 gemäß dem Entwurf des Programmhaushalts für 2021 (A/75/6 (Kap. 20) Abs.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4353" w14:textId="4F07AEAA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E17434">
      <w:rPr>
        <w:rFonts w:ascii="Arial" w:hAnsi="Arial"/>
        <w:snapToGrid w:val="0"/>
        <w:sz w:val="16"/>
        <w:szCs w:val="16"/>
        <w:lang w:val="en-US"/>
      </w:rPr>
      <w:t>1</w:t>
    </w:r>
    <w:r w:rsidR="000716A4">
      <w:rPr>
        <w:rFonts w:ascii="Arial" w:hAnsi="Arial"/>
        <w:snapToGrid w:val="0"/>
        <w:sz w:val="16"/>
        <w:szCs w:val="16"/>
        <w:lang w:val="en-US"/>
      </w:rPr>
      <w:t>4</w:t>
    </w:r>
  </w:p>
  <w:p w14:paraId="25B4A304" w14:textId="77777777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CD0EA8">
      <w:rPr>
        <w:rFonts w:ascii="Arial" w:hAnsi="Arial"/>
        <w:noProof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A55B" w14:textId="4557946A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1" w:name="_Hlk19605293"/>
    <w:bookmarkStart w:id="2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81C09">
      <w:rPr>
        <w:rFonts w:ascii="Arial" w:hAnsi="Arial"/>
        <w:snapToGrid w:val="0"/>
        <w:sz w:val="16"/>
        <w:szCs w:val="16"/>
        <w:lang w:val="en-US"/>
      </w:rPr>
      <w:t>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0716A4">
      <w:rPr>
        <w:rFonts w:ascii="Arial" w:hAnsi="Arial"/>
        <w:snapToGrid w:val="0"/>
        <w:sz w:val="16"/>
        <w:szCs w:val="16"/>
        <w:lang w:val="en-US"/>
      </w:rPr>
      <w:t>14</w:t>
    </w:r>
  </w:p>
  <w:p w14:paraId="22E1460A" w14:textId="77777777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2642"/>
    <w:rsid w:val="00013E0B"/>
    <w:rsid w:val="00016D83"/>
    <w:rsid w:val="00017CD3"/>
    <w:rsid w:val="0002135C"/>
    <w:rsid w:val="00031F09"/>
    <w:rsid w:val="000671E2"/>
    <w:rsid w:val="0007094B"/>
    <w:rsid w:val="000716A4"/>
    <w:rsid w:val="0009215A"/>
    <w:rsid w:val="00094A98"/>
    <w:rsid w:val="000961BC"/>
    <w:rsid w:val="000A563B"/>
    <w:rsid w:val="000A769B"/>
    <w:rsid w:val="000B2B01"/>
    <w:rsid w:val="000B4C7E"/>
    <w:rsid w:val="000C5C7E"/>
    <w:rsid w:val="000C6E63"/>
    <w:rsid w:val="000D0917"/>
    <w:rsid w:val="000D0C9B"/>
    <w:rsid w:val="000D45A5"/>
    <w:rsid w:val="000E12CF"/>
    <w:rsid w:val="00101582"/>
    <w:rsid w:val="001244EC"/>
    <w:rsid w:val="00131A8F"/>
    <w:rsid w:val="001361CD"/>
    <w:rsid w:val="0014060D"/>
    <w:rsid w:val="00155C7C"/>
    <w:rsid w:val="00160AF1"/>
    <w:rsid w:val="00192184"/>
    <w:rsid w:val="00193A1A"/>
    <w:rsid w:val="001C60D6"/>
    <w:rsid w:val="001D3E13"/>
    <w:rsid w:val="001F052F"/>
    <w:rsid w:val="001F0C89"/>
    <w:rsid w:val="0021536B"/>
    <w:rsid w:val="00222245"/>
    <w:rsid w:val="00225E1F"/>
    <w:rsid w:val="00233913"/>
    <w:rsid w:val="00254551"/>
    <w:rsid w:val="002624B3"/>
    <w:rsid w:val="00263703"/>
    <w:rsid w:val="00266629"/>
    <w:rsid w:val="00277F70"/>
    <w:rsid w:val="00287913"/>
    <w:rsid w:val="0029715A"/>
    <w:rsid w:val="002A6A40"/>
    <w:rsid w:val="002D6456"/>
    <w:rsid w:val="002E6F67"/>
    <w:rsid w:val="002F0473"/>
    <w:rsid w:val="002F4CDF"/>
    <w:rsid w:val="00300274"/>
    <w:rsid w:val="0030535C"/>
    <w:rsid w:val="00307367"/>
    <w:rsid w:val="00331A6B"/>
    <w:rsid w:val="003467AF"/>
    <w:rsid w:val="00371F66"/>
    <w:rsid w:val="0037658A"/>
    <w:rsid w:val="00386633"/>
    <w:rsid w:val="00387BCB"/>
    <w:rsid w:val="003B3B76"/>
    <w:rsid w:val="003D2EC0"/>
    <w:rsid w:val="003E12AD"/>
    <w:rsid w:val="003E30A5"/>
    <w:rsid w:val="003E5F82"/>
    <w:rsid w:val="003E6913"/>
    <w:rsid w:val="003F5E68"/>
    <w:rsid w:val="003F61A9"/>
    <w:rsid w:val="0040167A"/>
    <w:rsid w:val="004076CE"/>
    <w:rsid w:val="00426B46"/>
    <w:rsid w:val="00452C31"/>
    <w:rsid w:val="00454619"/>
    <w:rsid w:val="00454F9B"/>
    <w:rsid w:val="00464A1B"/>
    <w:rsid w:val="00483782"/>
    <w:rsid w:val="004934D9"/>
    <w:rsid w:val="004A311C"/>
    <w:rsid w:val="004A7663"/>
    <w:rsid w:val="004B7582"/>
    <w:rsid w:val="004C023A"/>
    <w:rsid w:val="004C1F19"/>
    <w:rsid w:val="004D45D9"/>
    <w:rsid w:val="004E2AEF"/>
    <w:rsid w:val="004E64FE"/>
    <w:rsid w:val="004F06F2"/>
    <w:rsid w:val="004F7315"/>
    <w:rsid w:val="004F7910"/>
    <w:rsid w:val="00510C03"/>
    <w:rsid w:val="005123C0"/>
    <w:rsid w:val="00515A87"/>
    <w:rsid w:val="00534C8A"/>
    <w:rsid w:val="00541E1D"/>
    <w:rsid w:val="005505E7"/>
    <w:rsid w:val="00570A39"/>
    <w:rsid w:val="005731C3"/>
    <w:rsid w:val="00591A7D"/>
    <w:rsid w:val="00596ED5"/>
    <w:rsid w:val="005B0EA6"/>
    <w:rsid w:val="005B7222"/>
    <w:rsid w:val="005C2135"/>
    <w:rsid w:val="005D34FF"/>
    <w:rsid w:val="005D3E46"/>
    <w:rsid w:val="005E13D8"/>
    <w:rsid w:val="005E6B64"/>
    <w:rsid w:val="005F1353"/>
    <w:rsid w:val="00600507"/>
    <w:rsid w:val="00602EB9"/>
    <w:rsid w:val="00607AC6"/>
    <w:rsid w:val="006230CC"/>
    <w:rsid w:val="00627B92"/>
    <w:rsid w:val="0063076E"/>
    <w:rsid w:val="00635226"/>
    <w:rsid w:val="00643AEA"/>
    <w:rsid w:val="00685194"/>
    <w:rsid w:val="00693B5C"/>
    <w:rsid w:val="0069704F"/>
    <w:rsid w:val="006B10A8"/>
    <w:rsid w:val="006B4C70"/>
    <w:rsid w:val="006B4FAE"/>
    <w:rsid w:val="006B79A9"/>
    <w:rsid w:val="006E493E"/>
    <w:rsid w:val="00700D37"/>
    <w:rsid w:val="007151A3"/>
    <w:rsid w:val="00720516"/>
    <w:rsid w:val="007210FE"/>
    <w:rsid w:val="00724E6F"/>
    <w:rsid w:val="00740D23"/>
    <w:rsid w:val="00751575"/>
    <w:rsid w:val="00753C76"/>
    <w:rsid w:val="0076301C"/>
    <w:rsid w:val="00787960"/>
    <w:rsid w:val="007C4366"/>
    <w:rsid w:val="007C72B0"/>
    <w:rsid w:val="007D2568"/>
    <w:rsid w:val="007D2C1E"/>
    <w:rsid w:val="00817534"/>
    <w:rsid w:val="008245D5"/>
    <w:rsid w:val="00827D8E"/>
    <w:rsid w:val="00830501"/>
    <w:rsid w:val="00860D9C"/>
    <w:rsid w:val="00863D48"/>
    <w:rsid w:val="00881C09"/>
    <w:rsid w:val="00884338"/>
    <w:rsid w:val="00895F87"/>
    <w:rsid w:val="008A4259"/>
    <w:rsid w:val="008A4F51"/>
    <w:rsid w:val="008A5AFE"/>
    <w:rsid w:val="008E0E25"/>
    <w:rsid w:val="008E1F19"/>
    <w:rsid w:val="008E4559"/>
    <w:rsid w:val="008F4F6A"/>
    <w:rsid w:val="008F7076"/>
    <w:rsid w:val="00917B55"/>
    <w:rsid w:val="0092309D"/>
    <w:rsid w:val="00927A37"/>
    <w:rsid w:val="00941663"/>
    <w:rsid w:val="00942CB5"/>
    <w:rsid w:val="00951042"/>
    <w:rsid w:val="009545CD"/>
    <w:rsid w:val="009578AD"/>
    <w:rsid w:val="0096340F"/>
    <w:rsid w:val="0096394F"/>
    <w:rsid w:val="009758DF"/>
    <w:rsid w:val="009856E9"/>
    <w:rsid w:val="009873A1"/>
    <w:rsid w:val="009A5ADD"/>
    <w:rsid w:val="009B54B4"/>
    <w:rsid w:val="009B6BC2"/>
    <w:rsid w:val="009B7968"/>
    <w:rsid w:val="009C033F"/>
    <w:rsid w:val="009D5560"/>
    <w:rsid w:val="009E2B4D"/>
    <w:rsid w:val="00A0258A"/>
    <w:rsid w:val="00A02FB6"/>
    <w:rsid w:val="00A0357B"/>
    <w:rsid w:val="00A113B0"/>
    <w:rsid w:val="00A30447"/>
    <w:rsid w:val="00A30CD2"/>
    <w:rsid w:val="00A52A61"/>
    <w:rsid w:val="00A548C2"/>
    <w:rsid w:val="00A857CC"/>
    <w:rsid w:val="00A86CBF"/>
    <w:rsid w:val="00A9747F"/>
    <w:rsid w:val="00A97CEA"/>
    <w:rsid w:val="00A97F6F"/>
    <w:rsid w:val="00AB6BF6"/>
    <w:rsid w:val="00AC78AF"/>
    <w:rsid w:val="00AC7F3E"/>
    <w:rsid w:val="00AD4796"/>
    <w:rsid w:val="00AE0AFB"/>
    <w:rsid w:val="00AE5AF2"/>
    <w:rsid w:val="00AF1A9A"/>
    <w:rsid w:val="00AF1F43"/>
    <w:rsid w:val="00B302EA"/>
    <w:rsid w:val="00B370EA"/>
    <w:rsid w:val="00B4533C"/>
    <w:rsid w:val="00B56BC7"/>
    <w:rsid w:val="00B60BBC"/>
    <w:rsid w:val="00B7076D"/>
    <w:rsid w:val="00B72BC1"/>
    <w:rsid w:val="00B741AB"/>
    <w:rsid w:val="00B74645"/>
    <w:rsid w:val="00B74E20"/>
    <w:rsid w:val="00B76310"/>
    <w:rsid w:val="00B82974"/>
    <w:rsid w:val="00B83499"/>
    <w:rsid w:val="00B849A1"/>
    <w:rsid w:val="00B84B6D"/>
    <w:rsid w:val="00B87AB7"/>
    <w:rsid w:val="00B93698"/>
    <w:rsid w:val="00B93E87"/>
    <w:rsid w:val="00BA54FF"/>
    <w:rsid w:val="00BB0065"/>
    <w:rsid w:val="00BB0DBC"/>
    <w:rsid w:val="00BD4DE1"/>
    <w:rsid w:val="00BE3AD1"/>
    <w:rsid w:val="00C07195"/>
    <w:rsid w:val="00C125FE"/>
    <w:rsid w:val="00C2636A"/>
    <w:rsid w:val="00C3092A"/>
    <w:rsid w:val="00C350A9"/>
    <w:rsid w:val="00C35FD1"/>
    <w:rsid w:val="00C406B1"/>
    <w:rsid w:val="00C47680"/>
    <w:rsid w:val="00C567D9"/>
    <w:rsid w:val="00C57E51"/>
    <w:rsid w:val="00C64F85"/>
    <w:rsid w:val="00C66A9E"/>
    <w:rsid w:val="00C94048"/>
    <w:rsid w:val="00C951AF"/>
    <w:rsid w:val="00CA4B1D"/>
    <w:rsid w:val="00CD0EA8"/>
    <w:rsid w:val="00CE0BF3"/>
    <w:rsid w:val="00CF1246"/>
    <w:rsid w:val="00D05EC4"/>
    <w:rsid w:val="00D12776"/>
    <w:rsid w:val="00D15348"/>
    <w:rsid w:val="00D25F16"/>
    <w:rsid w:val="00D314CB"/>
    <w:rsid w:val="00D36741"/>
    <w:rsid w:val="00D405D0"/>
    <w:rsid w:val="00D45DD4"/>
    <w:rsid w:val="00D4726C"/>
    <w:rsid w:val="00D63E14"/>
    <w:rsid w:val="00D64C07"/>
    <w:rsid w:val="00D66088"/>
    <w:rsid w:val="00D703CD"/>
    <w:rsid w:val="00D7785E"/>
    <w:rsid w:val="00D80EE1"/>
    <w:rsid w:val="00D92848"/>
    <w:rsid w:val="00DA230E"/>
    <w:rsid w:val="00DA42D3"/>
    <w:rsid w:val="00DA6DE7"/>
    <w:rsid w:val="00DB52E7"/>
    <w:rsid w:val="00DB57E7"/>
    <w:rsid w:val="00DC29DD"/>
    <w:rsid w:val="00DD3C7C"/>
    <w:rsid w:val="00DD5998"/>
    <w:rsid w:val="00DF4FEE"/>
    <w:rsid w:val="00E017BA"/>
    <w:rsid w:val="00E020D8"/>
    <w:rsid w:val="00E03BF3"/>
    <w:rsid w:val="00E04049"/>
    <w:rsid w:val="00E05BB0"/>
    <w:rsid w:val="00E14F14"/>
    <w:rsid w:val="00E17434"/>
    <w:rsid w:val="00E37FFD"/>
    <w:rsid w:val="00E405C3"/>
    <w:rsid w:val="00E41049"/>
    <w:rsid w:val="00E43C09"/>
    <w:rsid w:val="00E565DE"/>
    <w:rsid w:val="00E569AC"/>
    <w:rsid w:val="00E727CB"/>
    <w:rsid w:val="00E824B3"/>
    <w:rsid w:val="00E83D57"/>
    <w:rsid w:val="00E90FD0"/>
    <w:rsid w:val="00E94E2A"/>
    <w:rsid w:val="00EB6AB9"/>
    <w:rsid w:val="00ED557F"/>
    <w:rsid w:val="00ED6E07"/>
    <w:rsid w:val="00EE66ED"/>
    <w:rsid w:val="00F00F14"/>
    <w:rsid w:val="00F50BF5"/>
    <w:rsid w:val="00F936B6"/>
    <w:rsid w:val="00FA20A1"/>
    <w:rsid w:val="00FB5E16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0E74DFDA"/>
  <w15:docId w15:val="{E808E2C0-A215-4C5D-B6A2-A596B65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qFormat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rsid w:val="001D3E13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A30C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0CD2"/>
  </w:style>
  <w:style w:type="character" w:customStyle="1" w:styleId="CommentTextChar">
    <w:name w:val="Comment Text Char"/>
    <w:basedOn w:val="DefaultParagraphFont"/>
    <w:link w:val="CommentText"/>
    <w:semiHidden/>
    <w:rsid w:val="00A30CD2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CD2"/>
    <w:rPr>
      <w:b/>
      <w:bCs/>
      <w:lang w:eastAsia="fr-FR"/>
    </w:rPr>
  </w:style>
  <w:style w:type="paragraph" w:customStyle="1" w:styleId="a">
    <w:name w:val="a_"/>
    <w:basedOn w:val="BodyTextIndent2"/>
    <w:rsid w:val="005F1353"/>
    <w:pPr>
      <w:widowControl/>
      <w:tabs>
        <w:tab w:val="left" w:pos="426"/>
        <w:tab w:val="left" w:pos="709"/>
      </w:tabs>
      <w:overflowPunct/>
      <w:autoSpaceDE/>
      <w:autoSpaceDN/>
      <w:adjustRightInd/>
      <w:spacing w:after="0" w:line="240" w:lineRule="atLeast"/>
      <w:ind w:left="709" w:hanging="709"/>
      <w:textAlignment w:val="auto"/>
    </w:pPr>
    <w:rPr>
      <w:rFonts w:ascii="Arial" w:hAnsi="Arial" w:cs="Arial"/>
      <w:snapToGrid w:val="0"/>
    </w:rPr>
  </w:style>
  <w:style w:type="paragraph" w:styleId="BodyTextIndent2">
    <w:name w:val="Body Text Indent 2"/>
    <w:basedOn w:val="Normal"/>
    <w:link w:val="BodyTextIndent2Char"/>
    <w:semiHidden/>
    <w:unhideWhenUsed/>
    <w:rsid w:val="005F13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1353"/>
    <w:rPr>
      <w:lang w:eastAsia="fr-FR"/>
    </w:rPr>
  </w:style>
  <w:style w:type="paragraph" w:styleId="BodyTextIndent">
    <w:name w:val="Body Text Indent"/>
    <w:basedOn w:val="Normal"/>
    <w:link w:val="BodyTextIndentChar"/>
    <w:semiHidden/>
    <w:unhideWhenUsed/>
    <w:rsid w:val="00F00F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00F14"/>
    <w:rPr>
      <w:lang w:eastAsia="fr-FR"/>
    </w:rPr>
  </w:style>
  <w:style w:type="table" w:customStyle="1" w:styleId="Grilledutableau2">
    <w:name w:val="Grille du tableau2"/>
    <w:basedOn w:val="TableNormal"/>
    <w:next w:val="TableGrid"/>
    <w:rsid w:val="000716A4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4AD034-DB05-4C59-A691-64470E10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192E6-76FB-4D75-93E2-B6D7AB94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3635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Weiner, Manfred Leo</dc:creator>
  <cp:lastModifiedBy>Nadiya Dzyubynska</cp:lastModifiedBy>
  <cp:revision>2</cp:revision>
  <cp:lastPrinted>2019-11-12T10:07:00Z</cp:lastPrinted>
  <dcterms:created xsi:type="dcterms:W3CDTF">2021-12-08T16:02:00Z</dcterms:created>
  <dcterms:modified xsi:type="dcterms:W3CDTF">2021-12-08T16:02:00Z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