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3ADC6562" w:rsidR="00717408" w:rsidRPr="00FA0F0E" w:rsidRDefault="00FA63B2" w:rsidP="00D660CB">
            <w:pPr>
              <w:jc w:val="right"/>
              <w:rPr>
                <w:b/>
                <w:sz w:val="40"/>
                <w:szCs w:val="40"/>
              </w:rPr>
            </w:pPr>
            <w:r w:rsidRPr="00FA0F0E">
              <w:rPr>
                <w:b/>
                <w:sz w:val="40"/>
                <w:szCs w:val="40"/>
              </w:rPr>
              <w:t>UN/SCEGHS/</w:t>
            </w:r>
            <w:r w:rsidR="0081262E" w:rsidRPr="00FA0F0E">
              <w:rPr>
                <w:b/>
                <w:sz w:val="40"/>
                <w:szCs w:val="40"/>
              </w:rPr>
              <w:t>4</w:t>
            </w:r>
            <w:r w:rsidR="0081262E">
              <w:rPr>
                <w:b/>
                <w:sz w:val="40"/>
                <w:szCs w:val="40"/>
              </w:rPr>
              <w:t>1</w:t>
            </w:r>
            <w:r w:rsidRPr="00FA0F0E">
              <w:rPr>
                <w:b/>
                <w:sz w:val="40"/>
                <w:szCs w:val="40"/>
              </w:rPr>
              <w:t>/INF.</w:t>
            </w:r>
            <w:r w:rsidR="007F0919">
              <w:rPr>
                <w:b/>
                <w:sz w:val="40"/>
                <w:szCs w:val="40"/>
              </w:rPr>
              <w:t>16</w:t>
            </w:r>
          </w:p>
        </w:tc>
      </w:tr>
      <w:tr w:rsidR="00717408" w14:paraId="50374DD2" w14:textId="77777777" w:rsidTr="000E0076">
        <w:trPr>
          <w:cantSplit/>
          <w:trHeight w:hRule="exact" w:val="3413"/>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2B9E714B" w:rsidR="00717408" w:rsidRPr="00951EBC" w:rsidRDefault="00FA63B2" w:rsidP="003357B4">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711004">
              <w:rPr>
                <w:b/>
                <w:bCs/>
              </w:rPr>
              <w:t>6 Dec</w:t>
            </w:r>
            <w:r w:rsidR="003357B4">
              <w:rPr>
                <w:b/>
                <w:bCs/>
              </w:rPr>
              <w:t>ember</w:t>
            </w:r>
            <w:r w:rsidR="00717408" w:rsidRPr="00930EFE">
              <w:rPr>
                <w:b/>
                <w:bCs/>
              </w:rPr>
              <w:t xml:space="preserve"> </w:t>
            </w:r>
            <w:r w:rsidR="009B11B2" w:rsidRPr="00930EFE">
              <w:rPr>
                <w:b/>
                <w:bCs/>
              </w:rPr>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390ECFA9" w:rsidR="003C425A" w:rsidRPr="009103F3" w:rsidRDefault="003C425A" w:rsidP="003C425A">
            <w:pPr>
              <w:spacing w:before="40"/>
            </w:pPr>
            <w:r w:rsidRPr="009103F3">
              <w:t xml:space="preserve">Geneva, </w:t>
            </w:r>
            <w:r w:rsidR="003357B4">
              <w:t>8-10 December</w:t>
            </w:r>
            <w:r w:rsidRPr="009103F3">
              <w:t xml:space="preserve"> 2021</w:t>
            </w:r>
          </w:p>
          <w:p w14:paraId="5BBEE255" w14:textId="52513E5C" w:rsidR="003C425A" w:rsidRPr="0030509D" w:rsidRDefault="003C425A" w:rsidP="003C425A">
            <w:pPr>
              <w:spacing w:before="40"/>
            </w:pPr>
            <w:r w:rsidRPr="0030509D">
              <w:t xml:space="preserve">Item </w:t>
            </w:r>
            <w:r w:rsidR="001F1518">
              <w:t>2</w:t>
            </w:r>
            <w:r w:rsidR="00D718E5">
              <w:t xml:space="preserve"> (</w:t>
            </w:r>
            <w:r w:rsidR="001F1518">
              <w:t>h</w:t>
            </w:r>
            <w:r w:rsidR="00D718E5">
              <w:t>)</w:t>
            </w:r>
            <w:r w:rsidRPr="0030509D">
              <w:t xml:space="preserve"> of the provisional agenda</w:t>
            </w:r>
          </w:p>
          <w:p w14:paraId="0B2B2D67" w14:textId="77777777" w:rsidR="000E0076" w:rsidRDefault="000E0076" w:rsidP="000E0076">
            <w:pPr>
              <w:rPr>
                <w:b/>
                <w:bCs/>
              </w:rPr>
            </w:pPr>
            <w:r>
              <w:rPr>
                <w:b/>
                <w:bCs/>
              </w:rPr>
              <w:t>Work on the Globally Harmonized System (GHS):</w:t>
            </w:r>
            <w:r>
              <w:rPr>
                <w:b/>
                <w:bCs/>
              </w:rPr>
              <w:br/>
              <w:t>improvement of annexes 1 to 3 and further</w:t>
            </w:r>
            <w:r>
              <w:rPr>
                <w:b/>
                <w:bCs/>
              </w:rPr>
              <w:br/>
              <w:t>rationalization of precautionary statements</w:t>
            </w:r>
          </w:p>
          <w:p w14:paraId="7F67E7DF" w14:textId="719C1053" w:rsidR="00717408" w:rsidRPr="00AC7597" w:rsidRDefault="00717408" w:rsidP="003C425A">
            <w:pPr>
              <w:spacing w:line="240" w:lineRule="exact"/>
              <w:rPr>
                <w:b/>
                <w:bCs/>
              </w:rPr>
            </w:pPr>
          </w:p>
        </w:tc>
      </w:tr>
    </w:tbl>
    <w:p w14:paraId="36731E66" w14:textId="28920D0E" w:rsidR="0019497C" w:rsidRPr="00175FE9" w:rsidRDefault="0019497C" w:rsidP="00175FE9">
      <w:pPr>
        <w:pStyle w:val="HChG"/>
      </w:pPr>
      <w:r w:rsidRPr="00175FE9">
        <w:tab/>
      </w:r>
      <w:r w:rsidRPr="00175FE9">
        <w:tab/>
        <w:t>Status of the work of the Annex 1-3 informal working group</w:t>
      </w:r>
    </w:p>
    <w:p w14:paraId="79620093" w14:textId="77777777" w:rsidR="0019497C" w:rsidRPr="00175FE9" w:rsidRDefault="0019497C" w:rsidP="00175FE9">
      <w:pPr>
        <w:pStyle w:val="H1G"/>
        <w:rPr>
          <w:rFonts w:eastAsia="MS Mincho"/>
        </w:rPr>
      </w:pPr>
      <w:r>
        <w:rPr>
          <w:rFonts w:eastAsia="MS Mincho"/>
        </w:rPr>
        <w:tab/>
      </w:r>
      <w:r>
        <w:rPr>
          <w:rFonts w:eastAsia="MS Mincho"/>
        </w:rPr>
        <w:tab/>
      </w:r>
      <w:r w:rsidRPr="00175FE9">
        <w:t>Transmitted by the expert from United Kingdom on behalf of the informal working group</w:t>
      </w:r>
    </w:p>
    <w:p w14:paraId="436819D7" w14:textId="71D6CE67" w:rsidR="001F1518" w:rsidRDefault="0019497C" w:rsidP="007A74E1">
      <w:pPr>
        <w:pStyle w:val="HChG"/>
        <w:keepNext w:val="0"/>
        <w:keepLines w:val="0"/>
        <w:spacing w:before="240" w:after="120"/>
        <w:ind w:right="237"/>
        <w:rPr>
          <w:rStyle w:val="SingleTxtGCar"/>
          <w:u w:val="single"/>
        </w:rPr>
      </w:pPr>
      <w:r>
        <w:tab/>
      </w:r>
      <w:r>
        <w:tab/>
        <w:t>Introduction</w:t>
      </w:r>
    </w:p>
    <w:p w14:paraId="2CE3B5E3" w14:textId="6FBCF6B1" w:rsidR="007F7563" w:rsidRPr="00B16F0B" w:rsidRDefault="007F7563" w:rsidP="00B16F0B">
      <w:pPr>
        <w:pStyle w:val="SingleTxtG"/>
      </w:pPr>
      <w:r w:rsidRPr="00B16F0B">
        <w:t>1.</w:t>
      </w:r>
      <w:r w:rsidRPr="00B16F0B">
        <w:tab/>
        <w:t>This informal paper provides an update on the work undertaken by the informal working group on the revision of Annexes 1</w:t>
      </w:r>
      <w:r w:rsidR="00740023" w:rsidRPr="00B16F0B">
        <w:t xml:space="preserve">, 2 and </w:t>
      </w:r>
      <w:r w:rsidRPr="00B16F0B">
        <w:t xml:space="preserve">3 since the </w:t>
      </w:r>
      <w:r w:rsidR="007F50D2" w:rsidRPr="00B16F0B">
        <w:t>fortieth</w:t>
      </w:r>
      <w:r w:rsidRPr="00B16F0B">
        <w:t xml:space="preserve"> session of the Sub-Committee</w:t>
      </w:r>
      <w:r w:rsidR="007F50D2" w:rsidRPr="00B16F0B">
        <w:t xml:space="preserve"> in July 2021</w:t>
      </w:r>
      <w:r w:rsidRPr="00B16F0B">
        <w:t>.</w:t>
      </w:r>
    </w:p>
    <w:p w14:paraId="36C590C5" w14:textId="77777777" w:rsidR="007F7563" w:rsidRDefault="007F7563" w:rsidP="007A74E1">
      <w:pPr>
        <w:pStyle w:val="HChG"/>
        <w:keepNext w:val="0"/>
        <w:keepLines w:val="0"/>
        <w:spacing w:before="240" w:after="120"/>
        <w:ind w:right="237"/>
      </w:pPr>
      <w:r>
        <w:tab/>
      </w:r>
      <w:r>
        <w:tab/>
        <w:t>Background</w:t>
      </w:r>
    </w:p>
    <w:p w14:paraId="0877A07E" w14:textId="1C63DDC5" w:rsidR="00E167FD" w:rsidRPr="00112F8C" w:rsidRDefault="007F7563" w:rsidP="00112F8C">
      <w:pPr>
        <w:pStyle w:val="SingleTxtG"/>
      </w:pPr>
      <w:r w:rsidRPr="00112F8C">
        <w:t>2.</w:t>
      </w:r>
      <w:r w:rsidRPr="00112F8C">
        <w:tab/>
        <w:t>At the thirty-ninth session, the Sub-Committee agreed the group’s programme of work for the 2021-2022 biennium</w:t>
      </w:r>
      <w:r w:rsidRPr="00112F8C">
        <w:rPr>
          <w:rStyle w:val="FootnoteReference"/>
          <w:sz w:val="20"/>
          <w:vertAlign w:val="baseline"/>
        </w:rPr>
        <w:footnoteReference w:id="1"/>
      </w:r>
      <w:r w:rsidRPr="00112F8C">
        <w:t xml:space="preserve"> and </w:t>
      </w:r>
      <w:bookmarkStart w:id="1" w:name="_Hlk12628199"/>
      <w:r w:rsidR="00165C7F" w:rsidRPr="00112F8C">
        <w:t>a</w:t>
      </w:r>
      <w:r w:rsidR="0040654E" w:rsidRPr="00112F8C">
        <w:t xml:space="preserve">t the </w:t>
      </w:r>
      <w:r w:rsidR="00D404BD" w:rsidRPr="00112F8C">
        <w:t>fortieth</w:t>
      </w:r>
      <w:r w:rsidR="0040654E" w:rsidRPr="00112F8C">
        <w:t xml:space="preserve"> session of the Sub-Committee, </w:t>
      </w:r>
      <w:r w:rsidR="0056194B" w:rsidRPr="00112F8C">
        <w:t xml:space="preserve">an </w:t>
      </w:r>
      <w:r w:rsidR="0040654E" w:rsidRPr="00112F8C">
        <w:t>update on the progress of the working group w</w:t>
      </w:r>
      <w:r w:rsidR="00996FD2" w:rsidRPr="00112F8C">
        <w:t>as</w:t>
      </w:r>
      <w:r w:rsidR="0040654E" w:rsidRPr="00112F8C">
        <w:t xml:space="preserve"> provided</w:t>
      </w:r>
      <w:r w:rsidR="00935B91" w:rsidRPr="00112F8C">
        <w:rPr>
          <w:rStyle w:val="FootnoteReference"/>
          <w:sz w:val="20"/>
          <w:vertAlign w:val="baseline"/>
        </w:rPr>
        <w:footnoteReference w:id="2"/>
      </w:r>
      <w:r w:rsidR="0040654E" w:rsidRPr="00112F8C">
        <w:t xml:space="preserve"> </w:t>
      </w:r>
      <w:bookmarkEnd w:id="1"/>
      <w:r w:rsidR="00165C7F" w:rsidRPr="00112F8C">
        <w:t xml:space="preserve">together with </w:t>
      </w:r>
      <w:r w:rsidR="004322ED" w:rsidRPr="00112F8C">
        <w:t xml:space="preserve">formal proposals </w:t>
      </w:r>
      <w:r w:rsidR="00EF6CCD" w:rsidRPr="00112F8C">
        <w:t xml:space="preserve">on </w:t>
      </w:r>
      <w:r w:rsidR="00BB2073" w:rsidRPr="00112F8C">
        <w:t xml:space="preserve">various </w:t>
      </w:r>
      <w:r w:rsidR="0032655A" w:rsidRPr="00112F8C">
        <w:t>amendments to Annex 3</w:t>
      </w:r>
      <w:r w:rsidR="00FC749C" w:rsidRPr="00112F8C">
        <w:t>.</w:t>
      </w:r>
    </w:p>
    <w:p w14:paraId="4C46CCE7" w14:textId="37D7679A" w:rsidR="00353B05" w:rsidRPr="00112F8C" w:rsidRDefault="00033018" w:rsidP="00112F8C">
      <w:pPr>
        <w:pStyle w:val="SingleTxtG"/>
      </w:pPr>
      <w:r w:rsidRPr="00112F8C">
        <w:t>3.</w:t>
      </w:r>
      <w:r w:rsidRPr="00112F8C">
        <w:tab/>
      </w:r>
      <w:r w:rsidR="007A23EC" w:rsidRPr="00112F8C">
        <w:t xml:space="preserve">Although </w:t>
      </w:r>
      <w:proofErr w:type="gramStart"/>
      <w:r w:rsidR="006D5926" w:rsidRPr="00112F8C">
        <w:t>a number</w:t>
      </w:r>
      <w:r w:rsidR="007A23EC" w:rsidRPr="00112F8C">
        <w:t xml:space="preserve"> of</w:t>
      </w:r>
      <w:proofErr w:type="gramEnd"/>
      <w:r w:rsidR="007A23EC" w:rsidRPr="00112F8C">
        <w:t xml:space="preserve"> the proposals </w:t>
      </w:r>
      <w:r w:rsidR="004636FA" w:rsidRPr="00112F8C">
        <w:t>to amend sections 2 and 3 of Annex 3</w:t>
      </w:r>
      <w:r w:rsidR="00D668DD" w:rsidRPr="00112F8C">
        <w:rPr>
          <w:rStyle w:val="FootnoteReference"/>
          <w:sz w:val="20"/>
          <w:vertAlign w:val="baseline"/>
        </w:rPr>
        <w:footnoteReference w:id="3"/>
      </w:r>
      <w:r w:rsidR="004636FA" w:rsidRPr="00112F8C">
        <w:t xml:space="preserve"> </w:t>
      </w:r>
      <w:r w:rsidR="007A23EC" w:rsidRPr="00112F8C">
        <w:t>were adopted</w:t>
      </w:r>
      <w:r w:rsidR="006D016A" w:rsidRPr="00112F8C">
        <w:t xml:space="preserve"> at the fortieth session</w:t>
      </w:r>
      <w:r w:rsidR="00B47454" w:rsidRPr="00112F8C">
        <w:rPr>
          <w:rStyle w:val="FootnoteReference"/>
          <w:sz w:val="20"/>
          <w:vertAlign w:val="baseline"/>
        </w:rPr>
        <w:footnoteReference w:id="4"/>
      </w:r>
      <w:r w:rsidR="00595679" w:rsidRPr="00112F8C">
        <w:t xml:space="preserve">, </w:t>
      </w:r>
      <w:r w:rsidR="007A23EC" w:rsidRPr="00112F8C">
        <w:t>the Sub-Committee</w:t>
      </w:r>
      <w:r w:rsidR="006D5926" w:rsidRPr="00112F8C">
        <w:t xml:space="preserve"> </w:t>
      </w:r>
      <w:r w:rsidR="00B2325D" w:rsidRPr="00112F8C">
        <w:t xml:space="preserve">requested </w:t>
      </w:r>
      <w:r w:rsidR="006D5926" w:rsidRPr="00112F8C">
        <w:t xml:space="preserve">further consideration </w:t>
      </w:r>
      <w:r w:rsidR="006B503F" w:rsidRPr="00112F8C">
        <w:t xml:space="preserve">was </w:t>
      </w:r>
      <w:r w:rsidR="00CD1F30" w:rsidRPr="00112F8C">
        <w:t xml:space="preserve">undertaken </w:t>
      </w:r>
      <w:r w:rsidR="006B503F" w:rsidRPr="00112F8C">
        <w:t xml:space="preserve">regarding </w:t>
      </w:r>
      <w:r w:rsidR="00041B53" w:rsidRPr="00112F8C">
        <w:t>the P354 proposals</w:t>
      </w:r>
      <w:r w:rsidR="00C70B1F" w:rsidRPr="00112F8C">
        <w:t xml:space="preserve"> </w:t>
      </w:r>
      <w:r w:rsidR="00801F26" w:rsidRPr="00112F8C">
        <w:t>to address an ambiguity in the skin corrosion combined statement P302+P361+P354 “IF ON SKIN: Take off immediately all contaminated clothing</w:t>
      </w:r>
      <w:r w:rsidR="00353B05" w:rsidRPr="00112F8C">
        <w:t>.</w:t>
      </w:r>
      <w:r w:rsidR="00D228EB" w:rsidRPr="00112F8C">
        <w:t xml:space="preserve"> Immediately rinse with water for several minutes.”</w:t>
      </w:r>
      <w:r w:rsidR="00796A56" w:rsidRPr="00112F8C">
        <w:t>.</w:t>
      </w:r>
    </w:p>
    <w:p w14:paraId="1FC15A8B" w14:textId="6522F348" w:rsidR="00476FEC" w:rsidRPr="00112F8C" w:rsidRDefault="003154F2" w:rsidP="00112F8C">
      <w:pPr>
        <w:pStyle w:val="SingleTxtG"/>
      </w:pPr>
      <w:r w:rsidRPr="00112F8C">
        <w:t>4.</w:t>
      </w:r>
      <w:r w:rsidRPr="00112F8C">
        <w:tab/>
      </w:r>
      <w:r w:rsidR="00243AA8" w:rsidRPr="00112F8C">
        <w:t xml:space="preserve">In </w:t>
      </w:r>
      <w:r w:rsidR="00C55297" w:rsidRPr="00112F8C">
        <w:t xml:space="preserve">relation to the proposed combination statement amendments </w:t>
      </w:r>
      <w:r w:rsidR="00C9500B" w:rsidRPr="00112F8C">
        <w:t xml:space="preserve">to </w:t>
      </w:r>
      <w:r w:rsidR="00C55297" w:rsidRPr="00112F8C">
        <w:t>Annex 3</w:t>
      </w:r>
      <w:r w:rsidR="00D668DD" w:rsidRPr="00112F8C">
        <w:rPr>
          <w:rStyle w:val="FootnoteReference"/>
          <w:sz w:val="20"/>
          <w:vertAlign w:val="baseline"/>
        </w:rPr>
        <w:footnoteReference w:id="5"/>
      </w:r>
      <w:r w:rsidR="00243AA8" w:rsidRPr="00112F8C">
        <w:t xml:space="preserve">, </w:t>
      </w:r>
      <w:r w:rsidR="0016368E" w:rsidRPr="00112F8C">
        <w:t>t</w:t>
      </w:r>
      <w:r w:rsidR="00B5064F" w:rsidRPr="00112F8C">
        <w:t xml:space="preserve">he Sub-Committee </w:t>
      </w:r>
      <w:r w:rsidR="00476FEC" w:rsidRPr="00112F8C">
        <w:t>support</w:t>
      </w:r>
      <w:r w:rsidR="00703838" w:rsidRPr="00112F8C">
        <w:t>ed</w:t>
      </w:r>
      <w:r w:rsidR="00476FEC" w:rsidRPr="00112F8C">
        <w:t xml:space="preserve"> </w:t>
      </w:r>
      <w:r w:rsidR="007A19AF" w:rsidRPr="00112F8C">
        <w:t xml:space="preserve">most of these </w:t>
      </w:r>
      <w:r w:rsidR="00476FEC" w:rsidRPr="00112F8C">
        <w:t>in principle but</w:t>
      </w:r>
      <w:r w:rsidR="00703838" w:rsidRPr="00112F8C">
        <w:t xml:space="preserve"> </w:t>
      </w:r>
      <w:r w:rsidR="0092221A" w:rsidRPr="00112F8C">
        <w:t>requested</w:t>
      </w:r>
      <w:r w:rsidR="00703838" w:rsidRPr="00112F8C">
        <w:t xml:space="preserve"> that they </w:t>
      </w:r>
      <w:r w:rsidR="0092221A" w:rsidRPr="00112F8C">
        <w:t>were</w:t>
      </w:r>
      <w:r w:rsidR="00703838" w:rsidRPr="00112F8C">
        <w:t xml:space="preserve"> represented </w:t>
      </w:r>
      <w:r w:rsidR="00C06953" w:rsidRPr="00112F8C">
        <w:t xml:space="preserve">in a clearer format </w:t>
      </w:r>
      <w:r w:rsidR="0022742C" w:rsidRPr="00112F8C">
        <w:t>and that</w:t>
      </w:r>
      <w:r w:rsidR="009039A8" w:rsidRPr="00112F8C">
        <w:t xml:space="preserve"> further consideration </w:t>
      </w:r>
      <w:r w:rsidR="00641F6D" w:rsidRPr="00112F8C">
        <w:t xml:space="preserve">was required </w:t>
      </w:r>
      <w:r w:rsidR="009039A8" w:rsidRPr="00112F8C">
        <w:t xml:space="preserve">regarding the </w:t>
      </w:r>
      <w:r w:rsidR="00641F6D" w:rsidRPr="00112F8C">
        <w:t>applicability of P373 to Type A self-reactive substances and mixtures and Type A organic peroxides</w:t>
      </w:r>
      <w:r w:rsidR="0022742C" w:rsidRPr="00112F8C">
        <w:t>.</w:t>
      </w:r>
    </w:p>
    <w:p w14:paraId="31AA4E93" w14:textId="4C08947C" w:rsidR="00C14426" w:rsidRPr="00112F8C" w:rsidRDefault="0074578C" w:rsidP="00112F8C">
      <w:pPr>
        <w:pStyle w:val="SingleTxtG"/>
      </w:pPr>
      <w:r w:rsidRPr="00112F8C">
        <w:t>5</w:t>
      </w:r>
      <w:r w:rsidR="00052723" w:rsidRPr="00112F8C">
        <w:t>.</w:t>
      </w:r>
      <w:r w:rsidR="00052723" w:rsidRPr="00112F8C">
        <w:tab/>
      </w:r>
      <w:r w:rsidR="004543BA" w:rsidRPr="00112F8C">
        <w:t xml:space="preserve">The informal working group presently has approximately </w:t>
      </w:r>
      <w:r w:rsidR="001C7D3E" w:rsidRPr="00112F8C">
        <w:t>7</w:t>
      </w:r>
      <w:r w:rsidR="004543BA" w:rsidRPr="00112F8C">
        <w:t>0 members, reflecting the importance of, and interest in, this work</w:t>
      </w:r>
      <w:r w:rsidR="00B37572" w:rsidRPr="00112F8C">
        <w:t xml:space="preserve"> to improve </w:t>
      </w:r>
      <w:r w:rsidR="00142C1E" w:rsidRPr="00112F8C">
        <w:t>Annex</w:t>
      </w:r>
      <w:r w:rsidR="00FC2CF4" w:rsidRPr="00112F8C">
        <w:t>es</w:t>
      </w:r>
      <w:r w:rsidR="00142C1E" w:rsidRPr="00112F8C">
        <w:t xml:space="preserve"> 1 to 3</w:t>
      </w:r>
      <w:r w:rsidR="004543BA" w:rsidRPr="00112F8C">
        <w:t xml:space="preserve">. Its membership includes experts with specialised knowledge of </w:t>
      </w:r>
      <w:r w:rsidR="00EE2E36" w:rsidRPr="00112F8C">
        <w:t xml:space="preserve">the various </w:t>
      </w:r>
      <w:r w:rsidR="007A64A8" w:rsidRPr="00112F8C">
        <w:t>hazard</w:t>
      </w:r>
      <w:r w:rsidR="00EE2E36" w:rsidRPr="00112F8C">
        <w:t xml:space="preserve"> classes </w:t>
      </w:r>
      <w:r w:rsidR="00FC2CF4" w:rsidRPr="00112F8C">
        <w:t>with</w:t>
      </w:r>
      <w:r w:rsidR="00EE2E36" w:rsidRPr="00112F8C">
        <w:t xml:space="preserve">in the </w:t>
      </w:r>
      <w:r w:rsidR="00161FBD" w:rsidRPr="00112F8C">
        <w:t>GHS</w:t>
      </w:r>
      <w:r w:rsidR="007A64A8" w:rsidRPr="00112F8C">
        <w:t xml:space="preserve"> </w:t>
      </w:r>
      <w:r w:rsidR="004543BA" w:rsidRPr="00112F8C">
        <w:t xml:space="preserve">and experts on national legislation that implements GHS. </w:t>
      </w:r>
      <w:r w:rsidR="007F7563" w:rsidRPr="00112F8C">
        <w:tab/>
      </w:r>
      <w:r w:rsidR="007F7563" w:rsidRPr="00112F8C">
        <w:tab/>
      </w:r>
    </w:p>
    <w:p w14:paraId="0D70F855" w14:textId="0DA67788" w:rsidR="007F7563" w:rsidRDefault="00C14426" w:rsidP="00B70989">
      <w:pPr>
        <w:pStyle w:val="HChG"/>
        <w:spacing w:before="240" w:after="120"/>
        <w:ind w:right="238"/>
      </w:pPr>
      <w:r>
        <w:lastRenderedPageBreak/>
        <w:tab/>
      </w:r>
      <w:r>
        <w:tab/>
      </w:r>
      <w:r w:rsidR="007F7563">
        <w:t xml:space="preserve">Status report </w:t>
      </w:r>
    </w:p>
    <w:p w14:paraId="41F380C9" w14:textId="304F3218" w:rsidR="007F7563" w:rsidRPr="00112F8C" w:rsidRDefault="00212DAD" w:rsidP="00112F8C">
      <w:pPr>
        <w:pStyle w:val="SingleTxtG"/>
      </w:pPr>
      <w:r w:rsidRPr="00112F8C">
        <w:t>6</w:t>
      </w:r>
      <w:r w:rsidR="007F7563" w:rsidRPr="00112F8C">
        <w:t>.</w:t>
      </w:r>
      <w:r w:rsidR="007F7563" w:rsidRPr="00112F8C">
        <w:tab/>
        <w:t xml:space="preserve">Since the last meeting of the Sub-Committee, the working group has actively taken forward, via correspondence, </w:t>
      </w:r>
      <w:r w:rsidR="00114231" w:rsidRPr="00112F8C">
        <w:t xml:space="preserve">the </w:t>
      </w:r>
      <w:r w:rsidR="00A06F9C" w:rsidRPr="00112F8C">
        <w:t xml:space="preserve">outstanding </w:t>
      </w:r>
      <w:r w:rsidR="00114231" w:rsidRPr="00112F8C">
        <w:t xml:space="preserve">issues </w:t>
      </w:r>
      <w:r w:rsidR="0020197F" w:rsidRPr="00112F8C">
        <w:t>from the discussions at</w:t>
      </w:r>
      <w:r w:rsidR="007C7611" w:rsidRPr="00112F8C">
        <w:t xml:space="preserve"> </w:t>
      </w:r>
      <w:r w:rsidR="0095445C" w:rsidRPr="00112F8C">
        <w:t>the fortieth session</w:t>
      </w:r>
      <w:r w:rsidR="00E96EA6" w:rsidRPr="00112F8C">
        <w:t>,</w:t>
      </w:r>
      <w:r w:rsidR="0095445C" w:rsidRPr="00112F8C">
        <w:t xml:space="preserve"> </w:t>
      </w:r>
      <w:r w:rsidR="0020197F" w:rsidRPr="00112F8C">
        <w:t>as well as</w:t>
      </w:r>
      <w:r w:rsidR="00394D8F" w:rsidRPr="00112F8C">
        <w:t xml:space="preserve"> </w:t>
      </w:r>
      <w:r w:rsidR="007F7563" w:rsidRPr="00112F8C">
        <w:t xml:space="preserve">several </w:t>
      </w:r>
      <w:r w:rsidR="00394D8F" w:rsidRPr="00112F8C">
        <w:t xml:space="preserve">other </w:t>
      </w:r>
      <w:r w:rsidR="007F7563" w:rsidRPr="00112F8C">
        <w:t xml:space="preserve">items on its work programme. </w:t>
      </w:r>
    </w:p>
    <w:p w14:paraId="665CFFC1" w14:textId="71BC50B0" w:rsidR="004C2D94" w:rsidRPr="00B14B9D" w:rsidRDefault="00DE45C6" w:rsidP="00DE45C6">
      <w:pPr>
        <w:pStyle w:val="H1G"/>
      </w:pPr>
      <w:r>
        <w:tab/>
      </w:r>
      <w:r w:rsidR="00DC4C82">
        <w:t>I</w:t>
      </w:r>
      <w:r w:rsidR="000A201E" w:rsidRPr="00292D5F">
        <w:t>.</w:t>
      </w:r>
      <w:r w:rsidR="000A201E" w:rsidRPr="00292D5F">
        <w:tab/>
      </w:r>
      <w:r w:rsidR="004F01BB" w:rsidRPr="00B14B9D">
        <w:t>Comb</w:t>
      </w:r>
      <w:r w:rsidR="0095445C" w:rsidRPr="00B14B9D">
        <w:t>ination</w:t>
      </w:r>
      <w:r w:rsidR="004F01BB" w:rsidRPr="00B14B9D">
        <w:t xml:space="preserve"> statement</w:t>
      </w:r>
      <w:r w:rsidR="0095445C" w:rsidRPr="00B14B9D">
        <w:t xml:space="preserve"> proposals</w:t>
      </w:r>
      <w:r w:rsidR="004F4545" w:rsidRPr="00B14B9D">
        <w:t xml:space="preserve"> </w:t>
      </w:r>
      <w:r w:rsidR="003D2323" w:rsidRPr="00B14B9D">
        <w:t xml:space="preserve">- </w:t>
      </w:r>
      <w:r w:rsidR="004F4545" w:rsidRPr="00B14B9D">
        <w:t>update</w:t>
      </w:r>
      <w:r w:rsidR="003D2323" w:rsidRPr="00B14B9D">
        <w:t xml:space="preserve"> on progress</w:t>
      </w:r>
      <w:r w:rsidR="00F11D7C" w:rsidRPr="00B14B9D">
        <w:t xml:space="preserve"> of issues</w:t>
      </w:r>
    </w:p>
    <w:p w14:paraId="4C671E8C" w14:textId="095BCF7A" w:rsidR="0094264E" w:rsidRPr="00112F8C" w:rsidRDefault="004F01BB" w:rsidP="00112F8C">
      <w:pPr>
        <w:pStyle w:val="SingleTxtG"/>
      </w:pPr>
      <w:r w:rsidRPr="00112F8C">
        <w:t>7.</w:t>
      </w:r>
      <w:r w:rsidRPr="00112F8C">
        <w:tab/>
      </w:r>
      <w:r w:rsidR="00033026" w:rsidRPr="00112F8C">
        <w:t xml:space="preserve">The group has undertaken </w:t>
      </w:r>
      <w:r w:rsidR="00A70FEE" w:rsidRPr="00112F8C">
        <w:t xml:space="preserve">a lot of work </w:t>
      </w:r>
      <w:r w:rsidR="00D87A9E" w:rsidRPr="00112F8C">
        <w:t>on</w:t>
      </w:r>
      <w:r w:rsidR="00410432" w:rsidRPr="00112F8C">
        <w:t xml:space="preserve"> the development of </w:t>
      </w:r>
      <w:r w:rsidR="00A70FEE" w:rsidRPr="00112F8C">
        <w:t>the combinations statement</w:t>
      </w:r>
      <w:r w:rsidR="00410432" w:rsidRPr="00112F8C">
        <w:t xml:space="preserve"> proposals since</w:t>
      </w:r>
      <w:r w:rsidR="00D41BA6" w:rsidRPr="00112F8C">
        <w:t xml:space="preserve"> the initial thought starter</w:t>
      </w:r>
      <w:r w:rsidR="00C04C4B" w:rsidRPr="00112F8C">
        <w:t xml:space="preserve"> was produced</w:t>
      </w:r>
      <w:r w:rsidR="00D41BA6" w:rsidRPr="00112F8C">
        <w:t xml:space="preserve"> in January 2021</w:t>
      </w:r>
      <w:r w:rsidR="003D5DBF" w:rsidRPr="00112F8C">
        <w:t>,</w:t>
      </w:r>
      <w:r w:rsidR="00C02EB5" w:rsidRPr="00112F8C">
        <w:t xml:space="preserve"> and </w:t>
      </w:r>
      <w:r w:rsidR="003D5DBF" w:rsidRPr="00112F8C">
        <w:t>in line with the comments received</w:t>
      </w:r>
      <w:r w:rsidR="00133077" w:rsidRPr="00112F8C">
        <w:t xml:space="preserve"> </w:t>
      </w:r>
      <w:r w:rsidR="00826D87" w:rsidRPr="00112F8C">
        <w:t>from members of the group</w:t>
      </w:r>
      <w:r w:rsidR="003D5DBF" w:rsidRPr="00112F8C">
        <w:t xml:space="preserve">, was followed by the </w:t>
      </w:r>
      <w:r w:rsidR="00030FD0" w:rsidRPr="00112F8C">
        <w:t>formal</w:t>
      </w:r>
      <w:r w:rsidR="00C43CDC" w:rsidRPr="00112F8C">
        <w:t xml:space="preserve"> </w:t>
      </w:r>
      <w:r w:rsidR="00670187" w:rsidRPr="00112F8C">
        <w:t>working document</w:t>
      </w:r>
      <w:r w:rsidR="00C43CDC" w:rsidRPr="00112F8C">
        <w:t xml:space="preserve"> </w:t>
      </w:r>
      <w:r w:rsidR="00CF3749" w:rsidRPr="00112F8C">
        <w:t>on these issues that was presented at</w:t>
      </w:r>
      <w:r w:rsidR="00AE3BAC" w:rsidRPr="00112F8C">
        <w:t xml:space="preserve"> GHS 40</w:t>
      </w:r>
      <w:r w:rsidR="00487EE4" w:rsidRPr="00112F8C">
        <w:t xml:space="preserve">. </w:t>
      </w:r>
    </w:p>
    <w:p w14:paraId="4D31AA5F" w14:textId="18B2E2D3" w:rsidR="004F01BB" w:rsidRPr="00112F8C" w:rsidRDefault="0094264E" w:rsidP="00112F8C">
      <w:pPr>
        <w:pStyle w:val="SingleTxtG"/>
      </w:pPr>
      <w:r w:rsidRPr="00112F8C">
        <w:t>8.</w:t>
      </w:r>
      <w:r w:rsidRPr="00112F8C">
        <w:tab/>
      </w:r>
      <w:r w:rsidR="00487EE4" w:rsidRPr="00112F8C">
        <w:t>T</w:t>
      </w:r>
      <w:r w:rsidR="008273B8" w:rsidRPr="00112F8C">
        <w:t>aking on board the comments</w:t>
      </w:r>
      <w:r w:rsidRPr="00112F8C">
        <w:t xml:space="preserve"> that were</w:t>
      </w:r>
      <w:r w:rsidR="008273B8" w:rsidRPr="00112F8C">
        <w:t xml:space="preserve"> received at the fortieth session</w:t>
      </w:r>
      <w:r w:rsidRPr="00112F8C">
        <w:t>,</w:t>
      </w:r>
      <w:r w:rsidR="008273B8" w:rsidRPr="00112F8C">
        <w:t xml:space="preserve"> </w:t>
      </w:r>
      <w:r w:rsidR="00487EE4" w:rsidRPr="00112F8C">
        <w:t xml:space="preserve">a further thought starter to address outstanding issues was produced </w:t>
      </w:r>
      <w:r w:rsidR="00A60D72" w:rsidRPr="00112F8C">
        <w:t xml:space="preserve">and circulated to the group </w:t>
      </w:r>
      <w:r w:rsidR="00487EE4" w:rsidRPr="00112F8C">
        <w:t>in July 2021</w:t>
      </w:r>
      <w:r w:rsidR="00CF3749" w:rsidRPr="00112F8C">
        <w:t>.</w:t>
      </w:r>
      <w:r w:rsidR="00A36638" w:rsidRPr="00112F8C">
        <w:t xml:space="preserve"> </w:t>
      </w:r>
      <w:r w:rsidR="00522BAA" w:rsidRPr="00112F8C">
        <w:t>Although the group discussions are still on-going, t</w:t>
      </w:r>
      <w:r w:rsidR="00F53A0C" w:rsidRPr="00112F8C">
        <w:t xml:space="preserve">he following is </w:t>
      </w:r>
      <w:proofErr w:type="gramStart"/>
      <w:r w:rsidR="00F53A0C" w:rsidRPr="00112F8C">
        <w:t>a</w:t>
      </w:r>
      <w:r w:rsidR="00595AD9" w:rsidRPr="00112F8C">
        <w:t xml:space="preserve"> brief summary</w:t>
      </w:r>
      <w:proofErr w:type="gramEnd"/>
      <w:r w:rsidR="00595AD9" w:rsidRPr="00112F8C">
        <w:t xml:space="preserve"> of the issues and their current status</w:t>
      </w:r>
      <w:r w:rsidR="00522BAA" w:rsidRPr="00112F8C">
        <w:t xml:space="preserve"> </w:t>
      </w:r>
      <w:r w:rsidR="000E5B21" w:rsidRPr="00112F8C">
        <w:t xml:space="preserve">and </w:t>
      </w:r>
      <w:r w:rsidR="00522BAA" w:rsidRPr="00112F8C">
        <w:t>to enable the Sub-Committee to provide an initial view</w:t>
      </w:r>
      <w:r w:rsidR="0028281F" w:rsidRPr="00112F8C">
        <w:t xml:space="preserve"> </w:t>
      </w:r>
      <w:r w:rsidR="0009093C" w:rsidRPr="00112F8C">
        <w:t xml:space="preserve">on these </w:t>
      </w:r>
      <w:r w:rsidR="005B0291" w:rsidRPr="00112F8C">
        <w:t xml:space="preserve">issues </w:t>
      </w:r>
      <w:r w:rsidR="0009093C" w:rsidRPr="00112F8C">
        <w:t>which may</w:t>
      </w:r>
      <w:r w:rsidR="0028281F" w:rsidRPr="00112F8C">
        <w:t xml:space="preserve"> assist the group to </w:t>
      </w:r>
      <w:r w:rsidR="0009093C" w:rsidRPr="00112F8C">
        <w:t xml:space="preserve">reach a </w:t>
      </w:r>
      <w:r w:rsidR="005B0291" w:rsidRPr="00112F8C">
        <w:t>consensus</w:t>
      </w:r>
      <w:r w:rsidR="0009093C" w:rsidRPr="00112F8C">
        <w:t xml:space="preserve"> on</w:t>
      </w:r>
      <w:r w:rsidR="0028281F" w:rsidRPr="00112F8C">
        <w:t xml:space="preserve"> the</w:t>
      </w:r>
      <w:r w:rsidR="0009093C" w:rsidRPr="00112F8C">
        <w:t>se</w:t>
      </w:r>
      <w:r w:rsidR="0028281F" w:rsidRPr="00112F8C">
        <w:t xml:space="preserve"> issues</w:t>
      </w:r>
      <w:r w:rsidR="0090242E" w:rsidRPr="00112F8C">
        <w:t xml:space="preserve"> with the aim of providing formal proposals for the forty-second session. The issues</w:t>
      </w:r>
      <w:r w:rsidR="0009093C" w:rsidRPr="00112F8C">
        <w:t xml:space="preserve"> </w:t>
      </w:r>
      <w:r w:rsidR="000A0EA6" w:rsidRPr="00112F8C">
        <w:t>are</w:t>
      </w:r>
      <w:r w:rsidR="00595AD9" w:rsidRPr="00112F8C">
        <w:t xml:space="preserve"> as follows:</w:t>
      </w:r>
    </w:p>
    <w:p w14:paraId="6790F1D9" w14:textId="6F2466C8" w:rsidR="003A3367" w:rsidRPr="00D73C3B" w:rsidRDefault="00B14B9D" w:rsidP="00E70B4E">
      <w:pPr>
        <w:pStyle w:val="H23G"/>
      </w:pPr>
      <w:r w:rsidRPr="00E96EA6">
        <w:tab/>
      </w:r>
      <w:r w:rsidR="00E70B4E">
        <w:tab/>
      </w:r>
      <w:r w:rsidR="003A3367" w:rsidRPr="00D73C3B">
        <w:t>Retention of combined hazard statements</w:t>
      </w:r>
      <w:r w:rsidR="000B3FA2" w:rsidRPr="00D73C3B">
        <w:t xml:space="preserve"> and combined precautionary statements</w:t>
      </w:r>
    </w:p>
    <w:p w14:paraId="6EE6DD36" w14:textId="00C7C671" w:rsidR="0074178E" w:rsidRPr="00112F8C" w:rsidRDefault="0033548E" w:rsidP="00112F8C">
      <w:pPr>
        <w:pStyle w:val="SingleTxtG"/>
      </w:pPr>
      <w:r w:rsidRPr="00112F8C">
        <w:t>9.</w:t>
      </w:r>
      <w:r w:rsidRPr="00112F8C">
        <w:tab/>
      </w:r>
      <w:r w:rsidR="003121F1" w:rsidRPr="00112F8C">
        <w:t>I</w:t>
      </w:r>
      <w:r w:rsidR="006F7EA9" w:rsidRPr="00112F8C">
        <w:t xml:space="preserve">n 2021/1 </w:t>
      </w:r>
      <w:r w:rsidR="006D7E04" w:rsidRPr="00112F8C">
        <w:t>(</w:t>
      </w:r>
      <w:r w:rsidR="00250300" w:rsidRPr="00112F8C">
        <w:t xml:space="preserve">see </w:t>
      </w:r>
      <w:r w:rsidR="006D7E04" w:rsidRPr="00112F8C">
        <w:t xml:space="preserve">paragraphs 4 to 7 and 25 to 28) </w:t>
      </w:r>
      <w:r w:rsidR="00947749" w:rsidRPr="00112F8C">
        <w:t>overall</w:t>
      </w:r>
      <w:r w:rsidR="001D2F7D" w:rsidRPr="00112F8C">
        <w:t>,</w:t>
      </w:r>
      <w:r w:rsidR="00947749" w:rsidRPr="00112F8C">
        <w:t xml:space="preserve"> the group </w:t>
      </w:r>
      <w:r w:rsidR="00846E6A" w:rsidRPr="00112F8C">
        <w:t xml:space="preserve">had </w:t>
      </w:r>
      <w:r w:rsidR="00947749" w:rsidRPr="00112F8C">
        <w:t xml:space="preserve">concluded that users of the GHS would benefit from retaining the existing combined </w:t>
      </w:r>
      <w:r w:rsidR="004A424A" w:rsidRPr="00112F8C">
        <w:t xml:space="preserve">hazard and </w:t>
      </w:r>
      <w:r w:rsidR="00C32729" w:rsidRPr="00112F8C">
        <w:t xml:space="preserve">combined </w:t>
      </w:r>
      <w:r w:rsidR="00947749" w:rsidRPr="00112F8C">
        <w:t xml:space="preserve">precautionary statements in the tables as they demonstrate how such combinations could be achieved. </w:t>
      </w:r>
      <w:r w:rsidR="00A860A5" w:rsidRPr="00112F8C">
        <w:t xml:space="preserve">This </w:t>
      </w:r>
      <w:r w:rsidR="0049646E" w:rsidRPr="00112F8C">
        <w:t>was</w:t>
      </w:r>
      <w:r w:rsidR="00A860A5" w:rsidRPr="00112F8C">
        <w:t xml:space="preserve"> supported in principle by the Sub-Committee</w:t>
      </w:r>
      <w:r w:rsidR="00435560" w:rsidRPr="00112F8C">
        <w:t>,</w:t>
      </w:r>
      <w:r w:rsidR="00575F47" w:rsidRPr="00112F8C">
        <w:t xml:space="preserve"> </w:t>
      </w:r>
      <w:r w:rsidR="00435560" w:rsidRPr="00112F8C">
        <w:t>so no further work has taken place on this issue</w:t>
      </w:r>
      <w:r w:rsidR="00A860A5" w:rsidRPr="00112F8C">
        <w:t>.</w:t>
      </w:r>
      <w:r w:rsidR="00435560" w:rsidRPr="00112F8C">
        <w:t xml:space="preserve"> </w:t>
      </w:r>
    </w:p>
    <w:p w14:paraId="7923A865" w14:textId="153FF155" w:rsidR="00862A9B" w:rsidRPr="00D73C3B" w:rsidRDefault="00B14B9D" w:rsidP="00E70B4E">
      <w:pPr>
        <w:pStyle w:val="H23G"/>
      </w:pPr>
      <w:r w:rsidRPr="00C32729">
        <w:tab/>
      </w:r>
      <w:r w:rsidR="00E70B4E">
        <w:tab/>
      </w:r>
      <w:r w:rsidR="00862A9B" w:rsidRPr="00D73C3B">
        <w:t>Acute toxicity combined hazard statements</w:t>
      </w:r>
    </w:p>
    <w:p w14:paraId="107BA674" w14:textId="432D0C48" w:rsidR="00862A9B" w:rsidRPr="00A60804" w:rsidRDefault="0033548E" w:rsidP="00A60804">
      <w:pPr>
        <w:pStyle w:val="SingleTxtG"/>
      </w:pPr>
      <w:r w:rsidRPr="00A60804">
        <w:t>10.</w:t>
      </w:r>
      <w:r w:rsidRPr="00A60804">
        <w:tab/>
      </w:r>
      <w:r w:rsidR="00EF431D" w:rsidRPr="00A60804">
        <w:t xml:space="preserve">As detailed in paragraphs </w:t>
      </w:r>
      <w:r w:rsidR="00B71A0E" w:rsidRPr="00A60804">
        <w:t>8</w:t>
      </w:r>
      <w:r w:rsidR="00250300" w:rsidRPr="00A60804">
        <w:t xml:space="preserve"> to </w:t>
      </w:r>
      <w:r w:rsidR="00B71A0E" w:rsidRPr="00A60804">
        <w:t xml:space="preserve">12 of 2021/1, the group concluded that the entries for the two-statement acute toxicity combined statements were unnecessary in </w:t>
      </w:r>
      <w:r w:rsidR="008A14C4" w:rsidRPr="00A60804">
        <w:t xml:space="preserve">Table A3.1.2 </w:t>
      </w:r>
      <w:r w:rsidR="00B71A0E" w:rsidRPr="00A60804">
        <w:t>and proposed to delete them all from</w:t>
      </w:r>
      <w:r w:rsidR="00BF45F6" w:rsidRPr="00A60804">
        <w:t xml:space="preserve"> </w:t>
      </w:r>
      <w:r w:rsidR="008A14C4" w:rsidRPr="00A60804">
        <w:t>the table</w:t>
      </w:r>
      <w:r w:rsidR="00B71A0E" w:rsidRPr="00A60804">
        <w:t xml:space="preserve">. </w:t>
      </w:r>
      <w:r w:rsidR="00853231" w:rsidRPr="00A60804">
        <w:t xml:space="preserve">This </w:t>
      </w:r>
      <w:r w:rsidR="002076DB" w:rsidRPr="00A60804">
        <w:t xml:space="preserve">proposal </w:t>
      </w:r>
      <w:r w:rsidR="00194F86" w:rsidRPr="00A60804">
        <w:t>was</w:t>
      </w:r>
      <w:r w:rsidR="00853231" w:rsidRPr="00A60804">
        <w:t xml:space="preserve"> supported in principle by the Sub-Committee, so no further work has </w:t>
      </w:r>
      <w:r w:rsidR="00A82903" w:rsidRPr="00A60804">
        <w:t>been under</w:t>
      </w:r>
      <w:r w:rsidR="00853231" w:rsidRPr="00A60804">
        <w:t>taken on this issue</w:t>
      </w:r>
      <w:r w:rsidR="00A82903" w:rsidRPr="00A60804">
        <w:t>,</w:t>
      </w:r>
      <w:r w:rsidR="00853231" w:rsidRPr="00A60804">
        <w:t xml:space="preserve"> </w:t>
      </w:r>
      <w:r w:rsidR="00AB7AE9" w:rsidRPr="00A60804">
        <w:t xml:space="preserve">though </w:t>
      </w:r>
      <w:r w:rsidR="00C74CC3" w:rsidRPr="00A60804">
        <w:t xml:space="preserve">it </w:t>
      </w:r>
      <w:r w:rsidR="00853231" w:rsidRPr="00A60804">
        <w:t xml:space="preserve">will be addressed in the </w:t>
      </w:r>
      <w:r w:rsidR="005A2699" w:rsidRPr="00A60804">
        <w:t>revised formal proposals</w:t>
      </w:r>
      <w:r w:rsidR="00AD4FC3" w:rsidRPr="00A60804">
        <w:t xml:space="preserve"> on combination statements</w:t>
      </w:r>
      <w:r w:rsidR="000D4B86" w:rsidRPr="00A60804">
        <w:t xml:space="preserve"> for consideration at the forty-</w:t>
      </w:r>
      <w:r w:rsidR="00535EE3" w:rsidRPr="00A60804">
        <w:t>second</w:t>
      </w:r>
      <w:r w:rsidR="000D4B86" w:rsidRPr="00A60804">
        <w:t xml:space="preserve"> session</w:t>
      </w:r>
      <w:r w:rsidR="005A2699" w:rsidRPr="00A60804">
        <w:t>.</w:t>
      </w:r>
    </w:p>
    <w:p w14:paraId="70C55403" w14:textId="34FB6828" w:rsidR="006908D2" w:rsidRPr="000A04C7" w:rsidRDefault="00B14B9D" w:rsidP="000A04C7">
      <w:pPr>
        <w:pStyle w:val="H23G"/>
      </w:pPr>
      <w:r w:rsidRPr="000A04C7">
        <w:tab/>
      </w:r>
      <w:r w:rsidR="000A04C7">
        <w:tab/>
      </w:r>
      <w:r w:rsidR="006908D2" w:rsidRPr="000A04C7">
        <w:t>H315 + H320 “Causes skin and eye irritation”</w:t>
      </w:r>
    </w:p>
    <w:p w14:paraId="10234CC6" w14:textId="24448E59" w:rsidR="00B149D1" w:rsidRPr="00A60804" w:rsidRDefault="0033548E" w:rsidP="00A60804">
      <w:pPr>
        <w:pStyle w:val="SingleTxtG"/>
      </w:pPr>
      <w:r w:rsidRPr="00A60804">
        <w:t>11.</w:t>
      </w:r>
      <w:r w:rsidRPr="00A60804">
        <w:tab/>
      </w:r>
      <w:r w:rsidR="004A1367" w:rsidRPr="00A60804">
        <w:t xml:space="preserve">At the fortieth session, the </w:t>
      </w:r>
      <w:r w:rsidR="00DA639D" w:rsidRPr="00A60804">
        <w:t xml:space="preserve">Sub-Committee </w:t>
      </w:r>
      <w:r w:rsidR="00806F6A" w:rsidRPr="00A60804">
        <w:t>supported the</w:t>
      </w:r>
      <w:r w:rsidR="00DA639D" w:rsidRPr="00A60804">
        <w:t xml:space="preserve"> ret</w:t>
      </w:r>
      <w:r w:rsidR="00806F6A" w:rsidRPr="00A60804">
        <w:t>ention</w:t>
      </w:r>
      <w:r w:rsidR="00DA639D" w:rsidRPr="00A60804">
        <w:t xml:space="preserve"> the H315 + H320 </w:t>
      </w:r>
      <w:r w:rsidR="00082320" w:rsidRPr="00A60804">
        <w:t>for</w:t>
      </w:r>
      <w:r w:rsidR="008A66A2" w:rsidRPr="00A60804">
        <w:t xml:space="preserve"> skin corrosion/irritation category 2 and serious eye damage/eye irritation 2B and </w:t>
      </w:r>
      <w:r w:rsidR="003756EF" w:rsidRPr="00A60804">
        <w:t>the</w:t>
      </w:r>
      <w:r w:rsidR="008A66A2" w:rsidRPr="00A60804">
        <w:t xml:space="preserve"> in</w:t>
      </w:r>
      <w:r w:rsidR="00A35B41" w:rsidRPr="00A60804">
        <w:t>troduc</w:t>
      </w:r>
      <w:r w:rsidR="003756EF" w:rsidRPr="00A60804">
        <w:t>tion of</w:t>
      </w:r>
      <w:r w:rsidR="008A66A2" w:rsidRPr="00A60804">
        <w:t xml:space="preserve"> a separate new entry for H315</w:t>
      </w:r>
      <w:r w:rsidR="006332A4" w:rsidRPr="00A60804">
        <w:t xml:space="preserve"> </w:t>
      </w:r>
      <w:r w:rsidR="008A66A2" w:rsidRPr="00A60804">
        <w:t>+</w:t>
      </w:r>
      <w:r w:rsidR="006332A4" w:rsidRPr="00A60804">
        <w:t xml:space="preserve"> </w:t>
      </w:r>
      <w:r w:rsidR="008A66A2" w:rsidRPr="00A60804">
        <w:t>H319 for skin corrosion/irritation category 2 and serious eye damage/eye irritation category 2/2A</w:t>
      </w:r>
      <w:r w:rsidR="009E0C76" w:rsidRPr="00A60804">
        <w:t>, together with a</w:t>
      </w:r>
      <w:r w:rsidR="00F53809" w:rsidRPr="00A60804">
        <w:t>n explanatory note,</w:t>
      </w:r>
      <w:r w:rsidR="00DA639D" w:rsidRPr="00A60804">
        <w:t xml:space="preserve"> into Table A3.1.2.</w:t>
      </w:r>
      <w:r w:rsidR="00F709FE" w:rsidRPr="00A60804">
        <w:t xml:space="preserve"> </w:t>
      </w:r>
    </w:p>
    <w:p w14:paraId="7658367F" w14:textId="5DB0D0D8" w:rsidR="007709F6" w:rsidRDefault="00A46043" w:rsidP="00A60804">
      <w:pPr>
        <w:pStyle w:val="SingleTxtG"/>
      </w:pPr>
      <w:r w:rsidRPr="00A60804">
        <w:t>12.</w:t>
      </w:r>
      <w:r w:rsidRPr="00A60804">
        <w:tab/>
      </w:r>
      <w:r w:rsidR="00850FB6" w:rsidRPr="00A60804">
        <w:t>T</w:t>
      </w:r>
      <w:r w:rsidR="00DA6C1E" w:rsidRPr="00A60804">
        <w:t xml:space="preserve">wo options were </w:t>
      </w:r>
      <w:r w:rsidR="00C31F1B" w:rsidRPr="00A60804">
        <w:t xml:space="preserve">then </w:t>
      </w:r>
      <w:r w:rsidR="00DA6C1E" w:rsidRPr="00A60804">
        <w:t xml:space="preserve">considered </w:t>
      </w:r>
      <w:r w:rsidR="009C69AE" w:rsidRPr="00A60804">
        <w:t xml:space="preserve">by the group </w:t>
      </w:r>
      <w:r w:rsidR="00DA6C1E" w:rsidRPr="00A60804">
        <w:t xml:space="preserve">for </w:t>
      </w:r>
      <w:r w:rsidR="00E26067" w:rsidRPr="00A60804">
        <w:t xml:space="preserve">the combination statement </w:t>
      </w:r>
      <w:r w:rsidR="00DA6C1E" w:rsidRPr="00A60804">
        <w:t>H315</w:t>
      </w:r>
      <w:r w:rsidR="00224D5D" w:rsidRPr="00A60804">
        <w:t xml:space="preserve"> </w:t>
      </w:r>
      <w:r w:rsidR="00DA6C1E" w:rsidRPr="00A60804">
        <w:t>+</w:t>
      </w:r>
      <w:r w:rsidR="00224D5D" w:rsidRPr="00A60804">
        <w:t xml:space="preserve"> </w:t>
      </w:r>
      <w:r w:rsidR="00DA6C1E" w:rsidRPr="00A60804">
        <w:t>H319</w:t>
      </w:r>
      <w:r w:rsidR="002F6062" w:rsidRPr="00A60804">
        <w:t>,</w:t>
      </w:r>
      <w:r w:rsidR="003872BF" w:rsidRPr="00A60804">
        <w:t xml:space="preserve"> together with an associated explanatory note,</w:t>
      </w:r>
      <w:r w:rsidR="002F6062" w:rsidRPr="00A60804">
        <w:t xml:space="preserve"> the </w:t>
      </w:r>
      <w:r w:rsidR="003872BF" w:rsidRPr="00A60804">
        <w:t xml:space="preserve">options </w:t>
      </w:r>
      <w:r w:rsidR="008C0C39" w:rsidRPr="00A60804">
        <w:t xml:space="preserve">for the statement </w:t>
      </w:r>
      <w:r w:rsidR="003872BF" w:rsidRPr="00A60804">
        <w:t>are</w:t>
      </w:r>
      <w:r w:rsidR="002F6062" w:rsidRPr="00A60804">
        <w:t xml:space="preserve"> as follows</w:t>
      </w:r>
      <w:r w:rsidR="002F6062">
        <w:t>:</w:t>
      </w:r>
      <w:r w:rsidR="00514099">
        <w:t xml:space="preserve"> </w:t>
      </w:r>
    </w:p>
    <w:p w14:paraId="266BD4EF" w14:textId="6C08A3AE" w:rsidR="007709F6" w:rsidRPr="00C875F1" w:rsidRDefault="000045D8" w:rsidP="007709F6">
      <w:pPr>
        <w:pStyle w:val="SingleTxtG"/>
        <w:tabs>
          <w:tab w:val="left" w:pos="1701"/>
        </w:tabs>
        <w:spacing w:line="240" w:lineRule="auto"/>
        <w:ind w:left="1418" w:right="238"/>
        <w:jc w:val="left"/>
        <w:rPr>
          <w:b/>
          <w:bCs/>
          <w:i/>
          <w:iCs/>
          <w:u w:val="single"/>
        </w:rPr>
      </w:pPr>
      <w:r w:rsidRPr="00C875F1">
        <w:rPr>
          <w:b/>
          <w:bCs/>
          <w:i/>
          <w:iCs/>
          <w:u w:val="single"/>
        </w:rPr>
        <w:t>Combined h</w:t>
      </w:r>
      <w:r w:rsidR="00A16135" w:rsidRPr="00C875F1">
        <w:rPr>
          <w:b/>
          <w:bCs/>
          <w:i/>
          <w:iCs/>
          <w:u w:val="single"/>
        </w:rPr>
        <w:t>azard statement o</w:t>
      </w:r>
      <w:r w:rsidR="007709F6" w:rsidRPr="00C875F1">
        <w:rPr>
          <w:b/>
          <w:bCs/>
          <w:i/>
          <w:iCs/>
          <w:u w:val="single"/>
        </w:rPr>
        <w:t>ption 1:</w:t>
      </w:r>
    </w:p>
    <w:p w14:paraId="7F1BFA3D" w14:textId="62511C4D" w:rsidR="00500E7D" w:rsidRPr="00C875F1" w:rsidRDefault="00500E7D" w:rsidP="002F6062">
      <w:pPr>
        <w:pStyle w:val="SingleTxtG"/>
        <w:tabs>
          <w:tab w:val="left" w:pos="1701"/>
        </w:tabs>
        <w:spacing w:line="240" w:lineRule="auto"/>
        <w:ind w:left="1701" w:right="238"/>
        <w:jc w:val="left"/>
        <w:rPr>
          <w:b/>
          <w:bCs/>
          <w:vertAlign w:val="superscript"/>
        </w:rPr>
      </w:pPr>
      <w:r w:rsidRPr="00C875F1">
        <w:rPr>
          <w:b/>
          <w:bCs/>
        </w:rPr>
        <w:t xml:space="preserve">“Causes skin and serious eye irritation </w:t>
      </w:r>
      <w:r w:rsidRPr="00C875F1">
        <w:rPr>
          <w:b/>
          <w:bCs/>
          <w:vertAlign w:val="superscript"/>
        </w:rPr>
        <w:t>1”</w:t>
      </w:r>
    </w:p>
    <w:p w14:paraId="25E1B114" w14:textId="0B2C04D6" w:rsidR="007709F6" w:rsidRPr="00C875F1" w:rsidRDefault="000045D8" w:rsidP="007709F6">
      <w:pPr>
        <w:pStyle w:val="SingleTxtG"/>
        <w:tabs>
          <w:tab w:val="left" w:pos="1701"/>
        </w:tabs>
        <w:spacing w:line="240" w:lineRule="auto"/>
        <w:ind w:left="1418" w:right="238"/>
        <w:jc w:val="left"/>
        <w:rPr>
          <w:u w:val="single"/>
        </w:rPr>
      </w:pPr>
      <w:r w:rsidRPr="00C875F1">
        <w:rPr>
          <w:b/>
          <w:bCs/>
          <w:i/>
          <w:iCs/>
          <w:u w:val="single"/>
        </w:rPr>
        <w:t>Combined h</w:t>
      </w:r>
      <w:r w:rsidR="00A16135" w:rsidRPr="00C875F1">
        <w:rPr>
          <w:b/>
          <w:bCs/>
          <w:i/>
          <w:iCs/>
          <w:u w:val="single"/>
        </w:rPr>
        <w:t xml:space="preserve">azard statement option </w:t>
      </w:r>
      <w:r w:rsidR="007709F6" w:rsidRPr="00C875F1">
        <w:rPr>
          <w:b/>
          <w:bCs/>
          <w:i/>
          <w:iCs/>
          <w:u w:val="single"/>
        </w:rPr>
        <w:t>2</w:t>
      </w:r>
      <w:r w:rsidR="007709F6" w:rsidRPr="00C875F1">
        <w:rPr>
          <w:u w:val="single"/>
        </w:rPr>
        <w:t>:</w:t>
      </w:r>
    </w:p>
    <w:p w14:paraId="44063F01" w14:textId="2C13A591" w:rsidR="00500E7D" w:rsidRPr="00C875F1" w:rsidRDefault="00500E7D" w:rsidP="00500E7D">
      <w:pPr>
        <w:pStyle w:val="SingleTxtG"/>
        <w:tabs>
          <w:tab w:val="left" w:pos="1701"/>
        </w:tabs>
        <w:spacing w:line="240" w:lineRule="auto"/>
        <w:ind w:left="1701" w:right="238"/>
        <w:jc w:val="left"/>
        <w:rPr>
          <w:b/>
          <w:bCs/>
          <w:vertAlign w:val="superscript"/>
        </w:rPr>
      </w:pPr>
      <w:r w:rsidRPr="00C875F1">
        <w:rPr>
          <w:b/>
          <w:bCs/>
        </w:rPr>
        <w:t xml:space="preserve">“Causes skin irritation and serious eye irritation </w:t>
      </w:r>
      <w:r w:rsidRPr="00C875F1">
        <w:rPr>
          <w:b/>
          <w:bCs/>
          <w:vertAlign w:val="superscript"/>
        </w:rPr>
        <w:t>1”</w:t>
      </w:r>
    </w:p>
    <w:p w14:paraId="7DB98067" w14:textId="56866DCC" w:rsidR="006277A4" w:rsidRPr="00A60804" w:rsidRDefault="00852F16" w:rsidP="00A60804">
      <w:pPr>
        <w:pStyle w:val="SingleTxtG"/>
      </w:pPr>
      <w:r w:rsidRPr="00A60804">
        <w:t>1</w:t>
      </w:r>
      <w:r w:rsidR="0075291F" w:rsidRPr="00A60804">
        <w:t>3</w:t>
      </w:r>
      <w:r w:rsidRPr="00A60804">
        <w:t xml:space="preserve">. </w:t>
      </w:r>
      <w:r w:rsidRPr="00A60804">
        <w:tab/>
      </w:r>
      <w:r w:rsidR="00296020" w:rsidRPr="00A60804">
        <w:t xml:space="preserve">In addition, </w:t>
      </w:r>
      <w:r w:rsidR="00ED7F2A" w:rsidRPr="00A60804">
        <w:t xml:space="preserve">two slightly different options </w:t>
      </w:r>
      <w:r w:rsidR="008C0C39" w:rsidRPr="00A60804">
        <w:t>were</w:t>
      </w:r>
      <w:r w:rsidR="004B0BF5" w:rsidRPr="00A60804">
        <w:t xml:space="preserve"> considered by the group </w:t>
      </w:r>
      <w:r w:rsidR="00ED7F2A" w:rsidRPr="00A60804">
        <w:t xml:space="preserve">for the </w:t>
      </w:r>
      <w:r w:rsidR="00296020" w:rsidRPr="00A60804">
        <w:t xml:space="preserve">explanatory </w:t>
      </w:r>
      <w:r w:rsidR="00ED7F2A" w:rsidRPr="00A60804">
        <w:t>footnote</w:t>
      </w:r>
      <w:r w:rsidR="003A5B16" w:rsidRPr="00A60804">
        <w:t xml:space="preserve"> associated with </w:t>
      </w:r>
      <w:r w:rsidR="00873065" w:rsidRPr="00A60804">
        <w:t>both the</w:t>
      </w:r>
      <w:r w:rsidR="003A5B16" w:rsidRPr="00A60804">
        <w:t xml:space="preserve"> combined hazard statements H315 + H319 and H315 + H320</w:t>
      </w:r>
      <w:r w:rsidR="00873065" w:rsidRPr="00A60804">
        <w:t>. These are</w:t>
      </w:r>
      <w:r w:rsidR="003A5B16" w:rsidRPr="00A60804">
        <w:t xml:space="preserve"> </w:t>
      </w:r>
      <w:r w:rsidR="00ED7F2A" w:rsidRPr="00A60804">
        <w:t>as follows:</w:t>
      </w:r>
      <w:r w:rsidR="00127047" w:rsidRPr="00A60804">
        <w:t xml:space="preserve"> </w:t>
      </w:r>
    </w:p>
    <w:p w14:paraId="71F828FF" w14:textId="0B72EF33" w:rsidR="00ED7F2A" w:rsidRPr="00C875F1" w:rsidRDefault="005116D5" w:rsidP="00ED7F2A">
      <w:pPr>
        <w:pStyle w:val="SingleTxtG"/>
        <w:tabs>
          <w:tab w:val="left" w:pos="1701"/>
        </w:tabs>
        <w:spacing w:line="240" w:lineRule="auto"/>
        <w:ind w:left="1418" w:right="238"/>
        <w:jc w:val="left"/>
        <w:rPr>
          <w:b/>
          <w:bCs/>
          <w:i/>
          <w:iCs/>
          <w:u w:val="single"/>
        </w:rPr>
      </w:pPr>
      <w:r w:rsidRPr="00C875F1">
        <w:rPr>
          <w:b/>
          <w:bCs/>
          <w:i/>
          <w:iCs/>
          <w:u w:val="single"/>
        </w:rPr>
        <w:lastRenderedPageBreak/>
        <w:t>Footnote o</w:t>
      </w:r>
      <w:r w:rsidR="00ED7F2A" w:rsidRPr="00C875F1">
        <w:rPr>
          <w:b/>
          <w:bCs/>
          <w:i/>
          <w:iCs/>
          <w:u w:val="single"/>
        </w:rPr>
        <w:t>ption 1:</w:t>
      </w:r>
    </w:p>
    <w:p w14:paraId="5849C522" w14:textId="77777777" w:rsidR="00ED7F2A" w:rsidRPr="008F0800" w:rsidRDefault="00ED7F2A" w:rsidP="008F0800">
      <w:pPr>
        <w:pStyle w:val="SingleTxtG"/>
        <w:ind w:left="1418"/>
        <w:rPr>
          <w:i/>
          <w:iCs/>
        </w:rPr>
      </w:pPr>
      <w:proofErr w:type="gramStart"/>
      <w:r w:rsidRPr="008F0800">
        <w:rPr>
          <w:i/>
          <w:iCs/>
          <w:vertAlign w:val="superscript"/>
        </w:rPr>
        <w:t xml:space="preserve">1  </w:t>
      </w:r>
      <w:r w:rsidRPr="008F0800">
        <w:rPr>
          <w:i/>
          <w:iCs/>
        </w:rPr>
        <w:t>Competent</w:t>
      </w:r>
      <w:proofErr w:type="gramEnd"/>
      <w:r w:rsidRPr="008F0800">
        <w:rPr>
          <w:i/>
          <w:iCs/>
        </w:rPr>
        <w:t xml:space="preserve"> authorities may select the applicable hazard statement(s) depending on the hazard categories implemented in their jurisdiction. </w:t>
      </w:r>
    </w:p>
    <w:p w14:paraId="211C84FE" w14:textId="784A655E" w:rsidR="00ED7F2A" w:rsidRPr="00C875F1" w:rsidRDefault="005116D5" w:rsidP="000045D8">
      <w:pPr>
        <w:pStyle w:val="SingleTxtG"/>
        <w:tabs>
          <w:tab w:val="left" w:pos="1701"/>
        </w:tabs>
        <w:spacing w:line="240" w:lineRule="auto"/>
        <w:ind w:left="1418" w:right="238"/>
        <w:jc w:val="left"/>
        <w:rPr>
          <w:u w:val="single"/>
        </w:rPr>
      </w:pPr>
      <w:r w:rsidRPr="00C875F1">
        <w:rPr>
          <w:b/>
          <w:bCs/>
          <w:i/>
          <w:iCs/>
          <w:u w:val="single"/>
        </w:rPr>
        <w:t>Footnote o</w:t>
      </w:r>
      <w:r w:rsidR="00ED7F2A" w:rsidRPr="00C875F1">
        <w:rPr>
          <w:b/>
          <w:bCs/>
          <w:i/>
          <w:iCs/>
          <w:u w:val="single"/>
        </w:rPr>
        <w:t>ption 2</w:t>
      </w:r>
      <w:r w:rsidR="00ED7F2A" w:rsidRPr="00C875F1">
        <w:rPr>
          <w:u w:val="single"/>
        </w:rPr>
        <w:t>:</w:t>
      </w:r>
    </w:p>
    <w:p w14:paraId="5E26BD5E" w14:textId="2AEE56ED" w:rsidR="00ED7F2A" w:rsidRPr="008F0800" w:rsidRDefault="00ED7F2A" w:rsidP="008F0800">
      <w:pPr>
        <w:pStyle w:val="SingleTxtG"/>
        <w:ind w:left="1418"/>
        <w:rPr>
          <w:i/>
          <w:iCs/>
        </w:rPr>
      </w:pPr>
      <w:r w:rsidRPr="008F0800">
        <w:rPr>
          <w:i/>
          <w:iCs/>
        </w:rPr>
        <w:t>“</w:t>
      </w:r>
      <w:r w:rsidRPr="008F0800">
        <w:rPr>
          <w:i/>
          <w:iCs/>
          <w:vertAlign w:val="superscript"/>
        </w:rPr>
        <w:t xml:space="preserve">1 </w:t>
      </w:r>
      <w:r w:rsidRPr="008F0800">
        <w:rPr>
          <w:i/>
          <w:iCs/>
        </w:rPr>
        <w:t>Competent authorities may select the applicable hazard statement(s) depending on the serious eye damage/eye irritation hazard categories implemented in their jurisdiction (2/2A or 2A/2B).”</w:t>
      </w:r>
    </w:p>
    <w:p w14:paraId="504AD546" w14:textId="57DBFC6F" w:rsidR="004442AA" w:rsidRPr="008F0800" w:rsidRDefault="00205BA8" w:rsidP="008F0800">
      <w:pPr>
        <w:pStyle w:val="SingleTxtG"/>
      </w:pPr>
      <w:r w:rsidRPr="008F0800">
        <w:t>1</w:t>
      </w:r>
      <w:r w:rsidR="0075291F" w:rsidRPr="008F0800">
        <w:t>4</w:t>
      </w:r>
      <w:r w:rsidRPr="008F0800">
        <w:t>.</w:t>
      </w:r>
      <w:r w:rsidRPr="008F0800">
        <w:tab/>
      </w:r>
      <w:r w:rsidR="00F109DA" w:rsidRPr="008F0800">
        <w:t>Given that the group discussions on this issue are still on-going, t</w:t>
      </w:r>
      <w:r w:rsidRPr="008F0800">
        <w:t xml:space="preserve">he following table is </w:t>
      </w:r>
      <w:r w:rsidR="009A3743" w:rsidRPr="008F0800">
        <w:t>provided</w:t>
      </w:r>
      <w:r w:rsidR="000F7BE6" w:rsidRPr="008F0800">
        <w:t xml:space="preserve"> for</w:t>
      </w:r>
      <w:r w:rsidR="009A3743" w:rsidRPr="008F0800">
        <w:t xml:space="preserve"> illustrative purposes</w:t>
      </w:r>
      <w:r w:rsidR="0076150E" w:rsidRPr="008F0800">
        <w:t xml:space="preserve"> </w:t>
      </w:r>
      <w:r w:rsidR="000F7BE6" w:rsidRPr="008F0800">
        <w:t xml:space="preserve">only </w:t>
      </w:r>
      <w:r w:rsidR="002A41EE" w:rsidRPr="008F0800">
        <w:t xml:space="preserve">to demonstrate </w:t>
      </w:r>
      <w:r w:rsidR="000F7BE6" w:rsidRPr="008F0800">
        <w:t>what the amendme</w:t>
      </w:r>
      <w:r w:rsidR="007327A8" w:rsidRPr="008F0800">
        <w:t xml:space="preserve">nts could look in Table </w:t>
      </w:r>
      <w:r w:rsidR="00DD0750" w:rsidRPr="008F0800">
        <w:t>A</w:t>
      </w:r>
      <w:r w:rsidR="0012097D" w:rsidRPr="008F0800">
        <w:t xml:space="preserve">3.1.2, using some of the </w:t>
      </w:r>
      <w:r w:rsidR="00AB3942" w:rsidRPr="008F0800">
        <w:t>option</w:t>
      </w:r>
      <w:r w:rsidR="0012097D" w:rsidRPr="008F0800">
        <w:t>s outlined above</w:t>
      </w:r>
      <w:r w:rsidR="00AB3942" w:rsidRPr="008F0800">
        <w:t xml:space="preserve"> </w:t>
      </w:r>
      <w:r w:rsidR="00C875F1" w:rsidRPr="008F0800">
        <w:t>(new text is in bold underlined and deleted text in strikethrough).</w:t>
      </w:r>
    </w:p>
    <w:tbl>
      <w:tblPr>
        <w:tblpPr w:leftFromText="180" w:rightFromText="180" w:vertAnchor="text" w:horzAnchor="margin" w:tblpXSpec="center" w:tblpY="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0"/>
        <w:gridCol w:w="2264"/>
        <w:gridCol w:w="3969"/>
        <w:gridCol w:w="1843"/>
      </w:tblGrid>
      <w:tr w:rsidR="00CD3882" w:rsidRPr="00EB2D96" w14:paraId="386CC463" w14:textId="77777777" w:rsidTr="007C3856">
        <w:trPr>
          <w:cantSplit/>
          <w:trHeight w:val="20"/>
          <w:tblHeader/>
        </w:trPr>
        <w:tc>
          <w:tcPr>
            <w:tcW w:w="850" w:type="dxa"/>
            <w:noWrap/>
          </w:tcPr>
          <w:p w14:paraId="3E351147" w14:textId="77777777" w:rsidR="00DA59B6" w:rsidRPr="00EB2D96" w:rsidRDefault="00DA59B6" w:rsidP="001C6F9A">
            <w:pPr>
              <w:keepNext/>
              <w:keepLines/>
              <w:spacing w:before="40" w:after="40"/>
              <w:jc w:val="center"/>
              <w:rPr>
                <w:b/>
              </w:rPr>
            </w:pPr>
            <w:r w:rsidRPr="00EB2D96">
              <w:rPr>
                <w:b/>
              </w:rPr>
              <w:t>Code</w:t>
            </w:r>
          </w:p>
        </w:tc>
        <w:tc>
          <w:tcPr>
            <w:tcW w:w="2264" w:type="dxa"/>
            <w:noWrap/>
          </w:tcPr>
          <w:p w14:paraId="14E4A312" w14:textId="77777777" w:rsidR="00DA59B6" w:rsidRPr="00EB2D96" w:rsidRDefault="00DA59B6" w:rsidP="001C6F9A">
            <w:pPr>
              <w:keepNext/>
              <w:keepLines/>
              <w:spacing w:before="40" w:after="40"/>
              <w:jc w:val="center"/>
              <w:rPr>
                <w:b/>
              </w:rPr>
            </w:pPr>
            <w:r w:rsidRPr="00EB2D96">
              <w:rPr>
                <w:b/>
              </w:rPr>
              <w:t>Health hazard statements</w:t>
            </w:r>
          </w:p>
        </w:tc>
        <w:tc>
          <w:tcPr>
            <w:tcW w:w="3969" w:type="dxa"/>
          </w:tcPr>
          <w:p w14:paraId="22509539" w14:textId="77777777" w:rsidR="00DA59B6" w:rsidRPr="00EB2D96" w:rsidRDefault="00DA59B6" w:rsidP="001C6F9A">
            <w:pPr>
              <w:keepNext/>
              <w:keepLines/>
              <w:spacing w:before="40" w:after="40"/>
              <w:jc w:val="center"/>
              <w:rPr>
                <w:b/>
              </w:rPr>
            </w:pPr>
            <w:r w:rsidRPr="00EB2D96">
              <w:rPr>
                <w:b/>
              </w:rPr>
              <w:t>Hazard class (GHS chapter)</w:t>
            </w:r>
          </w:p>
        </w:tc>
        <w:tc>
          <w:tcPr>
            <w:tcW w:w="1843" w:type="dxa"/>
          </w:tcPr>
          <w:p w14:paraId="08798194" w14:textId="77777777" w:rsidR="00DA59B6" w:rsidRPr="00EB2D96" w:rsidRDefault="00DA59B6" w:rsidP="001C6F9A">
            <w:pPr>
              <w:keepNext/>
              <w:keepLines/>
              <w:spacing w:before="40" w:after="40"/>
              <w:jc w:val="center"/>
              <w:rPr>
                <w:b/>
              </w:rPr>
            </w:pPr>
            <w:r w:rsidRPr="00EB2D96">
              <w:rPr>
                <w:b/>
              </w:rPr>
              <w:t>Hazard category</w:t>
            </w:r>
          </w:p>
        </w:tc>
      </w:tr>
      <w:tr w:rsidR="00CD3882" w:rsidRPr="00EB2D96" w14:paraId="33DF88F8" w14:textId="77777777" w:rsidTr="007C3856">
        <w:trPr>
          <w:cantSplit/>
          <w:trHeight w:val="20"/>
          <w:tblHeader/>
        </w:trPr>
        <w:tc>
          <w:tcPr>
            <w:tcW w:w="850" w:type="dxa"/>
            <w:noWrap/>
          </w:tcPr>
          <w:p w14:paraId="3FB6D797" w14:textId="77777777" w:rsidR="00DA59B6" w:rsidRPr="00C875F1" w:rsidRDefault="00DA59B6" w:rsidP="001C6F9A">
            <w:pPr>
              <w:spacing w:before="20" w:after="20" w:line="254" w:lineRule="auto"/>
              <w:jc w:val="center"/>
              <w:rPr>
                <w:b/>
                <w:bCs/>
                <w:strike/>
                <w:u w:val="single"/>
              </w:rPr>
            </w:pPr>
            <w:r w:rsidRPr="00C875F1">
              <w:rPr>
                <w:b/>
                <w:bCs/>
                <w:u w:val="single"/>
              </w:rPr>
              <w:t>H315</w:t>
            </w:r>
            <w:r w:rsidRPr="00C875F1">
              <w:rPr>
                <w:b/>
                <w:bCs/>
                <w:u w:val="single"/>
              </w:rPr>
              <w:br/>
              <w:t>+</w:t>
            </w:r>
          </w:p>
          <w:p w14:paraId="64799C96" w14:textId="77777777" w:rsidR="00DA59B6" w:rsidRPr="00C875F1" w:rsidRDefault="00DA59B6" w:rsidP="001C6F9A">
            <w:pPr>
              <w:keepNext/>
              <w:keepLines/>
              <w:spacing w:before="40" w:after="40"/>
              <w:jc w:val="center"/>
              <w:rPr>
                <w:b/>
                <w:bCs/>
                <w:u w:val="single"/>
              </w:rPr>
            </w:pPr>
            <w:r w:rsidRPr="00C875F1">
              <w:rPr>
                <w:b/>
                <w:bCs/>
                <w:u w:val="single"/>
              </w:rPr>
              <w:t>H319</w:t>
            </w:r>
          </w:p>
        </w:tc>
        <w:tc>
          <w:tcPr>
            <w:tcW w:w="2264" w:type="dxa"/>
            <w:noWrap/>
          </w:tcPr>
          <w:p w14:paraId="28791371" w14:textId="77777777" w:rsidR="00DA59B6" w:rsidRPr="00C875F1" w:rsidRDefault="00DA59B6" w:rsidP="001C6F9A">
            <w:pPr>
              <w:keepNext/>
              <w:keepLines/>
              <w:spacing w:before="40" w:after="40"/>
              <w:rPr>
                <w:b/>
                <w:bCs/>
                <w:u w:val="single"/>
              </w:rPr>
            </w:pPr>
            <w:r w:rsidRPr="00C875F1">
              <w:rPr>
                <w:b/>
                <w:bCs/>
                <w:u w:val="single"/>
              </w:rPr>
              <w:t xml:space="preserve">Causes skin and serious eye irritation </w:t>
            </w:r>
            <w:r w:rsidRPr="00C875F1">
              <w:rPr>
                <w:b/>
                <w:bCs/>
                <w:u w:val="single"/>
                <w:vertAlign w:val="superscript"/>
              </w:rPr>
              <w:t>1</w:t>
            </w:r>
          </w:p>
        </w:tc>
        <w:tc>
          <w:tcPr>
            <w:tcW w:w="3969" w:type="dxa"/>
          </w:tcPr>
          <w:p w14:paraId="47EB8D93" w14:textId="77777777" w:rsidR="00DA59B6" w:rsidRPr="00C875F1" w:rsidRDefault="00DA59B6" w:rsidP="001C6F9A">
            <w:pPr>
              <w:keepNext/>
              <w:keepLines/>
              <w:spacing w:before="40" w:after="40"/>
              <w:rPr>
                <w:b/>
                <w:bCs/>
                <w:u w:val="single"/>
              </w:rPr>
            </w:pPr>
            <w:r w:rsidRPr="00C875F1">
              <w:rPr>
                <w:b/>
                <w:bCs/>
                <w:u w:val="single"/>
              </w:rPr>
              <w:t>Skin corrosion/irritation (chapter 3.2) and serious eye damage/eye irritation (chapter 3.3)</w:t>
            </w:r>
          </w:p>
        </w:tc>
        <w:tc>
          <w:tcPr>
            <w:tcW w:w="1843" w:type="dxa"/>
          </w:tcPr>
          <w:p w14:paraId="32A30ABB" w14:textId="77777777" w:rsidR="00DA59B6" w:rsidRPr="00C875F1" w:rsidRDefault="00DA59B6" w:rsidP="001C6F9A">
            <w:pPr>
              <w:keepNext/>
              <w:keepLines/>
              <w:spacing w:before="40" w:after="40"/>
              <w:jc w:val="center"/>
              <w:rPr>
                <w:b/>
                <w:bCs/>
                <w:u w:val="single"/>
              </w:rPr>
            </w:pPr>
            <w:r w:rsidRPr="00C875F1">
              <w:rPr>
                <w:b/>
                <w:bCs/>
                <w:u w:val="single"/>
              </w:rPr>
              <w:t>2 (skin) + 2/2A (eye)</w:t>
            </w:r>
          </w:p>
        </w:tc>
      </w:tr>
      <w:tr w:rsidR="00CD3882" w:rsidRPr="00EB2D96" w14:paraId="27819868" w14:textId="77777777" w:rsidTr="007C3856">
        <w:trPr>
          <w:cantSplit/>
          <w:trHeight w:val="20"/>
          <w:tblHeader/>
        </w:trPr>
        <w:tc>
          <w:tcPr>
            <w:tcW w:w="850" w:type="dxa"/>
            <w:noWrap/>
          </w:tcPr>
          <w:p w14:paraId="21964E30" w14:textId="77777777" w:rsidR="00DA59B6" w:rsidRPr="00EB2D96" w:rsidRDefault="00DA59B6" w:rsidP="001C6F9A">
            <w:pPr>
              <w:keepNext/>
              <w:keepLines/>
              <w:spacing w:before="40" w:after="40"/>
              <w:jc w:val="center"/>
              <w:rPr>
                <w:b/>
              </w:rPr>
            </w:pPr>
            <w:r w:rsidRPr="00EB2D96">
              <w:t>H315</w:t>
            </w:r>
            <w:r w:rsidRPr="00EB2D96">
              <w:br/>
              <w:t>+</w:t>
            </w:r>
            <w:r w:rsidRPr="00EB2D96">
              <w:br/>
              <w:t>H320</w:t>
            </w:r>
          </w:p>
        </w:tc>
        <w:tc>
          <w:tcPr>
            <w:tcW w:w="2264" w:type="dxa"/>
            <w:noWrap/>
          </w:tcPr>
          <w:p w14:paraId="1E4254D7" w14:textId="77777777" w:rsidR="00DA59B6" w:rsidRPr="00EB2D96" w:rsidRDefault="00DA59B6" w:rsidP="001C6F9A">
            <w:pPr>
              <w:keepNext/>
              <w:keepLines/>
              <w:spacing w:before="40" w:after="40"/>
              <w:rPr>
                <w:b/>
              </w:rPr>
            </w:pPr>
            <w:r w:rsidRPr="00EB2D96">
              <w:rPr>
                <w:b/>
              </w:rPr>
              <w:t xml:space="preserve">Causes skin and eye irritation </w:t>
            </w:r>
            <w:r w:rsidRPr="00C875F1">
              <w:rPr>
                <w:b/>
                <w:u w:val="single"/>
                <w:vertAlign w:val="superscript"/>
              </w:rPr>
              <w:t>1</w:t>
            </w:r>
          </w:p>
        </w:tc>
        <w:tc>
          <w:tcPr>
            <w:tcW w:w="3969" w:type="dxa"/>
          </w:tcPr>
          <w:p w14:paraId="71BD87EE" w14:textId="77777777" w:rsidR="00DA59B6" w:rsidRPr="00EB2D96" w:rsidRDefault="00DA59B6" w:rsidP="001C6F9A">
            <w:pPr>
              <w:keepNext/>
              <w:keepLines/>
              <w:spacing w:before="40" w:after="40"/>
              <w:rPr>
                <w:b/>
              </w:rPr>
            </w:pPr>
            <w:r w:rsidRPr="00EB2D96">
              <w:t>Skin corrosion/irritation (chapter 3.2) and serious eye damage/eye irritation (chapter 3.3)</w:t>
            </w:r>
          </w:p>
        </w:tc>
        <w:tc>
          <w:tcPr>
            <w:tcW w:w="1843" w:type="dxa"/>
          </w:tcPr>
          <w:p w14:paraId="0F14AEC6" w14:textId="77777777" w:rsidR="00DA59B6" w:rsidRPr="00EB2D96" w:rsidRDefault="00DA59B6" w:rsidP="001C6F9A">
            <w:pPr>
              <w:keepNext/>
              <w:keepLines/>
              <w:spacing w:before="40" w:after="40"/>
              <w:jc w:val="center"/>
              <w:rPr>
                <w:b/>
              </w:rPr>
            </w:pPr>
            <w:r w:rsidRPr="00EB2D96">
              <w:t>2 (</w:t>
            </w:r>
            <w:r w:rsidRPr="00C37FEC">
              <w:t xml:space="preserve">skin) </w:t>
            </w:r>
            <w:r w:rsidRPr="00C875F1">
              <w:rPr>
                <w:b/>
                <w:bCs/>
                <w:u w:val="single"/>
              </w:rPr>
              <w:t>+</w:t>
            </w:r>
            <w:r w:rsidRPr="00865A72">
              <w:rPr>
                <w:strike/>
              </w:rPr>
              <w:t>/</w:t>
            </w:r>
            <w:r w:rsidRPr="00E3153E">
              <w:rPr>
                <w:color w:val="0070C0"/>
              </w:rPr>
              <w:t xml:space="preserve"> </w:t>
            </w:r>
            <w:r w:rsidRPr="003E2057">
              <w:t xml:space="preserve">2B </w:t>
            </w:r>
            <w:r w:rsidRPr="00EB2D96">
              <w:t>(eye)</w:t>
            </w:r>
          </w:p>
        </w:tc>
      </w:tr>
    </w:tbl>
    <w:p w14:paraId="4C35EAC6" w14:textId="70134563" w:rsidR="00DA59B6" w:rsidRPr="008F0800" w:rsidRDefault="00B5056C" w:rsidP="008F0800">
      <w:pPr>
        <w:pStyle w:val="SingleTxtG"/>
        <w:ind w:left="1418"/>
        <w:rPr>
          <w:i/>
          <w:iCs/>
          <w:u w:val="single"/>
        </w:rPr>
      </w:pPr>
      <w:proofErr w:type="gramStart"/>
      <w:r w:rsidRPr="008F0800">
        <w:rPr>
          <w:i/>
          <w:iCs/>
          <w:u w:val="single"/>
          <w:vertAlign w:val="superscript"/>
        </w:rPr>
        <w:t xml:space="preserve">1 </w:t>
      </w:r>
      <w:r w:rsidR="00D32136" w:rsidRPr="008F0800">
        <w:rPr>
          <w:i/>
          <w:iCs/>
          <w:u w:val="single"/>
        </w:rPr>
        <w:t xml:space="preserve"> </w:t>
      </w:r>
      <w:r w:rsidRPr="008F0800">
        <w:rPr>
          <w:i/>
          <w:iCs/>
          <w:u w:val="single"/>
        </w:rPr>
        <w:t>Competent</w:t>
      </w:r>
      <w:proofErr w:type="gramEnd"/>
      <w:r w:rsidRPr="008F0800">
        <w:rPr>
          <w:i/>
          <w:iCs/>
          <w:u w:val="single"/>
        </w:rPr>
        <w:t xml:space="preserve"> authorities may select the applicable hazard statement(s) depending on the hazard categories implemented in their jurisdiction. </w:t>
      </w:r>
    </w:p>
    <w:p w14:paraId="742572F8" w14:textId="77777777" w:rsidR="00261ED6" w:rsidRPr="008F0800" w:rsidRDefault="003A2D23" w:rsidP="008F0800">
      <w:pPr>
        <w:pStyle w:val="SingleTxtG"/>
      </w:pPr>
      <w:r w:rsidRPr="008F0800">
        <w:t>1</w:t>
      </w:r>
      <w:r w:rsidR="0075291F" w:rsidRPr="008F0800">
        <w:t>5</w:t>
      </w:r>
      <w:r w:rsidRPr="008F0800">
        <w:t>.</w:t>
      </w:r>
      <w:r w:rsidRPr="008F0800">
        <w:tab/>
        <w:t xml:space="preserve">Although several members considered </w:t>
      </w:r>
      <w:r w:rsidR="00C72E0E" w:rsidRPr="008F0800">
        <w:t>th</w:t>
      </w:r>
      <w:r w:rsidR="00572A2D" w:rsidRPr="008F0800">
        <w:t>at</w:t>
      </w:r>
      <w:r w:rsidR="00C72E0E" w:rsidRPr="008F0800">
        <w:t xml:space="preserve"> </w:t>
      </w:r>
      <w:r w:rsidR="00572A2D" w:rsidRPr="008F0800">
        <w:t xml:space="preserve">option 1 for the </w:t>
      </w:r>
      <w:r w:rsidR="00C72E0E" w:rsidRPr="008F0800">
        <w:t xml:space="preserve">combined hazard statement </w:t>
      </w:r>
      <w:r w:rsidR="00572A2D" w:rsidRPr="008F0800">
        <w:t xml:space="preserve">for H315 + H320 </w:t>
      </w:r>
      <w:r w:rsidR="0080161B" w:rsidRPr="008F0800">
        <w:t xml:space="preserve">(as provided in the table above) </w:t>
      </w:r>
      <w:r w:rsidR="00572A2D" w:rsidRPr="008F0800">
        <w:t>was</w:t>
      </w:r>
      <w:r w:rsidRPr="008F0800">
        <w:t xml:space="preserve"> clearer, more concise and avoid</w:t>
      </w:r>
      <w:r w:rsidR="00572A2D" w:rsidRPr="008F0800">
        <w:t>ed</w:t>
      </w:r>
      <w:r w:rsidRPr="008F0800">
        <w:t xml:space="preserve"> repetition of the word: ‘irritation’ within the same statement, the discussions</w:t>
      </w:r>
      <w:r w:rsidR="0080584E" w:rsidRPr="008F0800">
        <w:t xml:space="preserve"> within the group on</w:t>
      </w:r>
      <w:r w:rsidRPr="008F0800">
        <w:t xml:space="preserve"> the wording has not been completed</w:t>
      </w:r>
      <w:r w:rsidR="00C72E0E" w:rsidRPr="008F0800">
        <w:t>.</w:t>
      </w:r>
      <w:r w:rsidR="00572A2D" w:rsidRPr="008F0800">
        <w:t xml:space="preserve"> Similarly, </w:t>
      </w:r>
      <w:r w:rsidR="00E26EB3" w:rsidRPr="008F0800">
        <w:t xml:space="preserve">discussions of the wording for the explanatory note are still on-going. </w:t>
      </w:r>
    </w:p>
    <w:p w14:paraId="47EDB102" w14:textId="400688A1" w:rsidR="00D248BF" w:rsidRPr="008F0800" w:rsidRDefault="00261ED6" w:rsidP="008F0800">
      <w:pPr>
        <w:pStyle w:val="SingleTxtG"/>
      </w:pPr>
      <w:r w:rsidRPr="008F0800">
        <w:t>16.</w:t>
      </w:r>
      <w:r w:rsidRPr="008F0800">
        <w:tab/>
      </w:r>
      <w:r w:rsidR="00E26EB3" w:rsidRPr="008F0800">
        <w:t xml:space="preserve">Hence, the group welcomes </w:t>
      </w:r>
      <w:r w:rsidRPr="008F0800">
        <w:t xml:space="preserve">the </w:t>
      </w:r>
      <w:r w:rsidR="00E26EB3" w:rsidRPr="008F0800">
        <w:t xml:space="preserve">initial views from the Sub-Committee on the options put forward for </w:t>
      </w:r>
      <w:r w:rsidR="00493989" w:rsidRPr="008F0800">
        <w:t xml:space="preserve">both </w:t>
      </w:r>
      <w:r w:rsidR="00E26EB3" w:rsidRPr="008F0800">
        <w:t>the combined hazard statement and the footnote</w:t>
      </w:r>
      <w:r w:rsidR="00600878" w:rsidRPr="008F0800">
        <w:t xml:space="preserve"> to assist the group to reach a cons</w:t>
      </w:r>
      <w:r w:rsidR="00205BA8" w:rsidRPr="008F0800">
        <w:t>ensus on these issues</w:t>
      </w:r>
      <w:r w:rsidR="0080584E" w:rsidRPr="008F0800">
        <w:t>.</w:t>
      </w:r>
    </w:p>
    <w:p w14:paraId="11174FCC" w14:textId="3C0F2275" w:rsidR="00A56CD5" w:rsidRPr="001A65BD" w:rsidRDefault="001A65BD" w:rsidP="001A65BD">
      <w:pPr>
        <w:pStyle w:val="H23G"/>
      </w:pPr>
      <w:r>
        <w:tab/>
      </w:r>
      <w:r>
        <w:tab/>
      </w:r>
      <w:r w:rsidR="004C5444" w:rsidRPr="001A65BD">
        <w:t>Variations in the text of combined hazard statements</w:t>
      </w:r>
      <w:r w:rsidR="00846355" w:rsidRPr="001A65BD">
        <w:t xml:space="preserve"> and combined precautionary statements</w:t>
      </w:r>
    </w:p>
    <w:p w14:paraId="7E26037A" w14:textId="297B57F6" w:rsidR="00F807DC" w:rsidRPr="008F0800" w:rsidRDefault="00FE7C3D" w:rsidP="008F0800">
      <w:pPr>
        <w:pStyle w:val="SingleTxtG"/>
      </w:pPr>
      <w:r w:rsidRPr="008F0800">
        <w:t>1</w:t>
      </w:r>
      <w:r w:rsidR="006C2F81" w:rsidRPr="008F0800">
        <w:t>7</w:t>
      </w:r>
      <w:r w:rsidRPr="008F0800">
        <w:t>.</w:t>
      </w:r>
      <w:r w:rsidRPr="008F0800">
        <w:tab/>
      </w:r>
      <w:r w:rsidR="00262D5B" w:rsidRPr="008F0800">
        <w:t>P</w:t>
      </w:r>
      <w:r w:rsidR="0061708B" w:rsidRPr="008F0800">
        <w:t xml:space="preserve">aragraphs </w:t>
      </w:r>
      <w:r w:rsidR="00262D5B" w:rsidRPr="008F0800">
        <w:t xml:space="preserve">18 and 19 of 2021/1 outlined </w:t>
      </w:r>
      <w:r w:rsidR="008E2136" w:rsidRPr="008F0800">
        <w:t xml:space="preserve">proposed </w:t>
      </w:r>
      <w:r w:rsidR="006C41F3" w:rsidRPr="008F0800">
        <w:t>amendments</w:t>
      </w:r>
      <w:r w:rsidR="00781E3C" w:rsidRPr="008F0800">
        <w:t xml:space="preserve"> to A3.1.2.3 </w:t>
      </w:r>
      <w:r w:rsidR="008E2136" w:rsidRPr="008F0800">
        <w:t>and</w:t>
      </w:r>
      <w:r w:rsidR="001F613A" w:rsidRPr="008F0800">
        <w:t xml:space="preserve"> to</w:t>
      </w:r>
      <w:r w:rsidR="008E2136" w:rsidRPr="008F0800">
        <w:t xml:space="preserve"> A3.1.2.4 to </w:t>
      </w:r>
      <w:r w:rsidR="006C41F3" w:rsidRPr="008F0800">
        <w:t xml:space="preserve">provide clarity on </w:t>
      </w:r>
      <w:r w:rsidR="00A74F4D" w:rsidRPr="008F0800">
        <w:t>minor textual amendments</w:t>
      </w:r>
      <w:r w:rsidR="00354C68" w:rsidRPr="008F0800">
        <w:t xml:space="preserve"> that</w:t>
      </w:r>
      <w:r w:rsidR="00A74F4D" w:rsidRPr="008F0800">
        <w:t xml:space="preserve"> are allowed when combining hazard statements</w:t>
      </w:r>
      <w:r w:rsidR="00030CEC" w:rsidRPr="008F0800">
        <w:t xml:space="preserve">, </w:t>
      </w:r>
      <w:r w:rsidR="00354C68" w:rsidRPr="008F0800">
        <w:t>which w</w:t>
      </w:r>
      <w:r w:rsidR="00030CEC" w:rsidRPr="008F0800">
        <w:t>ere</w:t>
      </w:r>
      <w:r w:rsidR="00354C68" w:rsidRPr="008F0800">
        <w:t xml:space="preserve"> supported in principle by the Sub-Committee</w:t>
      </w:r>
      <w:r w:rsidR="002E10DF" w:rsidRPr="008F0800">
        <w:t xml:space="preserve">. </w:t>
      </w:r>
      <w:r w:rsidR="00A618EC" w:rsidRPr="008F0800">
        <w:t>T</w:t>
      </w:r>
      <w:r w:rsidR="005F1526" w:rsidRPr="008F0800">
        <w:t xml:space="preserve">he draft proposal </w:t>
      </w:r>
      <w:r w:rsidR="002E3DAA" w:rsidRPr="008F0800">
        <w:t xml:space="preserve">for A3.1.2.3 is </w:t>
      </w:r>
      <w:r w:rsidR="00BE1A60" w:rsidRPr="008F0800">
        <w:t>reproduced</w:t>
      </w:r>
      <w:r w:rsidR="005F1526" w:rsidRPr="008F0800">
        <w:t xml:space="preserve"> below </w:t>
      </w:r>
      <w:r w:rsidR="005F1353" w:rsidRPr="008F0800">
        <w:t xml:space="preserve">(new text in bold underline and deleted text in strikethrough) </w:t>
      </w:r>
      <w:r w:rsidR="00A618EC" w:rsidRPr="008F0800">
        <w:t>from 2021/1</w:t>
      </w:r>
      <w:r w:rsidR="001720BE" w:rsidRPr="008F0800">
        <w:t xml:space="preserve">, whilst the text for A3.1.2.4 </w:t>
      </w:r>
      <w:r w:rsidR="00FE40B8" w:rsidRPr="008F0800">
        <w:t xml:space="preserve">has been amended </w:t>
      </w:r>
      <w:r w:rsidR="0092166F" w:rsidRPr="008F0800">
        <w:t>slightly</w:t>
      </w:r>
      <w:r w:rsidR="00FE40B8" w:rsidRPr="008F0800">
        <w:t xml:space="preserve"> </w:t>
      </w:r>
      <w:r w:rsidR="001720BE" w:rsidRPr="008F0800">
        <w:t>following further consideration by the group</w:t>
      </w:r>
      <w:r w:rsidR="00C021FA" w:rsidRPr="008F0800">
        <w:t xml:space="preserve">, </w:t>
      </w:r>
      <w:proofErr w:type="gramStart"/>
      <w:r w:rsidR="00680460" w:rsidRPr="008F0800">
        <w:t>The</w:t>
      </w:r>
      <w:proofErr w:type="gramEnd"/>
      <w:r w:rsidR="00680460" w:rsidRPr="008F0800">
        <w:t xml:space="preserve"> </w:t>
      </w:r>
      <w:r w:rsidR="00B07E5D" w:rsidRPr="008F0800">
        <w:t xml:space="preserve">working </w:t>
      </w:r>
      <w:r w:rsidR="00680460" w:rsidRPr="008F0800">
        <w:t>group welcomes views from the Sub-Committee on the proposed amendments as provided</w:t>
      </w:r>
      <w:r w:rsidR="00B07E5D" w:rsidRPr="008F0800">
        <w:t xml:space="preserve"> as follows</w:t>
      </w:r>
      <w:r w:rsidR="00F121D4" w:rsidRPr="008F0800">
        <w:t xml:space="preserve"> (new text is in bold underlined and deleted text in strikethrough)</w:t>
      </w:r>
      <w:r w:rsidR="00B07E5D" w:rsidRPr="008F0800">
        <w:t>:</w:t>
      </w:r>
      <w:r w:rsidR="00680460" w:rsidRPr="008F0800">
        <w:t xml:space="preserve"> </w:t>
      </w:r>
    </w:p>
    <w:p w14:paraId="02788A20" w14:textId="77777777" w:rsidR="00F807DC" w:rsidRPr="00402D4B" w:rsidRDefault="00F807DC" w:rsidP="008F0800">
      <w:pPr>
        <w:tabs>
          <w:tab w:val="left" w:pos="1418"/>
        </w:tabs>
        <w:spacing w:after="240"/>
        <w:ind w:left="1418" w:right="1088"/>
        <w:jc w:val="both"/>
        <w:rPr>
          <w:bCs/>
          <w:szCs w:val="22"/>
        </w:rPr>
      </w:pPr>
      <w:r>
        <w:rPr>
          <w:bCs/>
          <w:szCs w:val="22"/>
        </w:rPr>
        <w:t>“</w:t>
      </w:r>
      <w:r w:rsidRPr="00402D4B">
        <w:rPr>
          <w:bCs/>
          <w:szCs w:val="22"/>
        </w:rPr>
        <w:t>A3.1.2.3</w:t>
      </w:r>
      <w:r w:rsidRPr="00402D4B">
        <w:rPr>
          <w:bCs/>
          <w:szCs w:val="22"/>
        </w:rPr>
        <w:tab/>
        <w:t xml:space="preserve">In addition to individual hazard statements, a number of combined hazard statements are given in Table A3.1.2.  The alphanumerical codes for the combined statements are constructed from the codes for the individual statements that are combined, conjoined with the plus (“+”) sign.  For example, </w:t>
      </w:r>
      <w:r w:rsidRPr="0056749B">
        <w:rPr>
          <w:bCs/>
        </w:rPr>
        <w:t>H300+H310</w:t>
      </w:r>
      <w:r w:rsidRPr="00DE5F0E">
        <w:rPr>
          <w:b/>
          <w:u w:val="single"/>
        </w:rPr>
        <w:t>+H330</w:t>
      </w:r>
      <w:r>
        <w:rPr>
          <w:bCs/>
          <w:szCs w:val="22"/>
        </w:rPr>
        <w:t xml:space="preserve"> </w:t>
      </w:r>
      <w:r w:rsidRPr="00402D4B">
        <w:rPr>
          <w:bCs/>
          <w:szCs w:val="22"/>
        </w:rPr>
        <w:t>indicates that the text to appear on the label is “</w:t>
      </w:r>
      <w:r w:rsidRPr="0056749B">
        <w:t>Fatal if swallowed</w:t>
      </w:r>
      <w:r w:rsidRPr="002C7E87">
        <w:rPr>
          <w:b/>
          <w:bCs/>
        </w:rPr>
        <w:t>,</w:t>
      </w:r>
      <w:r w:rsidRPr="0056749B">
        <w:t xml:space="preserve"> </w:t>
      </w:r>
      <w:r w:rsidRPr="0056749B">
        <w:rPr>
          <w:strike/>
        </w:rPr>
        <w:t>or</w:t>
      </w:r>
      <w:r w:rsidRPr="0056749B">
        <w:t xml:space="preserve"> in contact with skin </w:t>
      </w:r>
      <w:r w:rsidRPr="00DE5F0E">
        <w:rPr>
          <w:b/>
          <w:bCs/>
          <w:u w:val="single"/>
        </w:rPr>
        <w:t>or if inhaled</w:t>
      </w:r>
      <w:r w:rsidRPr="00402D4B">
        <w:rPr>
          <w:bCs/>
          <w:szCs w:val="22"/>
        </w:rPr>
        <w:t>”.</w:t>
      </w:r>
    </w:p>
    <w:p w14:paraId="6557A37F" w14:textId="640F0B1D" w:rsidR="00F807DC" w:rsidRPr="00402D4B" w:rsidRDefault="00F807DC" w:rsidP="008F0800">
      <w:pPr>
        <w:tabs>
          <w:tab w:val="left" w:pos="1418"/>
        </w:tabs>
        <w:spacing w:after="240"/>
        <w:ind w:left="1418" w:right="1088"/>
        <w:jc w:val="both"/>
        <w:rPr>
          <w:bCs/>
          <w:szCs w:val="22"/>
        </w:rPr>
      </w:pPr>
      <w:r>
        <w:rPr>
          <w:bCs/>
          <w:szCs w:val="22"/>
        </w:rPr>
        <w:t>“</w:t>
      </w:r>
      <w:r w:rsidRPr="00402D4B">
        <w:rPr>
          <w:bCs/>
          <w:szCs w:val="22"/>
        </w:rPr>
        <w:t>A3.1.2.4</w:t>
      </w:r>
      <w:r w:rsidRPr="00402D4B">
        <w:rPr>
          <w:bCs/>
          <w:szCs w:val="22"/>
        </w:rPr>
        <w:tab/>
        <w:t xml:space="preserve">All assigned hazard statements should appear on the label unless otherwise specified in 1.4.10.5.3.3. The competent authority may specify the order in which they appear. </w:t>
      </w:r>
      <w:r w:rsidRPr="0056749B">
        <w:t xml:space="preserve">Also, where a combined hazard statement </w:t>
      </w:r>
      <w:r w:rsidRPr="0056749B">
        <w:rPr>
          <w:strike/>
        </w:rPr>
        <w:t>is indicated for</w:t>
      </w:r>
      <w:r w:rsidRPr="0056749B">
        <w:t xml:space="preserve"> </w:t>
      </w:r>
      <w:r w:rsidRPr="003C4FB6">
        <w:rPr>
          <w:b/>
          <w:bCs/>
          <w:u w:val="single"/>
        </w:rPr>
        <w:t>consisting of</w:t>
      </w:r>
      <w:r w:rsidRPr="0056749B">
        <w:t xml:space="preserve"> two or more hazard statements</w:t>
      </w:r>
      <w:r w:rsidR="0092166F">
        <w:t xml:space="preserve"> </w:t>
      </w:r>
      <w:r w:rsidR="0092166F" w:rsidRPr="007638F2">
        <w:rPr>
          <w:b/>
          <w:u w:val="single"/>
        </w:rPr>
        <w:t>is needed due to limited space on the label</w:t>
      </w:r>
      <w:r w:rsidRPr="00402D4B">
        <w:rPr>
          <w:bCs/>
          <w:szCs w:val="22"/>
        </w:rPr>
        <w:t xml:space="preserve">, the competent authority may specify whether the </w:t>
      </w:r>
      <w:r w:rsidRPr="00402D4B">
        <w:rPr>
          <w:bCs/>
          <w:szCs w:val="22"/>
        </w:rPr>
        <w:lastRenderedPageBreak/>
        <w:t>combined hazard statement or the corresponding individual statements should appear on the label or may leave the choice to the manufacturer/supplier.</w:t>
      </w:r>
      <w:r>
        <w:rPr>
          <w:bCs/>
          <w:szCs w:val="22"/>
        </w:rPr>
        <w:t>”</w:t>
      </w:r>
    </w:p>
    <w:p w14:paraId="7F48F5E9" w14:textId="4EC62CF4" w:rsidR="007857AB" w:rsidRPr="008F0800" w:rsidRDefault="006C2F81" w:rsidP="008F0800">
      <w:pPr>
        <w:pStyle w:val="SingleTxtG"/>
      </w:pPr>
      <w:r w:rsidRPr="008F0800">
        <w:t>18</w:t>
      </w:r>
      <w:r w:rsidR="00F9720C" w:rsidRPr="008F0800">
        <w:t>.</w:t>
      </w:r>
      <w:r w:rsidR="00F9720C" w:rsidRPr="008F0800">
        <w:tab/>
      </w:r>
      <w:r w:rsidR="00D85317" w:rsidRPr="008F0800">
        <w:t xml:space="preserve">However, </w:t>
      </w:r>
      <w:r w:rsidR="00ED75AD" w:rsidRPr="008F0800">
        <w:t xml:space="preserve">at the fortieth session </w:t>
      </w:r>
      <w:r w:rsidR="00B3532A" w:rsidRPr="008F0800">
        <w:t xml:space="preserve">the </w:t>
      </w:r>
      <w:r w:rsidR="001A5832" w:rsidRPr="008F0800">
        <w:t xml:space="preserve">Sub-Committee suggested </w:t>
      </w:r>
      <w:r w:rsidR="001F0E87" w:rsidRPr="008F0800">
        <w:t>that</w:t>
      </w:r>
      <w:r w:rsidR="00E4608A" w:rsidRPr="008F0800">
        <w:t xml:space="preserve"> further clarity</w:t>
      </w:r>
      <w:r w:rsidR="001F0E87" w:rsidRPr="008F0800">
        <w:t xml:space="preserve"> was introduced </w:t>
      </w:r>
      <w:r w:rsidR="00E4608A" w:rsidRPr="008F0800">
        <w:t>to the</w:t>
      </w:r>
      <w:r w:rsidR="00625EC4" w:rsidRPr="008F0800">
        <w:t xml:space="preserve"> text for </w:t>
      </w:r>
      <w:r w:rsidR="00E4608A" w:rsidRPr="008F0800">
        <w:t>the proposed new</w:t>
      </w:r>
      <w:r w:rsidR="009B1229" w:rsidRPr="008F0800">
        <w:t xml:space="preserve"> paragraphs</w:t>
      </w:r>
      <w:r w:rsidR="00E4608A" w:rsidRPr="008F0800">
        <w:t xml:space="preserve"> </w:t>
      </w:r>
      <w:r w:rsidR="00625EC4" w:rsidRPr="008F0800">
        <w:t>A3.1.2.5</w:t>
      </w:r>
      <w:r w:rsidR="00E4608A" w:rsidRPr="008F0800">
        <w:t xml:space="preserve"> </w:t>
      </w:r>
      <w:r w:rsidR="00EE66CC" w:rsidRPr="008F0800">
        <w:t>(see 2021/1</w:t>
      </w:r>
      <w:r w:rsidR="005C3B6A" w:rsidRPr="008F0800">
        <w:t>,</w:t>
      </w:r>
      <w:r w:rsidR="00EE66CC" w:rsidRPr="008F0800">
        <w:t xml:space="preserve"> paragraphs </w:t>
      </w:r>
      <w:r w:rsidR="00553109" w:rsidRPr="008F0800">
        <w:t>18 to 19</w:t>
      </w:r>
      <w:r w:rsidR="00EE66CC" w:rsidRPr="008F0800">
        <w:t xml:space="preserve">) </w:t>
      </w:r>
      <w:r w:rsidR="00FB0D55" w:rsidRPr="008F0800">
        <w:t xml:space="preserve">and A3.2.5.2.4 </w:t>
      </w:r>
      <w:r w:rsidR="00EE66CC" w:rsidRPr="008F0800">
        <w:t>(see 2021/1</w:t>
      </w:r>
      <w:r w:rsidR="005C3B6A" w:rsidRPr="008F0800">
        <w:t>,</w:t>
      </w:r>
      <w:r w:rsidR="00EE66CC" w:rsidRPr="008F0800">
        <w:t xml:space="preserve"> paragraphs </w:t>
      </w:r>
      <w:r w:rsidR="00553109" w:rsidRPr="008F0800">
        <w:t>25 to 28</w:t>
      </w:r>
      <w:r w:rsidR="00EE66CC" w:rsidRPr="008F0800">
        <w:t>)</w:t>
      </w:r>
      <w:r w:rsidR="00553109" w:rsidRPr="008F0800">
        <w:t xml:space="preserve"> </w:t>
      </w:r>
      <w:r w:rsidR="00E4608A" w:rsidRPr="008F0800">
        <w:t>on minor textual changes such as the use of a joining word</w:t>
      </w:r>
      <w:r w:rsidR="00E92638" w:rsidRPr="008F0800">
        <w:t>s</w:t>
      </w:r>
      <w:r w:rsidR="00E4608A" w:rsidRPr="008F0800">
        <w:t xml:space="preserve"> </w:t>
      </w:r>
      <w:r w:rsidR="00E92638" w:rsidRPr="008F0800">
        <w:t>(</w:t>
      </w:r>
      <w:proofErr w:type="gramStart"/>
      <w:r w:rsidR="00E92638" w:rsidRPr="008F0800">
        <w:t>e.g.</w:t>
      </w:r>
      <w:proofErr w:type="gramEnd"/>
      <w:r w:rsidR="00E92638" w:rsidRPr="008F0800">
        <w:t xml:space="preserve"> “and”, “or”) </w:t>
      </w:r>
      <w:r w:rsidR="00E4608A" w:rsidRPr="008F0800">
        <w:t xml:space="preserve">and/or punctuation to remove repetitive text and improve the readability </w:t>
      </w:r>
      <w:r w:rsidR="001F0E87" w:rsidRPr="008F0800">
        <w:t>when</w:t>
      </w:r>
      <w:r w:rsidR="00E4608A" w:rsidRPr="008F0800">
        <w:t xml:space="preserve"> combin</w:t>
      </w:r>
      <w:r w:rsidR="007857AB" w:rsidRPr="008F0800">
        <w:t>ing</w:t>
      </w:r>
      <w:r w:rsidR="00E4608A" w:rsidRPr="008F0800">
        <w:t xml:space="preserve"> hazard</w:t>
      </w:r>
      <w:r w:rsidR="000C7AE7" w:rsidRPr="008F0800">
        <w:t xml:space="preserve"> statements</w:t>
      </w:r>
      <w:r w:rsidR="00E4608A" w:rsidRPr="008F0800">
        <w:t xml:space="preserve"> </w:t>
      </w:r>
      <w:r w:rsidR="000C7AE7" w:rsidRPr="008F0800">
        <w:t>or</w:t>
      </w:r>
      <w:r w:rsidR="002E2004" w:rsidRPr="008F0800">
        <w:t xml:space="preserve"> precautionary </w:t>
      </w:r>
      <w:r w:rsidR="00E4608A" w:rsidRPr="008F0800">
        <w:t>statements</w:t>
      </w:r>
      <w:r w:rsidR="006F49F3" w:rsidRPr="008F0800">
        <w:t>, respectively</w:t>
      </w:r>
      <w:r w:rsidR="004001A8" w:rsidRPr="008F0800">
        <w:t xml:space="preserve">. </w:t>
      </w:r>
    </w:p>
    <w:p w14:paraId="75EA98FC" w14:textId="2053ED60" w:rsidR="00A56CD5" w:rsidRPr="008F0800" w:rsidRDefault="00C621F8" w:rsidP="008F0800">
      <w:pPr>
        <w:pStyle w:val="SingleTxtG"/>
      </w:pPr>
      <w:r w:rsidRPr="008F0800">
        <w:t>19</w:t>
      </w:r>
      <w:r w:rsidR="007641BB" w:rsidRPr="008F0800">
        <w:t>.</w:t>
      </w:r>
      <w:r w:rsidR="007641BB" w:rsidRPr="008F0800">
        <w:tab/>
      </w:r>
      <w:r w:rsidR="00C63F88" w:rsidRPr="008F0800">
        <w:t>The group have revised these proposed new paragraphs to address the concerns raised</w:t>
      </w:r>
      <w:r w:rsidR="00F26A5C" w:rsidRPr="008F0800">
        <w:t xml:space="preserve"> at the fortieth session</w:t>
      </w:r>
      <w:r w:rsidR="00C63F88" w:rsidRPr="008F0800">
        <w:t>. However, t</w:t>
      </w:r>
      <w:r w:rsidR="002C4D4C" w:rsidRPr="008F0800">
        <w:t xml:space="preserve">wo options for the proposed new paragraph A3.1.2.5 </w:t>
      </w:r>
      <w:r w:rsidR="005474DC" w:rsidRPr="008F0800">
        <w:t xml:space="preserve">have </w:t>
      </w:r>
      <w:r w:rsidR="00CF3C3F" w:rsidRPr="008F0800">
        <w:t xml:space="preserve">now </w:t>
      </w:r>
      <w:r w:rsidR="005474DC" w:rsidRPr="008F0800">
        <w:t xml:space="preserve">been put forward for consideration </w:t>
      </w:r>
      <w:r w:rsidR="002C4D4C" w:rsidRPr="008F0800">
        <w:t>to address the concerns raised</w:t>
      </w:r>
      <w:r w:rsidR="009F51D6" w:rsidRPr="008F0800">
        <w:t>. T</w:t>
      </w:r>
      <w:r w:rsidR="002C4D4C" w:rsidRPr="008F0800">
        <w:t xml:space="preserve">hese </w:t>
      </w:r>
      <w:r w:rsidR="009F51D6" w:rsidRPr="008F0800">
        <w:t xml:space="preserve">two </w:t>
      </w:r>
      <w:r w:rsidR="002C4D4C" w:rsidRPr="008F0800">
        <w:t>options are as follows</w:t>
      </w:r>
      <w:r w:rsidR="00DA4750" w:rsidRPr="008F0800">
        <w:t>:</w:t>
      </w:r>
      <w:r w:rsidR="003F06A0" w:rsidRPr="008F0800">
        <w:t xml:space="preserve"> </w:t>
      </w:r>
    </w:p>
    <w:p w14:paraId="7711ED81" w14:textId="0131ADAA" w:rsidR="00902286" w:rsidRPr="000045D8" w:rsidRDefault="00902286" w:rsidP="00902286">
      <w:pPr>
        <w:pStyle w:val="SingleTxtG"/>
        <w:tabs>
          <w:tab w:val="left" w:pos="1701"/>
        </w:tabs>
        <w:spacing w:line="240" w:lineRule="auto"/>
        <w:ind w:left="1418" w:right="238"/>
        <w:jc w:val="left"/>
        <w:rPr>
          <w:b/>
          <w:bCs/>
          <w:i/>
          <w:iCs/>
          <w:u w:val="single"/>
        </w:rPr>
      </w:pPr>
      <w:r>
        <w:rPr>
          <w:b/>
          <w:bCs/>
          <w:i/>
          <w:iCs/>
          <w:u w:val="single"/>
        </w:rPr>
        <w:t>O</w:t>
      </w:r>
      <w:r w:rsidRPr="000045D8">
        <w:rPr>
          <w:b/>
          <w:bCs/>
          <w:i/>
          <w:iCs/>
          <w:u w:val="single"/>
        </w:rPr>
        <w:t>ption 1</w:t>
      </w:r>
      <w:r>
        <w:rPr>
          <w:b/>
          <w:bCs/>
          <w:i/>
          <w:iCs/>
          <w:u w:val="single"/>
        </w:rPr>
        <w:t xml:space="preserve"> for A3.1.2.5</w:t>
      </w:r>
      <w:r w:rsidRPr="000045D8">
        <w:rPr>
          <w:b/>
          <w:bCs/>
          <w:i/>
          <w:iCs/>
          <w:u w:val="single"/>
        </w:rPr>
        <w:t>:</w:t>
      </w:r>
    </w:p>
    <w:p w14:paraId="5E38C719" w14:textId="1F53FDD2" w:rsidR="00FA61A6" w:rsidRDefault="00FA61A6" w:rsidP="008F0800">
      <w:pPr>
        <w:pStyle w:val="SingleTxtG"/>
        <w:spacing w:after="240"/>
        <w:ind w:left="1701" w:right="1088"/>
      </w:pPr>
      <w:r w:rsidRPr="001D181D">
        <w:t>“A3.1.2.5</w:t>
      </w:r>
      <w:r w:rsidRPr="001D181D">
        <w:tab/>
        <w:t xml:space="preserve">To provide greater clarity and improve readability when more than one hazard statement appears, minor textual changes are allowed, such as the removal of text that would be repetitive in the combined statement, use of joining words (e.g. “and”, “or”), use </w:t>
      </w:r>
      <w:r w:rsidRPr="00110665">
        <w:t>of additional punctuation, and the change of case of the initial letter of the word at the beginning of a statement,</w:t>
      </w:r>
      <w:r w:rsidRPr="001D181D">
        <w:t xml:space="preserve"> where this contributes to the comprehensibility of label information and all hazards are clearly conveyed.”</w:t>
      </w:r>
    </w:p>
    <w:p w14:paraId="071FD7B0" w14:textId="46D8B5D2" w:rsidR="00902286" w:rsidRPr="000045D8" w:rsidRDefault="00902286" w:rsidP="00902286">
      <w:pPr>
        <w:pStyle w:val="SingleTxtG"/>
        <w:tabs>
          <w:tab w:val="left" w:pos="1701"/>
        </w:tabs>
        <w:spacing w:line="240" w:lineRule="auto"/>
        <w:ind w:left="1418" w:right="238"/>
        <w:jc w:val="left"/>
        <w:rPr>
          <w:b/>
          <w:bCs/>
          <w:i/>
          <w:iCs/>
          <w:u w:val="single"/>
        </w:rPr>
      </w:pPr>
      <w:r>
        <w:rPr>
          <w:b/>
          <w:bCs/>
          <w:i/>
          <w:iCs/>
          <w:u w:val="single"/>
        </w:rPr>
        <w:t>O</w:t>
      </w:r>
      <w:r w:rsidRPr="000045D8">
        <w:rPr>
          <w:b/>
          <w:bCs/>
          <w:i/>
          <w:iCs/>
          <w:u w:val="single"/>
        </w:rPr>
        <w:t xml:space="preserve">ption </w:t>
      </w:r>
      <w:r>
        <w:rPr>
          <w:b/>
          <w:bCs/>
          <w:i/>
          <w:iCs/>
          <w:u w:val="single"/>
        </w:rPr>
        <w:t>2 for A3.1.2.5</w:t>
      </w:r>
      <w:r w:rsidRPr="000045D8">
        <w:rPr>
          <w:b/>
          <w:bCs/>
          <w:i/>
          <w:iCs/>
          <w:u w:val="single"/>
        </w:rPr>
        <w:t>:</w:t>
      </w:r>
    </w:p>
    <w:p w14:paraId="447EE375" w14:textId="2CE96CFB" w:rsidR="00902286" w:rsidRPr="006C2273" w:rsidRDefault="00902286" w:rsidP="008F0800">
      <w:pPr>
        <w:pStyle w:val="SingleTxtG"/>
        <w:ind w:left="1701" w:right="1088"/>
      </w:pPr>
      <w:r>
        <w:t>“</w:t>
      </w:r>
      <w:r w:rsidRPr="006C2273">
        <w:t>A3.1.2.5</w:t>
      </w:r>
      <w:r w:rsidR="00C2412F">
        <w:tab/>
      </w:r>
      <w:r w:rsidRPr="006C2273">
        <w:t>When there is more than one health hazard statement of equivalent severity, those hazard statements may be combined if there is insufficient space on the label.  When hazard statements are combined, all hazards must be clearly conveyed and only the repetitive text may be deleted.  For example, H317 “May cause an allergic skin reaction” + H340 “May cause genetic defects” + H350 “May cause cancer” may all be combined because they are all Category 1 health hazards and have repetitive elements of the hazard statement (i.e., the statements begin with “may cause”).  If there is insufficient space on the label to separately list these three hazard statements, the statements may be combined to “May cause an allergic skin reaction, genetic defects, and cancer.”  The competent authority may limit the types of combinations permitted to ensure comprehensibility (e.g., limit the number of hazard statements that can be combined).</w:t>
      </w:r>
      <w:r>
        <w:t>”</w:t>
      </w:r>
    </w:p>
    <w:p w14:paraId="1EAF5690" w14:textId="55C8F491" w:rsidR="00902286" w:rsidRPr="001D181D" w:rsidRDefault="00C1191F" w:rsidP="00313B4A">
      <w:pPr>
        <w:pStyle w:val="SingleTxtG"/>
        <w:tabs>
          <w:tab w:val="left" w:pos="1701"/>
        </w:tabs>
        <w:spacing w:line="240" w:lineRule="auto"/>
        <w:ind w:right="238"/>
      </w:pPr>
      <w:r>
        <w:t>20.</w:t>
      </w:r>
      <w:r>
        <w:tab/>
      </w:r>
      <w:r w:rsidR="00B77397">
        <w:t xml:space="preserve">The current </w:t>
      </w:r>
      <w:r w:rsidR="00470163">
        <w:t xml:space="preserve">draft </w:t>
      </w:r>
      <w:r w:rsidR="00B77397">
        <w:t xml:space="preserve">of the </w:t>
      </w:r>
      <w:r w:rsidR="002F5A1D">
        <w:t>proposed new paragraph for A</w:t>
      </w:r>
      <w:r w:rsidR="00F93CCE">
        <w:t>3.2.5.2.4</w:t>
      </w:r>
      <w:r w:rsidR="00B77397">
        <w:t xml:space="preserve"> </w:t>
      </w:r>
      <w:r w:rsidR="00470163">
        <w:t>is</w:t>
      </w:r>
      <w:r w:rsidR="00A76BD1">
        <w:t>:</w:t>
      </w:r>
    </w:p>
    <w:p w14:paraId="3D5027D8" w14:textId="0CAF0D2D" w:rsidR="002525F8" w:rsidRDefault="002525F8" w:rsidP="008F0800">
      <w:pPr>
        <w:pStyle w:val="SingleTxtG"/>
        <w:spacing w:after="240"/>
        <w:ind w:left="1418" w:right="1088"/>
      </w:pPr>
      <w:r w:rsidRPr="001D181D">
        <w:t>“A3.2.5.2.4</w:t>
      </w:r>
      <w:r w:rsidRPr="001D181D">
        <w:tab/>
        <w:t>To provide greater clarity and improve readability when more than one precautionary statement appears, minor textual changes are allowed, such as the removal of text that would be repetitive in the combined statement, use of joining words (e.g. “and”, “or”), use of additiona</w:t>
      </w:r>
      <w:r w:rsidRPr="006B17B8">
        <w:t xml:space="preserve">l punctuation (e.g. commas “,”), and the change of case of the initial letter of the word at the beginning of a statement, </w:t>
      </w:r>
      <w:r w:rsidR="00E44ADC" w:rsidRPr="001D181D">
        <w:t xml:space="preserve">where this contributes to the comprehensibility of label information and </w:t>
      </w:r>
      <w:r w:rsidRPr="001D181D">
        <w:t>all precautions are clearly conveyed. For example, P</w:t>
      </w:r>
      <w:r w:rsidRPr="006B17B8">
        <w:rPr>
          <w:lang w:val="en-US"/>
        </w:rPr>
        <w:t>302+P335+P334 “</w:t>
      </w:r>
      <w:r w:rsidRPr="006B17B8">
        <w:rPr>
          <w:rStyle w:val="StyleBold"/>
          <w:b w:val="0"/>
          <w:bCs w:val="0"/>
          <w:lang w:val="en-US"/>
        </w:rPr>
        <w:t>IF ON SKIN: Brush off loose particles from skin and i</w:t>
      </w:r>
      <w:r w:rsidRPr="006B17B8">
        <w:rPr>
          <w:lang w:val="en-US"/>
        </w:rPr>
        <w:t>mmerse in cool water [or wrap in wet bandages].</w:t>
      </w:r>
      <w:r w:rsidRPr="006B17B8">
        <w:t>”</w:t>
      </w:r>
    </w:p>
    <w:p w14:paraId="3299377D" w14:textId="4F54D9FF" w:rsidR="004322CB" w:rsidRPr="008F0800" w:rsidRDefault="00313B4A" w:rsidP="008F0800">
      <w:pPr>
        <w:pStyle w:val="SingleTxtG"/>
      </w:pPr>
      <w:r w:rsidRPr="008F0800">
        <w:t>21.</w:t>
      </w:r>
      <w:r w:rsidRPr="008F0800">
        <w:tab/>
      </w:r>
      <w:r w:rsidR="00264FCA" w:rsidRPr="008F0800">
        <w:t>T</w:t>
      </w:r>
      <w:r w:rsidR="00F26A5C" w:rsidRPr="008F0800">
        <w:t>he group welcomes any comments that the Sub-Committee may have on the</w:t>
      </w:r>
      <w:r w:rsidR="00264FCA" w:rsidRPr="008F0800">
        <w:t xml:space="preserve"> two</w:t>
      </w:r>
      <w:r w:rsidR="00F26A5C" w:rsidRPr="008F0800">
        <w:t xml:space="preserve"> options that are provided </w:t>
      </w:r>
      <w:r w:rsidR="00264FCA" w:rsidRPr="008F0800">
        <w:t xml:space="preserve">for the proposed new paragraph A3.1.2.5 </w:t>
      </w:r>
      <w:proofErr w:type="gramStart"/>
      <w:r w:rsidR="00264FCA" w:rsidRPr="008F0800">
        <w:t xml:space="preserve">and </w:t>
      </w:r>
      <w:r w:rsidR="0061291F" w:rsidRPr="008F0800">
        <w:t>also</w:t>
      </w:r>
      <w:proofErr w:type="gramEnd"/>
      <w:r w:rsidR="0061291F" w:rsidRPr="008F0800">
        <w:t xml:space="preserve"> on the proposed new paragraph A3.2.5.2.4.</w:t>
      </w:r>
    </w:p>
    <w:p w14:paraId="3EDC98D7" w14:textId="52B91F9B" w:rsidR="008743D0" w:rsidRPr="001A65BD" w:rsidRDefault="00871D17" w:rsidP="001A65BD">
      <w:pPr>
        <w:pStyle w:val="H23G"/>
      </w:pPr>
      <w:r w:rsidRPr="001A65BD">
        <w:tab/>
      </w:r>
      <w:r w:rsidR="001A65BD">
        <w:tab/>
      </w:r>
      <w:r w:rsidR="008743D0" w:rsidRPr="001A65BD">
        <w:t>Square brackets around precautionary statement codes</w:t>
      </w:r>
    </w:p>
    <w:p w14:paraId="2F0DFF03" w14:textId="7B463852" w:rsidR="00161D7D" w:rsidRPr="008F0800" w:rsidRDefault="0061291F" w:rsidP="008F0800">
      <w:pPr>
        <w:pStyle w:val="SingleTxtG"/>
      </w:pPr>
      <w:r w:rsidRPr="008F0800">
        <w:t>22</w:t>
      </w:r>
      <w:r w:rsidR="00046BA0" w:rsidRPr="008F0800">
        <w:t>.</w:t>
      </w:r>
      <w:r w:rsidR="00046BA0" w:rsidRPr="008F0800">
        <w:tab/>
        <w:t xml:space="preserve">As detailed in paragraphs </w:t>
      </w:r>
      <w:r w:rsidR="00D4051A" w:rsidRPr="008F0800">
        <w:t>33</w:t>
      </w:r>
      <w:r w:rsidR="00046BA0" w:rsidRPr="008F0800">
        <w:t xml:space="preserve"> to </w:t>
      </w:r>
      <w:r w:rsidR="00D4051A" w:rsidRPr="008F0800">
        <w:t>35</w:t>
      </w:r>
      <w:r w:rsidR="00046BA0" w:rsidRPr="008F0800">
        <w:t xml:space="preserve"> of 2021/1, the group </w:t>
      </w:r>
      <w:r w:rsidR="006A2D63" w:rsidRPr="008F0800">
        <w:t xml:space="preserve">had identified an inconsistency </w:t>
      </w:r>
      <w:r w:rsidR="007502C7" w:rsidRPr="008F0800">
        <w:t>that a</w:t>
      </w:r>
      <w:r w:rsidR="007502C7" w:rsidRPr="008F0800">
        <w:rPr>
          <w:rStyle w:val="StyleItalic"/>
          <w:i w:val="0"/>
          <w:iCs w:val="0"/>
        </w:rPr>
        <w:t xml:space="preserve">lthough there is explanatory text in A3.2.4.4 regarding use of </w:t>
      </w:r>
      <w:r w:rsidR="007502C7" w:rsidRPr="008F0800">
        <w:rPr>
          <w:rStyle w:val="StyleItalic"/>
          <w:i w:val="0"/>
          <w:iCs w:val="0"/>
        </w:rPr>
        <w:lastRenderedPageBreak/>
        <w:t>square brackets around a statement, there is no explanatory text regarding the use of square brackets around a code</w:t>
      </w:r>
      <w:r w:rsidR="002415C4" w:rsidRPr="008F0800">
        <w:rPr>
          <w:rStyle w:val="StyleItalic"/>
          <w:i w:val="0"/>
          <w:iCs w:val="0"/>
        </w:rPr>
        <w:t xml:space="preserve"> and had proposed</w:t>
      </w:r>
      <w:r w:rsidR="00440E66" w:rsidRPr="008F0800">
        <w:rPr>
          <w:rStyle w:val="StyleItalic"/>
          <w:i w:val="0"/>
          <w:iCs w:val="0"/>
        </w:rPr>
        <w:t xml:space="preserve"> introducing a new paragraph A3.2.2.4 </w:t>
      </w:r>
      <w:r w:rsidR="00E967A0" w:rsidRPr="008F0800">
        <w:t>as follows:</w:t>
      </w:r>
    </w:p>
    <w:p w14:paraId="283BCFDE" w14:textId="77777777" w:rsidR="00073652" w:rsidRPr="008F0800" w:rsidRDefault="00073652" w:rsidP="008F0800">
      <w:pPr>
        <w:pStyle w:val="SingleTxtG"/>
        <w:ind w:left="1701"/>
      </w:pPr>
      <w:r w:rsidRPr="008F0800">
        <w:t>“A3.2.2.4</w:t>
      </w:r>
      <w:r w:rsidRPr="008F0800">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p>
    <w:p w14:paraId="120B2411" w14:textId="577EB88C" w:rsidR="00046BA0" w:rsidRPr="008F0800" w:rsidRDefault="0061291F" w:rsidP="008F0800">
      <w:pPr>
        <w:pStyle w:val="SingleTxtG"/>
      </w:pPr>
      <w:r w:rsidRPr="008F0800">
        <w:t>23</w:t>
      </w:r>
      <w:r w:rsidR="00145E49" w:rsidRPr="008F0800">
        <w:t>.</w:t>
      </w:r>
      <w:r w:rsidR="008F0800" w:rsidRPr="008F0800">
        <w:tab/>
      </w:r>
      <w:r w:rsidR="008F0800">
        <w:t xml:space="preserve"> </w:t>
      </w:r>
      <w:r w:rsidR="00046BA0" w:rsidRPr="008F0800">
        <w:t xml:space="preserve">This proposal </w:t>
      </w:r>
      <w:r w:rsidR="00C47611" w:rsidRPr="008F0800">
        <w:t>was</w:t>
      </w:r>
      <w:r w:rsidR="00046BA0" w:rsidRPr="008F0800">
        <w:t xml:space="preserve"> supported in principle by the Sub-Committee, so no further work has taken place on this issue</w:t>
      </w:r>
      <w:r w:rsidR="00E967A0" w:rsidRPr="008F0800">
        <w:t>,</w:t>
      </w:r>
      <w:r w:rsidR="00046BA0" w:rsidRPr="008F0800">
        <w:t xml:space="preserve"> though it will be addressed in the revised formal proposals </w:t>
      </w:r>
      <w:r w:rsidR="005810B5" w:rsidRPr="008F0800">
        <w:t xml:space="preserve">that will be provided </w:t>
      </w:r>
      <w:r w:rsidR="00046BA0" w:rsidRPr="008F0800">
        <w:t>for consideration at the forty-second session.</w:t>
      </w:r>
    </w:p>
    <w:p w14:paraId="28A904EC" w14:textId="440A4992" w:rsidR="00EA6120" w:rsidRPr="008F0800" w:rsidRDefault="008F0800" w:rsidP="008F0800">
      <w:pPr>
        <w:pStyle w:val="H23G"/>
      </w:pPr>
      <w:r>
        <w:rPr>
          <w:b w:val="0"/>
          <w:bCs/>
        </w:rPr>
        <w:tab/>
      </w:r>
      <w:r w:rsidRPr="008F0800">
        <w:tab/>
      </w:r>
      <w:r w:rsidR="00EA6120" w:rsidRPr="008F0800">
        <w:t>P373 “DO NOT fight fire when fire reaches explosives” for self-reactive substances and mixtures Type A and organic peroxides Type A</w:t>
      </w:r>
      <w:r w:rsidR="001D2D91" w:rsidRPr="008F0800">
        <w:t>:</w:t>
      </w:r>
    </w:p>
    <w:p w14:paraId="4BB64ADF" w14:textId="0ADF67F7" w:rsidR="008F2705" w:rsidRPr="008F0800" w:rsidRDefault="003F1797" w:rsidP="008F0800">
      <w:pPr>
        <w:pStyle w:val="SingleTxtG"/>
      </w:pPr>
      <w:r w:rsidRPr="008F0800">
        <w:t>24</w:t>
      </w:r>
      <w:r w:rsidR="004B5C05" w:rsidRPr="008F0800">
        <w:t>.</w:t>
      </w:r>
      <w:r w:rsidR="004B5C05" w:rsidRPr="008F0800">
        <w:tab/>
      </w:r>
      <w:r w:rsidR="00463CE7" w:rsidRPr="008F0800">
        <w:t xml:space="preserve">As </w:t>
      </w:r>
      <w:r w:rsidR="00ED2B6A" w:rsidRPr="008F0800">
        <w:t xml:space="preserve">previously </w:t>
      </w:r>
      <w:r w:rsidR="00463CE7" w:rsidRPr="008F0800">
        <w:t>detailed in paragraphs 3</w:t>
      </w:r>
      <w:r w:rsidR="004B5C05" w:rsidRPr="008F0800">
        <w:t>6</w:t>
      </w:r>
      <w:r w:rsidR="00463CE7" w:rsidRPr="008F0800">
        <w:t xml:space="preserve"> to </w:t>
      </w:r>
      <w:r w:rsidR="004B5C05" w:rsidRPr="008F0800">
        <w:t>40</w:t>
      </w:r>
      <w:r w:rsidR="00463CE7" w:rsidRPr="008F0800">
        <w:t xml:space="preserve"> of 2021/1, the group had identified </w:t>
      </w:r>
      <w:r w:rsidR="00CC4862" w:rsidRPr="008F0800">
        <w:t xml:space="preserve">an issue </w:t>
      </w:r>
      <w:r w:rsidR="000F02C3" w:rsidRPr="008F0800">
        <w:t xml:space="preserve">regarding </w:t>
      </w:r>
      <w:r w:rsidR="00CC4862" w:rsidRPr="008F0800">
        <w:rPr>
          <w:rStyle w:val="StyleBold"/>
          <w:b w:val="0"/>
          <w:bCs w:val="0"/>
        </w:rPr>
        <w:t>s</w:t>
      </w:r>
      <w:r w:rsidR="00CC4862" w:rsidRPr="008F0800">
        <w:t xml:space="preserve">elf-reactive substances and mixtures Type A and organic peroxides Type A </w:t>
      </w:r>
      <w:r w:rsidR="000C0AA3" w:rsidRPr="008F0800">
        <w:t>that are</w:t>
      </w:r>
      <w:r w:rsidR="00CC4862" w:rsidRPr="008F0800">
        <w:t xml:space="preserve"> listed under P373</w:t>
      </w:r>
      <w:r w:rsidR="00CC4862" w:rsidRPr="008F0800">
        <w:rPr>
          <w:rStyle w:val="StyleBold"/>
          <w:b w:val="0"/>
          <w:bCs w:val="0"/>
        </w:rPr>
        <w:t xml:space="preserve">. </w:t>
      </w:r>
      <w:r w:rsidR="00CC4862" w:rsidRPr="008F0800">
        <w:t>However, inclusion of these hazard classes/categories under P373 could be considered as misleading/inaccurate as they are not explosives, though may have explosive characteristics</w:t>
      </w:r>
      <w:r w:rsidR="008F2705" w:rsidRPr="008F0800">
        <w:t>.</w:t>
      </w:r>
      <w:r w:rsidR="00D406EB" w:rsidRPr="008F0800">
        <w:t xml:space="preserve"> </w:t>
      </w:r>
      <w:r w:rsidR="00364351" w:rsidRPr="008F0800">
        <w:t>At the</w:t>
      </w:r>
      <w:r w:rsidR="004A5A4D" w:rsidRPr="008F0800">
        <w:t xml:space="preserve"> fortieth session</w:t>
      </w:r>
      <w:r w:rsidR="00AB22C0" w:rsidRPr="008F0800">
        <w:t xml:space="preserve">, </w:t>
      </w:r>
      <w:r w:rsidR="000D0DFC" w:rsidRPr="008F0800">
        <w:t>the Sub-Committee concluded that this issue needed further consideration</w:t>
      </w:r>
      <w:r w:rsidR="00D406EB" w:rsidRPr="008F0800">
        <w:t>.</w:t>
      </w:r>
    </w:p>
    <w:p w14:paraId="0E7464B9" w14:textId="4477DCBB" w:rsidR="00B420DA" w:rsidRPr="008F0800" w:rsidRDefault="003F1797" w:rsidP="008F0800">
      <w:pPr>
        <w:pStyle w:val="SingleTxtG"/>
      </w:pPr>
      <w:r w:rsidRPr="008F0800">
        <w:t>25</w:t>
      </w:r>
      <w:r w:rsidR="004C5BEE" w:rsidRPr="008F0800">
        <w:t>.</w:t>
      </w:r>
      <w:r w:rsidR="004C5BEE" w:rsidRPr="008F0800">
        <w:tab/>
      </w:r>
      <w:r w:rsidR="00E67D0D" w:rsidRPr="008F0800">
        <w:t xml:space="preserve">Following </w:t>
      </w:r>
      <w:r w:rsidR="00025161" w:rsidRPr="008F0800">
        <w:t xml:space="preserve">the </w:t>
      </w:r>
      <w:r w:rsidR="00EF6A3F" w:rsidRPr="008F0800">
        <w:t>feedback</w:t>
      </w:r>
      <w:r w:rsidR="003740E2" w:rsidRPr="008F0800">
        <w:t xml:space="preserve"> from the Sub-Committee</w:t>
      </w:r>
      <w:r w:rsidR="005945E3" w:rsidRPr="008F0800">
        <w:t xml:space="preserve">, </w:t>
      </w:r>
      <w:r w:rsidR="004A5A4D" w:rsidRPr="008F0800">
        <w:t>a</w:t>
      </w:r>
      <w:r w:rsidR="004C5BEE" w:rsidRPr="008F0800">
        <w:t xml:space="preserve"> sub</w:t>
      </w:r>
      <w:r w:rsidR="0009129D" w:rsidRPr="008F0800">
        <w:t>-</w:t>
      </w:r>
      <w:r w:rsidR="004C5BEE" w:rsidRPr="008F0800">
        <w:t>group of m</w:t>
      </w:r>
      <w:r w:rsidR="00BD4EC1" w:rsidRPr="008F0800">
        <w:t>ainly</w:t>
      </w:r>
      <w:r w:rsidR="004C5BEE" w:rsidRPr="008F0800">
        <w:t xml:space="preserve"> physical hazards </w:t>
      </w:r>
      <w:r w:rsidR="0033708F" w:rsidRPr="008F0800">
        <w:t>and</w:t>
      </w:r>
      <w:r w:rsidR="00BD4EC1" w:rsidRPr="008F0800">
        <w:t xml:space="preserve"> explosives </w:t>
      </w:r>
      <w:r w:rsidR="004C5BEE" w:rsidRPr="008F0800">
        <w:t xml:space="preserve">experts </w:t>
      </w:r>
      <w:r w:rsidR="007A4C49" w:rsidRPr="008F0800">
        <w:t xml:space="preserve">considered the options </w:t>
      </w:r>
      <w:r w:rsidR="00AB3DF3" w:rsidRPr="008F0800">
        <w:t xml:space="preserve">in the context of the following </w:t>
      </w:r>
      <w:r w:rsidR="005C4181" w:rsidRPr="008F0800">
        <w:t>information</w:t>
      </w:r>
      <w:r w:rsidR="006A190D" w:rsidRPr="008F0800">
        <w:t xml:space="preserve"> </w:t>
      </w:r>
      <w:r w:rsidR="008E64C2" w:rsidRPr="008F0800">
        <w:t xml:space="preserve">on </w:t>
      </w:r>
      <w:r w:rsidR="006A190D" w:rsidRPr="008F0800">
        <w:t>Type A</w:t>
      </w:r>
      <w:r w:rsidR="006A190D" w:rsidRPr="008F0800">
        <w:rPr>
          <w:rStyle w:val="StyleBold"/>
          <w:b w:val="0"/>
          <w:bCs w:val="0"/>
        </w:rPr>
        <w:t xml:space="preserve"> s</w:t>
      </w:r>
      <w:r w:rsidR="006A190D" w:rsidRPr="008F0800">
        <w:t>elf-reactive substances and mixtures Type A and organic peroxides</w:t>
      </w:r>
      <w:r w:rsidR="005C4181" w:rsidRPr="008F0800">
        <w:t xml:space="preserve">: </w:t>
      </w:r>
    </w:p>
    <w:p w14:paraId="71C17F13" w14:textId="62FBF95B" w:rsidR="006A190D" w:rsidRPr="004C6647" w:rsidRDefault="008E64C2" w:rsidP="008F0800">
      <w:pPr>
        <w:pStyle w:val="Bullet1G"/>
      </w:pPr>
      <w:r w:rsidRPr="009245E7">
        <w:t>T</w:t>
      </w:r>
      <w:r w:rsidRPr="00CE6828">
        <w:t>he</w:t>
      </w:r>
      <w:r w:rsidRPr="00D418D8">
        <w:t xml:space="preserve">se </w:t>
      </w:r>
      <w:r w:rsidR="0033708F">
        <w:t xml:space="preserve">substances </w:t>
      </w:r>
      <w:r w:rsidR="006A190D" w:rsidRPr="002771FC">
        <w:t xml:space="preserve">are forbidden to be transported and consequently are not </w:t>
      </w:r>
      <w:proofErr w:type="gramStart"/>
      <w:r w:rsidR="006A190D" w:rsidRPr="002771FC">
        <w:t>commercialized</w:t>
      </w:r>
      <w:r w:rsidR="006A190D" w:rsidRPr="00FB1E05">
        <w:t>;</w:t>
      </w:r>
      <w:proofErr w:type="gramEnd"/>
      <w:r w:rsidR="006A190D" w:rsidRPr="00FB1E05">
        <w:t xml:space="preserve"> </w:t>
      </w:r>
    </w:p>
    <w:p w14:paraId="2734FCB5" w14:textId="5555323A" w:rsidR="006A190D" w:rsidRPr="00B101B4" w:rsidRDefault="006A190D" w:rsidP="008F0800">
      <w:pPr>
        <w:pStyle w:val="Bullet1G"/>
      </w:pPr>
      <w:r w:rsidRPr="00131E7B">
        <w:t xml:space="preserve">Although a Type A product </w:t>
      </w:r>
      <w:r w:rsidR="005D28E5">
        <w:t xml:space="preserve">of these hazard classes </w:t>
      </w:r>
      <w:r w:rsidRPr="00131E7B">
        <w:t xml:space="preserve">may occur in </w:t>
      </w:r>
      <w:r w:rsidR="00515397">
        <w:t>a</w:t>
      </w:r>
      <w:r w:rsidRPr="00515397">
        <w:t xml:space="preserve"> manufacturing step, </w:t>
      </w:r>
      <w:r w:rsidR="00515397">
        <w:t>such steps</w:t>
      </w:r>
      <w:r w:rsidRPr="00515397">
        <w:t xml:space="preserve"> all take place </w:t>
      </w:r>
      <w:r w:rsidR="004F3BA8">
        <w:t>with</w:t>
      </w:r>
      <w:r w:rsidRPr="00515397">
        <w:t>in safe manufacturing installations (processes in bunkers and/or respecting safety distances required and many other dedicated process related safety measures</w:t>
      </w:r>
      <w:proofErr w:type="gramStart"/>
      <w:r w:rsidRPr="00515397">
        <w:t>)</w:t>
      </w:r>
      <w:r w:rsidR="0036073B" w:rsidRPr="00260B08">
        <w:t>;</w:t>
      </w:r>
      <w:proofErr w:type="gramEnd"/>
    </w:p>
    <w:p w14:paraId="6952DB0F" w14:textId="11D2C93C" w:rsidR="008E64C2" w:rsidRPr="004A2EF1" w:rsidRDefault="00416AF7" w:rsidP="008F0800">
      <w:pPr>
        <w:pStyle w:val="Bullet1G"/>
      </w:pPr>
      <w:r>
        <w:t>S</w:t>
      </w:r>
      <w:r w:rsidR="008E64C2" w:rsidRPr="00416AF7">
        <w:t xml:space="preserve">torage of Type A organic peroxides (if it is done at all) is </w:t>
      </w:r>
      <w:r w:rsidR="008E64C2" w:rsidRPr="00260B08">
        <w:t>not common practice</w:t>
      </w:r>
      <w:r w:rsidR="0036073B" w:rsidRPr="00B101B4">
        <w:t>, though</w:t>
      </w:r>
      <w:r w:rsidR="003242CA" w:rsidRPr="00B101B4">
        <w:t xml:space="preserve"> </w:t>
      </w:r>
      <w:r w:rsidR="003242CA" w:rsidRPr="00C03A9D">
        <w:t>very s</w:t>
      </w:r>
      <w:r w:rsidR="003242CA" w:rsidRPr="00163B41">
        <w:t xml:space="preserve">mall </w:t>
      </w:r>
      <w:r w:rsidR="00651A85" w:rsidRPr="00554D25">
        <w:t>quantities</w:t>
      </w:r>
      <w:r w:rsidR="003242CA" w:rsidRPr="00A90D79">
        <w:t xml:space="preserve"> </w:t>
      </w:r>
      <w:r w:rsidR="00651A85" w:rsidRPr="00A90D79">
        <w:t xml:space="preserve">may be </w:t>
      </w:r>
      <w:r w:rsidR="006F63F5" w:rsidRPr="002431E3">
        <w:t xml:space="preserve">stored and </w:t>
      </w:r>
      <w:r w:rsidR="003242CA" w:rsidRPr="00DE44EB">
        <w:t xml:space="preserve">used </w:t>
      </w:r>
      <w:r w:rsidR="000D3860" w:rsidRPr="00770F81">
        <w:t>for</w:t>
      </w:r>
      <w:r w:rsidR="003242CA" w:rsidRPr="00770F81">
        <w:t xml:space="preserve"> research</w:t>
      </w:r>
      <w:r w:rsidR="00B86431" w:rsidRPr="003400E4">
        <w:t xml:space="preserve"> </w:t>
      </w:r>
      <w:r w:rsidR="000D3860" w:rsidRPr="003E1E23">
        <w:t xml:space="preserve">purposes </w:t>
      </w:r>
      <w:r w:rsidRPr="003E1E23">
        <w:t xml:space="preserve">and would be done so </w:t>
      </w:r>
      <w:r w:rsidR="000D3860" w:rsidRPr="009F44E1">
        <w:t xml:space="preserve">in accordance with </w:t>
      </w:r>
      <w:r w:rsidR="00B86431" w:rsidRPr="009F44E1">
        <w:t>approp</w:t>
      </w:r>
      <w:r w:rsidR="00B86431" w:rsidRPr="00A82AFF">
        <w:t>riate</w:t>
      </w:r>
      <w:r w:rsidR="00322736" w:rsidRPr="00A82AFF">
        <w:t xml:space="preserve"> </w:t>
      </w:r>
      <w:proofErr w:type="gramStart"/>
      <w:r w:rsidR="00322736" w:rsidRPr="00A82AFF">
        <w:t>requirements</w:t>
      </w:r>
      <w:r w:rsidR="00C12E1D" w:rsidRPr="00A82AFF">
        <w:t>;</w:t>
      </w:r>
      <w:proofErr w:type="gramEnd"/>
    </w:p>
    <w:p w14:paraId="06BC2B24" w14:textId="7723DD48" w:rsidR="00C67E1E" w:rsidRPr="00B101B4" w:rsidRDefault="00586DD6" w:rsidP="008F0800">
      <w:pPr>
        <w:pStyle w:val="Bullet1G"/>
      </w:pPr>
      <w:r>
        <w:t>T</w:t>
      </w:r>
      <w:r w:rsidR="00A136C6" w:rsidRPr="00B101B4">
        <w:t xml:space="preserve">here </w:t>
      </w:r>
      <w:proofErr w:type="gramStart"/>
      <w:r w:rsidR="00A136C6" w:rsidRPr="00B101B4">
        <w:t>has</w:t>
      </w:r>
      <w:proofErr w:type="gramEnd"/>
      <w:r w:rsidR="00A136C6" w:rsidRPr="00B101B4">
        <w:t xml:space="preserve"> been no known issue</w:t>
      </w:r>
      <w:r>
        <w:t>s</w:t>
      </w:r>
      <w:r w:rsidR="00A136C6" w:rsidRPr="00B101B4">
        <w:t xml:space="preserve"> </w:t>
      </w:r>
      <w:r w:rsidR="008A5EA6">
        <w:t>in relation</w:t>
      </w:r>
      <w:r w:rsidR="008A5EA6" w:rsidRPr="00B101B4">
        <w:t xml:space="preserve"> </w:t>
      </w:r>
      <w:r w:rsidR="008A5EA6">
        <w:t>to</w:t>
      </w:r>
      <w:r w:rsidR="008A5EA6" w:rsidRPr="00B101B4">
        <w:t xml:space="preserve"> </w:t>
      </w:r>
      <w:r w:rsidR="00327FC0" w:rsidRPr="00B101B4">
        <w:t xml:space="preserve">these substances </w:t>
      </w:r>
      <w:r w:rsidR="00C12E1D" w:rsidRPr="00B101B4">
        <w:t>being listed under</w:t>
      </w:r>
      <w:r w:rsidR="00F920E6" w:rsidRPr="00B101B4">
        <w:t xml:space="preserve"> P373</w:t>
      </w:r>
      <w:r w:rsidR="00C12E1D" w:rsidRPr="00B101B4">
        <w:t>.</w:t>
      </w:r>
    </w:p>
    <w:p w14:paraId="34A25C9A" w14:textId="35C1B176" w:rsidR="00D406EB" w:rsidRPr="008F0800" w:rsidRDefault="003F1797" w:rsidP="008F0800">
      <w:pPr>
        <w:pStyle w:val="SingleTxtG"/>
      </w:pPr>
      <w:r w:rsidRPr="008F0800">
        <w:t>26</w:t>
      </w:r>
      <w:r w:rsidR="005C6631" w:rsidRPr="008F0800">
        <w:t>.</w:t>
      </w:r>
      <w:r w:rsidR="005C6631" w:rsidRPr="008F0800">
        <w:tab/>
      </w:r>
      <w:r w:rsidR="00553EB8" w:rsidRPr="008F0800">
        <w:t xml:space="preserve">Consequently, the sub-group </w:t>
      </w:r>
      <w:r w:rsidR="00AE14D1" w:rsidRPr="008F0800">
        <w:t>concluded that</w:t>
      </w:r>
      <w:r w:rsidR="007A4C49" w:rsidRPr="008F0800">
        <w:t xml:space="preserve"> </w:t>
      </w:r>
      <w:r w:rsidR="001864A5" w:rsidRPr="008F0800">
        <w:t xml:space="preserve">although P373 may not be </w:t>
      </w:r>
      <w:r w:rsidR="00A269D3" w:rsidRPr="008F0800">
        <w:t xml:space="preserve">ideal, </w:t>
      </w:r>
      <w:r w:rsidR="007A4C49" w:rsidRPr="008F0800">
        <w:t>overall</w:t>
      </w:r>
      <w:r w:rsidR="00AB039D" w:rsidRPr="008F0800">
        <w:t>,</w:t>
      </w:r>
      <w:r w:rsidR="007A4C49" w:rsidRPr="008F0800">
        <w:t xml:space="preserve"> it would be best to retain the status quo</w:t>
      </w:r>
      <w:r w:rsidR="00E36FA3" w:rsidRPr="008F0800">
        <w:t xml:space="preserve"> for </w:t>
      </w:r>
      <w:r w:rsidR="00E36FA3" w:rsidRPr="008F0800">
        <w:rPr>
          <w:rStyle w:val="StyleBold"/>
          <w:b w:val="0"/>
          <w:bCs w:val="0"/>
        </w:rPr>
        <w:t>s</w:t>
      </w:r>
      <w:r w:rsidR="00E36FA3" w:rsidRPr="008F0800">
        <w:t>elf-reactive substances and mixtures Type A and organic peroxides Type A under P373</w:t>
      </w:r>
      <w:r w:rsidR="00611122" w:rsidRPr="008F0800">
        <w:t>.</w:t>
      </w:r>
      <w:r w:rsidR="007A4C49" w:rsidRPr="008F0800">
        <w:t xml:space="preserve"> </w:t>
      </w:r>
      <w:r w:rsidR="00802F2B" w:rsidRPr="008F0800">
        <w:t>This view was supported by the rest of the working group</w:t>
      </w:r>
      <w:r w:rsidR="005C36EB" w:rsidRPr="008F0800">
        <w:t xml:space="preserve"> </w:t>
      </w:r>
      <w:r w:rsidR="00DB77AD" w:rsidRPr="008F0800">
        <w:t xml:space="preserve">who agreed </w:t>
      </w:r>
      <w:r w:rsidR="007A4C49" w:rsidRPr="008F0800">
        <w:t xml:space="preserve">not </w:t>
      </w:r>
      <w:r w:rsidR="00D46297" w:rsidRPr="008F0800">
        <w:t>to</w:t>
      </w:r>
      <w:r w:rsidR="007A4C49" w:rsidRPr="008F0800">
        <w:t xml:space="preserve"> take</w:t>
      </w:r>
      <w:r w:rsidR="00D46297" w:rsidRPr="008F0800">
        <w:t xml:space="preserve"> this issue </w:t>
      </w:r>
      <w:r w:rsidR="007A4C49" w:rsidRPr="008F0800">
        <w:t>any further forward</w:t>
      </w:r>
      <w:r w:rsidR="006B6861" w:rsidRPr="008F0800">
        <w:t xml:space="preserve"> at this stage.</w:t>
      </w:r>
    </w:p>
    <w:p w14:paraId="71E48F4C" w14:textId="5895A31E" w:rsidR="00CC15C8" w:rsidRPr="008F0800" w:rsidRDefault="003F1797" w:rsidP="008F0800">
      <w:pPr>
        <w:pStyle w:val="SingleTxtG"/>
      </w:pPr>
      <w:r w:rsidRPr="008F0800">
        <w:t>27</w:t>
      </w:r>
      <w:r w:rsidR="006B6861" w:rsidRPr="008F0800">
        <w:t>.</w:t>
      </w:r>
      <w:r w:rsidR="006B6861" w:rsidRPr="008F0800">
        <w:tab/>
        <w:t xml:space="preserve">However, </w:t>
      </w:r>
      <w:r w:rsidR="00627E9E" w:rsidRPr="008F0800">
        <w:t xml:space="preserve">if the Sub-Committee considered </w:t>
      </w:r>
      <w:r w:rsidR="00782AA0" w:rsidRPr="008F0800">
        <w:t xml:space="preserve">that Type A </w:t>
      </w:r>
      <w:r w:rsidR="00504874" w:rsidRPr="008F0800">
        <w:rPr>
          <w:rStyle w:val="StyleBold"/>
          <w:b w:val="0"/>
          <w:bCs w:val="0"/>
        </w:rPr>
        <w:t>s</w:t>
      </w:r>
      <w:r w:rsidR="00504874" w:rsidRPr="008F0800">
        <w:t xml:space="preserve">elf-reactive substances and mixtures </w:t>
      </w:r>
      <w:r w:rsidR="0028415E" w:rsidRPr="008F0800">
        <w:t xml:space="preserve">and </w:t>
      </w:r>
      <w:r w:rsidR="00504874" w:rsidRPr="008F0800">
        <w:t xml:space="preserve">Type A organic peroxides </w:t>
      </w:r>
      <w:r w:rsidR="0028415E" w:rsidRPr="008F0800">
        <w:t>should be separated from expl</w:t>
      </w:r>
      <w:r w:rsidR="00F10BC2" w:rsidRPr="008F0800">
        <w:t xml:space="preserve">osives </w:t>
      </w:r>
      <w:r w:rsidR="00060128" w:rsidRPr="008F0800">
        <w:t>that are also</w:t>
      </w:r>
      <w:r w:rsidR="00F10BC2" w:rsidRPr="008F0800">
        <w:t xml:space="preserve"> currently listed under P373</w:t>
      </w:r>
      <w:r w:rsidR="00B63C01" w:rsidRPr="008F0800">
        <w:t xml:space="preserve">, the group could explore </w:t>
      </w:r>
      <w:r w:rsidR="00060128" w:rsidRPr="008F0800">
        <w:t xml:space="preserve">the </w:t>
      </w:r>
      <w:r w:rsidR="0072420F" w:rsidRPr="008F0800">
        <w:t>potential options</w:t>
      </w:r>
      <w:r w:rsidR="00B101B4" w:rsidRPr="008F0800">
        <w:t xml:space="preserve"> </w:t>
      </w:r>
      <w:r w:rsidR="00BB3526" w:rsidRPr="008F0800">
        <w:t xml:space="preserve">and would </w:t>
      </w:r>
      <w:r w:rsidR="00FA4FAA" w:rsidRPr="008F0800">
        <w:t xml:space="preserve">involve </w:t>
      </w:r>
      <w:r w:rsidR="00B101B4" w:rsidRPr="008F0800">
        <w:t>including</w:t>
      </w:r>
      <w:r w:rsidR="00260B08" w:rsidRPr="008F0800">
        <w:t xml:space="preserve"> </w:t>
      </w:r>
      <w:r w:rsidR="00B101B4" w:rsidRPr="008F0800">
        <w:t xml:space="preserve">consideration by </w:t>
      </w:r>
      <w:r w:rsidR="00260B08" w:rsidRPr="008F0800">
        <w:t>the Explosives</w:t>
      </w:r>
      <w:r w:rsidR="00B101B4" w:rsidRPr="008F0800">
        <w:t xml:space="preserve"> Working Group.</w:t>
      </w:r>
    </w:p>
    <w:p w14:paraId="4BBBC192" w14:textId="78FEAEE6" w:rsidR="00B0752E" w:rsidRPr="001A65BD" w:rsidRDefault="001A65BD" w:rsidP="001A65BD">
      <w:pPr>
        <w:pStyle w:val="H23G"/>
      </w:pPr>
      <w:r>
        <w:tab/>
      </w:r>
      <w:r>
        <w:tab/>
      </w:r>
      <w:r w:rsidR="00B0752E" w:rsidRPr="001A65BD">
        <w:t>Inconsistencies identified in Table A3.2.3 of Section 2</w:t>
      </w:r>
    </w:p>
    <w:p w14:paraId="3FA25063" w14:textId="3EB304A6" w:rsidR="00807479" w:rsidRPr="008F0800" w:rsidRDefault="003F1797" w:rsidP="008F0800">
      <w:pPr>
        <w:pStyle w:val="SingleTxtG"/>
      </w:pPr>
      <w:r w:rsidRPr="008F0800">
        <w:t>28</w:t>
      </w:r>
      <w:r w:rsidR="0089106E" w:rsidRPr="008F0800">
        <w:t>.</w:t>
      </w:r>
      <w:r w:rsidR="0089106E" w:rsidRPr="008F0800">
        <w:tab/>
      </w:r>
      <w:r w:rsidR="00A17B31" w:rsidRPr="008F0800">
        <w:t xml:space="preserve">As previously detailed in paragraphs </w:t>
      </w:r>
      <w:r w:rsidR="007430CB" w:rsidRPr="008F0800">
        <w:t>41</w:t>
      </w:r>
      <w:r w:rsidR="00A17B31" w:rsidRPr="008F0800">
        <w:t xml:space="preserve"> to 4</w:t>
      </w:r>
      <w:r w:rsidR="007430CB" w:rsidRPr="008F0800">
        <w:t>2</w:t>
      </w:r>
      <w:r w:rsidR="00A17B31" w:rsidRPr="008F0800">
        <w:t xml:space="preserve"> of 2021/1, the group had identified</w:t>
      </w:r>
      <w:r w:rsidR="00C03A9D" w:rsidRPr="008F0800">
        <w:t xml:space="preserve"> an inconsistency between the combination statement: </w:t>
      </w:r>
      <w:r w:rsidR="00C03A9D" w:rsidRPr="008F0800">
        <w:rPr>
          <w:b/>
          <w:bCs/>
        </w:rPr>
        <w:t xml:space="preserve">P302+P335+P334 </w:t>
      </w:r>
      <w:r w:rsidR="00C03A9D" w:rsidRPr="008F0800">
        <w:t>“</w:t>
      </w:r>
      <w:r w:rsidR="00C03A9D" w:rsidRPr="008F0800">
        <w:rPr>
          <w:rStyle w:val="StyleBold"/>
        </w:rPr>
        <w:t>IF ON SKIN: Brush off loose particles from skin.</w:t>
      </w:r>
      <w:r w:rsidR="00C03A9D" w:rsidRPr="008F0800">
        <w:rPr>
          <w:rStyle w:val="StyleBold"/>
          <w:b w:val="0"/>
          <w:bCs w:val="0"/>
        </w:rPr>
        <w:t xml:space="preserve"> </w:t>
      </w:r>
      <w:r w:rsidR="00C03A9D" w:rsidRPr="008F0800">
        <w:rPr>
          <w:rStyle w:val="StyleBold"/>
        </w:rPr>
        <w:t>I</w:t>
      </w:r>
      <w:r w:rsidR="00C03A9D" w:rsidRPr="008F0800">
        <w:rPr>
          <w:b/>
          <w:bCs/>
        </w:rPr>
        <w:t>mmerse in cool water [or wrap in wet bandages].</w:t>
      </w:r>
      <w:r w:rsidR="00C03A9D" w:rsidRPr="008F0800">
        <w:t xml:space="preserve">” provided in Table A3.2.3 with that provided in the matrix table for substances and mixtures which, in contact with water, emit flammable gases, 1-2. </w:t>
      </w:r>
    </w:p>
    <w:p w14:paraId="566715CA" w14:textId="4BCE5C33" w:rsidR="00B0752E" w:rsidRPr="008F0800" w:rsidRDefault="003F1797" w:rsidP="008F0800">
      <w:pPr>
        <w:pStyle w:val="SingleTxtG"/>
      </w:pPr>
      <w:r w:rsidRPr="008F0800">
        <w:lastRenderedPageBreak/>
        <w:t>29</w:t>
      </w:r>
      <w:r w:rsidR="00807479" w:rsidRPr="008F0800">
        <w:t>.</w:t>
      </w:r>
      <w:r w:rsidR="00807479" w:rsidRPr="008F0800">
        <w:tab/>
      </w:r>
      <w:r w:rsidR="00953876" w:rsidRPr="008F0800">
        <w:t xml:space="preserve">The group had proposed to </w:t>
      </w:r>
      <w:r w:rsidR="00B40391" w:rsidRPr="008F0800">
        <w:t>remove the inconsistency by amend</w:t>
      </w:r>
      <w:r w:rsidR="00890FC2" w:rsidRPr="008F0800">
        <w:t>ing</w:t>
      </w:r>
      <w:r w:rsidR="004C75E0" w:rsidRPr="008F0800">
        <w:t xml:space="preserve"> the combination statement </w:t>
      </w:r>
      <w:r w:rsidR="00B40391" w:rsidRPr="008F0800">
        <w:t xml:space="preserve">in Table A3.2.3 </w:t>
      </w:r>
      <w:r w:rsidR="00807479" w:rsidRPr="008F0800">
        <w:t xml:space="preserve">which was supported in principle by the Sub-Committee, so no further work has </w:t>
      </w:r>
      <w:r w:rsidR="006F3E84" w:rsidRPr="008F0800">
        <w:t>been under</w:t>
      </w:r>
      <w:r w:rsidR="00807479" w:rsidRPr="008F0800">
        <w:t>taken on this issue</w:t>
      </w:r>
      <w:r w:rsidR="006F5B01" w:rsidRPr="008F0800">
        <w:t xml:space="preserve"> which</w:t>
      </w:r>
      <w:r w:rsidR="00807479" w:rsidRPr="008F0800">
        <w:t xml:space="preserve"> will be addressed in the revised formal proposals for consideration at the forty-second session</w:t>
      </w:r>
      <w:r w:rsidR="006F5B01" w:rsidRPr="008F0800">
        <w:t>.</w:t>
      </w:r>
    </w:p>
    <w:p w14:paraId="24EDD85A" w14:textId="544EA83D" w:rsidR="0000462F" w:rsidRPr="0021524E" w:rsidRDefault="001A65BD" w:rsidP="001A65BD">
      <w:pPr>
        <w:pStyle w:val="H1G"/>
      </w:pPr>
      <w:r>
        <w:tab/>
      </w:r>
      <w:r w:rsidR="00DC4C82">
        <w:t>II</w:t>
      </w:r>
      <w:r w:rsidR="0021524E">
        <w:t>.</w:t>
      </w:r>
      <w:r w:rsidR="0021524E">
        <w:tab/>
      </w:r>
      <w:r w:rsidR="0000462F" w:rsidRPr="0021524E">
        <w:t>Amendments to sections 2 and 3 of Annex</w:t>
      </w:r>
      <w:r w:rsidR="00AB4534" w:rsidRPr="0021524E">
        <w:t xml:space="preserve"> 3</w:t>
      </w:r>
      <w:r w:rsidR="0021524E">
        <w:t xml:space="preserve"> - update on progress</w:t>
      </w:r>
      <w:r w:rsidR="00F11D7C">
        <w:t xml:space="preserve"> of issues</w:t>
      </w:r>
    </w:p>
    <w:p w14:paraId="7495350B" w14:textId="2296D357" w:rsidR="003770B7" w:rsidRPr="00F9218F" w:rsidRDefault="001A65BD" w:rsidP="001A65BD">
      <w:pPr>
        <w:pStyle w:val="H23G"/>
      </w:pPr>
      <w:r>
        <w:tab/>
      </w:r>
      <w:r>
        <w:tab/>
      </w:r>
      <w:r w:rsidR="003770B7" w:rsidRPr="00F9218F">
        <w:t>P354</w:t>
      </w:r>
      <w:r w:rsidR="003400E4" w:rsidRPr="00F9218F">
        <w:t xml:space="preserve"> </w:t>
      </w:r>
      <w:r w:rsidR="00DC697E">
        <w:t>“</w:t>
      </w:r>
      <w:r w:rsidR="00DC697E" w:rsidRPr="00F9218F">
        <w:t>Immediately rinse with water for several minutes</w:t>
      </w:r>
      <w:r w:rsidR="00DC697E">
        <w:t>”</w:t>
      </w:r>
    </w:p>
    <w:p w14:paraId="2BAD30AF" w14:textId="2102FE2B" w:rsidR="00C4289C" w:rsidRPr="008F0800" w:rsidRDefault="00A604E5" w:rsidP="008F0800">
      <w:pPr>
        <w:pStyle w:val="SingleTxtG"/>
      </w:pPr>
      <w:r w:rsidRPr="008F0800">
        <w:t>30</w:t>
      </w:r>
      <w:r w:rsidR="00CE3307" w:rsidRPr="008F0800">
        <w:tab/>
      </w:r>
      <w:r w:rsidR="001F022C" w:rsidRPr="008F0800">
        <w:t>As previously detailed in paragraphs 1</w:t>
      </w:r>
      <w:r w:rsidR="00424DC6" w:rsidRPr="008F0800">
        <w:t>0</w:t>
      </w:r>
      <w:r w:rsidR="001F022C" w:rsidRPr="008F0800">
        <w:t xml:space="preserve"> to </w:t>
      </w:r>
      <w:r w:rsidR="00424DC6" w:rsidRPr="008F0800">
        <w:t>16</w:t>
      </w:r>
      <w:r w:rsidR="001F022C" w:rsidRPr="008F0800">
        <w:t xml:space="preserve"> of 2021/</w:t>
      </w:r>
      <w:r w:rsidR="00424DC6" w:rsidRPr="008F0800">
        <w:t>2</w:t>
      </w:r>
      <w:r w:rsidR="001F022C" w:rsidRPr="008F0800">
        <w:t>, the group had identified</w:t>
      </w:r>
      <w:r w:rsidR="00270ED1" w:rsidRPr="008F0800">
        <w:t xml:space="preserve"> an ambiguity in P354 </w:t>
      </w:r>
      <w:r w:rsidR="00DF6255" w:rsidRPr="008F0800">
        <w:t xml:space="preserve">“Immediately rinse with water for several minutes.” in relation to </w:t>
      </w:r>
      <w:r w:rsidR="00DE1AA6" w:rsidRPr="008F0800">
        <w:t xml:space="preserve">skin corrosion (Categories 1, 1A, 1B, 1C) when this precautionary statement is used in combination </w:t>
      </w:r>
      <w:r w:rsidR="00BF0DFA" w:rsidRPr="008F0800">
        <w:rPr>
          <w:b/>
          <w:bCs/>
        </w:rPr>
        <w:t>P302+P361+P354 “IF ON SKIN: Take off immediately all contaminated clothing.  Immediately rinse with water for several minutes.”</w:t>
      </w:r>
      <w:r w:rsidR="002E3A49" w:rsidRPr="008F0800">
        <w:t xml:space="preserve"> </w:t>
      </w:r>
      <w:r w:rsidR="00DA3FE8" w:rsidRPr="008F0800">
        <w:t>as</w:t>
      </w:r>
      <w:r w:rsidR="002E3A49" w:rsidRPr="008F0800">
        <w:t xml:space="preserve"> it is</w:t>
      </w:r>
      <w:r w:rsidR="00D57383" w:rsidRPr="008F0800">
        <w:t xml:space="preserve"> not clear </w:t>
      </w:r>
      <w:r w:rsidR="006748EC" w:rsidRPr="008F0800">
        <w:t>whether contaminated clothing should be removed before, during, or after rinsing. Additionally, it is not clear that rinsing for several minutes is sufficient</w:t>
      </w:r>
      <w:r w:rsidR="002E3A49" w:rsidRPr="008F0800">
        <w:t>.</w:t>
      </w:r>
      <w:r w:rsidR="00D57383" w:rsidRPr="008F0800">
        <w:t xml:space="preserve"> </w:t>
      </w:r>
      <w:r w:rsidR="006748EC" w:rsidRPr="008F0800">
        <w:t>A</w:t>
      </w:r>
      <w:r w:rsidR="00C4289C" w:rsidRPr="008F0800">
        <w:t xml:space="preserve">t the fortieth session, the Sub-Committee concluded that this issue needed </w:t>
      </w:r>
      <w:r w:rsidR="001649C9" w:rsidRPr="008F0800">
        <w:t xml:space="preserve">more </w:t>
      </w:r>
      <w:r w:rsidR="00C4289C" w:rsidRPr="008F0800">
        <w:t>consideration.</w:t>
      </w:r>
    </w:p>
    <w:p w14:paraId="6F551D99" w14:textId="27837DB6" w:rsidR="00FE5B3E" w:rsidRPr="008F0800" w:rsidRDefault="00A604E5" w:rsidP="008F0800">
      <w:pPr>
        <w:pStyle w:val="SingleTxtG"/>
      </w:pPr>
      <w:r w:rsidRPr="008F0800">
        <w:t>31</w:t>
      </w:r>
      <w:r w:rsidR="00D626EB" w:rsidRPr="008F0800">
        <w:t>.</w:t>
      </w:r>
      <w:r w:rsidR="00D626EB" w:rsidRPr="008F0800">
        <w:tab/>
      </w:r>
      <w:r w:rsidR="00C3185D" w:rsidRPr="008F0800">
        <w:t xml:space="preserve">Following the feedback from the Sub-Committee, </w:t>
      </w:r>
      <w:r w:rsidR="002165FE" w:rsidRPr="008F0800">
        <w:t xml:space="preserve">in July </w:t>
      </w:r>
      <w:r w:rsidR="00B9276C" w:rsidRPr="008F0800">
        <w:t xml:space="preserve">2021 </w:t>
      </w:r>
      <w:r w:rsidR="00497C57" w:rsidRPr="008F0800">
        <w:t xml:space="preserve">the group undertook further </w:t>
      </w:r>
      <w:r w:rsidR="00662D7D" w:rsidRPr="008F0800">
        <w:t xml:space="preserve">reflection </w:t>
      </w:r>
      <w:r w:rsidR="00D418D8" w:rsidRPr="008F0800">
        <w:t>regarding the priority of response actions (</w:t>
      </w:r>
      <w:proofErr w:type="gramStart"/>
      <w:r w:rsidR="00D418D8" w:rsidRPr="008F0800">
        <w:t>e.g</w:t>
      </w:r>
      <w:r w:rsidR="00F81824" w:rsidRPr="008F0800">
        <w:t>.</w:t>
      </w:r>
      <w:proofErr w:type="gramEnd"/>
      <w:r w:rsidR="00D418D8" w:rsidRPr="008F0800">
        <w:t xml:space="preserve"> rinsing while removing the clothes instead of removing the clothes and rinsing immediately afterwards) and </w:t>
      </w:r>
      <w:r w:rsidR="001A093C" w:rsidRPr="008F0800">
        <w:t xml:space="preserve">endeavoured </w:t>
      </w:r>
      <w:r w:rsidR="00D418D8" w:rsidRPr="008F0800">
        <w:t xml:space="preserve">to take a </w:t>
      </w:r>
      <w:r w:rsidR="001A093C" w:rsidRPr="008F0800">
        <w:t xml:space="preserve">more </w:t>
      </w:r>
      <w:r w:rsidR="00D418D8" w:rsidRPr="008F0800">
        <w:t xml:space="preserve">holistic approach to reviewing the combined statement. </w:t>
      </w:r>
    </w:p>
    <w:p w14:paraId="02907586" w14:textId="0E45D184" w:rsidR="00C4289C" w:rsidRPr="008F0800" w:rsidRDefault="00A604E5" w:rsidP="008F0800">
      <w:pPr>
        <w:pStyle w:val="SingleTxtG"/>
      </w:pPr>
      <w:r w:rsidRPr="008F0800">
        <w:t>32</w:t>
      </w:r>
      <w:r w:rsidR="00FE5B3E" w:rsidRPr="008F0800">
        <w:t>.</w:t>
      </w:r>
      <w:r w:rsidR="00FE5B3E" w:rsidRPr="008F0800">
        <w:tab/>
      </w:r>
      <w:r w:rsidR="00D418D8" w:rsidRPr="008F0800">
        <w:t xml:space="preserve">However, </w:t>
      </w:r>
      <w:r w:rsidR="007A6E5E" w:rsidRPr="008F0800">
        <w:t xml:space="preserve">the group </w:t>
      </w:r>
      <w:r w:rsidR="006320A3" w:rsidRPr="008F0800">
        <w:t xml:space="preserve">still </w:t>
      </w:r>
      <w:r w:rsidR="000C064A" w:rsidRPr="008F0800">
        <w:t>could not reach a consensus</w:t>
      </w:r>
      <w:r w:rsidR="004D62D8" w:rsidRPr="008F0800">
        <w:t xml:space="preserve"> on the issue</w:t>
      </w:r>
      <w:r w:rsidR="00F81824" w:rsidRPr="008F0800">
        <w:t xml:space="preserve"> and to help resolve this</w:t>
      </w:r>
      <w:r w:rsidR="00B43F54" w:rsidRPr="008F0800">
        <w:t xml:space="preserve">, </w:t>
      </w:r>
      <w:r w:rsidR="00B02D29" w:rsidRPr="008F0800">
        <w:t xml:space="preserve">a </w:t>
      </w:r>
      <w:r w:rsidR="00B43F54" w:rsidRPr="008F0800">
        <w:t>member f</w:t>
      </w:r>
      <w:r w:rsidR="006E57BA" w:rsidRPr="008F0800">
        <w:t>rom</w:t>
      </w:r>
      <w:r w:rsidR="00B43F54" w:rsidRPr="008F0800">
        <w:t xml:space="preserve"> the U</w:t>
      </w:r>
      <w:r w:rsidR="00B02D29" w:rsidRPr="008F0800">
        <w:t xml:space="preserve">nited </w:t>
      </w:r>
      <w:r w:rsidR="00B43F54" w:rsidRPr="008F0800">
        <w:t>S</w:t>
      </w:r>
      <w:r w:rsidR="00B02D29" w:rsidRPr="008F0800">
        <w:t>tates</w:t>
      </w:r>
      <w:r w:rsidR="006E57BA" w:rsidRPr="008F0800">
        <w:t xml:space="preserve"> volunteered to provide </w:t>
      </w:r>
      <w:r w:rsidR="00B02D29" w:rsidRPr="008F0800">
        <w:t xml:space="preserve">a further thought starter to assist </w:t>
      </w:r>
      <w:r w:rsidR="003C19DC" w:rsidRPr="008F0800">
        <w:t>the discussion</w:t>
      </w:r>
      <w:r w:rsidR="00B37174" w:rsidRPr="008F0800">
        <w:t>s</w:t>
      </w:r>
      <w:r w:rsidR="003C19DC" w:rsidRPr="008F0800">
        <w:t xml:space="preserve"> on </w:t>
      </w:r>
      <w:r w:rsidR="006231EE" w:rsidRPr="008F0800">
        <w:t xml:space="preserve">this issue with the view of </w:t>
      </w:r>
      <w:r w:rsidR="000E1BA7" w:rsidRPr="008F0800">
        <w:t>agreeing a way forward and taking a formal proposal</w:t>
      </w:r>
      <w:r w:rsidR="003673C3" w:rsidRPr="008F0800">
        <w:t xml:space="preserve"> to the</w:t>
      </w:r>
      <w:r w:rsidR="003C19DC" w:rsidRPr="008F0800">
        <w:t xml:space="preserve"> </w:t>
      </w:r>
      <w:r w:rsidR="00635596" w:rsidRPr="008F0800">
        <w:t xml:space="preserve">Sub-Committee </w:t>
      </w:r>
      <w:r w:rsidR="003673C3" w:rsidRPr="008F0800">
        <w:t xml:space="preserve">for consideration </w:t>
      </w:r>
      <w:r w:rsidR="00635596" w:rsidRPr="008F0800">
        <w:t>at</w:t>
      </w:r>
      <w:r w:rsidR="00B147AE" w:rsidRPr="008F0800">
        <w:t xml:space="preserve"> the forty</w:t>
      </w:r>
      <w:r w:rsidR="00635596" w:rsidRPr="008F0800">
        <w:t>-second session</w:t>
      </w:r>
      <w:r w:rsidR="003C19DC" w:rsidRPr="008F0800">
        <w:t xml:space="preserve">. </w:t>
      </w:r>
    </w:p>
    <w:p w14:paraId="642D57A1" w14:textId="6E4A5525" w:rsidR="004A2EF1" w:rsidRPr="001A65BD" w:rsidRDefault="001A65BD" w:rsidP="001A65BD">
      <w:pPr>
        <w:pStyle w:val="H23G"/>
      </w:pPr>
      <w:r>
        <w:tab/>
      </w:r>
      <w:r>
        <w:tab/>
      </w:r>
      <w:r w:rsidR="001C3A61" w:rsidRPr="001A65BD">
        <w:t xml:space="preserve">Respiratory </w:t>
      </w:r>
      <w:r>
        <w:t>s</w:t>
      </w:r>
      <w:r w:rsidR="001C3A61" w:rsidRPr="001A65BD">
        <w:t>ensitizers</w:t>
      </w:r>
      <w:r w:rsidR="00D66F70" w:rsidRPr="001A65BD">
        <w:t xml:space="preserve"> and acute toxicity </w:t>
      </w:r>
      <w:r w:rsidR="005A6570" w:rsidRPr="001A65BD">
        <w:t>issues in Annex 3</w:t>
      </w:r>
      <w:r w:rsidR="004D62D8" w:rsidRPr="001A65BD">
        <w:t>:</w:t>
      </w:r>
    </w:p>
    <w:p w14:paraId="7343CB98" w14:textId="5BAAD571" w:rsidR="00501DA5" w:rsidRPr="008F0800" w:rsidRDefault="00A604E5" w:rsidP="008F0800">
      <w:pPr>
        <w:pStyle w:val="SingleTxtG"/>
      </w:pPr>
      <w:r w:rsidRPr="008F0800">
        <w:t>33</w:t>
      </w:r>
      <w:r w:rsidR="00B177C5" w:rsidRPr="008F0800">
        <w:t>.</w:t>
      </w:r>
      <w:r w:rsidR="00B177C5" w:rsidRPr="008F0800">
        <w:tab/>
      </w:r>
      <w:r w:rsidR="00EC59C8" w:rsidRPr="008F0800">
        <w:t>In July,</w:t>
      </w:r>
      <w:r w:rsidR="00B177C5" w:rsidRPr="008F0800">
        <w:t xml:space="preserve"> a </w:t>
      </w:r>
      <w:r w:rsidR="001B6335" w:rsidRPr="008F0800">
        <w:t>new</w:t>
      </w:r>
      <w:r w:rsidR="00B177C5" w:rsidRPr="008F0800">
        <w:t xml:space="preserve"> thought starter on </w:t>
      </w:r>
      <w:r w:rsidR="006C68DD" w:rsidRPr="008F0800">
        <w:t xml:space="preserve">issues </w:t>
      </w:r>
      <w:r w:rsidR="00713B98" w:rsidRPr="008F0800">
        <w:t>involving</w:t>
      </w:r>
      <w:r w:rsidR="006C68DD" w:rsidRPr="008F0800">
        <w:t xml:space="preserve"> </w:t>
      </w:r>
      <w:r w:rsidR="00B177C5" w:rsidRPr="008F0800">
        <w:t xml:space="preserve">respiratory sensitisers and acute toxicity </w:t>
      </w:r>
      <w:r w:rsidR="006C68DD" w:rsidRPr="008F0800">
        <w:t xml:space="preserve">precautionary statements </w:t>
      </w:r>
      <w:r w:rsidR="00B177C5" w:rsidRPr="008F0800">
        <w:t xml:space="preserve">in Annex 3 </w:t>
      </w:r>
      <w:r w:rsidR="004C6647" w:rsidRPr="008F0800">
        <w:t>(work items 3 and 5 on the groups work plan</w:t>
      </w:r>
      <w:r w:rsidR="004C6647" w:rsidRPr="008F0800">
        <w:rPr>
          <w:rStyle w:val="FootnoteReference"/>
          <w:sz w:val="20"/>
          <w:vertAlign w:val="baseline"/>
        </w:rPr>
        <w:footnoteReference w:id="6"/>
      </w:r>
      <w:r w:rsidR="004C6647" w:rsidRPr="008F0800">
        <w:t xml:space="preserve">) </w:t>
      </w:r>
      <w:r w:rsidR="00B177C5" w:rsidRPr="008F0800">
        <w:t>w</w:t>
      </w:r>
      <w:r w:rsidR="00EC59C8" w:rsidRPr="008F0800">
        <w:t>as</w:t>
      </w:r>
      <w:r w:rsidR="00B177C5" w:rsidRPr="008F0800">
        <w:t xml:space="preserve"> produced and circulated to the group </w:t>
      </w:r>
      <w:r w:rsidR="00EC59C8" w:rsidRPr="008F0800">
        <w:t>for consideration</w:t>
      </w:r>
      <w:r w:rsidR="00B177C5" w:rsidRPr="008F0800">
        <w:t xml:space="preserve">. </w:t>
      </w:r>
    </w:p>
    <w:p w14:paraId="720912D0" w14:textId="193F82B6" w:rsidR="005A1AE3" w:rsidRPr="008F0800" w:rsidRDefault="00A604E5" w:rsidP="008F0800">
      <w:pPr>
        <w:pStyle w:val="SingleTxtG"/>
      </w:pPr>
      <w:r w:rsidRPr="008F0800">
        <w:t>34</w:t>
      </w:r>
      <w:r w:rsidR="00501DA5" w:rsidRPr="008F0800">
        <w:t>.</w:t>
      </w:r>
      <w:r w:rsidR="00501DA5" w:rsidRPr="008F0800">
        <w:tab/>
      </w:r>
      <w:r w:rsidR="00276EAA" w:rsidRPr="008F0800">
        <w:t xml:space="preserve">This </w:t>
      </w:r>
      <w:r w:rsidR="007C504F" w:rsidRPr="008F0800">
        <w:t>paper</w:t>
      </w:r>
      <w:r w:rsidR="00BA4583" w:rsidRPr="008F0800">
        <w:t xml:space="preserve"> </w:t>
      </w:r>
      <w:r w:rsidR="007C504F" w:rsidRPr="008F0800">
        <w:t xml:space="preserve">stimulated a lot of </w:t>
      </w:r>
      <w:r w:rsidR="00B1338F" w:rsidRPr="008F0800">
        <w:t>discussion within the group</w:t>
      </w:r>
      <w:r w:rsidR="00B011DC" w:rsidRPr="008F0800">
        <w:t xml:space="preserve">. </w:t>
      </w:r>
      <w:r w:rsidR="00DC69D0" w:rsidRPr="008F0800">
        <w:t>Unfortunately</w:t>
      </w:r>
      <w:r w:rsidR="002E3B43" w:rsidRPr="008F0800">
        <w:t>,</w:t>
      </w:r>
      <w:r w:rsidR="00DC69D0" w:rsidRPr="008F0800">
        <w:t xml:space="preserve"> </w:t>
      </w:r>
      <w:r w:rsidR="006C0968" w:rsidRPr="008F0800">
        <w:t xml:space="preserve">neither of these issues has been able to be progressed much in recent months due to </w:t>
      </w:r>
      <w:r w:rsidR="00F257BB" w:rsidRPr="008F0800">
        <w:t>various</w:t>
      </w:r>
      <w:r w:rsidR="002E3B43" w:rsidRPr="008F0800">
        <w:t xml:space="preserve"> reasons</w:t>
      </w:r>
      <w:r w:rsidR="00404461" w:rsidRPr="008F0800">
        <w:t>, most notably resources</w:t>
      </w:r>
      <w:r w:rsidR="002E3B43" w:rsidRPr="008F0800">
        <w:t>. However,</w:t>
      </w:r>
      <w:r w:rsidR="005A1AE3" w:rsidRPr="008F0800">
        <w:t xml:space="preserve"> in a separate informal </w:t>
      </w:r>
      <w:r w:rsidR="005912A4" w:rsidRPr="008F0800">
        <w:t xml:space="preserve">document </w:t>
      </w:r>
      <w:r w:rsidR="00510894" w:rsidRPr="008F0800">
        <w:t xml:space="preserve">provided by the group </w:t>
      </w:r>
      <w:r w:rsidR="005912A4" w:rsidRPr="008F0800">
        <w:t xml:space="preserve">for the forty-first session, the group has outlined </w:t>
      </w:r>
      <w:r w:rsidR="00BE75C7" w:rsidRPr="008F0800">
        <w:t xml:space="preserve">general challenges and </w:t>
      </w:r>
      <w:r w:rsidR="005912A4" w:rsidRPr="008F0800">
        <w:t xml:space="preserve">the </w:t>
      </w:r>
      <w:proofErr w:type="gramStart"/>
      <w:r w:rsidR="005912A4" w:rsidRPr="008F0800">
        <w:t>current status</w:t>
      </w:r>
      <w:proofErr w:type="gramEnd"/>
      <w:r w:rsidR="005912A4" w:rsidRPr="008F0800">
        <w:t xml:space="preserve"> of the respiratory sensitizer issues</w:t>
      </w:r>
      <w:r w:rsidR="00BE75C7" w:rsidRPr="008F0800">
        <w:t xml:space="preserve"> </w:t>
      </w:r>
      <w:r w:rsidR="00D55A42" w:rsidRPr="008F0800">
        <w:t xml:space="preserve">and </w:t>
      </w:r>
      <w:r w:rsidR="00510894" w:rsidRPr="008F0800">
        <w:t xml:space="preserve">invites </w:t>
      </w:r>
      <w:r w:rsidR="00D55A42" w:rsidRPr="008F0800">
        <w:t xml:space="preserve">the </w:t>
      </w:r>
      <w:r w:rsidR="00510894" w:rsidRPr="008F0800">
        <w:t xml:space="preserve">Sub-Committee </w:t>
      </w:r>
      <w:r w:rsidR="00D55A42" w:rsidRPr="008F0800">
        <w:t xml:space="preserve">views </w:t>
      </w:r>
      <w:r w:rsidR="00510894" w:rsidRPr="008F0800">
        <w:t>on these issues.</w:t>
      </w:r>
    </w:p>
    <w:p w14:paraId="45477705" w14:textId="1883A511" w:rsidR="00501DA5" w:rsidRPr="008F0800" w:rsidRDefault="00D55A42" w:rsidP="008F0800">
      <w:pPr>
        <w:pStyle w:val="SingleTxtG"/>
      </w:pPr>
      <w:r w:rsidRPr="008F0800">
        <w:t>35.</w:t>
      </w:r>
      <w:r w:rsidRPr="008F0800">
        <w:tab/>
        <w:t>T</w:t>
      </w:r>
      <w:r w:rsidR="00142395" w:rsidRPr="008F0800">
        <w:t>he group aims to r</w:t>
      </w:r>
      <w:r w:rsidR="0043647C" w:rsidRPr="008F0800">
        <w:t xml:space="preserve">esolve the outstanding issues </w:t>
      </w:r>
      <w:r w:rsidR="00F71EBB" w:rsidRPr="008F0800">
        <w:t>for both the combination statements and respiratory sensiti</w:t>
      </w:r>
      <w:r w:rsidR="000F0E2E" w:rsidRPr="008F0800">
        <w:t>za</w:t>
      </w:r>
      <w:r w:rsidR="00F71EBB" w:rsidRPr="008F0800">
        <w:t xml:space="preserve">tion </w:t>
      </w:r>
      <w:r w:rsidR="0043647C" w:rsidRPr="008F0800">
        <w:t xml:space="preserve">early next year with the view of providing formal proposals </w:t>
      </w:r>
      <w:r w:rsidR="00A27763" w:rsidRPr="008F0800">
        <w:t xml:space="preserve">for the consideration of the Sub-Committee </w:t>
      </w:r>
      <w:r w:rsidR="0081438F" w:rsidRPr="008F0800">
        <w:t>at the forty-second session</w:t>
      </w:r>
      <w:r w:rsidR="00A27763" w:rsidRPr="008F0800">
        <w:t>.</w:t>
      </w:r>
    </w:p>
    <w:p w14:paraId="0752B5C9" w14:textId="0D603F6A" w:rsidR="008A7AE9" w:rsidRPr="001A486E" w:rsidRDefault="00CA4761" w:rsidP="007A74E1">
      <w:pPr>
        <w:pStyle w:val="SingleTxtG"/>
        <w:tabs>
          <w:tab w:val="left" w:pos="1701"/>
        </w:tabs>
        <w:ind w:right="237"/>
        <w:rPr>
          <w:b/>
          <w:bCs/>
          <w:sz w:val="28"/>
          <w:szCs w:val="28"/>
        </w:rPr>
      </w:pPr>
      <w:r w:rsidRPr="00873F8E">
        <w:rPr>
          <w:b/>
          <w:bCs/>
          <w:sz w:val="28"/>
          <w:szCs w:val="28"/>
        </w:rPr>
        <w:t>Action requested from the Sub-Committee</w:t>
      </w:r>
      <w:r w:rsidRPr="001A486E">
        <w:rPr>
          <w:b/>
          <w:bCs/>
          <w:sz w:val="28"/>
          <w:szCs w:val="28"/>
        </w:rPr>
        <w:t xml:space="preserve"> </w:t>
      </w:r>
    </w:p>
    <w:p w14:paraId="778C82B6" w14:textId="366F5ECF" w:rsidR="006C6B18" w:rsidRPr="008F0800" w:rsidRDefault="00E65A05" w:rsidP="008F0800">
      <w:pPr>
        <w:pStyle w:val="SingleTxtG"/>
      </w:pPr>
      <w:r w:rsidRPr="008F0800">
        <w:t>36</w:t>
      </w:r>
      <w:r w:rsidR="006C6B18" w:rsidRPr="008F0800">
        <w:t>.</w:t>
      </w:r>
      <w:r w:rsidR="006C6B18" w:rsidRPr="008F0800">
        <w:tab/>
        <w:t xml:space="preserve">The working group will continue </w:t>
      </w:r>
      <w:r w:rsidR="00821C0A" w:rsidRPr="008F0800">
        <w:t xml:space="preserve">progressing </w:t>
      </w:r>
      <w:r w:rsidR="006C6B18" w:rsidRPr="008F0800">
        <w:t>its work via correspondence and virtual meetings</w:t>
      </w:r>
      <w:r w:rsidR="00821C0A" w:rsidRPr="008F0800">
        <w:t>,</w:t>
      </w:r>
      <w:r w:rsidR="001A486E" w:rsidRPr="008F0800">
        <w:t xml:space="preserve"> where</w:t>
      </w:r>
      <w:r w:rsidR="00A80280" w:rsidRPr="008F0800">
        <w:t xml:space="preserve"> necessary</w:t>
      </w:r>
      <w:r w:rsidR="006C6B18" w:rsidRPr="008F0800">
        <w:t xml:space="preserve">. </w:t>
      </w:r>
    </w:p>
    <w:p w14:paraId="299F23F0" w14:textId="60523E5F" w:rsidR="00027F76" w:rsidRPr="00CA4761" w:rsidRDefault="00A604E5" w:rsidP="008F0800">
      <w:pPr>
        <w:pStyle w:val="SingleTxtG"/>
      </w:pPr>
      <w:r w:rsidRPr="008F0800">
        <w:t>3</w:t>
      </w:r>
      <w:r w:rsidR="00E65A05" w:rsidRPr="008F0800">
        <w:t>7</w:t>
      </w:r>
      <w:r w:rsidR="006C6B18" w:rsidRPr="008F0800">
        <w:t>.</w:t>
      </w:r>
      <w:r w:rsidR="006C6B18" w:rsidRPr="008F0800">
        <w:tab/>
      </w:r>
      <w:r w:rsidR="00A94864" w:rsidRPr="008F0800">
        <w:t xml:space="preserve"> </w:t>
      </w:r>
      <w:r w:rsidR="00027F76" w:rsidRPr="008F0800">
        <w:t xml:space="preserve">Although the work </w:t>
      </w:r>
      <w:r w:rsidR="00E83F1E" w:rsidRPr="008F0800">
        <w:t xml:space="preserve">on the combinations statement proposals </w:t>
      </w:r>
      <w:r w:rsidR="00027F76" w:rsidRPr="008F0800">
        <w:t>outlined in this document</w:t>
      </w:r>
      <w:r w:rsidR="000F727C" w:rsidRPr="008F0800">
        <w:t xml:space="preserve"> are still under discussion </w:t>
      </w:r>
      <w:r w:rsidR="00027F76" w:rsidRPr="008F0800">
        <w:t>within the informal working group, the Sub-</w:t>
      </w:r>
      <w:r w:rsidR="00027F76" w:rsidRPr="008F0800">
        <w:lastRenderedPageBreak/>
        <w:t>Committee is invited to</w:t>
      </w:r>
      <w:r w:rsidR="00027F76">
        <w:t xml:space="preserve"> note and provide initial views on </w:t>
      </w:r>
      <w:r w:rsidR="006D5EFD">
        <w:t xml:space="preserve">any of </w:t>
      </w:r>
      <w:r w:rsidR="00027F76">
        <w:t>the issues outlined in this document</w:t>
      </w:r>
      <w:r w:rsidR="00031427">
        <w:t xml:space="preserve">, particularly those </w:t>
      </w:r>
      <w:r w:rsidR="006D5EFD">
        <w:t xml:space="preserve">contained </w:t>
      </w:r>
      <w:r w:rsidR="00E87D24">
        <w:t>with</w:t>
      </w:r>
      <w:r w:rsidR="00031427">
        <w:t>in</w:t>
      </w:r>
      <w:r w:rsidR="00027F76">
        <w:t>:</w:t>
      </w:r>
    </w:p>
    <w:p w14:paraId="65D9BE40" w14:textId="792384CA" w:rsidR="00027F76" w:rsidRDefault="00031427" w:rsidP="008F0800">
      <w:pPr>
        <w:pStyle w:val="Bullet1G"/>
      </w:pPr>
      <w:r>
        <w:t>H315 + H320</w:t>
      </w:r>
      <w:r w:rsidR="00600E8D">
        <w:t>:</w:t>
      </w:r>
      <w:r>
        <w:t xml:space="preserve"> as</w:t>
      </w:r>
      <w:r w:rsidR="00027F76" w:rsidRPr="00405678">
        <w:t xml:space="preserve"> provided in paragraphs </w:t>
      </w:r>
      <w:r>
        <w:t>11</w:t>
      </w:r>
      <w:r w:rsidR="00027F76" w:rsidRPr="00405678">
        <w:t xml:space="preserve"> to </w:t>
      </w:r>
      <w:r>
        <w:t>16</w:t>
      </w:r>
      <w:r w:rsidR="000E0286">
        <w:t xml:space="preserve"> </w:t>
      </w:r>
      <w:proofErr w:type="gramStart"/>
      <w:r w:rsidR="000E0286">
        <w:t>above</w:t>
      </w:r>
      <w:r w:rsidR="00027F76">
        <w:t>;</w:t>
      </w:r>
      <w:proofErr w:type="gramEnd"/>
    </w:p>
    <w:p w14:paraId="369EEFE8" w14:textId="4D701AEB" w:rsidR="00031427" w:rsidRPr="00600E8D" w:rsidRDefault="00600E8D" w:rsidP="008F0800">
      <w:pPr>
        <w:pStyle w:val="Bullet1G"/>
      </w:pPr>
      <w:r w:rsidRPr="00600E8D">
        <w:t>Variations in the text of combined hazard statements and combined precautionary statements</w:t>
      </w:r>
      <w:r w:rsidR="008A1103">
        <w:t>: as</w:t>
      </w:r>
      <w:r w:rsidR="008A1103" w:rsidRPr="00405678">
        <w:t xml:space="preserve"> provided in paragraphs </w:t>
      </w:r>
      <w:r w:rsidR="008A1103">
        <w:t>17</w:t>
      </w:r>
      <w:r w:rsidR="008A1103" w:rsidRPr="00405678">
        <w:t xml:space="preserve"> to </w:t>
      </w:r>
      <w:r w:rsidR="008A1103">
        <w:t>21</w:t>
      </w:r>
      <w:r w:rsidR="000E0286">
        <w:t xml:space="preserve"> above.</w:t>
      </w:r>
    </w:p>
    <w:p w14:paraId="28397905" w14:textId="4E2F995A" w:rsidR="00F1740A" w:rsidRPr="000A0D95" w:rsidRDefault="00457892" w:rsidP="00457892">
      <w:pPr>
        <w:spacing w:before="240"/>
        <w:jc w:val="center"/>
        <w:rPr>
          <w:u w:val="single"/>
        </w:rPr>
      </w:pPr>
      <w:r w:rsidRPr="000A0D95">
        <w:rPr>
          <w:rStyle w:val="SingleTxtGCar"/>
          <w:u w:val="single"/>
        </w:rPr>
        <w:tab/>
      </w:r>
      <w:r w:rsidRPr="000A0D95">
        <w:rPr>
          <w:rStyle w:val="SingleTxtGCar"/>
          <w:u w:val="single"/>
        </w:rPr>
        <w:tab/>
      </w:r>
      <w:r w:rsidRPr="000A0D95">
        <w:rPr>
          <w:u w:val="single"/>
        </w:rPr>
        <w:tab/>
      </w:r>
    </w:p>
    <w:sectPr w:rsidR="00F1740A" w:rsidRPr="000A0D95"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9F497" w14:textId="77777777" w:rsidR="00506109" w:rsidRDefault="00506109" w:rsidP="00760F29">
      <w:pPr>
        <w:spacing w:line="240" w:lineRule="auto"/>
      </w:pPr>
      <w:r>
        <w:separator/>
      </w:r>
    </w:p>
  </w:endnote>
  <w:endnote w:type="continuationSeparator" w:id="0">
    <w:p w14:paraId="03D1AADD" w14:textId="77777777" w:rsidR="00506109" w:rsidRDefault="00506109"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0BC295B8"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7638F2">
      <w:rPr>
        <w:b/>
        <w:noProof/>
        <w:sz w:val="18"/>
      </w:rPr>
      <w:t>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00CFB302"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638F2">
      <w:rPr>
        <w:b/>
        <w:noProof/>
        <w:sz w:val="18"/>
      </w:rPr>
      <w:t>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4E5D18" w:rsidRPr="00952862" w:rsidRDefault="00506109">
    <w:pPr>
      <w:pStyle w:val="Footer"/>
      <w:rPr>
        <w:b/>
        <w:bCs/>
      </w:rPr>
    </w:pPr>
  </w:p>
  <w:p w14:paraId="2D4C9FAC" w14:textId="77777777" w:rsidR="004E5D18" w:rsidRDefault="00506109"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13D55" w14:textId="77777777" w:rsidR="00506109" w:rsidRDefault="00506109" w:rsidP="00760F29">
      <w:pPr>
        <w:spacing w:line="240" w:lineRule="auto"/>
      </w:pPr>
      <w:r>
        <w:separator/>
      </w:r>
    </w:p>
  </w:footnote>
  <w:footnote w:type="continuationSeparator" w:id="0">
    <w:p w14:paraId="7FA94B22" w14:textId="77777777" w:rsidR="00506109" w:rsidRDefault="00506109" w:rsidP="00760F29">
      <w:pPr>
        <w:spacing w:line="240" w:lineRule="auto"/>
      </w:pPr>
      <w:r>
        <w:continuationSeparator/>
      </w:r>
    </w:p>
  </w:footnote>
  <w:footnote w:id="1">
    <w:p w14:paraId="35A089CB" w14:textId="3A1DF592" w:rsidR="007F7563" w:rsidRDefault="007F7563" w:rsidP="00406F3C">
      <w:pPr>
        <w:pStyle w:val="FootnoteText"/>
        <w:tabs>
          <w:tab w:val="clear" w:pos="1021"/>
          <w:tab w:val="right" w:pos="1134"/>
        </w:tabs>
        <w:spacing w:line="240" w:lineRule="auto"/>
        <w:ind w:left="993" w:firstLine="141"/>
      </w:pPr>
      <w:r>
        <w:rPr>
          <w:rStyle w:val="FootnoteReference"/>
        </w:rPr>
        <w:footnoteRef/>
      </w:r>
      <w:r>
        <w:t xml:space="preserve"> </w:t>
      </w:r>
      <w:r>
        <w:tab/>
        <w:t xml:space="preserve">see ST/SG/AC.10/C.4/78 and informal document </w:t>
      </w:r>
      <w:r>
        <w:rPr>
          <w:bCs/>
          <w:szCs w:val="18"/>
        </w:rPr>
        <w:t>INF</w:t>
      </w:r>
      <w:r>
        <w:t>.21 (39</w:t>
      </w:r>
      <w:r>
        <w:rPr>
          <w:vertAlign w:val="superscript"/>
        </w:rPr>
        <w:t>th</w:t>
      </w:r>
      <w:r>
        <w:t xml:space="preserve"> session)</w:t>
      </w:r>
    </w:p>
  </w:footnote>
  <w:footnote w:id="2">
    <w:p w14:paraId="3AAD512C" w14:textId="77777777" w:rsidR="00935B91" w:rsidRDefault="00935B91" w:rsidP="00935B91">
      <w:pPr>
        <w:pStyle w:val="FootnoteText"/>
        <w:ind w:firstLine="0"/>
      </w:pPr>
      <w:r>
        <w:rPr>
          <w:rStyle w:val="FootnoteReference"/>
        </w:rPr>
        <w:footnoteRef/>
      </w:r>
      <w:r>
        <w:t xml:space="preserve"> </w:t>
      </w:r>
      <w:r>
        <w:tab/>
        <w:t xml:space="preserve">see informal document </w:t>
      </w:r>
      <w:r>
        <w:rPr>
          <w:bCs/>
          <w:szCs w:val="18"/>
        </w:rPr>
        <w:t>INF</w:t>
      </w:r>
      <w:r>
        <w:t>.17 (40</w:t>
      </w:r>
      <w:r>
        <w:rPr>
          <w:vertAlign w:val="superscript"/>
        </w:rPr>
        <w:t>th</w:t>
      </w:r>
      <w:r>
        <w:t xml:space="preserve"> session)</w:t>
      </w:r>
    </w:p>
  </w:footnote>
  <w:footnote w:id="3">
    <w:p w14:paraId="72D4012C" w14:textId="77777777" w:rsidR="00D668DD" w:rsidRDefault="00D668DD" w:rsidP="00D668DD">
      <w:pPr>
        <w:pStyle w:val="FootnoteText"/>
        <w:ind w:firstLine="0"/>
      </w:pPr>
      <w:r w:rsidRPr="00406F3C">
        <w:rPr>
          <w:rStyle w:val="FootnoteReference"/>
        </w:rPr>
        <w:footnoteRef/>
      </w:r>
      <w:r w:rsidRPr="00406F3C">
        <w:t xml:space="preserve"> </w:t>
      </w:r>
      <w:r w:rsidRPr="00406F3C">
        <w:tab/>
        <w:t>see ST/SG/AC.10/C.4/2021/2</w:t>
      </w:r>
    </w:p>
  </w:footnote>
  <w:footnote w:id="4">
    <w:p w14:paraId="6E911B12" w14:textId="77777777" w:rsidR="00B47454" w:rsidRDefault="00B47454" w:rsidP="00B47454">
      <w:pPr>
        <w:pStyle w:val="FootnoteText"/>
        <w:ind w:firstLine="0"/>
      </w:pPr>
      <w:r>
        <w:rPr>
          <w:rStyle w:val="FootnoteReference"/>
        </w:rPr>
        <w:footnoteRef/>
      </w:r>
      <w:r>
        <w:t xml:space="preserve"> </w:t>
      </w:r>
      <w:r>
        <w:tab/>
        <w:t>see ST/SG/AC.10/C.4/80</w:t>
      </w:r>
    </w:p>
  </w:footnote>
  <w:footnote w:id="5">
    <w:p w14:paraId="08DBFF01" w14:textId="77777777" w:rsidR="00D668DD" w:rsidRPr="00406F3C" w:rsidRDefault="00D668DD" w:rsidP="00D668DD">
      <w:pPr>
        <w:pStyle w:val="FootnoteText"/>
        <w:ind w:firstLine="0"/>
      </w:pPr>
      <w:r>
        <w:rPr>
          <w:rStyle w:val="FootnoteReference"/>
        </w:rPr>
        <w:footnoteRef/>
      </w:r>
      <w:r>
        <w:t xml:space="preserve"> </w:t>
      </w:r>
      <w:r>
        <w:tab/>
      </w:r>
      <w:r w:rsidRPr="00406F3C">
        <w:t>see ST/SG/AC.10/C.4/2021/1</w:t>
      </w:r>
    </w:p>
  </w:footnote>
  <w:footnote w:id="6">
    <w:p w14:paraId="686360B5" w14:textId="77777777" w:rsidR="004C6647" w:rsidRDefault="004C6647" w:rsidP="004C6647">
      <w:pPr>
        <w:pStyle w:val="FootnoteText"/>
        <w:tabs>
          <w:tab w:val="clear" w:pos="1021"/>
          <w:tab w:val="right" w:pos="1134"/>
        </w:tabs>
        <w:spacing w:line="240" w:lineRule="auto"/>
        <w:ind w:left="993" w:firstLine="141"/>
      </w:pPr>
      <w:r>
        <w:rPr>
          <w:rStyle w:val="FootnoteReference"/>
        </w:rPr>
        <w:footnoteRef/>
      </w:r>
      <w:r>
        <w:t xml:space="preserve"> </w:t>
      </w:r>
      <w:r>
        <w:tab/>
        <w:t xml:space="preserve">see ST/SG/AC.10/C.4/78 and informal document </w:t>
      </w:r>
      <w:r>
        <w:rPr>
          <w:bCs/>
          <w:szCs w:val="18"/>
        </w:rPr>
        <w:t>INF</w:t>
      </w:r>
      <w:r>
        <w:t>.21 (39</w:t>
      </w:r>
      <w:r>
        <w:rPr>
          <w:vertAlign w:val="superscript"/>
        </w:rPr>
        <w:t>th</w:t>
      </w:r>
      <w:r>
        <w:t xml:space="preserv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05BFC68B" w:rsidR="004E5D18" w:rsidRPr="001E5919" w:rsidRDefault="00A31103" w:rsidP="001E5919">
    <w:pPr>
      <w:pStyle w:val="Header"/>
      <w:rPr>
        <w:lang w:val="fr-FR"/>
      </w:rPr>
    </w:pPr>
    <w:r>
      <w:rPr>
        <w:lang w:val="fr-FR"/>
      </w:rPr>
      <w:t>UN/SCEGHS/4</w:t>
    </w:r>
    <w:r w:rsidR="00E90E29">
      <w:rPr>
        <w:lang w:val="fr-FR"/>
      </w:rPr>
      <w:t>1</w:t>
    </w:r>
    <w:r>
      <w:rPr>
        <w:lang w:val="fr-FR"/>
      </w:rPr>
      <w:t>/INF.</w:t>
    </w:r>
    <w:r w:rsidR="007F0919">
      <w:rPr>
        <w:lang w:val="fr-FR"/>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6F84DAD7" w:rsidR="004E5D18" w:rsidRPr="001E5919" w:rsidRDefault="00A31103" w:rsidP="001E5919">
    <w:pPr>
      <w:pStyle w:val="Header"/>
      <w:jc w:val="right"/>
      <w:rPr>
        <w:lang w:val="fr-FR"/>
      </w:rPr>
    </w:pPr>
    <w:r>
      <w:rPr>
        <w:lang w:val="fr-FR"/>
      </w:rPr>
      <w:t>UN/SCEGHS/</w:t>
    </w:r>
    <w:r w:rsidR="003E1E23">
      <w:rPr>
        <w:lang w:val="fr-FR"/>
      </w:rPr>
      <w:t>41</w:t>
    </w:r>
    <w:r>
      <w:rPr>
        <w:lang w:val="fr-FR"/>
      </w:rPr>
      <w:t>/INF.</w:t>
    </w:r>
    <w:r w:rsidR="00E36786">
      <w:rPr>
        <w:lang w:val="fr-FR"/>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4E5D18" w:rsidRPr="00C969C0" w:rsidRDefault="00506109"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EAD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9298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9C7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CC4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CE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A2A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92D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EE6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CCD7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A97384"/>
    <w:multiLevelType w:val="hybridMultilevel"/>
    <w:tmpl w:val="1DF4849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9901200"/>
    <w:multiLevelType w:val="hybridMultilevel"/>
    <w:tmpl w:val="897031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82E2D41"/>
    <w:multiLevelType w:val="hybridMultilevel"/>
    <w:tmpl w:val="AF86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10"/>
  </w:num>
  <w:num w:numId="4">
    <w:abstractNumId w:val="24"/>
  </w:num>
  <w:num w:numId="5">
    <w:abstractNumId w:val="20"/>
  </w:num>
  <w:num w:numId="6">
    <w:abstractNumId w:val="19"/>
  </w:num>
  <w:num w:numId="7">
    <w:abstractNumId w:val="14"/>
  </w:num>
  <w:num w:numId="8">
    <w:abstractNumId w:val="23"/>
  </w:num>
  <w:num w:numId="9">
    <w:abstractNumId w:val="18"/>
  </w:num>
  <w:num w:numId="10">
    <w:abstractNumId w:val="22"/>
  </w:num>
  <w:num w:numId="11">
    <w:abstractNumId w:val="22"/>
  </w:num>
  <w:num w:numId="12">
    <w:abstractNumId w:val="22"/>
  </w:num>
  <w:num w:numId="13">
    <w:abstractNumId w:val="22"/>
  </w:num>
  <w:num w:numId="14">
    <w:abstractNumId w:val="17"/>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13"/>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45D8"/>
    <w:rsid w:val="0000462F"/>
    <w:rsid w:val="00005A3E"/>
    <w:rsid w:val="0001250D"/>
    <w:rsid w:val="00015F9B"/>
    <w:rsid w:val="000214BC"/>
    <w:rsid w:val="000228B8"/>
    <w:rsid w:val="00025161"/>
    <w:rsid w:val="0002630F"/>
    <w:rsid w:val="00027F76"/>
    <w:rsid w:val="0003079A"/>
    <w:rsid w:val="00030CEC"/>
    <w:rsid w:val="00030FD0"/>
    <w:rsid w:val="00031427"/>
    <w:rsid w:val="00033018"/>
    <w:rsid w:val="00033026"/>
    <w:rsid w:val="00040BF3"/>
    <w:rsid w:val="00041B53"/>
    <w:rsid w:val="00044C90"/>
    <w:rsid w:val="00046BA0"/>
    <w:rsid w:val="000520E2"/>
    <w:rsid w:val="00052723"/>
    <w:rsid w:val="00060128"/>
    <w:rsid w:val="0006039D"/>
    <w:rsid w:val="000610EA"/>
    <w:rsid w:val="00063A80"/>
    <w:rsid w:val="00066BBC"/>
    <w:rsid w:val="00067399"/>
    <w:rsid w:val="00067AF0"/>
    <w:rsid w:val="00070579"/>
    <w:rsid w:val="0007238B"/>
    <w:rsid w:val="00073652"/>
    <w:rsid w:val="00077FEE"/>
    <w:rsid w:val="00081906"/>
    <w:rsid w:val="00082320"/>
    <w:rsid w:val="000863EF"/>
    <w:rsid w:val="00086860"/>
    <w:rsid w:val="0009093C"/>
    <w:rsid w:val="0009129D"/>
    <w:rsid w:val="00093AF8"/>
    <w:rsid w:val="00094C7F"/>
    <w:rsid w:val="000A04C7"/>
    <w:rsid w:val="000A0D95"/>
    <w:rsid w:val="000A0E07"/>
    <w:rsid w:val="000A0EA6"/>
    <w:rsid w:val="000A17CA"/>
    <w:rsid w:val="000A1864"/>
    <w:rsid w:val="000A201E"/>
    <w:rsid w:val="000A35E5"/>
    <w:rsid w:val="000A5B40"/>
    <w:rsid w:val="000B3FA2"/>
    <w:rsid w:val="000B5A22"/>
    <w:rsid w:val="000B6ACF"/>
    <w:rsid w:val="000C064A"/>
    <w:rsid w:val="000C0AA3"/>
    <w:rsid w:val="000C5F34"/>
    <w:rsid w:val="000C7AE7"/>
    <w:rsid w:val="000D0DFC"/>
    <w:rsid w:val="000D3860"/>
    <w:rsid w:val="000D3FEF"/>
    <w:rsid w:val="000D4B86"/>
    <w:rsid w:val="000D6A44"/>
    <w:rsid w:val="000D7F9D"/>
    <w:rsid w:val="000E0076"/>
    <w:rsid w:val="000E0286"/>
    <w:rsid w:val="000E1BA7"/>
    <w:rsid w:val="000E1E26"/>
    <w:rsid w:val="000E5B21"/>
    <w:rsid w:val="000F02C3"/>
    <w:rsid w:val="000F0E2E"/>
    <w:rsid w:val="000F1CF4"/>
    <w:rsid w:val="000F727C"/>
    <w:rsid w:val="000F7BE6"/>
    <w:rsid w:val="00101717"/>
    <w:rsid w:val="00110665"/>
    <w:rsid w:val="00112F8C"/>
    <w:rsid w:val="00114231"/>
    <w:rsid w:val="0012097D"/>
    <w:rsid w:val="0012175E"/>
    <w:rsid w:val="00125E57"/>
    <w:rsid w:val="00127047"/>
    <w:rsid w:val="00131E7B"/>
    <w:rsid w:val="00132749"/>
    <w:rsid w:val="00133077"/>
    <w:rsid w:val="00133133"/>
    <w:rsid w:val="001339EC"/>
    <w:rsid w:val="00142395"/>
    <w:rsid w:val="00142C1E"/>
    <w:rsid w:val="00145E49"/>
    <w:rsid w:val="00147F41"/>
    <w:rsid w:val="001506E7"/>
    <w:rsid w:val="00150FD3"/>
    <w:rsid w:val="00154140"/>
    <w:rsid w:val="0015695C"/>
    <w:rsid w:val="00156A14"/>
    <w:rsid w:val="00156B21"/>
    <w:rsid w:val="001608A6"/>
    <w:rsid w:val="00161D7D"/>
    <w:rsid w:val="00161D7F"/>
    <w:rsid w:val="00161FBD"/>
    <w:rsid w:val="0016368E"/>
    <w:rsid w:val="00163B41"/>
    <w:rsid w:val="0016492F"/>
    <w:rsid w:val="001649C9"/>
    <w:rsid w:val="00165C7F"/>
    <w:rsid w:val="00171650"/>
    <w:rsid w:val="001720A7"/>
    <w:rsid w:val="001720BE"/>
    <w:rsid w:val="001728FC"/>
    <w:rsid w:val="00173052"/>
    <w:rsid w:val="00175FE9"/>
    <w:rsid w:val="001772B8"/>
    <w:rsid w:val="001851B2"/>
    <w:rsid w:val="001864A5"/>
    <w:rsid w:val="00192CC1"/>
    <w:rsid w:val="00193401"/>
    <w:rsid w:val="00193F79"/>
    <w:rsid w:val="00194102"/>
    <w:rsid w:val="0019497C"/>
    <w:rsid w:val="00194F86"/>
    <w:rsid w:val="001A093C"/>
    <w:rsid w:val="001A0C4F"/>
    <w:rsid w:val="001A486E"/>
    <w:rsid w:val="001A5832"/>
    <w:rsid w:val="001A5F15"/>
    <w:rsid w:val="001A65BD"/>
    <w:rsid w:val="001B057F"/>
    <w:rsid w:val="001B6335"/>
    <w:rsid w:val="001C1478"/>
    <w:rsid w:val="001C3A61"/>
    <w:rsid w:val="001C4749"/>
    <w:rsid w:val="001C5FE4"/>
    <w:rsid w:val="001C6F7F"/>
    <w:rsid w:val="001C7D3E"/>
    <w:rsid w:val="001D181D"/>
    <w:rsid w:val="001D1930"/>
    <w:rsid w:val="001D2458"/>
    <w:rsid w:val="001D2D91"/>
    <w:rsid w:val="001D2F7D"/>
    <w:rsid w:val="001D67E0"/>
    <w:rsid w:val="001E6A62"/>
    <w:rsid w:val="001F022C"/>
    <w:rsid w:val="001F0D77"/>
    <w:rsid w:val="001F0E87"/>
    <w:rsid w:val="001F1518"/>
    <w:rsid w:val="001F19BA"/>
    <w:rsid w:val="001F5398"/>
    <w:rsid w:val="001F613A"/>
    <w:rsid w:val="002006B8"/>
    <w:rsid w:val="002007BD"/>
    <w:rsid w:val="0020197F"/>
    <w:rsid w:val="00202C6B"/>
    <w:rsid w:val="00205BA8"/>
    <w:rsid w:val="002061DC"/>
    <w:rsid w:val="002076DB"/>
    <w:rsid w:val="00212DAD"/>
    <w:rsid w:val="0021524E"/>
    <w:rsid w:val="002154B1"/>
    <w:rsid w:val="002165FE"/>
    <w:rsid w:val="00222994"/>
    <w:rsid w:val="00223F9F"/>
    <w:rsid w:val="00224D5D"/>
    <w:rsid w:val="00225747"/>
    <w:rsid w:val="002260DB"/>
    <w:rsid w:val="00226CEA"/>
    <w:rsid w:val="0022742C"/>
    <w:rsid w:val="00230C12"/>
    <w:rsid w:val="00231D49"/>
    <w:rsid w:val="00236385"/>
    <w:rsid w:val="002415C4"/>
    <w:rsid w:val="0024310D"/>
    <w:rsid w:val="002431E3"/>
    <w:rsid w:val="00243AA8"/>
    <w:rsid w:val="002456E8"/>
    <w:rsid w:val="00250300"/>
    <w:rsid w:val="002525F8"/>
    <w:rsid w:val="00260117"/>
    <w:rsid w:val="0026015C"/>
    <w:rsid w:val="00260B08"/>
    <w:rsid w:val="0026178B"/>
    <w:rsid w:val="00261ED6"/>
    <w:rsid w:val="00262D5B"/>
    <w:rsid w:val="00264A13"/>
    <w:rsid w:val="00264FCA"/>
    <w:rsid w:val="00265872"/>
    <w:rsid w:val="00266E5B"/>
    <w:rsid w:val="00270ED1"/>
    <w:rsid w:val="00275729"/>
    <w:rsid w:val="00276B4C"/>
    <w:rsid w:val="00276EAA"/>
    <w:rsid w:val="002771FC"/>
    <w:rsid w:val="002810DD"/>
    <w:rsid w:val="0028150B"/>
    <w:rsid w:val="0028184F"/>
    <w:rsid w:val="0028281F"/>
    <w:rsid w:val="0028415E"/>
    <w:rsid w:val="0028725C"/>
    <w:rsid w:val="00292808"/>
    <w:rsid w:val="00292D5F"/>
    <w:rsid w:val="00296020"/>
    <w:rsid w:val="002A01A8"/>
    <w:rsid w:val="002A41EE"/>
    <w:rsid w:val="002A56F1"/>
    <w:rsid w:val="002B02C4"/>
    <w:rsid w:val="002B4FB4"/>
    <w:rsid w:val="002C05DA"/>
    <w:rsid w:val="002C0EBC"/>
    <w:rsid w:val="002C4D4C"/>
    <w:rsid w:val="002D1420"/>
    <w:rsid w:val="002D2699"/>
    <w:rsid w:val="002D57C2"/>
    <w:rsid w:val="002D7B83"/>
    <w:rsid w:val="002E10DF"/>
    <w:rsid w:val="002E2004"/>
    <w:rsid w:val="002E3A49"/>
    <w:rsid w:val="002E3B43"/>
    <w:rsid w:val="002E3DAA"/>
    <w:rsid w:val="002F5A1D"/>
    <w:rsid w:val="002F6062"/>
    <w:rsid w:val="002F7C78"/>
    <w:rsid w:val="003016AC"/>
    <w:rsid w:val="00302429"/>
    <w:rsid w:val="003041C3"/>
    <w:rsid w:val="00304E94"/>
    <w:rsid w:val="0030509D"/>
    <w:rsid w:val="0030664D"/>
    <w:rsid w:val="003066DB"/>
    <w:rsid w:val="003121F1"/>
    <w:rsid w:val="00313097"/>
    <w:rsid w:val="00313B4A"/>
    <w:rsid w:val="00314036"/>
    <w:rsid w:val="003154F2"/>
    <w:rsid w:val="00315BC5"/>
    <w:rsid w:val="00322736"/>
    <w:rsid w:val="003239B9"/>
    <w:rsid w:val="003242CA"/>
    <w:rsid w:val="0032655A"/>
    <w:rsid w:val="00327FC0"/>
    <w:rsid w:val="00330944"/>
    <w:rsid w:val="0033548E"/>
    <w:rsid w:val="003357B4"/>
    <w:rsid w:val="0033708F"/>
    <w:rsid w:val="003400E4"/>
    <w:rsid w:val="00353B05"/>
    <w:rsid w:val="003546C0"/>
    <w:rsid w:val="00354C68"/>
    <w:rsid w:val="00355416"/>
    <w:rsid w:val="00355F9F"/>
    <w:rsid w:val="00356671"/>
    <w:rsid w:val="0036073B"/>
    <w:rsid w:val="00364351"/>
    <w:rsid w:val="003673C3"/>
    <w:rsid w:val="00371089"/>
    <w:rsid w:val="003740E2"/>
    <w:rsid w:val="003756EF"/>
    <w:rsid w:val="003760E5"/>
    <w:rsid w:val="003770B7"/>
    <w:rsid w:val="003813C8"/>
    <w:rsid w:val="003872BF"/>
    <w:rsid w:val="00394D8F"/>
    <w:rsid w:val="003970D4"/>
    <w:rsid w:val="00397DD1"/>
    <w:rsid w:val="003A228D"/>
    <w:rsid w:val="003A2A96"/>
    <w:rsid w:val="003A2D23"/>
    <w:rsid w:val="003A3245"/>
    <w:rsid w:val="003A3367"/>
    <w:rsid w:val="003A5B16"/>
    <w:rsid w:val="003A7BF6"/>
    <w:rsid w:val="003B1DA6"/>
    <w:rsid w:val="003B2653"/>
    <w:rsid w:val="003C10B9"/>
    <w:rsid w:val="003C19DC"/>
    <w:rsid w:val="003C425A"/>
    <w:rsid w:val="003C4350"/>
    <w:rsid w:val="003C4B75"/>
    <w:rsid w:val="003C4FB6"/>
    <w:rsid w:val="003C6174"/>
    <w:rsid w:val="003C728F"/>
    <w:rsid w:val="003D2323"/>
    <w:rsid w:val="003D3287"/>
    <w:rsid w:val="003D5DBF"/>
    <w:rsid w:val="003D62EB"/>
    <w:rsid w:val="003E11AB"/>
    <w:rsid w:val="003E1E23"/>
    <w:rsid w:val="003E232F"/>
    <w:rsid w:val="003E2586"/>
    <w:rsid w:val="003E64B9"/>
    <w:rsid w:val="003E75D2"/>
    <w:rsid w:val="003F06A0"/>
    <w:rsid w:val="003F1797"/>
    <w:rsid w:val="003F31AE"/>
    <w:rsid w:val="004001A8"/>
    <w:rsid w:val="00404461"/>
    <w:rsid w:val="00405935"/>
    <w:rsid w:val="0040625C"/>
    <w:rsid w:val="0040654E"/>
    <w:rsid w:val="00406A6B"/>
    <w:rsid w:val="00406F3C"/>
    <w:rsid w:val="00410432"/>
    <w:rsid w:val="00411458"/>
    <w:rsid w:val="00416769"/>
    <w:rsid w:val="00416AF7"/>
    <w:rsid w:val="004220E8"/>
    <w:rsid w:val="00424DC6"/>
    <w:rsid w:val="00426CF6"/>
    <w:rsid w:val="0042773A"/>
    <w:rsid w:val="004322CB"/>
    <w:rsid w:val="004322ED"/>
    <w:rsid w:val="0043550F"/>
    <w:rsid w:val="00435560"/>
    <w:rsid w:val="0043647C"/>
    <w:rsid w:val="00440E66"/>
    <w:rsid w:val="00440F59"/>
    <w:rsid w:val="004442AA"/>
    <w:rsid w:val="00451105"/>
    <w:rsid w:val="004543BA"/>
    <w:rsid w:val="00457892"/>
    <w:rsid w:val="00462A16"/>
    <w:rsid w:val="004636FA"/>
    <w:rsid w:val="00463CE7"/>
    <w:rsid w:val="00465C03"/>
    <w:rsid w:val="00466641"/>
    <w:rsid w:val="00470163"/>
    <w:rsid w:val="00476FEC"/>
    <w:rsid w:val="00487EE4"/>
    <w:rsid w:val="00493989"/>
    <w:rsid w:val="004957C8"/>
    <w:rsid w:val="0049646E"/>
    <w:rsid w:val="00497C57"/>
    <w:rsid w:val="00497ED3"/>
    <w:rsid w:val="004A1367"/>
    <w:rsid w:val="004A2EF1"/>
    <w:rsid w:val="004A424A"/>
    <w:rsid w:val="004A5A4D"/>
    <w:rsid w:val="004B0BF5"/>
    <w:rsid w:val="004B248D"/>
    <w:rsid w:val="004B5A77"/>
    <w:rsid w:val="004B5C05"/>
    <w:rsid w:val="004C135A"/>
    <w:rsid w:val="004C276B"/>
    <w:rsid w:val="004C2AC0"/>
    <w:rsid w:val="004C2D94"/>
    <w:rsid w:val="004C4C66"/>
    <w:rsid w:val="004C5270"/>
    <w:rsid w:val="004C5444"/>
    <w:rsid w:val="004C5BEE"/>
    <w:rsid w:val="004C6647"/>
    <w:rsid w:val="004C75E0"/>
    <w:rsid w:val="004C7661"/>
    <w:rsid w:val="004D035A"/>
    <w:rsid w:val="004D3744"/>
    <w:rsid w:val="004D5723"/>
    <w:rsid w:val="004D62D8"/>
    <w:rsid w:val="004D63FC"/>
    <w:rsid w:val="004E0CC0"/>
    <w:rsid w:val="004E7435"/>
    <w:rsid w:val="004E7BEF"/>
    <w:rsid w:val="004F01BB"/>
    <w:rsid w:val="004F3BA8"/>
    <w:rsid w:val="004F4545"/>
    <w:rsid w:val="00500E7D"/>
    <w:rsid w:val="00501DA5"/>
    <w:rsid w:val="00504874"/>
    <w:rsid w:val="00506109"/>
    <w:rsid w:val="00507FDD"/>
    <w:rsid w:val="00510894"/>
    <w:rsid w:val="00510BC6"/>
    <w:rsid w:val="005116D5"/>
    <w:rsid w:val="00511941"/>
    <w:rsid w:val="00514099"/>
    <w:rsid w:val="00514A3C"/>
    <w:rsid w:val="00515397"/>
    <w:rsid w:val="005210E2"/>
    <w:rsid w:val="00522BAA"/>
    <w:rsid w:val="00522D72"/>
    <w:rsid w:val="005254C9"/>
    <w:rsid w:val="00531449"/>
    <w:rsid w:val="00535EE3"/>
    <w:rsid w:val="005409F8"/>
    <w:rsid w:val="00544BAE"/>
    <w:rsid w:val="00545060"/>
    <w:rsid w:val="00546196"/>
    <w:rsid w:val="005474DC"/>
    <w:rsid w:val="005477B8"/>
    <w:rsid w:val="00553109"/>
    <w:rsid w:val="00553EB8"/>
    <w:rsid w:val="00554D25"/>
    <w:rsid w:val="00555714"/>
    <w:rsid w:val="00557E0A"/>
    <w:rsid w:val="0056194B"/>
    <w:rsid w:val="00561E93"/>
    <w:rsid w:val="005632F6"/>
    <w:rsid w:val="00564E91"/>
    <w:rsid w:val="005724B5"/>
    <w:rsid w:val="00572A2D"/>
    <w:rsid w:val="00574027"/>
    <w:rsid w:val="005746FD"/>
    <w:rsid w:val="00575F47"/>
    <w:rsid w:val="00580367"/>
    <w:rsid w:val="005810B5"/>
    <w:rsid w:val="005819CF"/>
    <w:rsid w:val="00581B02"/>
    <w:rsid w:val="00583ADF"/>
    <w:rsid w:val="0058419A"/>
    <w:rsid w:val="00584560"/>
    <w:rsid w:val="00586407"/>
    <w:rsid w:val="00586DD6"/>
    <w:rsid w:val="00590ECF"/>
    <w:rsid w:val="005912A4"/>
    <w:rsid w:val="00592369"/>
    <w:rsid w:val="00592C84"/>
    <w:rsid w:val="005945E3"/>
    <w:rsid w:val="00595679"/>
    <w:rsid w:val="00595AD9"/>
    <w:rsid w:val="005A1AE3"/>
    <w:rsid w:val="005A2699"/>
    <w:rsid w:val="005A6570"/>
    <w:rsid w:val="005A7A70"/>
    <w:rsid w:val="005B0291"/>
    <w:rsid w:val="005B2E26"/>
    <w:rsid w:val="005B3DEC"/>
    <w:rsid w:val="005C0B65"/>
    <w:rsid w:val="005C36EB"/>
    <w:rsid w:val="005C3B6A"/>
    <w:rsid w:val="005C4181"/>
    <w:rsid w:val="005C6631"/>
    <w:rsid w:val="005C66E4"/>
    <w:rsid w:val="005C6917"/>
    <w:rsid w:val="005D0B89"/>
    <w:rsid w:val="005D167F"/>
    <w:rsid w:val="005D28E5"/>
    <w:rsid w:val="005D3803"/>
    <w:rsid w:val="005E0B4C"/>
    <w:rsid w:val="005E79BB"/>
    <w:rsid w:val="005F1353"/>
    <w:rsid w:val="005F1526"/>
    <w:rsid w:val="005F360B"/>
    <w:rsid w:val="005F60FC"/>
    <w:rsid w:val="005F7AE9"/>
    <w:rsid w:val="00600878"/>
    <w:rsid w:val="00600E8D"/>
    <w:rsid w:val="006029E8"/>
    <w:rsid w:val="00611122"/>
    <w:rsid w:val="0061139A"/>
    <w:rsid w:val="0061276A"/>
    <w:rsid w:val="0061291F"/>
    <w:rsid w:val="006156CD"/>
    <w:rsid w:val="00615A7F"/>
    <w:rsid w:val="0061708B"/>
    <w:rsid w:val="00620A94"/>
    <w:rsid w:val="0062225D"/>
    <w:rsid w:val="0062268F"/>
    <w:rsid w:val="006231EE"/>
    <w:rsid w:val="006255C3"/>
    <w:rsid w:val="00625EC4"/>
    <w:rsid w:val="0062617C"/>
    <w:rsid w:val="006277A4"/>
    <w:rsid w:val="00627E9E"/>
    <w:rsid w:val="00630265"/>
    <w:rsid w:val="006320A3"/>
    <w:rsid w:val="006329E6"/>
    <w:rsid w:val="006332A4"/>
    <w:rsid w:val="00633F54"/>
    <w:rsid w:val="00635372"/>
    <w:rsid w:val="00635596"/>
    <w:rsid w:val="00640EDB"/>
    <w:rsid w:val="00641F6D"/>
    <w:rsid w:val="00643AAD"/>
    <w:rsid w:val="006503D9"/>
    <w:rsid w:val="00651A85"/>
    <w:rsid w:val="00655A60"/>
    <w:rsid w:val="00661DE9"/>
    <w:rsid w:val="00662D7D"/>
    <w:rsid w:val="006672C2"/>
    <w:rsid w:val="00670187"/>
    <w:rsid w:val="006748EC"/>
    <w:rsid w:val="00675344"/>
    <w:rsid w:val="00680460"/>
    <w:rsid w:val="00680F72"/>
    <w:rsid w:val="00682317"/>
    <w:rsid w:val="00683B0A"/>
    <w:rsid w:val="00686B73"/>
    <w:rsid w:val="00686C44"/>
    <w:rsid w:val="0069071F"/>
    <w:rsid w:val="006908D2"/>
    <w:rsid w:val="00695C97"/>
    <w:rsid w:val="006967CB"/>
    <w:rsid w:val="006A190D"/>
    <w:rsid w:val="006A2333"/>
    <w:rsid w:val="006A2C7D"/>
    <w:rsid w:val="006A2D63"/>
    <w:rsid w:val="006A3CEA"/>
    <w:rsid w:val="006A629F"/>
    <w:rsid w:val="006B17B8"/>
    <w:rsid w:val="006B20FA"/>
    <w:rsid w:val="006B3F47"/>
    <w:rsid w:val="006B503F"/>
    <w:rsid w:val="006B51A9"/>
    <w:rsid w:val="006B6861"/>
    <w:rsid w:val="006C0968"/>
    <w:rsid w:val="006C2273"/>
    <w:rsid w:val="006C2F81"/>
    <w:rsid w:val="006C41F3"/>
    <w:rsid w:val="006C4606"/>
    <w:rsid w:val="006C6643"/>
    <w:rsid w:val="006C68DD"/>
    <w:rsid w:val="006C6B18"/>
    <w:rsid w:val="006D016A"/>
    <w:rsid w:val="006D2AE8"/>
    <w:rsid w:val="006D3E76"/>
    <w:rsid w:val="006D5926"/>
    <w:rsid w:val="006D5EFD"/>
    <w:rsid w:val="006D7181"/>
    <w:rsid w:val="006D7E04"/>
    <w:rsid w:val="006E0172"/>
    <w:rsid w:val="006E0C23"/>
    <w:rsid w:val="006E57BA"/>
    <w:rsid w:val="006E633E"/>
    <w:rsid w:val="006E6A63"/>
    <w:rsid w:val="006F2D58"/>
    <w:rsid w:val="006F3E84"/>
    <w:rsid w:val="006F49F3"/>
    <w:rsid w:val="006F4B5F"/>
    <w:rsid w:val="006F55AE"/>
    <w:rsid w:val="006F5B01"/>
    <w:rsid w:val="006F63F5"/>
    <w:rsid w:val="006F7EA9"/>
    <w:rsid w:val="00703838"/>
    <w:rsid w:val="00705D5B"/>
    <w:rsid w:val="00711004"/>
    <w:rsid w:val="00713A6A"/>
    <w:rsid w:val="00713B98"/>
    <w:rsid w:val="007157DA"/>
    <w:rsid w:val="00717408"/>
    <w:rsid w:val="0071793C"/>
    <w:rsid w:val="00720CF0"/>
    <w:rsid w:val="007239FB"/>
    <w:rsid w:val="0072420F"/>
    <w:rsid w:val="007269CD"/>
    <w:rsid w:val="007327A8"/>
    <w:rsid w:val="00740023"/>
    <w:rsid w:val="0074178E"/>
    <w:rsid w:val="007430CB"/>
    <w:rsid w:val="00743ADD"/>
    <w:rsid w:val="00744182"/>
    <w:rsid w:val="0074578C"/>
    <w:rsid w:val="007502C7"/>
    <w:rsid w:val="0075291F"/>
    <w:rsid w:val="00757A9C"/>
    <w:rsid w:val="00760F29"/>
    <w:rsid w:val="0076150E"/>
    <w:rsid w:val="007638F2"/>
    <w:rsid w:val="00763DB1"/>
    <w:rsid w:val="007641BB"/>
    <w:rsid w:val="00765378"/>
    <w:rsid w:val="00770459"/>
    <w:rsid w:val="007709F6"/>
    <w:rsid w:val="00770F81"/>
    <w:rsid w:val="00773023"/>
    <w:rsid w:val="00775DE6"/>
    <w:rsid w:val="0077783C"/>
    <w:rsid w:val="00780654"/>
    <w:rsid w:val="00781E3C"/>
    <w:rsid w:val="00782AA0"/>
    <w:rsid w:val="007857AB"/>
    <w:rsid w:val="00787CA8"/>
    <w:rsid w:val="00790EF9"/>
    <w:rsid w:val="00792B82"/>
    <w:rsid w:val="00796A56"/>
    <w:rsid w:val="007A0BCF"/>
    <w:rsid w:val="007A17AB"/>
    <w:rsid w:val="007A19AF"/>
    <w:rsid w:val="007A20B8"/>
    <w:rsid w:val="007A23EC"/>
    <w:rsid w:val="007A3C8D"/>
    <w:rsid w:val="007A4C49"/>
    <w:rsid w:val="007A5031"/>
    <w:rsid w:val="007A5A92"/>
    <w:rsid w:val="007A64A8"/>
    <w:rsid w:val="007A6825"/>
    <w:rsid w:val="007A6E5E"/>
    <w:rsid w:val="007A74E1"/>
    <w:rsid w:val="007C1E4D"/>
    <w:rsid w:val="007C32E3"/>
    <w:rsid w:val="007C3856"/>
    <w:rsid w:val="007C3CC2"/>
    <w:rsid w:val="007C504F"/>
    <w:rsid w:val="007C61DB"/>
    <w:rsid w:val="007C7611"/>
    <w:rsid w:val="007D16B3"/>
    <w:rsid w:val="007D64F3"/>
    <w:rsid w:val="007D6912"/>
    <w:rsid w:val="007D6FD0"/>
    <w:rsid w:val="007E0017"/>
    <w:rsid w:val="007E01F9"/>
    <w:rsid w:val="007F0919"/>
    <w:rsid w:val="007F1B65"/>
    <w:rsid w:val="007F1D3F"/>
    <w:rsid w:val="007F50D2"/>
    <w:rsid w:val="007F7563"/>
    <w:rsid w:val="0080161B"/>
    <w:rsid w:val="00801F26"/>
    <w:rsid w:val="00802F2B"/>
    <w:rsid w:val="008044CE"/>
    <w:rsid w:val="0080584E"/>
    <w:rsid w:val="00806F6A"/>
    <w:rsid w:val="00807326"/>
    <w:rsid w:val="00807479"/>
    <w:rsid w:val="008118CD"/>
    <w:rsid w:val="0081262E"/>
    <w:rsid w:val="0081438F"/>
    <w:rsid w:val="00820224"/>
    <w:rsid w:val="00821C0A"/>
    <w:rsid w:val="00821D3C"/>
    <w:rsid w:val="00822F3B"/>
    <w:rsid w:val="008249AE"/>
    <w:rsid w:val="00825866"/>
    <w:rsid w:val="008259A2"/>
    <w:rsid w:val="00825DB7"/>
    <w:rsid w:val="00826D87"/>
    <w:rsid w:val="008273B8"/>
    <w:rsid w:val="00830736"/>
    <w:rsid w:val="0083394F"/>
    <w:rsid w:val="00833EA3"/>
    <w:rsid w:val="00836F72"/>
    <w:rsid w:val="0084527C"/>
    <w:rsid w:val="00846196"/>
    <w:rsid w:val="00846355"/>
    <w:rsid w:val="00846E6A"/>
    <w:rsid w:val="008501B4"/>
    <w:rsid w:val="00850FB6"/>
    <w:rsid w:val="008517D8"/>
    <w:rsid w:val="0085283D"/>
    <w:rsid w:val="00852F16"/>
    <w:rsid w:val="00853231"/>
    <w:rsid w:val="008544AB"/>
    <w:rsid w:val="00862A9B"/>
    <w:rsid w:val="00862DAD"/>
    <w:rsid w:val="008651BF"/>
    <w:rsid w:val="00871D17"/>
    <w:rsid w:val="00873065"/>
    <w:rsid w:val="008743D0"/>
    <w:rsid w:val="00875130"/>
    <w:rsid w:val="008763A0"/>
    <w:rsid w:val="00880A9D"/>
    <w:rsid w:val="0088230B"/>
    <w:rsid w:val="008823CE"/>
    <w:rsid w:val="0088275A"/>
    <w:rsid w:val="0088586B"/>
    <w:rsid w:val="00890FC2"/>
    <w:rsid w:val="0089106E"/>
    <w:rsid w:val="008A1103"/>
    <w:rsid w:val="008A14C4"/>
    <w:rsid w:val="008A5EA6"/>
    <w:rsid w:val="008A65D9"/>
    <w:rsid w:val="008A66A2"/>
    <w:rsid w:val="008A68D9"/>
    <w:rsid w:val="008A7AE9"/>
    <w:rsid w:val="008B4885"/>
    <w:rsid w:val="008C0C39"/>
    <w:rsid w:val="008D2AB6"/>
    <w:rsid w:val="008E0BFF"/>
    <w:rsid w:val="008E2136"/>
    <w:rsid w:val="008E396B"/>
    <w:rsid w:val="008E64C2"/>
    <w:rsid w:val="008E680F"/>
    <w:rsid w:val="008F0800"/>
    <w:rsid w:val="008F2705"/>
    <w:rsid w:val="00901873"/>
    <w:rsid w:val="00902286"/>
    <w:rsid w:val="0090242E"/>
    <w:rsid w:val="009039A8"/>
    <w:rsid w:val="00910E39"/>
    <w:rsid w:val="0091110B"/>
    <w:rsid w:val="0091280C"/>
    <w:rsid w:val="009130C2"/>
    <w:rsid w:val="00914734"/>
    <w:rsid w:val="0092166F"/>
    <w:rsid w:val="0092221A"/>
    <w:rsid w:val="009245E7"/>
    <w:rsid w:val="00930EFE"/>
    <w:rsid w:val="00930F93"/>
    <w:rsid w:val="0093431C"/>
    <w:rsid w:val="00935B91"/>
    <w:rsid w:val="00935F35"/>
    <w:rsid w:val="00941785"/>
    <w:rsid w:val="0094264E"/>
    <w:rsid w:val="0094551F"/>
    <w:rsid w:val="00947749"/>
    <w:rsid w:val="00953876"/>
    <w:rsid w:val="0095445C"/>
    <w:rsid w:val="00976B9D"/>
    <w:rsid w:val="0098382B"/>
    <w:rsid w:val="009855D0"/>
    <w:rsid w:val="00985EE0"/>
    <w:rsid w:val="009945EE"/>
    <w:rsid w:val="00994D76"/>
    <w:rsid w:val="00995EA8"/>
    <w:rsid w:val="00996FD2"/>
    <w:rsid w:val="00997D1F"/>
    <w:rsid w:val="009A3743"/>
    <w:rsid w:val="009A7F12"/>
    <w:rsid w:val="009B038D"/>
    <w:rsid w:val="009B1008"/>
    <w:rsid w:val="009B11B2"/>
    <w:rsid w:val="009B1229"/>
    <w:rsid w:val="009B1C3B"/>
    <w:rsid w:val="009B7C35"/>
    <w:rsid w:val="009C2591"/>
    <w:rsid w:val="009C6587"/>
    <w:rsid w:val="009C69AE"/>
    <w:rsid w:val="009D1225"/>
    <w:rsid w:val="009D3F4F"/>
    <w:rsid w:val="009D759F"/>
    <w:rsid w:val="009E0C76"/>
    <w:rsid w:val="009E1F11"/>
    <w:rsid w:val="009E245E"/>
    <w:rsid w:val="009E42E4"/>
    <w:rsid w:val="009E6226"/>
    <w:rsid w:val="009F2DEC"/>
    <w:rsid w:val="009F33DA"/>
    <w:rsid w:val="009F44E1"/>
    <w:rsid w:val="009F51D6"/>
    <w:rsid w:val="009F7C56"/>
    <w:rsid w:val="00A052CA"/>
    <w:rsid w:val="00A0632F"/>
    <w:rsid w:val="00A06F26"/>
    <w:rsid w:val="00A06F9C"/>
    <w:rsid w:val="00A10C8D"/>
    <w:rsid w:val="00A136C6"/>
    <w:rsid w:val="00A16135"/>
    <w:rsid w:val="00A165C6"/>
    <w:rsid w:val="00A17B31"/>
    <w:rsid w:val="00A269D3"/>
    <w:rsid w:val="00A27572"/>
    <w:rsid w:val="00A27763"/>
    <w:rsid w:val="00A31103"/>
    <w:rsid w:val="00A3148D"/>
    <w:rsid w:val="00A34385"/>
    <w:rsid w:val="00A356FE"/>
    <w:rsid w:val="00A35746"/>
    <w:rsid w:val="00A35B41"/>
    <w:rsid w:val="00A36638"/>
    <w:rsid w:val="00A372EC"/>
    <w:rsid w:val="00A42D41"/>
    <w:rsid w:val="00A43840"/>
    <w:rsid w:val="00A45838"/>
    <w:rsid w:val="00A46043"/>
    <w:rsid w:val="00A51FEA"/>
    <w:rsid w:val="00A52FE8"/>
    <w:rsid w:val="00A55182"/>
    <w:rsid w:val="00A55BFD"/>
    <w:rsid w:val="00A56CD5"/>
    <w:rsid w:val="00A572BE"/>
    <w:rsid w:val="00A57ACB"/>
    <w:rsid w:val="00A57B9C"/>
    <w:rsid w:val="00A604E5"/>
    <w:rsid w:val="00A60804"/>
    <w:rsid w:val="00A60D72"/>
    <w:rsid w:val="00A618EC"/>
    <w:rsid w:val="00A70B33"/>
    <w:rsid w:val="00A70FEE"/>
    <w:rsid w:val="00A72105"/>
    <w:rsid w:val="00A74F4D"/>
    <w:rsid w:val="00A76776"/>
    <w:rsid w:val="00A76BD1"/>
    <w:rsid w:val="00A80280"/>
    <w:rsid w:val="00A82632"/>
    <w:rsid w:val="00A82903"/>
    <w:rsid w:val="00A82AFF"/>
    <w:rsid w:val="00A83A4A"/>
    <w:rsid w:val="00A85FC4"/>
    <w:rsid w:val="00A860A5"/>
    <w:rsid w:val="00A90D79"/>
    <w:rsid w:val="00A91B52"/>
    <w:rsid w:val="00A93BB3"/>
    <w:rsid w:val="00A93CD6"/>
    <w:rsid w:val="00A94864"/>
    <w:rsid w:val="00A94D0A"/>
    <w:rsid w:val="00AA3D2B"/>
    <w:rsid w:val="00AB039D"/>
    <w:rsid w:val="00AB1612"/>
    <w:rsid w:val="00AB22C0"/>
    <w:rsid w:val="00AB3942"/>
    <w:rsid w:val="00AB3DF3"/>
    <w:rsid w:val="00AB4534"/>
    <w:rsid w:val="00AB7AE9"/>
    <w:rsid w:val="00AB7C17"/>
    <w:rsid w:val="00AC056A"/>
    <w:rsid w:val="00AC43C4"/>
    <w:rsid w:val="00AC58BA"/>
    <w:rsid w:val="00AC7597"/>
    <w:rsid w:val="00AD4FC3"/>
    <w:rsid w:val="00AD7B9D"/>
    <w:rsid w:val="00AE0560"/>
    <w:rsid w:val="00AE14D1"/>
    <w:rsid w:val="00AE15D4"/>
    <w:rsid w:val="00AE27FD"/>
    <w:rsid w:val="00AE3BAC"/>
    <w:rsid w:val="00AE3CE7"/>
    <w:rsid w:val="00AE6F0C"/>
    <w:rsid w:val="00AF3186"/>
    <w:rsid w:val="00AF56C8"/>
    <w:rsid w:val="00AF779F"/>
    <w:rsid w:val="00B011DC"/>
    <w:rsid w:val="00B01976"/>
    <w:rsid w:val="00B02D29"/>
    <w:rsid w:val="00B04EB4"/>
    <w:rsid w:val="00B06D43"/>
    <w:rsid w:val="00B0752E"/>
    <w:rsid w:val="00B07E5D"/>
    <w:rsid w:val="00B101B4"/>
    <w:rsid w:val="00B104DA"/>
    <w:rsid w:val="00B1338F"/>
    <w:rsid w:val="00B147AE"/>
    <w:rsid w:val="00B149D1"/>
    <w:rsid w:val="00B14B9D"/>
    <w:rsid w:val="00B16F0B"/>
    <w:rsid w:val="00B177C5"/>
    <w:rsid w:val="00B21C0B"/>
    <w:rsid w:val="00B21D32"/>
    <w:rsid w:val="00B2325D"/>
    <w:rsid w:val="00B32AD3"/>
    <w:rsid w:val="00B3532A"/>
    <w:rsid w:val="00B357B5"/>
    <w:rsid w:val="00B36C3C"/>
    <w:rsid w:val="00B37174"/>
    <w:rsid w:val="00B37572"/>
    <w:rsid w:val="00B40391"/>
    <w:rsid w:val="00B40759"/>
    <w:rsid w:val="00B420DA"/>
    <w:rsid w:val="00B43F54"/>
    <w:rsid w:val="00B444C5"/>
    <w:rsid w:val="00B47454"/>
    <w:rsid w:val="00B5056C"/>
    <w:rsid w:val="00B5064F"/>
    <w:rsid w:val="00B56E76"/>
    <w:rsid w:val="00B605A4"/>
    <w:rsid w:val="00B63A4C"/>
    <w:rsid w:val="00B63C01"/>
    <w:rsid w:val="00B64854"/>
    <w:rsid w:val="00B6793F"/>
    <w:rsid w:val="00B70989"/>
    <w:rsid w:val="00B712DC"/>
    <w:rsid w:val="00B71A0E"/>
    <w:rsid w:val="00B72D1A"/>
    <w:rsid w:val="00B75EE8"/>
    <w:rsid w:val="00B77397"/>
    <w:rsid w:val="00B77E3D"/>
    <w:rsid w:val="00B84CFA"/>
    <w:rsid w:val="00B85035"/>
    <w:rsid w:val="00B86431"/>
    <w:rsid w:val="00B92140"/>
    <w:rsid w:val="00B92567"/>
    <w:rsid w:val="00B9276C"/>
    <w:rsid w:val="00B95862"/>
    <w:rsid w:val="00BA4382"/>
    <w:rsid w:val="00BA4583"/>
    <w:rsid w:val="00BA5A44"/>
    <w:rsid w:val="00BB0318"/>
    <w:rsid w:val="00BB137D"/>
    <w:rsid w:val="00BB2073"/>
    <w:rsid w:val="00BB3526"/>
    <w:rsid w:val="00BB4D43"/>
    <w:rsid w:val="00BB6F70"/>
    <w:rsid w:val="00BC2485"/>
    <w:rsid w:val="00BD4EC1"/>
    <w:rsid w:val="00BE1A60"/>
    <w:rsid w:val="00BE75C7"/>
    <w:rsid w:val="00BF0DFA"/>
    <w:rsid w:val="00BF0E50"/>
    <w:rsid w:val="00BF45F6"/>
    <w:rsid w:val="00C021FA"/>
    <w:rsid w:val="00C02EB5"/>
    <w:rsid w:val="00C03A9D"/>
    <w:rsid w:val="00C04C4B"/>
    <w:rsid w:val="00C06953"/>
    <w:rsid w:val="00C1191F"/>
    <w:rsid w:val="00C12D51"/>
    <w:rsid w:val="00C12E1D"/>
    <w:rsid w:val="00C134DA"/>
    <w:rsid w:val="00C13576"/>
    <w:rsid w:val="00C13F89"/>
    <w:rsid w:val="00C14426"/>
    <w:rsid w:val="00C2412F"/>
    <w:rsid w:val="00C27A8C"/>
    <w:rsid w:val="00C3185D"/>
    <w:rsid w:val="00C31F1B"/>
    <w:rsid w:val="00C32729"/>
    <w:rsid w:val="00C40672"/>
    <w:rsid w:val="00C4289C"/>
    <w:rsid w:val="00C43CDC"/>
    <w:rsid w:val="00C47611"/>
    <w:rsid w:val="00C50622"/>
    <w:rsid w:val="00C5116F"/>
    <w:rsid w:val="00C5149A"/>
    <w:rsid w:val="00C5390E"/>
    <w:rsid w:val="00C55297"/>
    <w:rsid w:val="00C55D07"/>
    <w:rsid w:val="00C55F0A"/>
    <w:rsid w:val="00C57A35"/>
    <w:rsid w:val="00C60AE5"/>
    <w:rsid w:val="00C621F8"/>
    <w:rsid w:val="00C63F88"/>
    <w:rsid w:val="00C64CCA"/>
    <w:rsid w:val="00C65283"/>
    <w:rsid w:val="00C66BB9"/>
    <w:rsid w:val="00C67E1E"/>
    <w:rsid w:val="00C70B1F"/>
    <w:rsid w:val="00C72E0E"/>
    <w:rsid w:val="00C74CC3"/>
    <w:rsid w:val="00C8467F"/>
    <w:rsid w:val="00C846BC"/>
    <w:rsid w:val="00C875F1"/>
    <w:rsid w:val="00C90E4D"/>
    <w:rsid w:val="00C91539"/>
    <w:rsid w:val="00C91592"/>
    <w:rsid w:val="00C9201C"/>
    <w:rsid w:val="00C92963"/>
    <w:rsid w:val="00C9500B"/>
    <w:rsid w:val="00C9621B"/>
    <w:rsid w:val="00C969C0"/>
    <w:rsid w:val="00CA28D8"/>
    <w:rsid w:val="00CA4761"/>
    <w:rsid w:val="00CA5128"/>
    <w:rsid w:val="00CA7831"/>
    <w:rsid w:val="00CB012F"/>
    <w:rsid w:val="00CB08AC"/>
    <w:rsid w:val="00CB2F18"/>
    <w:rsid w:val="00CC14F0"/>
    <w:rsid w:val="00CC15C8"/>
    <w:rsid w:val="00CC3F3A"/>
    <w:rsid w:val="00CC4862"/>
    <w:rsid w:val="00CC67C2"/>
    <w:rsid w:val="00CC6C9B"/>
    <w:rsid w:val="00CC7F4A"/>
    <w:rsid w:val="00CD1053"/>
    <w:rsid w:val="00CD14BF"/>
    <w:rsid w:val="00CD1F30"/>
    <w:rsid w:val="00CD3882"/>
    <w:rsid w:val="00CD3E99"/>
    <w:rsid w:val="00CD65A0"/>
    <w:rsid w:val="00CE031D"/>
    <w:rsid w:val="00CE3307"/>
    <w:rsid w:val="00CE5143"/>
    <w:rsid w:val="00CE6828"/>
    <w:rsid w:val="00CE770A"/>
    <w:rsid w:val="00CE7D29"/>
    <w:rsid w:val="00CF3749"/>
    <w:rsid w:val="00CF3C3F"/>
    <w:rsid w:val="00CF4FAB"/>
    <w:rsid w:val="00CF5E7D"/>
    <w:rsid w:val="00D12E38"/>
    <w:rsid w:val="00D13CE9"/>
    <w:rsid w:val="00D1520C"/>
    <w:rsid w:val="00D2018A"/>
    <w:rsid w:val="00D2081B"/>
    <w:rsid w:val="00D228EB"/>
    <w:rsid w:val="00D2477C"/>
    <w:rsid w:val="00D248BF"/>
    <w:rsid w:val="00D309C9"/>
    <w:rsid w:val="00D32136"/>
    <w:rsid w:val="00D404BD"/>
    <w:rsid w:val="00D4051A"/>
    <w:rsid w:val="00D406EB"/>
    <w:rsid w:val="00D418D8"/>
    <w:rsid w:val="00D41BA6"/>
    <w:rsid w:val="00D43370"/>
    <w:rsid w:val="00D46297"/>
    <w:rsid w:val="00D52DE2"/>
    <w:rsid w:val="00D5407D"/>
    <w:rsid w:val="00D5417F"/>
    <w:rsid w:val="00D55221"/>
    <w:rsid w:val="00D55A42"/>
    <w:rsid w:val="00D57383"/>
    <w:rsid w:val="00D607FB"/>
    <w:rsid w:val="00D626EB"/>
    <w:rsid w:val="00D660CB"/>
    <w:rsid w:val="00D6617E"/>
    <w:rsid w:val="00D668DD"/>
    <w:rsid w:val="00D66F70"/>
    <w:rsid w:val="00D670CE"/>
    <w:rsid w:val="00D718E5"/>
    <w:rsid w:val="00D73635"/>
    <w:rsid w:val="00D73C3B"/>
    <w:rsid w:val="00D753E0"/>
    <w:rsid w:val="00D767FB"/>
    <w:rsid w:val="00D81441"/>
    <w:rsid w:val="00D841B8"/>
    <w:rsid w:val="00D8518B"/>
    <w:rsid w:val="00D85317"/>
    <w:rsid w:val="00D87A9E"/>
    <w:rsid w:val="00D93536"/>
    <w:rsid w:val="00DA3FE8"/>
    <w:rsid w:val="00DA4750"/>
    <w:rsid w:val="00DA59B6"/>
    <w:rsid w:val="00DA6169"/>
    <w:rsid w:val="00DA639D"/>
    <w:rsid w:val="00DA6C1E"/>
    <w:rsid w:val="00DB521F"/>
    <w:rsid w:val="00DB77AD"/>
    <w:rsid w:val="00DC35AF"/>
    <w:rsid w:val="00DC450F"/>
    <w:rsid w:val="00DC4C82"/>
    <w:rsid w:val="00DC4EB5"/>
    <w:rsid w:val="00DC697E"/>
    <w:rsid w:val="00DC69D0"/>
    <w:rsid w:val="00DD0750"/>
    <w:rsid w:val="00DD396E"/>
    <w:rsid w:val="00DD3C4A"/>
    <w:rsid w:val="00DD58EF"/>
    <w:rsid w:val="00DD6640"/>
    <w:rsid w:val="00DE1AA6"/>
    <w:rsid w:val="00DE37D5"/>
    <w:rsid w:val="00DE44EB"/>
    <w:rsid w:val="00DE45C6"/>
    <w:rsid w:val="00DE5851"/>
    <w:rsid w:val="00DE5F0E"/>
    <w:rsid w:val="00DF2495"/>
    <w:rsid w:val="00DF6255"/>
    <w:rsid w:val="00E002DD"/>
    <w:rsid w:val="00E05114"/>
    <w:rsid w:val="00E05201"/>
    <w:rsid w:val="00E12255"/>
    <w:rsid w:val="00E1572A"/>
    <w:rsid w:val="00E15AE8"/>
    <w:rsid w:val="00E167FD"/>
    <w:rsid w:val="00E1727E"/>
    <w:rsid w:val="00E214C9"/>
    <w:rsid w:val="00E25388"/>
    <w:rsid w:val="00E26063"/>
    <w:rsid w:val="00E26067"/>
    <w:rsid w:val="00E26919"/>
    <w:rsid w:val="00E26EB3"/>
    <w:rsid w:val="00E319C2"/>
    <w:rsid w:val="00E33F07"/>
    <w:rsid w:val="00E36786"/>
    <w:rsid w:val="00E36FA3"/>
    <w:rsid w:val="00E449C3"/>
    <w:rsid w:val="00E44ADC"/>
    <w:rsid w:val="00E4608A"/>
    <w:rsid w:val="00E545CC"/>
    <w:rsid w:val="00E61847"/>
    <w:rsid w:val="00E65A05"/>
    <w:rsid w:val="00E67D0D"/>
    <w:rsid w:val="00E67F2E"/>
    <w:rsid w:val="00E70B4E"/>
    <w:rsid w:val="00E726D5"/>
    <w:rsid w:val="00E734D6"/>
    <w:rsid w:val="00E73A96"/>
    <w:rsid w:val="00E75F55"/>
    <w:rsid w:val="00E83F1E"/>
    <w:rsid w:val="00E86FBA"/>
    <w:rsid w:val="00E87D24"/>
    <w:rsid w:val="00E901DB"/>
    <w:rsid w:val="00E90E29"/>
    <w:rsid w:val="00E91562"/>
    <w:rsid w:val="00E92638"/>
    <w:rsid w:val="00E93287"/>
    <w:rsid w:val="00E954B6"/>
    <w:rsid w:val="00E967A0"/>
    <w:rsid w:val="00E96B3C"/>
    <w:rsid w:val="00E96EA6"/>
    <w:rsid w:val="00E97BCE"/>
    <w:rsid w:val="00EA3F81"/>
    <w:rsid w:val="00EA5732"/>
    <w:rsid w:val="00EA58F2"/>
    <w:rsid w:val="00EA5B52"/>
    <w:rsid w:val="00EA6120"/>
    <w:rsid w:val="00EC1454"/>
    <w:rsid w:val="00EC4EC1"/>
    <w:rsid w:val="00EC59C8"/>
    <w:rsid w:val="00EC64BB"/>
    <w:rsid w:val="00EC6AAD"/>
    <w:rsid w:val="00ED0B05"/>
    <w:rsid w:val="00ED2B6A"/>
    <w:rsid w:val="00ED661F"/>
    <w:rsid w:val="00ED75AD"/>
    <w:rsid w:val="00ED7F2A"/>
    <w:rsid w:val="00EE2E36"/>
    <w:rsid w:val="00EE412A"/>
    <w:rsid w:val="00EE4751"/>
    <w:rsid w:val="00EE5A1E"/>
    <w:rsid w:val="00EE66CC"/>
    <w:rsid w:val="00EE7A68"/>
    <w:rsid w:val="00EF431D"/>
    <w:rsid w:val="00EF6A3F"/>
    <w:rsid w:val="00EF6CCD"/>
    <w:rsid w:val="00EF754B"/>
    <w:rsid w:val="00F014F2"/>
    <w:rsid w:val="00F01DF9"/>
    <w:rsid w:val="00F03D66"/>
    <w:rsid w:val="00F109DA"/>
    <w:rsid w:val="00F10BC2"/>
    <w:rsid w:val="00F11D7C"/>
    <w:rsid w:val="00F121D4"/>
    <w:rsid w:val="00F13080"/>
    <w:rsid w:val="00F142E9"/>
    <w:rsid w:val="00F16282"/>
    <w:rsid w:val="00F1740A"/>
    <w:rsid w:val="00F22714"/>
    <w:rsid w:val="00F23A12"/>
    <w:rsid w:val="00F257BB"/>
    <w:rsid w:val="00F26A5C"/>
    <w:rsid w:val="00F27F2C"/>
    <w:rsid w:val="00F335D2"/>
    <w:rsid w:val="00F336B2"/>
    <w:rsid w:val="00F40A5E"/>
    <w:rsid w:val="00F414FF"/>
    <w:rsid w:val="00F41B6B"/>
    <w:rsid w:val="00F5342D"/>
    <w:rsid w:val="00F53809"/>
    <w:rsid w:val="00F53A0C"/>
    <w:rsid w:val="00F60BA8"/>
    <w:rsid w:val="00F6343D"/>
    <w:rsid w:val="00F709FE"/>
    <w:rsid w:val="00F717DC"/>
    <w:rsid w:val="00F71EBB"/>
    <w:rsid w:val="00F724F2"/>
    <w:rsid w:val="00F728F9"/>
    <w:rsid w:val="00F77965"/>
    <w:rsid w:val="00F807DC"/>
    <w:rsid w:val="00F81824"/>
    <w:rsid w:val="00F81AB2"/>
    <w:rsid w:val="00F84312"/>
    <w:rsid w:val="00F84D75"/>
    <w:rsid w:val="00F85DE2"/>
    <w:rsid w:val="00F920E6"/>
    <w:rsid w:val="00F9218F"/>
    <w:rsid w:val="00F93CCE"/>
    <w:rsid w:val="00F9720C"/>
    <w:rsid w:val="00FA0F0E"/>
    <w:rsid w:val="00FA2704"/>
    <w:rsid w:val="00FA2EC3"/>
    <w:rsid w:val="00FA4FAA"/>
    <w:rsid w:val="00FA61A6"/>
    <w:rsid w:val="00FA63B2"/>
    <w:rsid w:val="00FB0D55"/>
    <w:rsid w:val="00FB0F9F"/>
    <w:rsid w:val="00FB1E05"/>
    <w:rsid w:val="00FB4B5D"/>
    <w:rsid w:val="00FB57B1"/>
    <w:rsid w:val="00FC2CF4"/>
    <w:rsid w:val="00FC749C"/>
    <w:rsid w:val="00FE179E"/>
    <w:rsid w:val="00FE40B8"/>
    <w:rsid w:val="00FE5B3E"/>
    <w:rsid w:val="00FE7C3D"/>
    <w:rsid w:val="00FF0060"/>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nhideWhenUsed/>
    <w:rsid w:val="00276B4C"/>
    <w:pPr>
      <w:spacing w:line="240" w:lineRule="auto"/>
    </w:pPr>
  </w:style>
  <w:style w:type="character" w:customStyle="1" w:styleId="CommentTextChar">
    <w:name w:val="Comment Text Char"/>
    <w:basedOn w:val="DefaultParagraphFont"/>
    <w:link w:val="CommentText"/>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uiPriority w:val="99"/>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StyleBold">
    <w:name w:val="Style Bold"/>
    <w:rsid w:val="00FB57B1"/>
    <w:rPr>
      <w:rFonts w:ascii="Times New Roman" w:hAnsi="Times New Roman"/>
      <w:b/>
      <w:bCs/>
    </w:rPr>
  </w:style>
  <w:style w:type="character" w:customStyle="1" w:styleId="StyleItalic">
    <w:name w:val="Style Italic"/>
    <w:rsid w:val="007502C7"/>
    <w:rPr>
      <w:rFonts w:ascii="Times New Roman" w:hAnsi="Times New Roman" w:cs="Times New Roman" w:hint="default"/>
      <w:i/>
      <w:iCs/>
    </w:rPr>
  </w:style>
  <w:style w:type="paragraph" w:styleId="Revision">
    <w:name w:val="Revision"/>
    <w:hidden/>
    <w:uiPriority w:val="99"/>
    <w:semiHidden/>
    <w:rsid w:val="00355416"/>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04">
      <w:bodyDiv w:val="1"/>
      <w:marLeft w:val="0"/>
      <w:marRight w:val="0"/>
      <w:marTop w:val="0"/>
      <w:marBottom w:val="0"/>
      <w:divBdr>
        <w:top w:val="none" w:sz="0" w:space="0" w:color="auto"/>
        <w:left w:val="none" w:sz="0" w:space="0" w:color="auto"/>
        <w:bottom w:val="none" w:sz="0" w:space="0" w:color="auto"/>
        <w:right w:val="none" w:sz="0" w:space="0" w:color="auto"/>
      </w:divBdr>
    </w:div>
    <w:div w:id="235481602">
      <w:bodyDiv w:val="1"/>
      <w:marLeft w:val="0"/>
      <w:marRight w:val="0"/>
      <w:marTop w:val="0"/>
      <w:marBottom w:val="0"/>
      <w:divBdr>
        <w:top w:val="none" w:sz="0" w:space="0" w:color="auto"/>
        <w:left w:val="none" w:sz="0" w:space="0" w:color="auto"/>
        <w:bottom w:val="none" w:sz="0" w:space="0" w:color="auto"/>
        <w:right w:val="none" w:sz="0" w:space="0" w:color="auto"/>
      </w:divBdr>
    </w:div>
    <w:div w:id="306856531">
      <w:bodyDiv w:val="1"/>
      <w:marLeft w:val="0"/>
      <w:marRight w:val="0"/>
      <w:marTop w:val="0"/>
      <w:marBottom w:val="0"/>
      <w:divBdr>
        <w:top w:val="none" w:sz="0" w:space="0" w:color="auto"/>
        <w:left w:val="none" w:sz="0" w:space="0" w:color="auto"/>
        <w:bottom w:val="none" w:sz="0" w:space="0" w:color="auto"/>
        <w:right w:val="none" w:sz="0" w:space="0" w:color="auto"/>
      </w:divBdr>
    </w:div>
    <w:div w:id="349837572">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50461623">
      <w:bodyDiv w:val="1"/>
      <w:marLeft w:val="0"/>
      <w:marRight w:val="0"/>
      <w:marTop w:val="0"/>
      <w:marBottom w:val="0"/>
      <w:divBdr>
        <w:top w:val="none" w:sz="0" w:space="0" w:color="auto"/>
        <w:left w:val="none" w:sz="0" w:space="0" w:color="auto"/>
        <w:bottom w:val="none" w:sz="0" w:space="0" w:color="auto"/>
        <w:right w:val="none" w:sz="0" w:space="0" w:color="auto"/>
      </w:divBdr>
    </w:div>
    <w:div w:id="658505838">
      <w:bodyDiv w:val="1"/>
      <w:marLeft w:val="0"/>
      <w:marRight w:val="0"/>
      <w:marTop w:val="0"/>
      <w:marBottom w:val="0"/>
      <w:divBdr>
        <w:top w:val="none" w:sz="0" w:space="0" w:color="auto"/>
        <w:left w:val="none" w:sz="0" w:space="0" w:color="auto"/>
        <w:bottom w:val="none" w:sz="0" w:space="0" w:color="auto"/>
        <w:right w:val="none" w:sz="0" w:space="0" w:color="auto"/>
      </w:divBdr>
    </w:div>
    <w:div w:id="830101195">
      <w:bodyDiv w:val="1"/>
      <w:marLeft w:val="0"/>
      <w:marRight w:val="0"/>
      <w:marTop w:val="0"/>
      <w:marBottom w:val="0"/>
      <w:divBdr>
        <w:top w:val="none" w:sz="0" w:space="0" w:color="auto"/>
        <w:left w:val="none" w:sz="0" w:space="0" w:color="auto"/>
        <w:bottom w:val="none" w:sz="0" w:space="0" w:color="auto"/>
        <w:right w:val="none" w:sz="0" w:space="0" w:color="auto"/>
      </w:divBdr>
    </w:div>
    <w:div w:id="998312314">
      <w:bodyDiv w:val="1"/>
      <w:marLeft w:val="0"/>
      <w:marRight w:val="0"/>
      <w:marTop w:val="0"/>
      <w:marBottom w:val="0"/>
      <w:divBdr>
        <w:top w:val="none" w:sz="0" w:space="0" w:color="auto"/>
        <w:left w:val="none" w:sz="0" w:space="0" w:color="auto"/>
        <w:bottom w:val="none" w:sz="0" w:space="0" w:color="auto"/>
        <w:right w:val="none" w:sz="0" w:space="0" w:color="auto"/>
      </w:divBdr>
    </w:div>
    <w:div w:id="13294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34948E49-C87A-4B46-A974-9A9D53E2B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AFB73-8CE9-4A1C-B475-52A61B94EEDB}">
  <ds:schemaRefs>
    <ds:schemaRef ds:uri="http://schemas.openxmlformats.org/officeDocument/2006/bibliography"/>
  </ds:schemaRefs>
</ds:datastoreItem>
</file>

<file path=customXml/itemProps4.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2988</Words>
  <Characters>16225</Characters>
  <Application>Microsoft Office Word</Application>
  <DocSecurity>0</DocSecurity>
  <Lines>284</Lines>
  <Paragraphs>115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30</cp:revision>
  <dcterms:created xsi:type="dcterms:W3CDTF">2021-12-06T13:16:00Z</dcterms:created>
  <dcterms:modified xsi:type="dcterms:W3CDTF">2021-12-06T14:42:00Z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