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156CB" w:rsidRPr="00F156CB" w14:paraId="39751FF8" w14:textId="77777777" w:rsidTr="006F149D">
        <w:trPr>
          <w:cantSplit/>
          <w:trHeight w:hRule="exact" w:val="851"/>
        </w:trPr>
        <w:tc>
          <w:tcPr>
            <w:tcW w:w="1276" w:type="dxa"/>
            <w:tcBorders>
              <w:bottom w:val="single" w:sz="4" w:space="0" w:color="auto"/>
            </w:tcBorders>
            <w:vAlign w:val="bottom"/>
          </w:tcPr>
          <w:p w14:paraId="3E7D5353" w14:textId="77777777" w:rsidR="006552CB" w:rsidRPr="00F156CB" w:rsidRDefault="006552CB" w:rsidP="006552C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8F27B67" w14:textId="24DA696D" w:rsidR="006552CB" w:rsidRPr="00F156CB" w:rsidRDefault="006552CB" w:rsidP="00B81C7D">
            <w:pPr>
              <w:jc w:val="right"/>
            </w:pPr>
            <w:r w:rsidRPr="00F156CB">
              <w:rPr>
                <w:sz w:val="40"/>
              </w:rPr>
              <w:t>E</w:t>
            </w:r>
            <w:r w:rsidRPr="00F156CB">
              <w:t>/ECE/324/Rev.1/Add.47/Rev.12/Amend.</w:t>
            </w:r>
            <w:r w:rsidR="00261FC7" w:rsidRPr="00F156CB">
              <w:t>1</w:t>
            </w:r>
            <w:r w:rsidR="0006354E" w:rsidRPr="00F156CB">
              <w:t>1</w:t>
            </w:r>
            <w:r w:rsidRPr="00F156CB">
              <w:t>−</w:t>
            </w:r>
            <w:r w:rsidRPr="00F156CB">
              <w:rPr>
                <w:sz w:val="40"/>
              </w:rPr>
              <w:t>E</w:t>
            </w:r>
            <w:r w:rsidRPr="00F156CB">
              <w:t>/ECE/TRANS</w:t>
            </w:r>
            <w:r w:rsidR="00B81C7D" w:rsidRPr="00F156CB">
              <w:t>/505/Rev.1/Add.47/Rev.12/Amend.</w:t>
            </w:r>
            <w:r w:rsidR="00261FC7" w:rsidRPr="00F156CB">
              <w:t>1</w:t>
            </w:r>
            <w:r w:rsidR="0006354E" w:rsidRPr="00F156CB">
              <w:t>1</w:t>
            </w:r>
          </w:p>
        </w:tc>
      </w:tr>
      <w:tr w:rsidR="00F156CB" w:rsidRPr="00F156CB" w14:paraId="3534B88E" w14:textId="77777777" w:rsidTr="007370A2">
        <w:trPr>
          <w:cantSplit/>
          <w:trHeight w:hRule="exact" w:val="2279"/>
        </w:trPr>
        <w:tc>
          <w:tcPr>
            <w:tcW w:w="1276" w:type="dxa"/>
            <w:tcBorders>
              <w:top w:val="single" w:sz="4" w:space="0" w:color="auto"/>
              <w:bottom w:val="single" w:sz="12" w:space="0" w:color="auto"/>
            </w:tcBorders>
          </w:tcPr>
          <w:p w14:paraId="5D58491B" w14:textId="77777777" w:rsidR="006552CB" w:rsidRPr="00F156CB" w:rsidRDefault="006552CB" w:rsidP="006552CB">
            <w:pPr>
              <w:spacing w:before="120"/>
            </w:pPr>
          </w:p>
        </w:tc>
        <w:tc>
          <w:tcPr>
            <w:tcW w:w="5528" w:type="dxa"/>
            <w:tcBorders>
              <w:top w:val="single" w:sz="4" w:space="0" w:color="auto"/>
              <w:bottom w:val="single" w:sz="12" w:space="0" w:color="auto"/>
            </w:tcBorders>
          </w:tcPr>
          <w:p w14:paraId="1EF96CBF" w14:textId="77777777" w:rsidR="006552CB" w:rsidRPr="00F156CB" w:rsidRDefault="006552CB" w:rsidP="006552CB">
            <w:pPr>
              <w:spacing w:before="120"/>
            </w:pPr>
          </w:p>
        </w:tc>
        <w:tc>
          <w:tcPr>
            <w:tcW w:w="2835" w:type="dxa"/>
            <w:tcBorders>
              <w:top w:val="single" w:sz="4" w:space="0" w:color="auto"/>
              <w:bottom w:val="single" w:sz="12" w:space="0" w:color="auto"/>
            </w:tcBorders>
          </w:tcPr>
          <w:p w14:paraId="61CDB05B" w14:textId="77777777" w:rsidR="006552CB" w:rsidRPr="00F156CB" w:rsidRDefault="006552CB" w:rsidP="006552CB">
            <w:pPr>
              <w:spacing w:before="120"/>
              <w:rPr>
                <w:highlight w:val="yellow"/>
              </w:rPr>
            </w:pPr>
          </w:p>
          <w:p w14:paraId="2AF36C26" w14:textId="77777777" w:rsidR="006552CB" w:rsidRPr="00F156CB" w:rsidRDefault="006552CB" w:rsidP="006552CB">
            <w:pPr>
              <w:spacing w:before="120"/>
              <w:rPr>
                <w:highlight w:val="yellow"/>
              </w:rPr>
            </w:pPr>
          </w:p>
          <w:p w14:paraId="5788C685" w14:textId="5A2ACF2F" w:rsidR="006552CB" w:rsidRPr="00F156CB" w:rsidRDefault="006A6789" w:rsidP="00B81C7D">
            <w:pPr>
              <w:spacing w:before="120"/>
              <w:rPr>
                <w:highlight w:val="yellow"/>
              </w:rPr>
            </w:pPr>
            <w:r w:rsidRPr="00F156CB">
              <w:t>3 Dec</w:t>
            </w:r>
            <w:r w:rsidR="001C4AED" w:rsidRPr="00F156CB">
              <w:t>ember</w:t>
            </w:r>
            <w:r w:rsidR="00AA7609" w:rsidRPr="00F156CB">
              <w:t xml:space="preserve"> </w:t>
            </w:r>
            <w:r w:rsidR="0006354E" w:rsidRPr="00F156CB">
              <w:t>2021</w:t>
            </w:r>
          </w:p>
        </w:tc>
      </w:tr>
    </w:tbl>
    <w:p w14:paraId="4298EA11" w14:textId="77777777" w:rsidR="006552CB" w:rsidRPr="00F156CB" w:rsidRDefault="006552CB" w:rsidP="006552CB">
      <w:pPr>
        <w:pStyle w:val="HChG"/>
        <w:spacing w:before="240" w:after="120"/>
      </w:pPr>
      <w:r w:rsidRPr="00F156CB">
        <w:tab/>
      </w:r>
      <w:r w:rsidRPr="00F156CB">
        <w:tab/>
      </w:r>
      <w:bookmarkStart w:id="3" w:name="_Toc340666199"/>
      <w:bookmarkStart w:id="4" w:name="_Toc340745062"/>
      <w:r w:rsidRPr="00F156CB">
        <w:t>Agreement</w:t>
      </w:r>
      <w:bookmarkEnd w:id="3"/>
      <w:bookmarkEnd w:id="4"/>
    </w:p>
    <w:p w14:paraId="7F5856C7" w14:textId="77777777" w:rsidR="006552CB" w:rsidRPr="00F156CB" w:rsidRDefault="006552CB" w:rsidP="006552CB">
      <w:pPr>
        <w:pStyle w:val="H1G"/>
        <w:spacing w:before="240"/>
      </w:pPr>
      <w:r w:rsidRPr="00F156CB">
        <w:rPr>
          <w:rStyle w:val="H1GChar"/>
        </w:rPr>
        <w:tab/>
      </w:r>
      <w:r w:rsidRPr="00F156CB">
        <w:rPr>
          <w:rStyle w:val="H1GChar"/>
        </w:rPr>
        <w:tab/>
      </w:r>
      <w:r w:rsidRPr="00F156CB">
        <w:t>Concerning the</w:t>
      </w:r>
      <w:r w:rsidRPr="00F156CB">
        <w:rPr>
          <w:smallCaps/>
        </w:rPr>
        <w:t xml:space="preserve"> </w:t>
      </w:r>
      <w:r w:rsidRPr="00F156C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F156CB">
        <w:rPr>
          <w:rStyle w:val="FootnoteReference"/>
          <w:b w:val="0"/>
          <w:sz w:val="20"/>
          <w:vertAlign w:val="baseline"/>
        </w:rPr>
        <w:footnoteReference w:customMarkFollows="1" w:id="2"/>
        <w:t>*</w:t>
      </w:r>
    </w:p>
    <w:p w14:paraId="7B0610DE" w14:textId="77777777" w:rsidR="006552CB" w:rsidRPr="00F156CB" w:rsidRDefault="006552CB" w:rsidP="006552CB">
      <w:pPr>
        <w:pStyle w:val="SingleTxtG"/>
        <w:spacing w:before="120"/>
      </w:pPr>
      <w:r w:rsidRPr="00F156CB">
        <w:t>(Revision 3, including the amendments which entered into force on 14 September 2017)</w:t>
      </w:r>
    </w:p>
    <w:p w14:paraId="32C2092A" w14:textId="77777777" w:rsidR="006552CB" w:rsidRPr="00F156CB" w:rsidRDefault="006552CB" w:rsidP="006552CB">
      <w:pPr>
        <w:pStyle w:val="H1G"/>
        <w:spacing w:before="120"/>
        <w:ind w:left="0" w:right="0" w:firstLine="0"/>
        <w:jc w:val="center"/>
      </w:pPr>
      <w:r w:rsidRPr="00F156CB">
        <w:t>_________</w:t>
      </w:r>
    </w:p>
    <w:p w14:paraId="58E6551E" w14:textId="77777777" w:rsidR="006552CB" w:rsidRPr="00F156CB" w:rsidRDefault="006552CB" w:rsidP="006552CB">
      <w:pPr>
        <w:pStyle w:val="H1G"/>
        <w:spacing w:before="240" w:after="120"/>
      </w:pPr>
      <w:r w:rsidRPr="00F156CB">
        <w:tab/>
      </w:r>
      <w:r w:rsidRPr="00F156CB">
        <w:tab/>
        <w:t>Addendum 47 – UN Regulation No. 48</w:t>
      </w:r>
    </w:p>
    <w:p w14:paraId="175C36F8" w14:textId="4E882BCF" w:rsidR="006552CB" w:rsidRPr="00F156CB" w:rsidRDefault="006552CB" w:rsidP="006552CB">
      <w:pPr>
        <w:pStyle w:val="H1G"/>
        <w:spacing w:before="240"/>
      </w:pPr>
      <w:r w:rsidRPr="00F156CB">
        <w:tab/>
      </w:r>
      <w:r w:rsidRPr="00F156CB">
        <w:tab/>
        <w:t xml:space="preserve">Revision 12 - Amendment </w:t>
      </w:r>
      <w:r w:rsidR="00261FC7" w:rsidRPr="00F156CB">
        <w:t>1</w:t>
      </w:r>
      <w:r w:rsidR="0006354E" w:rsidRPr="00F156CB">
        <w:t>1</w:t>
      </w:r>
    </w:p>
    <w:p w14:paraId="47B57E1E" w14:textId="7101A120" w:rsidR="006552CB" w:rsidRPr="00F156CB" w:rsidRDefault="0006354E" w:rsidP="0006354E">
      <w:pPr>
        <w:pStyle w:val="SingleTxtG"/>
        <w:spacing w:after="360"/>
        <w:rPr>
          <w:spacing w:val="-2"/>
        </w:rPr>
      </w:pPr>
      <w:r w:rsidRPr="00F156CB">
        <w:rPr>
          <w:spacing w:val="-2"/>
        </w:rPr>
        <w:t xml:space="preserve">Supplement 14 to </w:t>
      </w:r>
      <w:r w:rsidR="00F83813" w:rsidRPr="00F156CB">
        <w:rPr>
          <w:spacing w:val="-2"/>
        </w:rPr>
        <w:t xml:space="preserve">the </w:t>
      </w:r>
      <w:r w:rsidR="00261FC7" w:rsidRPr="00F156CB">
        <w:rPr>
          <w:spacing w:val="-2"/>
        </w:rPr>
        <w:t>0</w:t>
      </w:r>
      <w:r w:rsidR="00F83813" w:rsidRPr="00F156CB">
        <w:rPr>
          <w:spacing w:val="-2"/>
        </w:rPr>
        <w:t>6</w:t>
      </w:r>
      <w:r w:rsidR="006552CB" w:rsidRPr="00F156CB">
        <w:rPr>
          <w:spacing w:val="-2"/>
        </w:rPr>
        <w:t xml:space="preserve"> series of amendments – Date of entry into force: </w:t>
      </w:r>
      <w:r w:rsidR="00F83813" w:rsidRPr="00F156CB">
        <w:t>30</w:t>
      </w:r>
      <w:r w:rsidR="006552CB" w:rsidRPr="00F156CB">
        <w:t xml:space="preserve"> </w:t>
      </w:r>
      <w:r w:rsidR="00261FC7" w:rsidRPr="00F156CB">
        <w:t>September</w:t>
      </w:r>
      <w:r w:rsidR="00B81C7D" w:rsidRPr="00F156CB">
        <w:t xml:space="preserve"> 202</w:t>
      </w:r>
      <w:r w:rsidR="00F83813" w:rsidRPr="00F156CB">
        <w:t>1</w:t>
      </w:r>
    </w:p>
    <w:p w14:paraId="18B41D51" w14:textId="23AD55A4" w:rsidR="006552CB" w:rsidRPr="00F156CB" w:rsidRDefault="006552CB" w:rsidP="006552CB">
      <w:pPr>
        <w:pStyle w:val="H1G"/>
        <w:spacing w:before="120" w:after="120" w:line="240" w:lineRule="exact"/>
        <w:rPr>
          <w:lang w:val="en-US"/>
        </w:rPr>
      </w:pPr>
      <w:r w:rsidRPr="00F156CB">
        <w:rPr>
          <w:lang w:val="en-US"/>
        </w:rPr>
        <w:tab/>
      </w:r>
      <w:r w:rsidRPr="00F156CB">
        <w:rPr>
          <w:lang w:val="en-US"/>
        </w:rPr>
        <w:tab/>
      </w:r>
      <w:r w:rsidR="00E05CB7" w:rsidRPr="00F156CB">
        <w:t>Uniform provisions concerning the approval of vehicles with regard to the installation of lighting and light-signalling devices</w:t>
      </w:r>
    </w:p>
    <w:p w14:paraId="50D56CCA" w14:textId="4C79BB06" w:rsidR="006552CB" w:rsidRPr="00F156CB" w:rsidRDefault="006552CB" w:rsidP="00C70F28">
      <w:pPr>
        <w:pStyle w:val="SingleTxtG"/>
        <w:spacing w:after="40"/>
        <w:jc w:val="left"/>
        <w:rPr>
          <w:lang w:eastAsia="en-GB"/>
        </w:rPr>
      </w:pPr>
      <w:r w:rsidRPr="00F156CB">
        <w:rPr>
          <w:spacing w:val="-4"/>
          <w:lang w:eastAsia="en-GB"/>
        </w:rPr>
        <w:t>This document is meant purely as documentation tool. The authentic and legal binding text is:</w:t>
      </w:r>
      <w:r w:rsidRPr="00F156CB">
        <w:rPr>
          <w:lang w:eastAsia="en-GB"/>
        </w:rPr>
        <w:t xml:space="preserve"> </w:t>
      </w:r>
      <w:r w:rsidRPr="00F156CB">
        <w:rPr>
          <w:spacing w:val="-6"/>
          <w:lang w:eastAsia="en-GB"/>
        </w:rPr>
        <w:t>ECE/TRANS/WP.29/20</w:t>
      </w:r>
      <w:r w:rsidR="00261FC7" w:rsidRPr="00F156CB">
        <w:rPr>
          <w:spacing w:val="-6"/>
          <w:lang w:eastAsia="en-GB"/>
        </w:rPr>
        <w:t>2</w:t>
      </w:r>
      <w:r w:rsidR="00F83813" w:rsidRPr="00F156CB">
        <w:rPr>
          <w:spacing w:val="-6"/>
          <w:lang w:eastAsia="en-GB"/>
        </w:rPr>
        <w:t>1</w:t>
      </w:r>
      <w:r w:rsidRPr="00F156CB">
        <w:rPr>
          <w:spacing w:val="-6"/>
          <w:lang w:eastAsia="en-GB"/>
        </w:rPr>
        <w:t>/</w:t>
      </w:r>
      <w:r w:rsidR="00F83813" w:rsidRPr="00F156CB">
        <w:rPr>
          <w:spacing w:val="-6"/>
          <w:lang w:eastAsia="en-GB"/>
        </w:rPr>
        <w:t>30</w:t>
      </w:r>
      <w:r w:rsidR="00261FC7" w:rsidRPr="00F156CB">
        <w:rPr>
          <w:spacing w:val="-6"/>
          <w:lang w:eastAsia="en-GB"/>
        </w:rPr>
        <w:t xml:space="preserve"> (as amended by paragraph </w:t>
      </w:r>
      <w:r w:rsidR="00F83813" w:rsidRPr="00F156CB">
        <w:rPr>
          <w:spacing w:val="-6"/>
          <w:lang w:eastAsia="en-GB"/>
        </w:rPr>
        <w:t>85</w:t>
      </w:r>
      <w:r w:rsidR="00261FC7" w:rsidRPr="00F156CB">
        <w:rPr>
          <w:spacing w:val="-6"/>
          <w:lang w:eastAsia="en-GB"/>
        </w:rPr>
        <w:t xml:space="preserve"> of the report ECE/TRANS/WP.29/115</w:t>
      </w:r>
      <w:r w:rsidR="006E4117" w:rsidRPr="00F156CB">
        <w:rPr>
          <w:spacing w:val="-6"/>
          <w:lang w:eastAsia="en-GB"/>
        </w:rPr>
        <w:t>7</w:t>
      </w:r>
      <w:r w:rsidR="00261FC7" w:rsidRPr="00F156CB">
        <w:rPr>
          <w:spacing w:val="-6"/>
          <w:lang w:eastAsia="en-GB"/>
        </w:rPr>
        <w:t>)</w:t>
      </w:r>
      <w:r w:rsidR="00EF6B0B" w:rsidRPr="00F156CB">
        <w:rPr>
          <w:spacing w:val="-6"/>
          <w:lang w:eastAsia="en-GB"/>
        </w:rPr>
        <w:t>.</w:t>
      </w:r>
    </w:p>
    <w:p w14:paraId="26BB5C59" w14:textId="77777777" w:rsidR="006552CB" w:rsidRPr="00F156CB" w:rsidRDefault="006552CB" w:rsidP="006552CB">
      <w:pPr>
        <w:suppressAutoHyphens w:val="0"/>
        <w:spacing w:line="240" w:lineRule="auto"/>
        <w:jc w:val="center"/>
        <w:rPr>
          <w:b/>
          <w:sz w:val="24"/>
        </w:rPr>
      </w:pPr>
      <w:r w:rsidRPr="00F156CB">
        <w:rPr>
          <w:b/>
          <w:noProof/>
          <w:sz w:val="24"/>
          <w:lang w:val="en-US"/>
        </w:rPr>
        <w:drawing>
          <wp:anchor distT="0" distB="137160" distL="114300" distR="114300" simplePos="0" relativeHeight="251685376" behindDoc="0" locked="0" layoutInCell="1" allowOverlap="1" wp14:anchorId="33EF75FD" wp14:editId="048E3EC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F156CB">
        <w:rPr>
          <w:b/>
          <w:sz w:val="24"/>
        </w:rPr>
        <w:t>_________</w:t>
      </w:r>
    </w:p>
    <w:p w14:paraId="7CD28970" w14:textId="70D1C2D2" w:rsidR="00B81C7D" w:rsidRPr="00F156CB" w:rsidRDefault="006552CB" w:rsidP="006552CB">
      <w:pPr>
        <w:suppressAutoHyphens w:val="0"/>
        <w:spacing w:line="240" w:lineRule="auto"/>
        <w:jc w:val="center"/>
        <w:rPr>
          <w:b/>
          <w:sz w:val="24"/>
        </w:rPr>
      </w:pPr>
      <w:r w:rsidRPr="00F156CB">
        <w:rPr>
          <w:b/>
          <w:sz w:val="24"/>
        </w:rPr>
        <w:t>UNITED NATIONS</w:t>
      </w:r>
      <w:bookmarkEnd w:id="1"/>
    </w:p>
    <w:p w14:paraId="3A2BE8D4" w14:textId="77777777" w:rsidR="00B81C7D" w:rsidRPr="00F156CB" w:rsidRDefault="00B81C7D">
      <w:pPr>
        <w:suppressAutoHyphens w:val="0"/>
        <w:spacing w:line="240" w:lineRule="auto"/>
        <w:rPr>
          <w:b/>
          <w:sz w:val="24"/>
        </w:rPr>
      </w:pPr>
      <w:r w:rsidRPr="00F156CB">
        <w:rPr>
          <w:b/>
          <w:sz w:val="24"/>
        </w:rPr>
        <w:br w:type="page"/>
      </w:r>
    </w:p>
    <w:bookmarkEnd w:id="2"/>
    <w:p w14:paraId="5CC2D739" w14:textId="77777777" w:rsidR="006E4117" w:rsidRPr="006E4117" w:rsidRDefault="006E4117" w:rsidP="006E4117">
      <w:pPr>
        <w:spacing w:after="120"/>
        <w:ind w:left="1134" w:right="1134"/>
        <w:jc w:val="both"/>
        <w:rPr>
          <w:rFonts w:asciiTheme="majorBidi" w:hAnsiTheme="majorBidi" w:cstheme="majorBidi"/>
        </w:rPr>
      </w:pPr>
      <w:r w:rsidRPr="006E4117">
        <w:rPr>
          <w:rFonts w:asciiTheme="majorBidi" w:hAnsiTheme="majorBidi" w:cstheme="majorBidi"/>
          <w:i/>
        </w:rPr>
        <w:lastRenderedPageBreak/>
        <w:t xml:space="preserve">Paragraph 2.1.5., </w:t>
      </w:r>
      <w:r w:rsidRPr="006E4117">
        <w:rPr>
          <w:rFonts w:asciiTheme="majorBidi" w:hAnsiTheme="majorBidi" w:cstheme="majorBidi"/>
        </w:rPr>
        <w:t>amend to read:</w:t>
      </w:r>
    </w:p>
    <w:p w14:paraId="39C79C3F" w14:textId="77777777" w:rsidR="006E4117" w:rsidRPr="006E4117" w:rsidRDefault="006E4117" w:rsidP="006E4117">
      <w:pPr>
        <w:pStyle w:val="CommentText"/>
        <w:spacing w:after="120"/>
        <w:ind w:left="2268" w:right="1134" w:hanging="1134"/>
        <w:jc w:val="both"/>
        <w:rPr>
          <w:rFonts w:asciiTheme="majorBidi" w:hAnsiTheme="majorBidi" w:cstheme="majorBidi"/>
          <w:lang w:val="en-US"/>
        </w:rPr>
      </w:pPr>
      <w:r w:rsidRPr="006E4117">
        <w:rPr>
          <w:rFonts w:asciiTheme="majorBidi" w:hAnsiTheme="majorBidi" w:cstheme="majorBidi"/>
          <w:lang w:val="en-US"/>
        </w:rPr>
        <w:t xml:space="preserve">"2.1.5. </w:t>
      </w:r>
      <w:r w:rsidRPr="006E4117">
        <w:rPr>
          <w:rFonts w:asciiTheme="majorBidi" w:hAnsiTheme="majorBidi" w:cstheme="majorBidi"/>
          <w:lang w:val="en-US"/>
        </w:rPr>
        <w:tab/>
      </w:r>
      <w:r w:rsidRPr="006E4117">
        <w:rPr>
          <w:rFonts w:asciiTheme="majorBidi" w:hAnsiTheme="majorBidi" w:cstheme="majorBidi"/>
          <w:color w:val="000000"/>
          <w:lang w:eastAsia="it-IT"/>
        </w:rPr>
        <w:t>"</w:t>
      </w:r>
      <w:r w:rsidRPr="006E4117">
        <w:rPr>
          <w:rFonts w:asciiTheme="majorBidi" w:hAnsiTheme="majorBidi" w:cstheme="majorBidi"/>
          <w:i/>
        </w:rPr>
        <w:t>Lamp</w:t>
      </w:r>
      <w:r w:rsidRPr="006E4117">
        <w:rPr>
          <w:rFonts w:asciiTheme="majorBidi" w:hAnsiTheme="majorBidi" w:cstheme="majorBidi"/>
          <w:color w:val="000000"/>
          <w:lang w:eastAsia="it-IT"/>
        </w:rPr>
        <w:t xml:space="preserve">" means a device designed to illuminate the road or to emit a light signal to other road users. Rear registration plate lamps and </w:t>
      </w:r>
      <w:proofErr w:type="gramStart"/>
      <w:r w:rsidRPr="006E4117">
        <w:rPr>
          <w:rFonts w:asciiTheme="majorBidi" w:hAnsiTheme="majorBidi" w:cstheme="majorBidi"/>
          <w:color w:val="000000"/>
          <w:lang w:eastAsia="it-IT"/>
        </w:rPr>
        <w:t>retro-reflectors</w:t>
      </w:r>
      <w:proofErr w:type="gramEnd"/>
      <w:r w:rsidRPr="006E4117">
        <w:rPr>
          <w:rFonts w:asciiTheme="majorBidi" w:hAnsiTheme="majorBidi" w:cstheme="majorBidi"/>
          <w:color w:val="000000"/>
          <w:lang w:eastAsia="it-IT"/>
        </w:rPr>
        <w:t xml:space="preserve"> are likewise to be regarded as lamps. For the purpose of this Regulation, light-emitting rear registration plates, the service-door-lighting system according to the provisions of UN Regulation No. 107 on vehicles of categories M</w:t>
      </w:r>
      <w:r w:rsidRPr="006E4117">
        <w:rPr>
          <w:rFonts w:asciiTheme="majorBidi" w:hAnsiTheme="majorBidi" w:cstheme="majorBidi"/>
          <w:color w:val="000000"/>
          <w:vertAlign w:val="subscript"/>
          <w:lang w:eastAsia="it-IT"/>
        </w:rPr>
        <w:t>2</w:t>
      </w:r>
      <w:r w:rsidRPr="006E4117">
        <w:rPr>
          <w:rFonts w:asciiTheme="majorBidi" w:hAnsiTheme="majorBidi" w:cstheme="majorBidi"/>
          <w:color w:val="000000"/>
          <w:lang w:eastAsia="it-IT"/>
        </w:rPr>
        <w:t xml:space="preserve"> and M</w:t>
      </w:r>
      <w:r w:rsidRPr="006E4117">
        <w:rPr>
          <w:rFonts w:asciiTheme="majorBidi" w:hAnsiTheme="majorBidi" w:cstheme="majorBidi"/>
          <w:color w:val="000000"/>
          <w:vertAlign w:val="subscript"/>
          <w:lang w:eastAsia="it-IT"/>
        </w:rPr>
        <w:t>3</w:t>
      </w:r>
      <w:r w:rsidRPr="006E4117">
        <w:rPr>
          <w:rFonts w:asciiTheme="majorBidi" w:hAnsiTheme="majorBidi" w:cstheme="majorBidi"/>
          <w:color w:val="000000"/>
          <w:lang w:eastAsia="it-IT"/>
        </w:rPr>
        <w:t xml:space="preserve"> </w:t>
      </w:r>
      <w:r w:rsidRPr="006E4117">
        <w:rPr>
          <w:rFonts w:asciiTheme="majorBidi" w:hAnsiTheme="majorBidi" w:cstheme="majorBidi"/>
        </w:rPr>
        <w:t xml:space="preserve">and </w:t>
      </w:r>
      <w:r w:rsidRPr="006E4117">
        <w:rPr>
          <w:rFonts w:asciiTheme="majorBidi" w:hAnsiTheme="majorBidi" w:cstheme="majorBidi"/>
          <w:color w:val="000000" w:themeColor="text1"/>
        </w:rPr>
        <w:t xml:space="preserve">external status indicator as defined in this Regulation </w:t>
      </w:r>
      <w:r w:rsidRPr="006E4117">
        <w:rPr>
          <w:rFonts w:asciiTheme="majorBidi" w:hAnsiTheme="majorBidi" w:cstheme="majorBidi"/>
          <w:color w:val="000000"/>
          <w:lang w:eastAsia="it-IT"/>
        </w:rPr>
        <w:t>are not considered as lamps</w:t>
      </w:r>
      <w:r w:rsidRPr="006E4117">
        <w:rPr>
          <w:rFonts w:asciiTheme="majorBidi" w:hAnsiTheme="majorBidi" w:cstheme="majorBidi"/>
          <w:lang w:val="en-US"/>
        </w:rPr>
        <w:t>."</w:t>
      </w:r>
    </w:p>
    <w:p w14:paraId="39C1DE00" w14:textId="77777777" w:rsidR="006E4117" w:rsidRPr="006E4117" w:rsidRDefault="006E4117" w:rsidP="006E4117">
      <w:pPr>
        <w:spacing w:after="120"/>
        <w:ind w:left="1134" w:right="1134"/>
        <w:jc w:val="both"/>
        <w:rPr>
          <w:rFonts w:asciiTheme="majorBidi" w:hAnsiTheme="majorBidi" w:cstheme="majorBidi"/>
        </w:rPr>
      </w:pPr>
      <w:r w:rsidRPr="006E4117">
        <w:rPr>
          <w:rFonts w:asciiTheme="majorBidi" w:hAnsiTheme="majorBidi" w:cstheme="majorBidi"/>
          <w:i/>
        </w:rPr>
        <w:t xml:space="preserve">Insert a new paragraph 2.5.20. </w:t>
      </w:r>
      <w:r w:rsidRPr="006E4117">
        <w:rPr>
          <w:rFonts w:asciiTheme="majorBidi" w:hAnsiTheme="majorBidi" w:cstheme="majorBidi"/>
          <w:iCs/>
        </w:rPr>
        <w:t>to read:</w:t>
      </w:r>
    </w:p>
    <w:p w14:paraId="5D6E79EB" w14:textId="77777777" w:rsidR="006E4117" w:rsidRPr="006E4117" w:rsidRDefault="006E4117" w:rsidP="006E4117">
      <w:pPr>
        <w:pStyle w:val="CommentText"/>
        <w:spacing w:after="120"/>
        <w:ind w:left="2268" w:right="1134" w:hanging="1134"/>
        <w:jc w:val="both"/>
        <w:rPr>
          <w:rFonts w:asciiTheme="majorBidi" w:hAnsiTheme="majorBidi" w:cstheme="majorBidi"/>
          <w:lang w:val="en-US"/>
        </w:rPr>
      </w:pPr>
      <w:r w:rsidRPr="006E4117">
        <w:rPr>
          <w:rFonts w:asciiTheme="majorBidi" w:hAnsiTheme="majorBidi" w:cstheme="majorBidi"/>
          <w:lang w:val="en-US"/>
        </w:rPr>
        <w:t>"2.5.20.</w:t>
      </w:r>
      <w:r w:rsidRPr="006E4117">
        <w:rPr>
          <w:rFonts w:asciiTheme="majorBidi" w:hAnsiTheme="majorBidi" w:cstheme="majorBidi"/>
          <w:lang w:val="en-US"/>
        </w:rPr>
        <w:tab/>
        <w:t>"</w:t>
      </w:r>
      <w:r w:rsidRPr="006E4117">
        <w:rPr>
          <w:rFonts w:asciiTheme="majorBidi" w:hAnsiTheme="majorBidi" w:cstheme="majorBidi"/>
          <w:i/>
          <w:iCs/>
          <w:lang w:val="en-US"/>
        </w:rPr>
        <w:t>External status indicator</w:t>
      </w:r>
      <w:r w:rsidRPr="006E4117">
        <w:rPr>
          <w:rFonts w:asciiTheme="majorBidi" w:hAnsiTheme="majorBidi" w:cstheme="majorBidi"/>
          <w:lang w:val="en-US"/>
        </w:rPr>
        <w:t xml:space="preserve">" means an optical signal mounted on the outside of the vehicle to indicate </w:t>
      </w:r>
      <w:r w:rsidRPr="006E4117">
        <w:rPr>
          <w:rFonts w:asciiTheme="majorBidi" w:hAnsiTheme="majorBidi" w:cstheme="majorBidi"/>
          <w:iCs/>
          <w:lang w:val="en-US"/>
        </w:rPr>
        <w:t>the</w:t>
      </w:r>
      <w:r w:rsidRPr="006E4117">
        <w:rPr>
          <w:rFonts w:asciiTheme="majorBidi" w:hAnsiTheme="majorBidi" w:cstheme="majorBidi"/>
          <w:lang w:val="en-US"/>
        </w:rPr>
        <w:t xml:space="preserve"> status or the change of the status for Vehicle Alarm System (VAS), Alarm System (AS) and immobilizer of UN Regulations No. 97 and No. 116, when the vehicle is parked."</w:t>
      </w:r>
    </w:p>
    <w:p w14:paraId="724816FE" w14:textId="77777777" w:rsidR="006E4117" w:rsidRPr="006E4117" w:rsidRDefault="006E4117" w:rsidP="006E4117">
      <w:pPr>
        <w:pStyle w:val="SingleTxtG"/>
        <w:spacing w:line="240" w:lineRule="exact"/>
        <w:ind w:left="2268" w:right="567" w:hanging="1134"/>
        <w:rPr>
          <w:rFonts w:asciiTheme="majorBidi" w:hAnsiTheme="majorBidi" w:cstheme="majorBidi"/>
          <w:iCs/>
          <w:lang w:eastAsia="ja-JP"/>
        </w:rPr>
      </w:pPr>
      <w:r w:rsidRPr="006E4117">
        <w:rPr>
          <w:rFonts w:asciiTheme="majorBidi" w:hAnsiTheme="majorBidi" w:cstheme="majorBidi"/>
          <w:i/>
          <w:iCs/>
          <w:lang w:eastAsia="ja-JP"/>
        </w:rPr>
        <w:t xml:space="preserve">Paragraph 2.9.2., </w:t>
      </w:r>
      <w:r w:rsidRPr="006E4117">
        <w:rPr>
          <w:rFonts w:asciiTheme="majorBidi" w:hAnsiTheme="majorBidi" w:cstheme="majorBidi"/>
          <w:iCs/>
          <w:lang w:eastAsia="ja-JP"/>
        </w:rPr>
        <w:t>amend to read:</w:t>
      </w:r>
    </w:p>
    <w:p w14:paraId="52A6FA52" w14:textId="77777777" w:rsidR="006E4117" w:rsidRPr="006E4117" w:rsidRDefault="006E4117" w:rsidP="006E4117">
      <w:pPr>
        <w:pStyle w:val="para"/>
        <w:rPr>
          <w:rFonts w:asciiTheme="majorBidi" w:hAnsiTheme="majorBidi" w:cstheme="majorBidi"/>
          <w:bCs/>
          <w:iCs/>
          <w:lang w:val="en-US"/>
        </w:rPr>
      </w:pPr>
      <w:r w:rsidRPr="006E4117">
        <w:rPr>
          <w:rFonts w:asciiTheme="majorBidi" w:hAnsiTheme="majorBidi" w:cstheme="majorBidi"/>
          <w:bCs/>
          <w:iCs/>
          <w:lang w:val="en-US"/>
        </w:rPr>
        <w:t>"2.9.2.</w:t>
      </w:r>
      <w:r w:rsidRPr="006E4117">
        <w:rPr>
          <w:rFonts w:asciiTheme="majorBidi" w:hAnsiTheme="majorBidi" w:cstheme="majorBidi"/>
          <w:bCs/>
          <w:iCs/>
          <w:lang w:val="en-US"/>
        </w:rPr>
        <w:tab/>
        <w:t>"</w:t>
      </w:r>
      <w:r w:rsidRPr="006E4117">
        <w:rPr>
          <w:rFonts w:asciiTheme="majorBidi" w:hAnsiTheme="majorBidi" w:cstheme="majorBidi"/>
          <w:bCs/>
          <w:i/>
          <w:iCs/>
          <w:lang w:val="en-US"/>
        </w:rPr>
        <w:t>Electronic light source control gear</w:t>
      </w:r>
      <w:r w:rsidRPr="006E4117">
        <w:rPr>
          <w:rFonts w:asciiTheme="majorBidi" w:hAnsiTheme="majorBidi" w:cstheme="majorBidi"/>
          <w:bCs/>
          <w:iCs/>
          <w:lang w:val="en-US"/>
        </w:rPr>
        <w:t xml:space="preserve">" means one or more components between supply and light source to control voltage and/ or electrical current of the light source." </w:t>
      </w:r>
    </w:p>
    <w:p w14:paraId="6ADDF2EE" w14:textId="77777777" w:rsidR="006E4117" w:rsidRPr="006E4117" w:rsidRDefault="006E4117" w:rsidP="006E4117">
      <w:pPr>
        <w:pStyle w:val="SingleTxtG"/>
        <w:spacing w:line="240" w:lineRule="exact"/>
        <w:ind w:left="2268" w:right="567" w:hanging="1134"/>
        <w:rPr>
          <w:rFonts w:asciiTheme="majorBidi" w:hAnsiTheme="majorBidi" w:cstheme="majorBidi"/>
          <w:iCs/>
          <w:lang w:eastAsia="ja-JP"/>
        </w:rPr>
      </w:pPr>
      <w:r w:rsidRPr="006E4117">
        <w:rPr>
          <w:rFonts w:asciiTheme="majorBidi" w:hAnsiTheme="majorBidi" w:cstheme="majorBidi"/>
          <w:i/>
          <w:iCs/>
          <w:lang w:eastAsia="ja-JP"/>
        </w:rPr>
        <w:t xml:space="preserve">Paragraph 2.9.2.2., </w:t>
      </w:r>
      <w:r w:rsidRPr="006E4117">
        <w:rPr>
          <w:rFonts w:asciiTheme="majorBidi" w:hAnsiTheme="majorBidi" w:cstheme="majorBidi"/>
          <w:iCs/>
          <w:lang w:eastAsia="ja-JP"/>
        </w:rPr>
        <w:t>delete.</w:t>
      </w:r>
    </w:p>
    <w:p w14:paraId="5FBD77D0" w14:textId="77777777" w:rsidR="006E4117" w:rsidRPr="006E4117" w:rsidRDefault="006E4117" w:rsidP="006E4117">
      <w:pPr>
        <w:spacing w:after="120"/>
        <w:ind w:left="1134" w:right="1134"/>
        <w:jc w:val="both"/>
        <w:rPr>
          <w:rFonts w:asciiTheme="majorBidi" w:hAnsiTheme="majorBidi" w:cstheme="majorBidi"/>
        </w:rPr>
      </w:pPr>
      <w:r w:rsidRPr="006E4117">
        <w:rPr>
          <w:rFonts w:asciiTheme="majorBidi" w:hAnsiTheme="majorBidi" w:cstheme="majorBidi"/>
          <w:i/>
        </w:rPr>
        <w:t xml:space="preserve">Paragraph 5.7.2.1., </w:t>
      </w:r>
      <w:r w:rsidRPr="006E4117">
        <w:rPr>
          <w:rFonts w:asciiTheme="majorBidi" w:hAnsiTheme="majorBidi" w:cstheme="majorBidi"/>
        </w:rPr>
        <w:t>amend to read:</w:t>
      </w:r>
    </w:p>
    <w:p w14:paraId="02AA6160" w14:textId="4787A5AB" w:rsidR="006E4117" w:rsidRPr="006E4117" w:rsidRDefault="006E4117" w:rsidP="006E4117">
      <w:pPr>
        <w:spacing w:after="120"/>
        <w:ind w:left="2268" w:right="1134" w:hanging="1134"/>
        <w:jc w:val="both"/>
        <w:rPr>
          <w:rFonts w:asciiTheme="majorBidi" w:hAnsiTheme="majorBidi" w:cstheme="majorBidi"/>
        </w:rPr>
      </w:pPr>
      <w:r w:rsidRPr="006E4117">
        <w:rPr>
          <w:rFonts w:asciiTheme="majorBidi" w:hAnsiTheme="majorBidi" w:cstheme="majorBidi"/>
          <w:lang w:val="en-US"/>
        </w:rPr>
        <w:t xml:space="preserve">"5.7.2.1. </w:t>
      </w:r>
      <w:r w:rsidRPr="006E4117">
        <w:rPr>
          <w:rFonts w:asciiTheme="majorBidi" w:hAnsiTheme="majorBidi" w:cstheme="majorBidi"/>
          <w:lang w:val="en-US"/>
        </w:rPr>
        <w:tab/>
      </w:r>
      <w:r w:rsidRPr="006E4117">
        <w:rPr>
          <w:rFonts w:asciiTheme="majorBidi" w:hAnsiTheme="majorBidi" w:cstheme="majorBidi"/>
        </w:rPr>
        <w:t xml:space="preserve">Single lamps as defined in paragraph </w:t>
      </w:r>
      <w:r w:rsidR="00B71F61">
        <w:rPr>
          <w:rFonts w:asciiTheme="majorBidi" w:hAnsiTheme="majorBidi" w:cstheme="majorBidi"/>
        </w:rPr>
        <w:t>2.4.11.1.</w:t>
      </w:r>
      <w:r w:rsidRPr="006E4117">
        <w:rPr>
          <w:rFonts w:asciiTheme="majorBidi" w:hAnsiTheme="majorBidi" w:cstheme="majorBidi"/>
        </w:rPr>
        <w:t>, subparagraph (a), the apparent surface of which is composed of two or more distinct parts, shall be installed in such a way that:</w:t>
      </w:r>
    </w:p>
    <w:p w14:paraId="5D66482F" w14:textId="77777777" w:rsidR="006E4117" w:rsidRPr="006E4117" w:rsidRDefault="006E4117" w:rsidP="006E4117">
      <w:pPr>
        <w:spacing w:after="120"/>
        <w:ind w:left="2835" w:right="1133" w:hanging="567"/>
        <w:jc w:val="both"/>
        <w:rPr>
          <w:rFonts w:asciiTheme="majorBidi" w:hAnsiTheme="majorBidi" w:cstheme="majorBidi"/>
          <w:iCs/>
        </w:rPr>
      </w:pPr>
      <w:r w:rsidRPr="006E4117">
        <w:rPr>
          <w:rFonts w:asciiTheme="majorBidi" w:hAnsiTheme="majorBidi" w:cstheme="majorBidi"/>
          <w:iCs/>
        </w:rPr>
        <w:t>(a)</w:t>
      </w:r>
      <w:r w:rsidRPr="006E4117">
        <w:rPr>
          <w:rFonts w:asciiTheme="majorBidi" w:hAnsiTheme="majorBidi" w:cstheme="majorBidi"/>
          <w:iCs/>
        </w:rPr>
        <w:tab/>
        <w:t xml:space="preserve">Either the total area of the projection of the distinct parts </w:t>
      </w:r>
      <w:bookmarkStart w:id="5" w:name="_Hlk33693159"/>
      <w:r w:rsidRPr="006E4117">
        <w:rPr>
          <w:rFonts w:asciiTheme="majorBidi" w:hAnsiTheme="majorBidi" w:cstheme="majorBidi"/>
          <w:iCs/>
        </w:rPr>
        <w:t xml:space="preserve">of the apparent surface in the direction of the reference axis </w:t>
      </w:r>
      <w:bookmarkEnd w:id="5"/>
      <w:r w:rsidRPr="006E4117">
        <w:rPr>
          <w:rFonts w:asciiTheme="majorBidi" w:hAnsiTheme="majorBidi" w:cstheme="majorBidi"/>
          <w:iCs/>
        </w:rPr>
        <w:t>on a plane tangent to the exterior surface of the outer lens and perpendicular to the reference axis shall occupy not less than 60 per cent of the smallest quadrilateral circumscribing the projection</w:t>
      </w:r>
      <w:r w:rsidRPr="006E4117">
        <w:rPr>
          <w:rFonts w:asciiTheme="majorBidi" w:hAnsiTheme="majorBidi" w:cstheme="majorBidi"/>
        </w:rPr>
        <w:t xml:space="preserve"> of the said </w:t>
      </w:r>
      <w:bookmarkStart w:id="6" w:name="_Hlk33693272"/>
      <w:r w:rsidRPr="006E4117">
        <w:rPr>
          <w:rFonts w:asciiTheme="majorBidi" w:hAnsiTheme="majorBidi" w:cstheme="majorBidi"/>
        </w:rPr>
        <w:t>apparent</w:t>
      </w:r>
      <w:r w:rsidRPr="006E4117">
        <w:rPr>
          <w:rFonts w:asciiTheme="majorBidi" w:hAnsiTheme="majorBidi" w:cstheme="majorBidi"/>
          <w:iCs/>
        </w:rPr>
        <w:t xml:space="preserve"> surface in the direction of the reference axis</w:t>
      </w:r>
      <w:bookmarkEnd w:id="6"/>
      <w:r w:rsidRPr="006E4117">
        <w:rPr>
          <w:rFonts w:asciiTheme="majorBidi" w:hAnsiTheme="majorBidi" w:cstheme="majorBidi"/>
          <w:iCs/>
        </w:rPr>
        <w:t>; or</w:t>
      </w:r>
    </w:p>
    <w:p w14:paraId="37EC28A4" w14:textId="77777777" w:rsidR="006E4117" w:rsidRPr="006E4117" w:rsidRDefault="006E4117" w:rsidP="006E4117">
      <w:pPr>
        <w:spacing w:after="120"/>
        <w:ind w:left="2835" w:right="1133" w:hanging="567"/>
        <w:jc w:val="both"/>
        <w:rPr>
          <w:rFonts w:asciiTheme="majorBidi" w:hAnsiTheme="majorBidi" w:cstheme="majorBidi"/>
          <w:iCs/>
        </w:rPr>
      </w:pPr>
      <w:r w:rsidRPr="006E4117">
        <w:rPr>
          <w:rFonts w:asciiTheme="majorBidi" w:hAnsiTheme="majorBidi" w:cstheme="majorBidi"/>
          <w:iCs/>
        </w:rPr>
        <w:t>(b)</w:t>
      </w:r>
      <w:r w:rsidRPr="006E4117">
        <w:rPr>
          <w:rFonts w:asciiTheme="majorBidi" w:hAnsiTheme="majorBidi" w:cstheme="majorBidi"/>
          <w:iCs/>
        </w:rPr>
        <w:tab/>
        <w:t>The minimum distance between the facing edges</w:t>
      </w:r>
      <w:r w:rsidRPr="006E4117">
        <w:rPr>
          <w:rFonts w:asciiTheme="majorBidi" w:hAnsiTheme="majorBidi" w:cstheme="majorBidi"/>
          <w:iCs/>
          <w:color w:val="000000"/>
        </w:rPr>
        <w:t xml:space="preserve"> </w:t>
      </w:r>
      <w:r w:rsidRPr="006E4117">
        <w:rPr>
          <w:rFonts w:asciiTheme="majorBidi" w:hAnsiTheme="majorBidi" w:cstheme="majorBidi"/>
          <w:iCs/>
        </w:rPr>
        <w:t xml:space="preserve">of two adjacent/tangential distinct parts </w:t>
      </w:r>
      <w:bookmarkStart w:id="7" w:name="_Hlk33693344"/>
      <w:r w:rsidRPr="006E4117">
        <w:rPr>
          <w:rFonts w:asciiTheme="majorBidi" w:hAnsiTheme="majorBidi" w:cstheme="majorBidi"/>
          <w:iCs/>
        </w:rPr>
        <w:t>of the apparent surface in the direction of the reference axis</w:t>
      </w:r>
      <w:bookmarkEnd w:id="7"/>
      <w:r w:rsidRPr="006E4117">
        <w:rPr>
          <w:rFonts w:asciiTheme="majorBidi" w:hAnsiTheme="majorBidi" w:cstheme="majorBidi"/>
          <w:iCs/>
        </w:rPr>
        <w:t xml:space="preserve"> shall not exceed 75 mm when measured perpendicularly to the reference axis.</w:t>
      </w:r>
    </w:p>
    <w:p w14:paraId="79DFE5D4" w14:textId="77777777" w:rsidR="006E4117" w:rsidRPr="006E4117" w:rsidRDefault="006E4117" w:rsidP="006E4117">
      <w:pPr>
        <w:spacing w:after="120"/>
        <w:ind w:left="2268" w:right="1134"/>
        <w:jc w:val="both"/>
        <w:rPr>
          <w:rFonts w:asciiTheme="majorBidi" w:hAnsiTheme="majorBidi" w:cstheme="majorBidi"/>
          <w:color w:val="000000"/>
          <w:lang w:eastAsia="it-IT"/>
        </w:rPr>
      </w:pPr>
      <w:r w:rsidRPr="006E4117">
        <w:rPr>
          <w:rFonts w:asciiTheme="majorBidi" w:hAnsiTheme="majorBidi" w:cstheme="majorBidi"/>
        </w:rPr>
        <w:t>These requirements shall not apply to a single retro-reflector</w:t>
      </w:r>
      <w:r w:rsidRPr="006E4117">
        <w:rPr>
          <w:rFonts w:asciiTheme="majorBidi" w:hAnsiTheme="majorBidi" w:cstheme="majorBidi"/>
          <w:color w:val="000000"/>
          <w:lang w:eastAsia="it-IT"/>
        </w:rPr>
        <w:t>."</w:t>
      </w:r>
    </w:p>
    <w:p w14:paraId="1D80F672" w14:textId="77777777" w:rsidR="006E4117" w:rsidRPr="006E4117" w:rsidRDefault="006E4117" w:rsidP="006E4117">
      <w:pPr>
        <w:spacing w:after="120"/>
        <w:ind w:left="1134" w:right="1134"/>
        <w:jc w:val="both"/>
        <w:rPr>
          <w:rFonts w:asciiTheme="majorBidi" w:hAnsiTheme="majorBidi" w:cstheme="majorBidi"/>
          <w:iCs/>
        </w:rPr>
      </w:pPr>
      <w:r w:rsidRPr="006E4117">
        <w:rPr>
          <w:rFonts w:asciiTheme="majorBidi" w:hAnsiTheme="majorBidi" w:cstheme="majorBidi"/>
          <w:i/>
        </w:rPr>
        <w:t>Paragraphs 5.32. – 5.34.,</w:t>
      </w:r>
      <w:r w:rsidRPr="006E4117">
        <w:rPr>
          <w:rFonts w:asciiTheme="majorBidi" w:hAnsiTheme="majorBidi" w:cstheme="majorBidi"/>
          <w:iCs/>
        </w:rPr>
        <w:t xml:space="preserve"> renumber and amend to read:</w:t>
      </w:r>
    </w:p>
    <w:p w14:paraId="777B33C6" w14:textId="77777777" w:rsidR="006E4117" w:rsidRPr="006E4117" w:rsidRDefault="006E4117" w:rsidP="006E4117">
      <w:pPr>
        <w:pStyle w:val="para"/>
        <w:rPr>
          <w:rFonts w:asciiTheme="majorBidi" w:hAnsiTheme="majorBidi" w:cstheme="majorBidi"/>
          <w:lang w:val="en-US"/>
        </w:rPr>
      </w:pPr>
      <w:r w:rsidRPr="006E4117">
        <w:rPr>
          <w:rFonts w:asciiTheme="majorBidi" w:hAnsiTheme="majorBidi" w:cstheme="majorBidi"/>
          <w:lang w:val="en-US"/>
        </w:rPr>
        <w:t>"5.32.</w:t>
      </w:r>
      <w:r w:rsidRPr="006E4117">
        <w:rPr>
          <w:rFonts w:asciiTheme="majorBidi" w:hAnsiTheme="majorBidi" w:cstheme="majorBidi"/>
          <w:lang w:val="en-US"/>
        </w:rPr>
        <w:tab/>
        <w:t>External status indicator</w:t>
      </w:r>
    </w:p>
    <w:p w14:paraId="4C7E3441" w14:textId="77777777" w:rsidR="006E4117" w:rsidRPr="006E4117" w:rsidRDefault="006E4117" w:rsidP="006E4117">
      <w:pPr>
        <w:pStyle w:val="para"/>
        <w:ind w:firstLine="0"/>
        <w:rPr>
          <w:rFonts w:asciiTheme="majorBidi" w:hAnsiTheme="majorBidi" w:cstheme="majorBidi"/>
          <w:lang w:val="en-US"/>
        </w:rPr>
      </w:pPr>
      <w:r w:rsidRPr="006E4117">
        <w:rPr>
          <w:rFonts w:asciiTheme="majorBidi" w:hAnsiTheme="majorBidi" w:cstheme="majorBidi"/>
          <w:lang w:val="en-US"/>
        </w:rPr>
        <w:t>One external status indicator for Vehicle Alarm System (VAS), Alarm System (AS) and immobilizer is allowed if:</w:t>
      </w:r>
    </w:p>
    <w:p w14:paraId="20A78F3C" w14:textId="77777777" w:rsidR="006E4117" w:rsidRPr="006E4117" w:rsidRDefault="006E4117" w:rsidP="006E4117">
      <w:pPr>
        <w:pStyle w:val="para"/>
        <w:ind w:firstLine="0"/>
        <w:rPr>
          <w:rFonts w:asciiTheme="majorBidi" w:hAnsiTheme="majorBidi" w:cstheme="majorBidi"/>
          <w:lang w:val="en-US"/>
        </w:rPr>
      </w:pPr>
      <w:r w:rsidRPr="006E4117">
        <w:rPr>
          <w:rFonts w:asciiTheme="majorBidi" w:hAnsiTheme="majorBidi" w:cstheme="majorBidi"/>
          <w:lang w:val="en-US"/>
        </w:rPr>
        <w:t>(a)</w:t>
      </w:r>
      <w:r w:rsidRPr="006E4117">
        <w:rPr>
          <w:rFonts w:asciiTheme="majorBidi" w:hAnsiTheme="majorBidi" w:cstheme="majorBidi"/>
          <w:lang w:val="en-US"/>
        </w:rPr>
        <w:tab/>
        <w:t xml:space="preserve">The light intensity in any direction does not exceed 0.5 </w:t>
      </w:r>
      <w:proofErr w:type="gramStart"/>
      <w:r w:rsidRPr="006E4117">
        <w:rPr>
          <w:rFonts w:asciiTheme="majorBidi" w:hAnsiTheme="majorBidi" w:cstheme="majorBidi"/>
          <w:lang w:val="en-US"/>
        </w:rPr>
        <w:t>cd;</w:t>
      </w:r>
      <w:proofErr w:type="gramEnd"/>
      <w:r w:rsidRPr="006E4117">
        <w:rPr>
          <w:rFonts w:asciiTheme="majorBidi" w:hAnsiTheme="majorBidi" w:cstheme="majorBidi"/>
          <w:lang w:val="en-US"/>
        </w:rPr>
        <w:t xml:space="preserve"> </w:t>
      </w:r>
    </w:p>
    <w:p w14:paraId="572EC0AB" w14:textId="77777777" w:rsidR="006E4117" w:rsidRPr="006E4117" w:rsidRDefault="006E4117" w:rsidP="006E4117">
      <w:pPr>
        <w:pStyle w:val="para"/>
        <w:ind w:firstLine="0"/>
        <w:rPr>
          <w:rFonts w:asciiTheme="majorBidi" w:hAnsiTheme="majorBidi" w:cstheme="majorBidi"/>
          <w:lang w:val="en-US"/>
        </w:rPr>
      </w:pPr>
      <w:r w:rsidRPr="006E4117">
        <w:rPr>
          <w:rFonts w:asciiTheme="majorBidi" w:hAnsiTheme="majorBidi" w:cstheme="majorBidi"/>
          <w:lang w:val="en-US"/>
        </w:rPr>
        <w:t>(b)</w:t>
      </w:r>
      <w:r w:rsidRPr="006E4117">
        <w:rPr>
          <w:rFonts w:asciiTheme="majorBidi" w:hAnsiTheme="majorBidi" w:cstheme="majorBidi"/>
          <w:lang w:val="en-US"/>
        </w:rPr>
        <w:tab/>
        <w:t xml:space="preserve">The </w:t>
      </w:r>
      <w:proofErr w:type="spellStart"/>
      <w:r w:rsidRPr="006E4117">
        <w:rPr>
          <w:rFonts w:asciiTheme="majorBidi" w:hAnsiTheme="majorBidi" w:cstheme="majorBidi"/>
          <w:lang w:val="en-US"/>
        </w:rPr>
        <w:t>colour</w:t>
      </w:r>
      <w:proofErr w:type="spellEnd"/>
      <w:r w:rsidRPr="006E4117">
        <w:rPr>
          <w:rFonts w:asciiTheme="majorBidi" w:hAnsiTheme="majorBidi" w:cstheme="majorBidi"/>
          <w:lang w:val="en-US"/>
        </w:rPr>
        <w:t xml:space="preserve"> of the light emitted is white, red or </w:t>
      </w:r>
      <w:proofErr w:type="gramStart"/>
      <w:r w:rsidRPr="006E4117">
        <w:rPr>
          <w:rFonts w:asciiTheme="majorBidi" w:hAnsiTheme="majorBidi" w:cstheme="majorBidi"/>
          <w:lang w:val="en-US"/>
        </w:rPr>
        <w:t>amber;</w:t>
      </w:r>
      <w:proofErr w:type="gramEnd"/>
    </w:p>
    <w:p w14:paraId="37A25216" w14:textId="77777777" w:rsidR="006E4117" w:rsidRPr="006E4117" w:rsidRDefault="006E4117" w:rsidP="006E4117">
      <w:pPr>
        <w:pStyle w:val="para"/>
        <w:ind w:firstLine="0"/>
        <w:rPr>
          <w:rFonts w:asciiTheme="majorBidi" w:hAnsiTheme="majorBidi" w:cstheme="majorBidi"/>
          <w:lang w:val="en-US"/>
        </w:rPr>
      </w:pPr>
      <w:r w:rsidRPr="006E4117">
        <w:rPr>
          <w:rFonts w:asciiTheme="majorBidi" w:hAnsiTheme="majorBidi" w:cstheme="majorBidi"/>
          <w:lang w:val="en-US"/>
        </w:rPr>
        <w:t>(c)</w:t>
      </w:r>
      <w:r w:rsidRPr="006E4117">
        <w:rPr>
          <w:rFonts w:asciiTheme="majorBidi" w:hAnsiTheme="majorBidi" w:cstheme="majorBidi"/>
          <w:lang w:val="en-US"/>
        </w:rPr>
        <w:tab/>
        <w:t xml:space="preserve">The area of the apparent surface is not larger than </w:t>
      </w:r>
      <w:r w:rsidRPr="006E4117">
        <w:rPr>
          <w:rFonts w:asciiTheme="majorBidi" w:hAnsiTheme="majorBidi" w:cstheme="majorBidi"/>
          <w:color w:val="000000" w:themeColor="text1"/>
          <w:lang w:val="en-US"/>
        </w:rPr>
        <w:t xml:space="preserve">20 </w:t>
      </w:r>
      <w:r w:rsidRPr="006E4117">
        <w:rPr>
          <w:rFonts w:asciiTheme="majorBidi" w:hAnsiTheme="majorBidi" w:cstheme="majorBidi"/>
          <w:lang w:val="en-US"/>
        </w:rPr>
        <w:t>cm</w:t>
      </w:r>
      <w:r w:rsidRPr="006E4117">
        <w:rPr>
          <w:rFonts w:asciiTheme="majorBidi" w:hAnsiTheme="majorBidi" w:cstheme="majorBidi"/>
          <w:vertAlign w:val="superscript"/>
          <w:lang w:val="en-US"/>
        </w:rPr>
        <w:t>2</w:t>
      </w:r>
      <w:r w:rsidRPr="006E4117">
        <w:rPr>
          <w:rFonts w:asciiTheme="majorBidi" w:hAnsiTheme="majorBidi" w:cstheme="majorBidi"/>
          <w:lang w:val="en-US"/>
        </w:rPr>
        <w:t>.</w:t>
      </w:r>
    </w:p>
    <w:p w14:paraId="6933FA65" w14:textId="77777777" w:rsidR="006E4117" w:rsidRPr="006E4117" w:rsidRDefault="006E4117" w:rsidP="006E4117">
      <w:pPr>
        <w:spacing w:after="160"/>
        <w:ind w:left="2268" w:right="1134"/>
        <w:jc w:val="both"/>
        <w:rPr>
          <w:rFonts w:asciiTheme="majorBidi" w:hAnsiTheme="majorBidi" w:cstheme="majorBidi"/>
        </w:rPr>
      </w:pPr>
      <w:r w:rsidRPr="006E4117">
        <w:rPr>
          <w:rFonts w:asciiTheme="majorBidi" w:hAnsiTheme="majorBidi" w:cstheme="majorBidi"/>
        </w:rPr>
        <w:t xml:space="preserve">Up to two external status indicators for Vehicle Alarm System (VAS), Alarm System (AS) and immobiliser are allowed on a vehicle provided that the apparent surface does not exceed </w:t>
      </w:r>
      <w:r w:rsidRPr="006E4117">
        <w:rPr>
          <w:rFonts w:asciiTheme="majorBidi" w:hAnsiTheme="majorBidi" w:cstheme="majorBidi"/>
          <w:color w:val="000000" w:themeColor="text1"/>
        </w:rPr>
        <w:t>10 c</w:t>
      </w:r>
      <w:r w:rsidRPr="006E4117">
        <w:rPr>
          <w:rFonts w:asciiTheme="majorBidi" w:hAnsiTheme="majorBidi" w:cstheme="majorBidi"/>
        </w:rPr>
        <w:t>m</w:t>
      </w:r>
      <w:r w:rsidRPr="006E4117">
        <w:rPr>
          <w:rFonts w:asciiTheme="majorBidi" w:hAnsiTheme="majorBidi" w:cstheme="majorBidi"/>
          <w:vertAlign w:val="superscript"/>
        </w:rPr>
        <w:t>2</w:t>
      </w:r>
      <w:r w:rsidRPr="006E4117">
        <w:rPr>
          <w:rFonts w:asciiTheme="majorBidi" w:hAnsiTheme="majorBidi" w:cstheme="majorBidi"/>
        </w:rPr>
        <w:t xml:space="preserve"> per indicator.</w:t>
      </w:r>
    </w:p>
    <w:p w14:paraId="0A19DDD2" w14:textId="77777777" w:rsidR="006E4117" w:rsidRPr="006E4117" w:rsidRDefault="006E4117" w:rsidP="006E4117">
      <w:pPr>
        <w:spacing w:after="120"/>
        <w:ind w:left="2268" w:right="1134" w:hanging="1134"/>
        <w:jc w:val="both"/>
        <w:rPr>
          <w:rFonts w:asciiTheme="majorBidi" w:hAnsiTheme="majorBidi" w:cstheme="majorBidi"/>
        </w:rPr>
      </w:pPr>
      <w:r w:rsidRPr="006E4117">
        <w:rPr>
          <w:rFonts w:asciiTheme="majorBidi" w:hAnsiTheme="majorBidi" w:cstheme="majorBidi"/>
          <w:lang w:val="en-US"/>
        </w:rPr>
        <w:t>5.33.</w:t>
      </w:r>
      <w:r w:rsidRPr="006E4117">
        <w:rPr>
          <w:rFonts w:asciiTheme="majorBidi" w:hAnsiTheme="majorBidi" w:cstheme="majorBidi"/>
        </w:rPr>
        <w:t xml:space="preserve"> </w:t>
      </w:r>
      <w:r w:rsidRPr="006E4117">
        <w:rPr>
          <w:rFonts w:asciiTheme="majorBidi" w:hAnsiTheme="majorBidi" w:cstheme="majorBidi"/>
        </w:rPr>
        <w:tab/>
        <w:t xml:space="preserve">A device type approved according to any preceding series of amendments to UN Regulations Nos. 148 and/or 149 and/or 150 is deemed equivalent to one approved according to the latest series of amendments to the pertinent UN Regulations Nos. 148 and/or 149 and/or 150, when the change indexes (defined in paragraph 2.1.6.) related to each individual lamp (function) do not differ. In </w:t>
      </w:r>
      <w:r w:rsidRPr="006E4117">
        <w:rPr>
          <w:rFonts w:asciiTheme="majorBidi" w:hAnsiTheme="majorBidi" w:cstheme="majorBidi"/>
        </w:rPr>
        <w:lastRenderedPageBreak/>
        <w:t>this case such a device may be fitted on the vehicle to be type approved without any update of the device type approval documents and device markings.</w:t>
      </w:r>
    </w:p>
    <w:p w14:paraId="1D5F6EB3" w14:textId="77777777" w:rsidR="006E4117" w:rsidRPr="006E4117" w:rsidRDefault="006E4117" w:rsidP="006E4117">
      <w:pPr>
        <w:pStyle w:val="para"/>
        <w:rPr>
          <w:rFonts w:asciiTheme="majorBidi" w:hAnsiTheme="majorBidi" w:cstheme="majorBidi"/>
          <w:lang w:val="en-US"/>
        </w:rPr>
      </w:pPr>
      <w:r w:rsidRPr="006E4117">
        <w:rPr>
          <w:rFonts w:asciiTheme="majorBidi" w:hAnsiTheme="majorBidi" w:cstheme="majorBidi"/>
          <w:lang w:val="en-US"/>
        </w:rPr>
        <w:t>5.34.</w:t>
      </w:r>
      <w:r w:rsidRPr="006E4117">
        <w:rPr>
          <w:rFonts w:asciiTheme="majorBidi" w:hAnsiTheme="majorBidi" w:cstheme="majorBidi"/>
          <w:lang w:val="en-US"/>
        </w:rPr>
        <w:tab/>
        <w:t>The use of lamps approved for and equipped with LED substitute light source(s), is allowed exclusively in the case where the statement indicated in paragraph 3.2.8. is present and positive.</w:t>
      </w:r>
    </w:p>
    <w:p w14:paraId="71267F59" w14:textId="77777777" w:rsidR="006E4117" w:rsidRPr="006E4117" w:rsidRDefault="006E4117" w:rsidP="006E4117">
      <w:pPr>
        <w:spacing w:after="120"/>
        <w:ind w:left="2268" w:right="1134"/>
        <w:jc w:val="both"/>
        <w:rPr>
          <w:rFonts w:asciiTheme="majorBidi" w:hAnsiTheme="majorBidi" w:cstheme="majorBidi"/>
          <w:i/>
        </w:rPr>
      </w:pPr>
      <w:r w:rsidRPr="006E4117">
        <w:rPr>
          <w:rFonts w:asciiTheme="majorBidi" w:hAnsiTheme="majorBidi" w:cstheme="majorBidi"/>
        </w:rPr>
        <w:t>To verify that this statement is respected, both at the type approval and in the conformity of production verification, the presence of the marking on the lamps related to the use of LED substitute light source(s) shall be checked."</w:t>
      </w:r>
    </w:p>
    <w:p w14:paraId="6CF06D9E" w14:textId="77777777" w:rsidR="006E4117" w:rsidRPr="006E4117" w:rsidRDefault="006E4117" w:rsidP="006E4117">
      <w:pPr>
        <w:spacing w:after="120"/>
        <w:ind w:left="2268" w:right="1134" w:hanging="1134"/>
        <w:rPr>
          <w:rFonts w:asciiTheme="majorBidi" w:hAnsiTheme="majorBidi" w:cstheme="majorBidi"/>
        </w:rPr>
      </w:pPr>
      <w:r w:rsidRPr="006E4117">
        <w:rPr>
          <w:rFonts w:asciiTheme="majorBidi" w:hAnsiTheme="majorBidi" w:cstheme="majorBidi"/>
          <w:i/>
        </w:rPr>
        <w:t>Paragraph 6.2.4.2.</w:t>
      </w:r>
      <w:r w:rsidRPr="006E4117">
        <w:rPr>
          <w:rFonts w:asciiTheme="majorBidi" w:hAnsiTheme="majorBidi" w:cstheme="majorBidi"/>
        </w:rPr>
        <w:t>, amend to read (and keep footnote 10 unchanged):</w:t>
      </w:r>
    </w:p>
    <w:p w14:paraId="5EAA4301" w14:textId="77777777" w:rsidR="006E4117" w:rsidRPr="006E4117" w:rsidRDefault="006E4117" w:rsidP="006E4117">
      <w:pPr>
        <w:pStyle w:val="BodyText"/>
        <w:spacing w:after="120" w:line="240" w:lineRule="atLeast"/>
        <w:ind w:left="2268" w:right="1134" w:hanging="1134"/>
        <w:jc w:val="both"/>
        <w:rPr>
          <w:rFonts w:asciiTheme="majorBidi" w:hAnsiTheme="majorBidi" w:cstheme="majorBidi"/>
          <w:sz w:val="20"/>
        </w:rPr>
      </w:pPr>
      <w:r w:rsidRPr="006E4117">
        <w:rPr>
          <w:rFonts w:asciiTheme="majorBidi" w:hAnsiTheme="majorBidi" w:cstheme="majorBidi"/>
          <w:sz w:val="20"/>
        </w:rPr>
        <w:t xml:space="preserve">"6.2.4.2. </w:t>
      </w:r>
      <w:r w:rsidRPr="006E4117">
        <w:rPr>
          <w:rFonts w:asciiTheme="majorBidi" w:hAnsiTheme="majorBidi" w:cstheme="majorBidi"/>
          <w:sz w:val="20"/>
        </w:rPr>
        <w:tab/>
        <w:t xml:space="preserve">In height: not less than 500 mm and not more than 1,200 mm above the ground. </w:t>
      </w:r>
      <w:r w:rsidRPr="006E4117">
        <w:rPr>
          <w:rFonts w:asciiTheme="majorBidi" w:hAnsiTheme="majorBidi" w:cstheme="majorBidi"/>
          <w:position w:val="2"/>
          <w:sz w:val="20"/>
        </w:rPr>
        <w:t>For category N</w:t>
      </w:r>
      <w:r w:rsidRPr="006E4117">
        <w:rPr>
          <w:rFonts w:asciiTheme="majorBidi" w:hAnsiTheme="majorBidi" w:cstheme="majorBidi"/>
          <w:position w:val="1"/>
          <w:sz w:val="20"/>
        </w:rPr>
        <w:t>2</w:t>
      </w:r>
      <w:r w:rsidRPr="006E4117">
        <w:rPr>
          <w:rFonts w:asciiTheme="majorBidi" w:hAnsiTheme="majorBidi" w:cstheme="majorBidi"/>
          <w:position w:val="2"/>
          <w:sz w:val="20"/>
        </w:rPr>
        <w:t>G, N</w:t>
      </w:r>
      <w:r w:rsidRPr="006E4117">
        <w:rPr>
          <w:rFonts w:asciiTheme="majorBidi" w:hAnsiTheme="majorBidi" w:cstheme="majorBidi"/>
          <w:sz w:val="20"/>
        </w:rPr>
        <w:t>3</w:t>
      </w:r>
      <w:r w:rsidRPr="006E4117">
        <w:rPr>
          <w:rFonts w:asciiTheme="majorBidi" w:hAnsiTheme="majorBidi" w:cstheme="majorBidi"/>
          <w:position w:val="2"/>
          <w:sz w:val="20"/>
        </w:rPr>
        <w:t>G, M</w:t>
      </w:r>
      <w:r w:rsidRPr="006E4117">
        <w:rPr>
          <w:rFonts w:asciiTheme="majorBidi" w:hAnsiTheme="majorBidi" w:cstheme="majorBidi"/>
          <w:position w:val="1"/>
          <w:sz w:val="20"/>
        </w:rPr>
        <w:t>2</w:t>
      </w:r>
      <w:r w:rsidRPr="006E4117">
        <w:rPr>
          <w:rFonts w:asciiTheme="majorBidi" w:hAnsiTheme="majorBidi" w:cstheme="majorBidi"/>
          <w:position w:val="2"/>
          <w:sz w:val="20"/>
        </w:rPr>
        <w:t>G, M</w:t>
      </w:r>
      <w:r w:rsidRPr="006E4117">
        <w:rPr>
          <w:rFonts w:asciiTheme="majorBidi" w:hAnsiTheme="majorBidi" w:cstheme="majorBidi"/>
          <w:position w:val="1"/>
          <w:sz w:val="20"/>
        </w:rPr>
        <w:t>3</w:t>
      </w:r>
      <w:r w:rsidRPr="006E4117">
        <w:rPr>
          <w:rFonts w:asciiTheme="majorBidi" w:hAnsiTheme="majorBidi" w:cstheme="majorBidi"/>
          <w:position w:val="2"/>
          <w:sz w:val="20"/>
        </w:rPr>
        <w:t xml:space="preserve">G (off-road) </w:t>
      </w:r>
      <w:r w:rsidRPr="00AD6181">
        <w:rPr>
          <w:rFonts w:asciiTheme="majorBidi" w:hAnsiTheme="majorBidi" w:cstheme="majorBidi"/>
          <w:position w:val="2"/>
          <w:sz w:val="20"/>
        </w:rPr>
        <w:t>vehicles</w:t>
      </w:r>
      <w:r w:rsidRPr="00AD6181">
        <w:rPr>
          <w:rFonts w:asciiTheme="majorBidi" w:hAnsiTheme="majorBidi" w:cstheme="majorBidi"/>
          <w:position w:val="2"/>
          <w:sz w:val="20"/>
          <w:vertAlign w:val="superscript"/>
        </w:rPr>
        <w:t>10</w:t>
      </w:r>
      <w:r w:rsidRPr="006E4117">
        <w:rPr>
          <w:rFonts w:asciiTheme="majorBidi" w:hAnsiTheme="majorBidi" w:cstheme="majorBidi"/>
          <w:position w:val="2"/>
          <w:sz w:val="20"/>
        </w:rPr>
        <w:t xml:space="preserve"> the maximum height may be increased to 1,500 mm."</w:t>
      </w:r>
    </w:p>
    <w:p w14:paraId="44D959E6" w14:textId="77777777" w:rsidR="006E4117" w:rsidRPr="006E4117" w:rsidRDefault="006E4117" w:rsidP="006E4117">
      <w:pPr>
        <w:spacing w:after="120"/>
        <w:ind w:left="2268" w:right="1134" w:hanging="1134"/>
        <w:rPr>
          <w:rFonts w:asciiTheme="majorBidi" w:hAnsiTheme="majorBidi" w:cstheme="majorBidi"/>
        </w:rPr>
      </w:pPr>
      <w:r w:rsidRPr="006E4117">
        <w:rPr>
          <w:rFonts w:asciiTheme="majorBidi" w:hAnsiTheme="majorBidi" w:cstheme="majorBidi"/>
          <w:i/>
        </w:rPr>
        <w:t xml:space="preserve">Paragraph 6.4.4.2., </w:t>
      </w:r>
      <w:r w:rsidRPr="006E4117">
        <w:rPr>
          <w:rFonts w:asciiTheme="majorBidi" w:hAnsiTheme="majorBidi" w:cstheme="majorBidi"/>
        </w:rPr>
        <w:t>amend to read:</w:t>
      </w:r>
    </w:p>
    <w:p w14:paraId="615AB2E8" w14:textId="77777777" w:rsidR="006E4117" w:rsidRPr="006E4117" w:rsidRDefault="006E4117" w:rsidP="006E4117">
      <w:pPr>
        <w:spacing w:after="120"/>
        <w:ind w:left="2268" w:right="1134" w:hanging="1134"/>
        <w:jc w:val="both"/>
        <w:rPr>
          <w:rFonts w:asciiTheme="majorBidi" w:hAnsiTheme="majorBidi" w:cstheme="majorBidi"/>
        </w:rPr>
      </w:pPr>
      <w:r w:rsidRPr="006E4117">
        <w:rPr>
          <w:rFonts w:asciiTheme="majorBidi" w:hAnsiTheme="majorBidi" w:cstheme="majorBidi"/>
        </w:rPr>
        <w:t xml:space="preserve">"6.4.4.2. </w:t>
      </w:r>
      <w:r w:rsidRPr="006E4117">
        <w:rPr>
          <w:rFonts w:asciiTheme="majorBidi" w:hAnsiTheme="majorBidi" w:cstheme="majorBidi"/>
        </w:rPr>
        <w:tab/>
        <w:t xml:space="preserve">In height: not less than 250 mm and not more than 1,200 mm above the ground. </w:t>
      </w:r>
      <w:r w:rsidRPr="006E4117">
        <w:rPr>
          <w:rFonts w:asciiTheme="majorBidi" w:hAnsiTheme="majorBidi" w:cstheme="majorBidi"/>
          <w:position w:val="1"/>
        </w:rPr>
        <w:t>For category N</w:t>
      </w:r>
      <w:r w:rsidRPr="006E4117">
        <w:rPr>
          <w:rFonts w:asciiTheme="majorBidi" w:hAnsiTheme="majorBidi" w:cstheme="majorBidi"/>
          <w:sz w:val="13"/>
        </w:rPr>
        <w:t>2</w:t>
      </w:r>
      <w:r w:rsidRPr="006E4117">
        <w:rPr>
          <w:rFonts w:asciiTheme="majorBidi" w:hAnsiTheme="majorBidi" w:cstheme="majorBidi"/>
          <w:position w:val="1"/>
        </w:rPr>
        <w:t>G, N</w:t>
      </w:r>
      <w:r w:rsidRPr="006E4117">
        <w:rPr>
          <w:rFonts w:asciiTheme="majorBidi" w:hAnsiTheme="majorBidi" w:cstheme="majorBidi"/>
          <w:sz w:val="13"/>
        </w:rPr>
        <w:t>3</w:t>
      </w:r>
      <w:r w:rsidRPr="006E4117">
        <w:rPr>
          <w:rFonts w:asciiTheme="majorBidi" w:hAnsiTheme="majorBidi" w:cstheme="majorBidi"/>
          <w:position w:val="1"/>
        </w:rPr>
        <w:t>G, M</w:t>
      </w:r>
      <w:r w:rsidRPr="006E4117">
        <w:rPr>
          <w:rFonts w:asciiTheme="majorBidi" w:hAnsiTheme="majorBidi" w:cstheme="majorBidi"/>
          <w:sz w:val="13"/>
        </w:rPr>
        <w:t>2</w:t>
      </w:r>
      <w:r w:rsidRPr="006E4117">
        <w:rPr>
          <w:rFonts w:asciiTheme="majorBidi" w:hAnsiTheme="majorBidi" w:cstheme="majorBidi"/>
          <w:position w:val="1"/>
        </w:rPr>
        <w:t>G, M</w:t>
      </w:r>
      <w:r w:rsidRPr="006E4117">
        <w:rPr>
          <w:rFonts w:asciiTheme="majorBidi" w:hAnsiTheme="majorBidi" w:cstheme="majorBidi"/>
          <w:sz w:val="13"/>
        </w:rPr>
        <w:t>3</w:t>
      </w:r>
      <w:r w:rsidRPr="006E4117">
        <w:rPr>
          <w:rFonts w:asciiTheme="majorBidi" w:hAnsiTheme="majorBidi" w:cstheme="majorBidi"/>
          <w:position w:val="1"/>
        </w:rPr>
        <w:t xml:space="preserve">G (off-road) vehicles the maximum </w:t>
      </w:r>
      <w:r w:rsidRPr="006E4117">
        <w:rPr>
          <w:rFonts w:asciiTheme="majorBidi" w:hAnsiTheme="majorBidi" w:cstheme="majorBidi"/>
        </w:rPr>
        <w:t>height may be increased to 1,400 mm."</w:t>
      </w:r>
    </w:p>
    <w:p w14:paraId="6F8E4CC3" w14:textId="77777777" w:rsidR="006E4117" w:rsidRPr="006E4117" w:rsidRDefault="006E4117" w:rsidP="006E4117">
      <w:pPr>
        <w:pStyle w:val="HChG"/>
        <w:spacing w:before="0" w:after="120" w:line="240" w:lineRule="atLeast"/>
        <w:ind w:left="2268"/>
        <w:rPr>
          <w:rFonts w:asciiTheme="majorBidi" w:hAnsiTheme="majorBidi" w:cstheme="majorBidi"/>
          <w:b w:val="0"/>
          <w:lang w:val="en-US"/>
        </w:rPr>
      </w:pPr>
      <w:r w:rsidRPr="006E4117">
        <w:rPr>
          <w:rFonts w:asciiTheme="majorBidi" w:eastAsia="MS Mincho" w:hAnsiTheme="majorBidi" w:cstheme="majorBidi"/>
          <w:b w:val="0"/>
          <w:i/>
          <w:sz w:val="20"/>
        </w:rPr>
        <w:t>Paragraph 6.8.2.,</w:t>
      </w:r>
      <w:r w:rsidRPr="006E4117">
        <w:rPr>
          <w:rFonts w:asciiTheme="majorBidi" w:hAnsiTheme="majorBidi" w:cstheme="majorBidi"/>
          <w:b w:val="0"/>
          <w:lang w:val="en-US"/>
        </w:rPr>
        <w:t xml:space="preserve"> </w:t>
      </w:r>
      <w:r w:rsidRPr="006E4117">
        <w:rPr>
          <w:rFonts w:asciiTheme="majorBidi" w:hAnsiTheme="majorBidi" w:cstheme="majorBidi"/>
          <w:b w:val="0"/>
          <w:sz w:val="20"/>
          <w:lang w:val="en-US"/>
        </w:rPr>
        <w:t>amend to read:</w:t>
      </w:r>
    </w:p>
    <w:p w14:paraId="4123D6EA" w14:textId="77777777" w:rsidR="006E4117" w:rsidRPr="006E4117" w:rsidRDefault="006E4117" w:rsidP="006E4117">
      <w:pPr>
        <w:pStyle w:val="para"/>
        <w:rPr>
          <w:rFonts w:asciiTheme="majorBidi" w:hAnsiTheme="majorBidi" w:cstheme="majorBidi"/>
          <w:lang w:val="en-US"/>
        </w:rPr>
      </w:pPr>
      <w:r w:rsidRPr="006E4117">
        <w:rPr>
          <w:rFonts w:asciiTheme="majorBidi" w:hAnsiTheme="majorBidi" w:cstheme="majorBidi"/>
          <w:lang w:val="en-US"/>
        </w:rPr>
        <w:t>"6.8.2.</w:t>
      </w:r>
      <w:r w:rsidRPr="006E4117">
        <w:rPr>
          <w:rFonts w:asciiTheme="majorBidi" w:hAnsiTheme="majorBidi" w:cstheme="majorBidi"/>
          <w:lang w:val="en-US"/>
        </w:rPr>
        <w:tab/>
        <w:t>Number</w:t>
      </w:r>
    </w:p>
    <w:p w14:paraId="16F8B570" w14:textId="77777777" w:rsidR="006E4117" w:rsidRPr="006E4117" w:rsidRDefault="006E4117" w:rsidP="006E4117">
      <w:pPr>
        <w:pStyle w:val="para"/>
        <w:rPr>
          <w:rFonts w:asciiTheme="majorBidi" w:hAnsiTheme="majorBidi" w:cstheme="majorBidi"/>
          <w:lang w:val="en-US"/>
        </w:rPr>
      </w:pPr>
      <w:r w:rsidRPr="006E4117">
        <w:rPr>
          <w:rFonts w:asciiTheme="majorBidi" w:hAnsiTheme="majorBidi" w:cstheme="majorBidi"/>
          <w:lang w:val="en-US"/>
        </w:rPr>
        <w:tab/>
      </w:r>
      <w:r w:rsidRPr="006E4117">
        <w:rPr>
          <w:rFonts w:asciiTheme="majorBidi" w:hAnsiTheme="majorBidi" w:cstheme="majorBidi"/>
          <w:lang w:val="en-US"/>
        </w:rPr>
        <w:tab/>
        <w:t>Such that the device illuminates the site of the registration plate according to the type-approval documentation of the device."</w:t>
      </w:r>
    </w:p>
    <w:p w14:paraId="5E5548C7" w14:textId="77777777" w:rsidR="006E4117" w:rsidRPr="006E4117" w:rsidRDefault="006E4117" w:rsidP="006E4117">
      <w:pPr>
        <w:pStyle w:val="HChG"/>
        <w:spacing w:before="0" w:after="120" w:line="240" w:lineRule="atLeast"/>
        <w:ind w:firstLine="0"/>
        <w:rPr>
          <w:rFonts w:asciiTheme="majorBidi" w:hAnsiTheme="majorBidi" w:cstheme="majorBidi"/>
          <w:b w:val="0"/>
          <w:lang w:val="en-US"/>
        </w:rPr>
      </w:pPr>
      <w:r w:rsidRPr="006E4117">
        <w:rPr>
          <w:rFonts w:asciiTheme="majorBidi" w:eastAsia="MS Mincho" w:hAnsiTheme="majorBidi" w:cstheme="majorBidi"/>
          <w:b w:val="0"/>
          <w:i/>
          <w:sz w:val="20"/>
        </w:rPr>
        <w:t>Paragraph 6.8.3.,</w:t>
      </w:r>
      <w:r w:rsidRPr="006E4117">
        <w:rPr>
          <w:rFonts w:asciiTheme="majorBidi" w:hAnsiTheme="majorBidi" w:cstheme="majorBidi"/>
          <w:b w:val="0"/>
          <w:lang w:val="en-US"/>
        </w:rPr>
        <w:t xml:space="preserve"> </w:t>
      </w:r>
      <w:r w:rsidRPr="006E4117">
        <w:rPr>
          <w:rFonts w:asciiTheme="majorBidi" w:hAnsiTheme="majorBidi" w:cstheme="majorBidi"/>
          <w:b w:val="0"/>
          <w:sz w:val="20"/>
          <w:lang w:val="en-US"/>
        </w:rPr>
        <w:t>amend to read:</w:t>
      </w:r>
    </w:p>
    <w:p w14:paraId="08D5D1E3" w14:textId="77777777" w:rsidR="006E4117" w:rsidRPr="006E4117" w:rsidRDefault="006E4117" w:rsidP="006E4117">
      <w:pPr>
        <w:pStyle w:val="para"/>
        <w:rPr>
          <w:rFonts w:asciiTheme="majorBidi" w:hAnsiTheme="majorBidi" w:cstheme="majorBidi"/>
          <w:u w:val="single"/>
          <w:lang w:val="en-US"/>
        </w:rPr>
      </w:pPr>
      <w:r w:rsidRPr="006E4117">
        <w:rPr>
          <w:rFonts w:asciiTheme="majorBidi" w:hAnsiTheme="majorBidi" w:cstheme="majorBidi"/>
          <w:lang w:val="en-US"/>
        </w:rPr>
        <w:t>"6.8.3.</w:t>
      </w:r>
      <w:r w:rsidRPr="006E4117">
        <w:rPr>
          <w:rFonts w:asciiTheme="majorBidi" w:hAnsiTheme="majorBidi" w:cstheme="majorBidi"/>
          <w:lang w:val="en-US"/>
        </w:rPr>
        <w:tab/>
        <w:t>Arrangement</w:t>
      </w:r>
    </w:p>
    <w:p w14:paraId="0DE1B1E8" w14:textId="77777777" w:rsidR="006E4117" w:rsidRPr="006E4117" w:rsidRDefault="006E4117" w:rsidP="006E4117">
      <w:pPr>
        <w:pStyle w:val="para"/>
        <w:ind w:firstLine="0"/>
        <w:rPr>
          <w:rFonts w:asciiTheme="majorBidi" w:hAnsiTheme="majorBidi" w:cstheme="majorBidi"/>
          <w:lang w:val="en-US"/>
        </w:rPr>
      </w:pPr>
      <w:r w:rsidRPr="006E4117">
        <w:rPr>
          <w:rFonts w:asciiTheme="majorBidi" w:hAnsiTheme="majorBidi" w:cstheme="majorBidi"/>
          <w:lang w:val="en-US"/>
        </w:rPr>
        <w:t>Such that the device illuminates the site of the registration plate according to the type-approval documentation of the device."</w:t>
      </w:r>
    </w:p>
    <w:p w14:paraId="2672CCDA" w14:textId="77777777" w:rsidR="006E4117" w:rsidRPr="006E4117" w:rsidRDefault="006E4117" w:rsidP="006E4117">
      <w:pPr>
        <w:pStyle w:val="HChG"/>
        <w:spacing w:before="0" w:after="120" w:line="240" w:lineRule="atLeast"/>
        <w:ind w:firstLine="0"/>
        <w:rPr>
          <w:rFonts w:asciiTheme="majorBidi" w:hAnsiTheme="majorBidi" w:cstheme="majorBidi"/>
          <w:b w:val="0"/>
          <w:lang w:val="en-US"/>
        </w:rPr>
      </w:pPr>
      <w:r w:rsidRPr="006E4117">
        <w:rPr>
          <w:rFonts w:asciiTheme="majorBidi" w:eastAsia="MS Mincho" w:hAnsiTheme="majorBidi" w:cstheme="majorBidi"/>
          <w:b w:val="0"/>
          <w:i/>
          <w:sz w:val="20"/>
        </w:rPr>
        <w:t>Paragraphs 6.8.4.1., 6.8.4.2. and 6.8.4.3.,</w:t>
      </w:r>
      <w:r w:rsidRPr="006E4117">
        <w:rPr>
          <w:rFonts w:asciiTheme="majorBidi" w:hAnsiTheme="majorBidi" w:cstheme="majorBidi"/>
          <w:b w:val="0"/>
          <w:lang w:val="en-US"/>
        </w:rPr>
        <w:t xml:space="preserve"> </w:t>
      </w:r>
      <w:r w:rsidRPr="006E4117">
        <w:rPr>
          <w:rFonts w:asciiTheme="majorBidi" w:hAnsiTheme="majorBidi" w:cstheme="majorBidi"/>
          <w:b w:val="0"/>
          <w:sz w:val="20"/>
          <w:lang w:val="en-US"/>
        </w:rPr>
        <w:t>amend to read:</w:t>
      </w:r>
    </w:p>
    <w:p w14:paraId="1D298A2F" w14:textId="77777777" w:rsidR="006E4117" w:rsidRPr="006E4117" w:rsidRDefault="006E4117" w:rsidP="006E4117">
      <w:pPr>
        <w:pStyle w:val="para"/>
        <w:rPr>
          <w:rFonts w:asciiTheme="majorBidi" w:hAnsiTheme="majorBidi" w:cstheme="majorBidi"/>
          <w:lang w:val="en-US"/>
        </w:rPr>
      </w:pPr>
      <w:r w:rsidRPr="006E4117">
        <w:rPr>
          <w:rFonts w:asciiTheme="majorBidi" w:hAnsiTheme="majorBidi" w:cstheme="majorBidi"/>
          <w:lang w:val="en-US"/>
        </w:rPr>
        <w:t>"6.8.4.1.</w:t>
      </w:r>
      <w:r w:rsidRPr="006E4117">
        <w:rPr>
          <w:rFonts w:asciiTheme="majorBidi" w:hAnsiTheme="majorBidi" w:cstheme="majorBidi"/>
          <w:lang w:val="en-US"/>
        </w:rPr>
        <w:tab/>
      </w:r>
      <w:r w:rsidRPr="006E4117">
        <w:rPr>
          <w:rFonts w:asciiTheme="majorBidi" w:hAnsiTheme="majorBidi" w:cstheme="majorBidi"/>
          <w:lang w:val="en-US"/>
        </w:rPr>
        <w:tab/>
        <w:t>In width: Such that the device illuminates the site of the registration plate according to type-approval documentation of the device.</w:t>
      </w:r>
    </w:p>
    <w:p w14:paraId="5DA6EF62" w14:textId="77777777" w:rsidR="006E4117" w:rsidRPr="006E4117" w:rsidRDefault="006E4117" w:rsidP="006E4117">
      <w:pPr>
        <w:pStyle w:val="para"/>
        <w:rPr>
          <w:rFonts w:asciiTheme="majorBidi" w:hAnsiTheme="majorBidi" w:cstheme="majorBidi"/>
          <w:lang w:val="en-US"/>
        </w:rPr>
      </w:pPr>
      <w:r w:rsidRPr="006E4117">
        <w:rPr>
          <w:rFonts w:asciiTheme="majorBidi" w:hAnsiTheme="majorBidi" w:cstheme="majorBidi"/>
          <w:lang w:val="en-US"/>
        </w:rPr>
        <w:t>6.8.4.2.</w:t>
      </w:r>
      <w:r w:rsidRPr="006E4117">
        <w:rPr>
          <w:rFonts w:asciiTheme="majorBidi" w:hAnsiTheme="majorBidi" w:cstheme="majorBidi"/>
          <w:lang w:val="en-US"/>
        </w:rPr>
        <w:tab/>
      </w:r>
      <w:r w:rsidRPr="006E4117">
        <w:rPr>
          <w:rFonts w:asciiTheme="majorBidi" w:hAnsiTheme="majorBidi" w:cstheme="majorBidi"/>
          <w:lang w:val="en-US"/>
        </w:rPr>
        <w:tab/>
        <w:t>In height: Such that the device illuminates the site of the registration plate according to the type-approval documentation of the device.</w:t>
      </w:r>
    </w:p>
    <w:p w14:paraId="683A7949" w14:textId="77777777" w:rsidR="006E4117" w:rsidRPr="006E4117" w:rsidRDefault="006E4117" w:rsidP="006E4117">
      <w:pPr>
        <w:pStyle w:val="para"/>
        <w:rPr>
          <w:rFonts w:asciiTheme="majorBidi" w:hAnsiTheme="majorBidi" w:cstheme="majorBidi"/>
          <w:lang w:val="en-US"/>
        </w:rPr>
      </w:pPr>
      <w:r w:rsidRPr="006E4117">
        <w:rPr>
          <w:rFonts w:asciiTheme="majorBidi" w:hAnsiTheme="majorBidi" w:cstheme="majorBidi"/>
          <w:lang w:val="en-US"/>
        </w:rPr>
        <w:t>6.8.4.3.</w:t>
      </w:r>
      <w:r w:rsidRPr="006E4117">
        <w:rPr>
          <w:rFonts w:asciiTheme="majorBidi" w:hAnsiTheme="majorBidi" w:cstheme="majorBidi"/>
          <w:lang w:val="en-US"/>
        </w:rPr>
        <w:tab/>
      </w:r>
      <w:r w:rsidRPr="006E4117">
        <w:rPr>
          <w:rFonts w:asciiTheme="majorBidi" w:hAnsiTheme="majorBidi" w:cstheme="majorBidi"/>
          <w:lang w:val="en-US"/>
        </w:rPr>
        <w:tab/>
        <w:t>In length: Such that the device illuminates the site of the registration plate according to the type-approval documentation of the device."</w:t>
      </w:r>
    </w:p>
    <w:p w14:paraId="264BDAEF" w14:textId="77777777" w:rsidR="006E4117" w:rsidRPr="006E4117" w:rsidRDefault="006E4117" w:rsidP="006E4117">
      <w:pPr>
        <w:pStyle w:val="HChG"/>
        <w:spacing w:before="0" w:after="120" w:line="240" w:lineRule="atLeast"/>
        <w:ind w:firstLine="0"/>
        <w:rPr>
          <w:rFonts w:asciiTheme="majorBidi" w:hAnsiTheme="majorBidi" w:cstheme="majorBidi"/>
          <w:lang w:val="en-US"/>
        </w:rPr>
      </w:pPr>
      <w:r w:rsidRPr="006E4117">
        <w:rPr>
          <w:rFonts w:asciiTheme="majorBidi" w:eastAsia="MS Mincho" w:hAnsiTheme="majorBidi" w:cstheme="majorBidi"/>
          <w:b w:val="0"/>
          <w:i/>
          <w:sz w:val="20"/>
        </w:rPr>
        <w:t xml:space="preserve">Paragraph 6.8.5., </w:t>
      </w:r>
      <w:r w:rsidRPr="006E4117">
        <w:rPr>
          <w:rFonts w:asciiTheme="majorBidi" w:hAnsiTheme="majorBidi" w:cstheme="majorBidi"/>
          <w:b w:val="0"/>
          <w:sz w:val="20"/>
          <w:lang w:val="en-US"/>
        </w:rPr>
        <w:t>amend to read:</w:t>
      </w:r>
    </w:p>
    <w:p w14:paraId="471ACE80" w14:textId="77777777" w:rsidR="006E4117" w:rsidRPr="006E4117" w:rsidRDefault="006E4117" w:rsidP="006E4117">
      <w:pPr>
        <w:pStyle w:val="para"/>
        <w:rPr>
          <w:rFonts w:asciiTheme="majorBidi" w:hAnsiTheme="majorBidi" w:cstheme="majorBidi"/>
          <w:lang w:val="en-US"/>
        </w:rPr>
      </w:pPr>
      <w:r w:rsidRPr="006E4117">
        <w:rPr>
          <w:rFonts w:asciiTheme="majorBidi" w:hAnsiTheme="majorBidi" w:cstheme="majorBidi"/>
          <w:lang w:val="en-US"/>
        </w:rPr>
        <w:t>"6.8.5.</w:t>
      </w:r>
      <w:r w:rsidRPr="006E4117">
        <w:rPr>
          <w:rFonts w:asciiTheme="majorBidi" w:hAnsiTheme="majorBidi" w:cstheme="majorBidi"/>
          <w:lang w:val="en-US"/>
        </w:rPr>
        <w:tab/>
        <w:t>Geometric visibility</w:t>
      </w:r>
    </w:p>
    <w:p w14:paraId="6A70EFDF" w14:textId="77777777" w:rsidR="006E4117" w:rsidRPr="006E4117" w:rsidRDefault="006E4117" w:rsidP="006E4117">
      <w:pPr>
        <w:pStyle w:val="para"/>
        <w:rPr>
          <w:rFonts w:asciiTheme="majorBidi" w:hAnsiTheme="majorBidi" w:cstheme="majorBidi"/>
          <w:lang w:val="en-US"/>
        </w:rPr>
      </w:pPr>
      <w:r w:rsidRPr="006E4117">
        <w:rPr>
          <w:rFonts w:asciiTheme="majorBidi" w:hAnsiTheme="majorBidi" w:cstheme="majorBidi"/>
          <w:lang w:val="en-US"/>
        </w:rPr>
        <w:tab/>
      </w:r>
      <w:r w:rsidRPr="006E4117">
        <w:rPr>
          <w:rFonts w:asciiTheme="majorBidi" w:hAnsiTheme="majorBidi" w:cstheme="majorBidi"/>
          <w:lang w:val="en-US"/>
        </w:rPr>
        <w:tab/>
        <w:t>Such that the device illuminates the site of the registration plate according to the type-approval documentation of the device."</w:t>
      </w:r>
    </w:p>
    <w:p w14:paraId="09AF2305" w14:textId="77777777" w:rsidR="006E4117" w:rsidRPr="006E4117" w:rsidRDefault="006E4117" w:rsidP="006E4117">
      <w:pPr>
        <w:pStyle w:val="HChG"/>
        <w:spacing w:before="0" w:after="120" w:line="240" w:lineRule="atLeast"/>
        <w:ind w:firstLine="0"/>
        <w:rPr>
          <w:rFonts w:asciiTheme="majorBidi" w:hAnsiTheme="majorBidi" w:cstheme="majorBidi"/>
          <w:b w:val="0"/>
          <w:lang w:val="en-US"/>
        </w:rPr>
      </w:pPr>
      <w:r w:rsidRPr="006E4117">
        <w:rPr>
          <w:rFonts w:asciiTheme="majorBidi" w:eastAsia="MS Mincho" w:hAnsiTheme="majorBidi" w:cstheme="majorBidi"/>
          <w:b w:val="0"/>
          <w:i/>
          <w:sz w:val="20"/>
        </w:rPr>
        <w:t>Paragraph 6.8.6.,</w:t>
      </w:r>
      <w:r w:rsidRPr="006E4117">
        <w:rPr>
          <w:rFonts w:asciiTheme="majorBidi" w:hAnsiTheme="majorBidi" w:cstheme="majorBidi"/>
          <w:b w:val="0"/>
          <w:sz w:val="20"/>
          <w:lang w:val="en-US"/>
        </w:rPr>
        <w:t xml:space="preserve"> amend to read:</w:t>
      </w:r>
    </w:p>
    <w:p w14:paraId="1EDF249A" w14:textId="77777777" w:rsidR="006E4117" w:rsidRPr="006E4117" w:rsidRDefault="006E4117" w:rsidP="006E4117">
      <w:pPr>
        <w:pStyle w:val="para"/>
        <w:rPr>
          <w:rFonts w:asciiTheme="majorBidi" w:hAnsiTheme="majorBidi" w:cstheme="majorBidi"/>
          <w:lang w:val="en-US"/>
        </w:rPr>
      </w:pPr>
      <w:r w:rsidRPr="006E4117">
        <w:rPr>
          <w:rFonts w:asciiTheme="majorBidi" w:hAnsiTheme="majorBidi" w:cstheme="majorBidi"/>
          <w:lang w:val="en-US"/>
        </w:rPr>
        <w:t>"6.8.6.</w:t>
      </w:r>
      <w:r w:rsidRPr="006E4117">
        <w:rPr>
          <w:rFonts w:asciiTheme="majorBidi" w:hAnsiTheme="majorBidi" w:cstheme="majorBidi"/>
          <w:lang w:val="en-US"/>
        </w:rPr>
        <w:tab/>
        <w:t>Orientation</w:t>
      </w:r>
    </w:p>
    <w:p w14:paraId="718BDABE" w14:textId="77777777" w:rsidR="006E4117" w:rsidRPr="006E4117" w:rsidRDefault="006E4117" w:rsidP="006E4117">
      <w:pPr>
        <w:pStyle w:val="para"/>
        <w:rPr>
          <w:rFonts w:asciiTheme="majorBidi" w:hAnsiTheme="majorBidi" w:cstheme="majorBidi"/>
          <w:i/>
          <w:lang w:val="en-US"/>
        </w:rPr>
      </w:pPr>
      <w:r w:rsidRPr="006E4117">
        <w:rPr>
          <w:rFonts w:asciiTheme="majorBidi" w:hAnsiTheme="majorBidi" w:cstheme="majorBidi"/>
          <w:lang w:val="en-US"/>
        </w:rPr>
        <w:tab/>
        <w:t>Such that the device illuminates the site of the registration plate according to the type-approval documentation of the device."</w:t>
      </w:r>
    </w:p>
    <w:p w14:paraId="1D53B113" w14:textId="77777777" w:rsidR="006E4117" w:rsidRPr="006E4117" w:rsidRDefault="006E4117" w:rsidP="006E4117">
      <w:pPr>
        <w:spacing w:before="122"/>
        <w:ind w:left="2268" w:right="1134" w:hanging="1134"/>
        <w:rPr>
          <w:rFonts w:asciiTheme="majorBidi" w:hAnsiTheme="majorBidi" w:cstheme="majorBidi"/>
        </w:rPr>
      </w:pPr>
      <w:r w:rsidRPr="006E4117">
        <w:rPr>
          <w:rFonts w:asciiTheme="majorBidi" w:hAnsiTheme="majorBidi" w:cstheme="majorBidi"/>
          <w:i/>
        </w:rPr>
        <w:t xml:space="preserve">Paragraph 6.11.4.2., </w:t>
      </w:r>
      <w:r w:rsidRPr="006E4117">
        <w:rPr>
          <w:rFonts w:asciiTheme="majorBidi" w:hAnsiTheme="majorBidi" w:cstheme="majorBidi"/>
        </w:rPr>
        <w:t>amend to read:</w:t>
      </w:r>
    </w:p>
    <w:p w14:paraId="2EBCD7BB" w14:textId="77777777" w:rsidR="006E4117" w:rsidRPr="006E4117" w:rsidRDefault="006E4117" w:rsidP="006E4117">
      <w:pPr>
        <w:pStyle w:val="BodyText"/>
        <w:spacing w:before="130" w:line="247" w:lineRule="auto"/>
        <w:ind w:left="2268" w:right="1134" w:hanging="1134"/>
        <w:jc w:val="both"/>
        <w:rPr>
          <w:rFonts w:asciiTheme="majorBidi" w:hAnsiTheme="majorBidi" w:cstheme="majorBidi"/>
          <w:sz w:val="20"/>
        </w:rPr>
      </w:pPr>
      <w:r w:rsidRPr="006E4117">
        <w:rPr>
          <w:rFonts w:asciiTheme="majorBidi" w:hAnsiTheme="majorBidi" w:cstheme="majorBidi"/>
          <w:sz w:val="20"/>
        </w:rPr>
        <w:t>"6.11.4.2.</w:t>
      </w:r>
      <w:r w:rsidRPr="006E4117">
        <w:rPr>
          <w:rFonts w:asciiTheme="majorBidi" w:hAnsiTheme="majorBidi" w:cstheme="majorBidi"/>
          <w:spacing w:val="49"/>
          <w:sz w:val="20"/>
        </w:rPr>
        <w:t xml:space="preserve"> </w:t>
      </w:r>
      <w:r w:rsidRPr="006E4117">
        <w:rPr>
          <w:rFonts w:asciiTheme="majorBidi" w:hAnsiTheme="majorBidi" w:cstheme="majorBidi"/>
          <w:spacing w:val="49"/>
          <w:sz w:val="20"/>
        </w:rPr>
        <w:tab/>
      </w:r>
      <w:r w:rsidRPr="006E4117">
        <w:rPr>
          <w:rFonts w:asciiTheme="majorBidi" w:hAnsiTheme="majorBidi" w:cstheme="majorBidi"/>
          <w:sz w:val="20"/>
        </w:rPr>
        <w:t xml:space="preserve">In height: </w:t>
      </w:r>
      <w:r w:rsidRPr="006E4117">
        <w:rPr>
          <w:rFonts w:asciiTheme="majorBidi" w:hAnsiTheme="majorBidi" w:cstheme="majorBidi"/>
          <w:color w:val="212121"/>
          <w:spacing w:val="-2"/>
          <w:sz w:val="20"/>
          <w:shd w:val="clear" w:color="auto" w:fill="FFFFFF"/>
        </w:rPr>
        <w:t>not less than 250 mm nor more than 1,000 mm above the ground. For rear fog lamps grouped with any rear lamp the maximum height may be increased to 1,200 mm. For categories N</w:t>
      </w:r>
      <w:r w:rsidRPr="006E4117">
        <w:rPr>
          <w:rFonts w:asciiTheme="majorBidi" w:hAnsiTheme="majorBidi" w:cstheme="majorBidi"/>
          <w:color w:val="212121"/>
          <w:spacing w:val="-2"/>
          <w:sz w:val="20"/>
          <w:shd w:val="clear" w:color="auto" w:fill="FFFFFF"/>
          <w:vertAlign w:val="subscript"/>
        </w:rPr>
        <w:t>2</w:t>
      </w:r>
      <w:r w:rsidRPr="006E4117">
        <w:rPr>
          <w:rFonts w:asciiTheme="majorBidi" w:hAnsiTheme="majorBidi" w:cstheme="majorBidi"/>
          <w:color w:val="212121"/>
          <w:spacing w:val="-2"/>
          <w:sz w:val="20"/>
          <w:shd w:val="clear" w:color="auto" w:fill="FFFFFF"/>
        </w:rPr>
        <w:t>G, N</w:t>
      </w:r>
      <w:r w:rsidRPr="006E4117">
        <w:rPr>
          <w:rFonts w:asciiTheme="majorBidi" w:hAnsiTheme="majorBidi" w:cstheme="majorBidi"/>
          <w:color w:val="212121"/>
          <w:spacing w:val="-2"/>
          <w:sz w:val="20"/>
          <w:shd w:val="clear" w:color="auto" w:fill="FFFFFF"/>
          <w:vertAlign w:val="subscript"/>
        </w:rPr>
        <w:t>3</w:t>
      </w:r>
      <w:r w:rsidRPr="006E4117">
        <w:rPr>
          <w:rFonts w:asciiTheme="majorBidi" w:hAnsiTheme="majorBidi" w:cstheme="majorBidi"/>
          <w:color w:val="212121"/>
          <w:spacing w:val="-2"/>
          <w:sz w:val="20"/>
          <w:shd w:val="clear" w:color="auto" w:fill="FFFFFF"/>
        </w:rPr>
        <w:t>G, M</w:t>
      </w:r>
      <w:r w:rsidRPr="006E4117">
        <w:rPr>
          <w:rFonts w:asciiTheme="majorBidi" w:hAnsiTheme="majorBidi" w:cstheme="majorBidi"/>
          <w:color w:val="212121"/>
          <w:spacing w:val="-2"/>
          <w:sz w:val="20"/>
          <w:shd w:val="clear" w:color="auto" w:fill="FFFFFF"/>
          <w:vertAlign w:val="subscript"/>
        </w:rPr>
        <w:t>2</w:t>
      </w:r>
      <w:r w:rsidRPr="006E4117">
        <w:rPr>
          <w:rFonts w:asciiTheme="majorBidi" w:hAnsiTheme="majorBidi" w:cstheme="majorBidi"/>
          <w:color w:val="212121"/>
          <w:spacing w:val="-2"/>
          <w:sz w:val="20"/>
          <w:shd w:val="clear" w:color="auto" w:fill="FFFFFF"/>
        </w:rPr>
        <w:t>G, M</w:t>
      </w:r>
      <w:r w:rsidRPr="006E4117">
        <w:rPr>
          <w:rFonts w:asciiTheme="majorBidi" w:hAnsiTheme="majorBidi" w:cstheme="majorBidi"/>
          <w:color w:val="212121"/>
          <w:spacing w:val="-2"/>
          <w:sz w:val="20"/>
          <w:shd w:val="clear" w:color="auto" w:fill="FFFFFF"/>
          <w:vertAlign w:val="subscript"/>
        </w:rPr>
        <w:t>3</w:t>
      </w:r>
      <w:r w:rsidRPr="006E4117">
        <w:rPr>
          <w:rFonts w:asciiTheme="majorBidi" w:hAnsiTheme="majorBidi" w:cstheme="majorBidi"/>
          <w:color w:val="212121"/>
          <w:spacing w:val="-2"/>
          <w:sz w:val="20"/>
          <w:shd w:val="clear" w:color="auto" w:fill="FFFFFF"/>
        </w:rPr>
        <w:t>G (off-road) vehicles the maximum height may be increased to 1,400 mm</w:t>
      </w:r>
      <w:r w:rsidRPr="006E4117">
        <w:rPr>
          <w:rFonts w:asciiTheme="majorBidi" w:hAnsiTheme="majorBidi" w:cstheme="majorBidi"/>
          <w:spacing w:val="-3"/>
          <w:sz w:val="20"/>
        </w:rPr>
        <w:t>."</w:t>
      </w:r>
    </w:p>
    <w:p w14:paraId="2E366254" w14:textId="648BE06A" w:rsidR="004865D9" w:rsidRPr="004865D9" w:rsidRDefault="006E4117" w:rsidP="006E4117">
      <w:pPr>
        <w:spacing w:before="240"/>
        <w:jc w:val="center"/>
        <w:rPr>
          <w:u w:val="single"/>
        </w:rPr>
      </w:pPr>
      <w:r>
        <w:rPr>
          <w:u w:val="single"/>
        </w:rPr>
        <w:tab/>
      </w:r>
      <w:r>
        <w:rPr>
          <w:u w:val="single"/>
        </w:rPr>
        <w:tab/>
      </w:r>
      <w:r>
        <w:rPr>
          <w:u w:val="single"/>
        </w:rPr>
        <w:tab/>
      </w:r>
    </w:p>
    <w:sectPr w:rsidR="004865D9" w:rsidRPr="004865D9" w:rsidSect="00A7037A">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8788D" w14:textId="77777777" w:rsidR="00235F32" w:rsidRDefault="00235F32"/>
  </w:endnote>
  <w:endnote w:type="continuationSeparator" w:id="0">
    <w:p w14:paraId="7DF1220C" w14:textId="77777777" w:rsidR="00235F32" w:rsidRDefault="00235F32"/>
  </w:endnote>
  <w:endnote w:type="continuationNotice" w:id="1">
    <w:p w14:paraId="6583734D" w14:textId="77777777" w:rsidR="00235F32" w:rsidRDefault="00235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3FA9" w14:textId="7777777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1EF4" w14:textId="7777777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56A25" w14:textId="77777777" w:rsidR="00235F32" w:rsidRPr="000B175B" w:rsidRDefault="00235F32" w:rsidP="000B175B">
      <w:pPr>
        <w:tabs>
          <w:tab w:val="right" w:pos="2155"/>
        </w:tabs>
        <w:spacing w:after="80"/>
        <w:ind w:left="680"/>
        <w:rPr>
          <w:u w:val="single"/>
        </w:rPr>
      </w:pPr>
      <w:r>
        <w:rPr>
          <w:u w:val="single"/>
        </w:rPr>
        <w:tab/>
      </w:r>
    </w:p>
  </w:footnote>
  <w:footnote w:type="continuationSeparator" w:id="0">
    <w:p w14:paraId="3C4C4692" w14:textId="77777777" w:rsidR="00235F32" w:rsidRPr="00FC68B7" w:rsidRDefault="00235F32" w:rsidP="00FC68B7">
      <w:pPr>
        <w:tabs>
          <w:tab w:val="left" w:pos="2155"/>
        </w:tabs>
        <w:spacing w:after="80"/>
        <w:ind w:left="680"/>
        <w:rPr>
          <w:u w:val="single"/>
        </w:rPr>
      </w:pPr>
      <w:r>
        <w:rPr>
          <w:u w:val="single"/>
        </w:rPr>
        <w:tab/>
      </w:r>
    </w:p>
  </w:footnote>
  <w:footnote w:type="continuationNotice" w:id="1">
    <w:p w14:paraId="7EABA069" w14:textId="77777777" w:rsidR="00235F32" w:rsidRDefault="00235F32"/>
  </w:footnote>
  <w:footnote w:id="2">
    <w:p w14:paraId="600A55C4" w14:textId="77777777" w:rsidR="006552CB" w:rsidRPr="00F156CB" w:rsidRDefault="006552CB" w:rsidP="006552CB">
      <w:pPr>
        <w:pStyle w:val="FootnoteText"/>
        <w:rPr>
          <w:lang w:val="en-US"/>
        </w:rPr>
      </w:pPr>
      <w:r w:rsidRPr="00F156CB">
        <w:tab/>
      </w:r>
      <w:r w:rsidRPr="00F156CB">
        <w:rPr>
          <w:rStyle w:val="FootnoteReference"/>
          <w:sz w:val="20"/>
          <w:lang w:val="en-US"/>
        </w:rPr>
        <w:t>*</w:t>
      </w:r>
      <w:r w:rsidRPr="00F156CB">
        <w:rPr>
          <w:sz w:val="20"/>
          <w:lang w:val="en-US"/>
        </w:rPr>
        <w:tab/>
      </w:r>
      <w:r w:rsidRPr="00F156CB">
        <w:rPr>
          <w:lang w:val="en-US"/>
        </w:rPr>
        <w:t>Former titles of the Agreement:</w:t>
      </w:r>
    </w:p>
    <w:p w14:paraId="07893060" w14:textId="77777777" w:rsidR="006552CB" w:rsidRPr="00F156CB" w:rsidRDefault="006552CB" w:rsidP="006552CB">
      <w:pPr>
        <w:pStyle w:val="FootnoteText"/>
        <w:rPr>
          <w:sz w:val="20"/>
          <w:lang w:val="en-US"/>
        </w:rPr>
      </w:pPr>
      <w:r w:rsidRPr="00F156CB">
        <w:rPr>
          <w:lang w:val="en-US"/>
        </w:rPr>
        <w:tab/>
      </w:r>
      <w:r w:rsidRPr="00F156CB">
        <w:rPr>
          <w:lang w:val="en-US"/>
        </w:rPr>
        <w:tab/>
      </w:r>
      <w:r w:rsidRPr="00F156CB">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F156CB">
        <w:rPr>
          <w:spacing w:val="-4"/>
          <w:lang w:val="en-US"/>
        </w:rPr>
        <w:t>);</w:t>
      </w:r>
      <w:proofErr w:type="gramEnd"/>
    </w:p>
    <w:p w14:paraId="35118321" w14:textId="77777777" w:rsidR="006552CB" w:rsidRPr="00F156CB" w:rsidRDefault="006552CB" w:rsidP="006552CB">
      <w:pPr>
        <w:pStyle w:val="FootnoteText"/>
        <w:rPr>
          <w:lang w:val="en-US"/>
        </w:rPr>
      </w:pPr>
      <w:r w:rsidRPr="00F156CB">
        <w:rPr>
          <w:lang w:val="en-US"/>
        </w:rPr>
        <w:tab/>
      </w:r>
      <w:r w:rsidRPr="00F156CB">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FD67" w14:textId="0B2B4890" w:rsidR="006552CB" w:rsidRDefault="006552CB" w:rsidP="006552CB">
    <w:pPr>
      <w:pStyle w:val="Header"/>
    </w:pPr>
    <w:r w:rsidRPr="006552CB">
      <w:t>E/ECE</w:t>
    </w:r>
    <w:r w:rsidR="00B81C7D">
      <w:t>/324/Rev.1/Add.47/Rev.12/Amend.</w:t>
    </w:r>
    <w:r w:rsidR="00261FC7">
      <w:t>1</w:t>
    </w:r>
    <w:r w:rsidR="006E4117">
      <w:t>1</w:t>
    </w:r>
  </w:p>
  <w:p w14:paraId="11EE2119" w14:textId="5C02FC7A" w:rsidR="00EE737F" w:rsidRPr="006552CB" w:rsidRDefault="006552CB" w:rsidP="00B81C7D">
    <w:pPr>
      <w:pStyle w:val="Header"/>
      <w:spacing w:after="240"/>
    </w:pPr>
    <w:r w:rsidRPr="006552CB">
      <w:t>E/ECE/TRANS</w:t>
    </w:r>
    <w:r w:rsidR="00B81C7D">
      <w:t>/505/Rev.1/Add.47/Rev.12/Amend.</w:t>
    </w:r>
    <w:r w:rsidR="00261FC7">
      <w:t>1</w:t>
    </w:r>
    <w:r w:rsidR="006E4117">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1121" w14:textId="3888DD52" w:rsidR="006552CB" w:rsidRDefault="006552CB" w:rsidP="006552CB">
    <w:pPr>
      <w:pStyle w:val="Header"/>
      <w:jc w:val="right"/>
    </w:pPr>
    <w:r w:rsidRPr="006552CB">
      <w:t>E/ECE/324/Rev.1/Add.47/Rev.12/Amend.</w:t>
    </w:r>
    <w:r w:rsidR="00261FC7">
      <w:t>1</w:t>
    </w:r>
    <w:r w:rsidR="006C015F">
      <w:t>1</w:t>
    </w:r>
  </w:p>
  <w:p w14:paraId="6328A970" w14:textId="00566B52" w:rsidR="00EE737F" w:rsidRPr="006552CB" w:rsidRDefault="006552CB" w:rsidP="00B81C7D">
    <w:pPr>
      <w:pStyle w:val="Header"/>
      <w:spacing w:after="240"/>
      <w:jc w:val="right"/>
    </w:pPr>
    <w:r w:rsidRPr="006552CB">
      <w:t>E/ECE/TRANS</w:t>
    </w:r>
    <w:r w:rsidR="00B81C7D">
      <w:t>/505/Rev.1/Add.47/Rev.12/Amend.</w:t>
    </w:r>
    <w:r w:rsidR="00261FC7">
      <w:t>1</w:t>
    </w:r>
    <w:r w:rsidR="006C015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1"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0"/>
  </w:num>
  <w:num w:numId="4">
    <w:abstractNumId w:val="11"/>
  </w:num>
  <w:num w:numId="5">
    <w:abstractNumId w:val="3"/>
  </w:num>
  <w:num w:numId="6">
    <w:abstractNumId w:val="10"/>
  </w:num>
  <w:num w:numId="7">
    <w:abstractNumId w:val="8"/>
  </w:num>
  <w:num w:numId="8">
    <w:abstractNumId w:val="4"/>
  </w:num>
  <w:num w:numId="9">
    <w:abstractNumId w:val="2"/>
  </w:num>
  <w:num w:numId="10">
    <w:abstractNumId w:val="9"/>
  </w:num>
  <w:num w:numId="11">
    <w:abstractNumId w:val="7"/>
  </w:num>
  <w:num w:numId="12">
    <w:abstractNumId w:val="12"/>
  </w:num>
  <w:num w:numId="13">
    <w:abstractNumId w:val="6"/>
  </w:num>
  <w:num w:numId="14">
    <w:abstractNumId w:val="13"/>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354E"/>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AED"/>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3B8C"/>
    <w:rsid w:val="00235177"/>
    <w:rsid w:val="002353B2"/>
    <w:rsid w:val="00235F32"/>
    <w:rsid w:val="00236370"/>
    <w:rsid w:val="002405A7"/>
    <w:rsid w:val="00241260"/>
    <w:rsid w:val="0024608F"/>
    <w:rsid w:val="00250632"/>
    <w:rsid w:val="002549F5"/>
    <w:rsid w:val="0026160C"/>
    <w:rsid w:val="00261FC7"/>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A063B"/>
    <w:rsid w:val="002A0721"/>
    <w:rsid w:val="002A1589"/>
    <w:rsid w:val="002A2838"/>
    <w:rsid w:val="002A3D2B"/>
    <w:rsid w:val="002A6577"/>
    <w:rsid w:val="002B11C3"/>
    <w:rsid w:val="002B177A"/>
    <w:rsid w:val="002B2961"/>
    <w:rsid w:val="002B6797"/>
    <w:rsid w:val="002B690A"/>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7E3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759"/>
    <w:rsid w:val="00451CCB"/>
    <w:rsid w:val="00453CDD"/>
    <w:rsid w:val="00454251"/>
    <w:rsid w:val="0045566C"/>
    <w:rsid w:val="0045567B"/>
    <w:rsid w:val="0046439F"/>
    <w:rsid w:val="00464520"/>
    <w:rsid w:val="004657BC"/>
    <w:rsid w:val="00465868"/>
    <w:rsid w:val="00466248"/>
    <w:rsid w:val="004720FB"/>
    <w:rsid w:val="00472160"/>
    <w:rsid w:val="00474DCB"/>
    <w:rsid w:val="00476A1C"/>
    <w:rsid w:val="00482E30"/>
    <w:rsid w:val="00485333"/>
    <w:rsid w:val="00485D04"/>
    <w:rsid w:val="004865D9"/>
    <w:rsid w:val="00490CB6"/>
    <w:rsid w:val="00496513"/>
    <w:rsid w:val="00496D74"/>
    <w:rsid w:val="0049793C"/>
    <w:rsid w:val="0049799E"/>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060"/>
    <w:rsid w:val="005007B3"/>
    <w:rsid w:val="005010FA"/>
    <w:rsid w:val="00503228"/>
    <w:rsid w:val="00503C46"/>
    <w:rsid w:val="00505384"/>
    <w:rsid w:val="00506662"/>
    <w:rsid w:val="0051030B"/>
    <w:rsid w:val="005137D8"/>
    <w:rsid w:val="0051539C"/>
    <w:rsid w:val="00517540"/>
    <w:rsid w:val="005271A6"/>
    <w:rsid w:val="00531A07"/>
    <w:rsid w:val="00534862"/>
    <w:rsid w:val="00534D66"/>
    <w:rsid w:val="00535397"/>
    <w:rsid w:val="005420F2"/>
    <w:rsid w:val="00544B01"/>
    <w:rsid w:val="00545810"/>
    <w:rsid w:val="00552801"/>
    <w:rsid w:val="0055513A"/>
    <w:rsid w:val="005552E8"/>
    <w:rsid w:val="00555BB4"/>
    <w:rsid w:val="005574C0"/>
    <w:rsid w:val="0055778C"/>
    <w:rsid w:val="00563186"/>
    <w:rsid w:val="005641B2"/>
    <w:rsid w:val="0057324A"/>
    <w:rsid w:val="00574001"/>
    <w:rsid w:val="005754D5"/>
    <w:rsid w:val="00576FE5"/>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6A02"/>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52CB"/>
    <w:rsid w:val="00656071"/>
    <w:rsid w:val="006600E7"/>
    <w:rsid w:val="0066120A"/>
    <w:rsid w:val="006632AF"/>
    <w:rsid w:val="0066460A"/>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6789"/>
    <w:rsid w:val="006A7392"/>
    <w:rsid w:val="006B3EDB"/>
    <w:rsid w:val="006B4556"/>
    <w:rsid w:val="006B5E99"/>
    <w:rsid w:val="006B6487"/>
    <w:rsid w:val="006C015F"/>
    <w:rsid w:val="006C26A3"/>
    <w:rsid w:val="006C28A8"/>
    <w:rsid w:val="006C32E9"/>
    <w:rsid w:val="006C461E"/>
    <w:rsid w:val="006C4CFF"/>
    <w:rsid w:val="006C66D2"/>
    <w:rsid w:val="006C6CC9"/>
    <w:rsid w:val="006D117A"/>
    <w:rsid w:val="006D1DA0"/>
    <w:rsid w:val="006D2DC3"/>
    <w:rsid w:val="006D35B6"/>
    <w:rsid w:val="006D6393"/>
    <w:rsid w:val="006E0DF4"/>
    <w:rsid w:val="006E11BA"/>
    <w:rsid w:val="006E1ECC"/>
    <w:rsid w:val="006E337F"/>
    <w:rsid w:val="006E4117"/>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5277"/>
    <w:rsid w:val="00736670"/>
    <w:rsid w:val="007370A2"/>
    <w:rsid w:val="00737326"/>
    <w:rsid w:val="00743440"/>
    <w:rsid w:val="00743ADE"/>
    <w:rsid w:val="00743CD6"/>
    <w:rsid w:val="007472A2"/>
    <w:rsid w:val="00752E1C"/>
    <w:rsid w:val="00752F50"/>
    <w:rsid w:val="00754B74"/>
    <w:rsid w:val="00754FB0"/>
    <w:rsid w:val="0075743E"/>
    <w:rsid w:val="007602F8"/>
    <w:rsid w:val="007635A5"/>
    <w:rsid w:val="00763DEC"/>
    <w:rsid w:val="007674D1"/>
    <w:rsid w:val="00770230"/>
    <w:rsid w:val="00774197"/>
    <w:rsid w:val="00775918"/>
    <w:rsid w:val="00781EE0"/>
    <w:rsid w:val="0078273B"/>
    <w:rsid w:val="00785008"/>
    <w:rsid w:val="00785750"/>
    <w:rsid w:val="00791047"/>
    <w:rsid w:val="00794111"/>
    <w:rsid w:val="00794E94"/>
    <w:rsid w:val="007962E8"/>
    <w:rsid w:val="00797C29"/>
    <w:rsid w:val="007A26DD"/>
    <w:rsid w:val="007A29B4"/>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71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188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B4086"/>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76F"/>
    <w:rsid w:val="008E1B6C"/>
    <w:rsid w:val="008E269F"/>
    <w:rsid w:val="008E5905"/>
    <w:rsid w:val="008F004D"/>
    <w:rsid w:val="008F01C4"/>
    <w:rsid w:val="008F06C0"/>
    <w:rsid w:val="008F0920"/>
    <w:rsid w:val="008F17B5"/>
    <w:rsid w:val="008F7262"/>
    <w:rsid w:val="009007E0"/>
    <w:rsid w:val="009019F6"/>
    <w:rsid w:val="00901DC4"/>
    <w:rsid w:val="00902855"/>
    <w:rsid w:val="009046B8"/>
    <w:rsid w:val="00905577"/>
    <w:rsid w:val="00905D72"/>
    <w:rsid w:val="0090665F"/>
    <w:rsid w:val="009076A1"/>
    <w:rsid w:val="00907AD2"/>
    <w:rsid w:val="009150D6"/>
    <w:rsid w:val="00916ED9"/>
    <w:rsid w:val="00917305"/>
    <w:rsid w:val="00923C5D"/>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472"/>
    <w:rsid w:val="009877D0"/>
    <w:rsid w:val="00991261"/>
    <w:rsid w:val="00992D08"/>
    <w:rsid w:val="0099391C"/>
    <w:rsid w:val="009958ED"/>
    <w:rsid w:val="009A2A36"/>
    <w:rsid w:val="009A2BA6"/>
    <w:rsid w:val="009A2D3C"/>
    <w:rsid w:val="009A32BD"/>
    <w:rsid w:val="009A539F"/>
    <w:rsid w:val="009B02F2"/>
    <w:rsid w:val="009B2CD5"/>
    <w:rsid w:val="009B4CD7"/>
    <w:rsid w:val="009B4ECF"/>
    <w:rsid w:val="009B6E09"/>
    <w:rsid w:val="009B777E"/>
    <w:rsid w:val="009C06E6"/>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092"/>
    <w:rsid w:val="00A422FF"/>
    <w:rsid w:val="00A42423"/>
    <w:rsid w:val="00A4295A"/>
    <w:rsid w:val="00A45344"/>
    <w:rsid w:val="00A465F7"/>
    <w:rsid w:val="00A506A8"/>
    <w:rsid w:val="00A50820"/>
    <w:rsid w:val="00A51044"/>
    <w:rsid w:val="00A522A2"/>
    <w:rsid w:val="00A54DAC"/>
    <w:rsid w:val="00A56411"/>
    <w:rsid w:val="00A60071"/>
    <w:rsid w:val="00A600F0"/>
    <w:rsid w:val="00A61D33"/>
    <w:rsid w:val="00A622EB"/>
    <w:rsid w:val="00A65A00"/>
    <w:rsid w:val="00A65D32"/>
    <w:rsid w:val="00A7037A"/>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A7609"/>
    <w:rsid w:val="00AA7AEC"/>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D6181"/>
    <w:rsid w:val="00AE0D72"/>
    <w:rsid w:val="00AE49BC"/>
    <w:rsid w:val="00AE5A64"/>
    <w:rsid w:val="00AE64D9"/>
    <w:rsid w:val="00AE6A7C"/>
    <w:rsid w:val="00AF03E0"/>
    <w:rsid w:val="00AF3403"/>
    <w:rsid w:val="00AF4986"/>
    <w:rsid w:val="00AF538C"/>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1F61"/>
    <w:rsid w:val="00B72ED6"/>
    <w:rsid w:val="00B73E34"/>
    <w:rsid w:val="00B742B8"/>
    <w:rsid w:val="00B74B8D"/>
    <w:rsid w:val="00B76A41"/>
    <w:rsid w:val="00B812EB"/>
    <w:rsid w:val="00B81C7D"/>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04E1"/>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0F28"/>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08B"/>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31D5"/>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A6EC5"/>
    <w:rsid w:val="00DB5D0F"/>
    <w:rsid w:val="00DB7F27"/>
    <w:rsid w:val="00DC0364"/>
    <w:rsid w:val="00DC0962"/>
    <w:rsid w:val="00DC1955"/>
    <w:rsid w:val="00DC3971"/>
    <w:rsid w:val="00DC3F07"/>
    <w:rsid w:val="00DC6E09"/>
    <w:rsid w:val="00DD0773"/>
    <w:rsid w:val="00DD37EE"/>
    <w:rsid w:val="00DE33F9"/>
    <w:rsid w:val="00DE425B"/>
    <w:rsid w:val="00DE7DB4"/>
    <w:rsid w:val="00DF12F7"/>
    <w:rsid w:val="00DF26CA"/>
    <w:rsid w:val="00E00B6B"/>
    <w:rsid w:val="00E012F6"/>
    <w:rsid w:val="00E02C81"/>
    <w:rsid w:val="00E044BA"/>
    <w:rsid w:val="00E05A8B"/>
    <w:rsid w:val="00E05ABD"/>
    <w:rsid w:val="00E05CB7"/>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2BED"/>
    <w:rsid w:val="00E83C78"/>
    <w:rsid w:val="00E83E40"/>
    <w:rsid w:val="00E85318"/>
    <w:rsid w:val="00E85614"/>
    <w:rsid w:val="00E87921"/>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E737F"/>
    <w:rsid w:val="00EF1B47"/>
    <w:rsid w:val="00EF1D7F"/>
    <w:rsid w:val="00EF3351"/>
    <w:rsid w:val="00EF3DAE"/>
    <w:rsid w:val="00EF6B0B"/>
    <w:rsid w:val="00EF7244"/>
    <w:rsid w:val="00EF7291"/>
    <w:rsid w:val="00F00D5A"/>
    <w:rsid w:val="00F01313"/>
    <w:rsid w:val="00F072C7"/>
    <w:rsid w:val="00F1271A"/>
    <w:rsid w:val="00F156C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3813"/>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AB7F1"/>
  <w15:docId w15:val="{AE2FD992-7D26-4200-9F91-1B4EDE4C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oList"/>
    <w:next w:val="1ai"/>
    <w:semiHidden/>
    <w:rsid w:val="00593C84"/>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 w:type="numbering" w:styleId="111111">
    <w:name w:val="Outline List 2"/>
    <w:basedOn w:val="NoList"/>
    <w:rsid w:val="00261FC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19123309">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EE221-1497-4ECD-A6FD-DFC6E5EB4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78E9BA-6527-4CD0-98BB-8BF77FD13BAF}">
  <ds:schemaRefs>
    <ds:schemaRef ds:uri="http://schemas.openxmlformats.org/officeDocument/2006/bibliography"/>
  </ds:schemaRefs>
</ds:datastoreItem>
</file>

<file path=customXml/itemProps3.xml><?xml version="1.0" encoding="utf-8"?>
<ds:datastoreItem xmlns:ds="http://schemas.openxmlformats.org/officeDocument/2006/customXml" ds:itemID="{110F9267-D38E-45C9-A10F-81A9C6AC8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69DAC-6BEC-47D8-B272-161B57B8E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3</Pages>
  <Words>986</Words>
  <Characters>5626</Characters>
  <Application>Microsoft Office Word</Application>
  <DocSecurity>0</DocSecurity>
  <Lines>46</Lines>
  <Paragraphs>13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6599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Nadiya Dzyubynska</cp:lastModifiedBy>
  <cp:revision>3</cp:revision>
  <cp:lastPrinted>2019-11-07T17:35:00Z</cp:lastPrinted>
  <dcterms:created xsi:type="dcterms:W3CDTF">2021-12-02T16:38:00Z</dcterms:created>
  <dcterms:modified xsi:type="dcterms:W3CDTF">2021-12-02T16:39:00Z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2451400</vt:r8>
  </property>
</Properties>
</file>