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5E00FF" w14:textId="77777777" w:rsidTr="00C97039">
        <w:trPr>
          <w:trHeight w:hRule="exact" w:val="851"/>
        </w:trPr>
        <w:tc>
          <w:tcPr>
            <w:tcW w:w="1276" w:type="dxa"/>
            <w:tcBorders>
              <w:bottom w:val="single" w:sz="4" w:space="0" w:color="auto"/>
            </w:tcBorders>
          </w:tcPr>
          <w:p w14:paraId="7587590D" w14:textId="77777777" w:rsidR="00F35BAF" w:rsidRPr="00DB58B5" w:rsidRDefault="00F35BAF" w:rsidP="00A10E29"/>
        </w:tc>
        <w:tc>
          <w:tcPr>
            <w:tcW w:w="2268" w:type="dxa"/>
            <w:tcBorders>
              <w:bottom w:val="single" w:sz="4" w:space="0" w:color="auto"/>
            </w:tcBorders>
            <w:vAlign w:val="bottom"/>
          </w:tcPr>
          <w:p w14:paraId="64704FF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B7B315" w14:textId="1C7DC1E3" w:rsidR="00F35BAF" w:rsidRPr="00DB58B5" w:rsidRDefault="00A10E29" w:rsidP="00A10E29">
            <w:pPr>
              <w:jc w:val="right"/>
            </w:pPr>
            <w:r w:rsidRPr="00A10E29">
              <w:rPr>
                <w:sz w:val="40"/>
              </w:rPr>
              <w:t>ECE</w:t>
            </w:r>
            <w:r>
              <w:t>/TRANS/WP.29/2021/96</w:t>
            </w:r>
          </w:p>
        </w:tc>
      </w:tr>
      <w:tr w:rsidR="00F35BAF" w:rsidRPr="00DB58B5" w14:paraId="601ADE9E" w14:textId="77777777" w:rsidTr="00C97039">
        <w:trPr>
          <w:trHeight w:hRule="exact" w:val="2835"/>
        </w:trPr>
        <w:tc>
          <w:tcPr>
            <w:tcW w:w="1276" w:type="dxa"/>
            <w:tcBorders>
              <w:top w:val="single" w:sz="4" w:space="0" w:color="auto"/>
              <w:bottom w:val="single" w:sz="12" w:space="0" w:color="auto"/>
            </w:tcBorders>
          </w:tcPr>
          <w:p w14:paraId="265924B5" w14:textId="77777777" w:rsidR="00F35BAF" w:rsidRPr="00DB58B5" w:rsidRDefault="00F35BAF" w:rsidP="00C97039">
            <w:pPr>
              <w:spacing w:before="120"/>
              <w:jc w:val="center"/>
            </w:pPr>
            <w:r>
              <w:rPr>
                <w:noProof/>
                <w:lang w:eastAsia="fr-CH"/>
              </w:rPr>
              <w:drawing>
                <wp:inline distT="0" distB="0" distL="0" distR="0" wp14:anchorId="67F165CF" wp14:editId="32DB93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E2072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FAA911" w14:textId="77777777" w:rsidR="00F35BAF" w:rsidRDefault="00A10E29" w:rsidP="00C97039">
            <w:pPr>
              <w:spacing w:before="240"/>
            </w:pPr>
            <w:r>
              <w:t>Distr. générale</w:t>
            </w:r>
          </w:p>
          <w:p w14:paraId="589FA14F" w14:textId="77777777" w:rsidR="00A10E29" w:rsidRDefault="00A10E29" w:rsidP="00A10E29">
            <w:pPr>
              <w:spacing w:line="240" w:lineRule="exact"/>
            </w:pPr>
            <w:r>
              <w:t>7 septembre 2021</w:t>
            </w:r>
          </w:p>
          <w:p w14:paraId="1E4A9ED3" w14:textId="77777777" w:rsidR="00A10E29" w:rsidRDefault="00A10E29" w:rsidP="00A10E29">
            <w:pPr>
              <w:spacing w:line="240" w:lineRule="exact"/>
            </w:pPr>
            <w:r>
              <w:t>Français</w:t>
            </w:r>
          </w:p>
          <w:p w14:paraId="2E391D04" w14:textId="3C4A0D7E" w:rsidR="00A10E29" w:rsidRPr="00DB58B5" w:rsidRDefault="00A10E29" w:rsidP="00A10E29">
            <w:pPr>
              <w:spacing w:line="240" w:lineRule="exact"/>
            </w:pPr>
            <w:r>
              <w:t>Original</w:t>
            </w:r>
            <w:r w:rsidR="006A55F8">
              <w:t> :</w:t>
            </w:r>
            <w:r>
              <w:t xml:space="preserve"> anglais</w:t>
            </w:r>
          </w:p>
        </w:tc>
      </w:tr>
    </w:tbl>
    <w:p w14:paraId="01DB4E23" w14:textId="77777777" w:rsidR="007F20FA" w:rsidRPr="000312C0" w:rsidRDefault="007F20FA" w:rsidP="007F20FA">
      <w:pPr>
        <w:spacing w:before="120"/>
        <w:rPr>
          <w:b/>
          <w:sz w:val="28"/>
          <w:szCs w:val="28"/>
        </w:rPr>
      </w:pPr>
      <w:r w:rsidRPr="000312C0">
        <w:rPr>
          <w:b/>
          <w:sz w:val="28"/>
          <w:szCs w:val="28"/>
        </w:rPr>
        <w:t>Commission économique pour l’Europe</w:t>
      </w:r>
    </w:p>
    <w:p w14:paraId="5551360F" w14:textId="77777777" w:rsidR="007F20FA" w:rsidRDefault="007F20FA" w:rsidP="007F20FA">
      <w:pPr>
        <w:spacing w:before="120"/>
        <w:rPr>
          <w:sz w:val="28"/>
          <w:szCs w:val="28"/>
        </w:rPr>
      </w:pPr>
      <w:r w:rsidRPr="00685843">
        <w:rPr>
          <w:sz w:val="28"/>
          <w:szCs w:val="28"/>
        </w:rPr>
        <w:t>Comité des transports intérieurs</w:t>
      </w:r>
    </w:p>
    <w:p w14:paraId="79398DD5" w14:textId="7650BD27" w:rsidR="006A55F8" w:rsidRPr="006A55F8" w:rsidRDefault="006A55F8" w:rsidP="006A55F8">
      <w:pPr>
        <w:spacing w:before="120"/>
        <w:ind w:right="5527"/>
        <w:rPr>
          <w:b/>
          <w:sz w:val="24"/>
          <w:szCs w:val="24"/>
        </w:rPr>
      </w:pPr>
      <w:r w:rsidRPr="006A55F8">
        <w:rPr>
          <w:b/>
          <w:bCs/>
          <w:sz w:val="24"/>
          <w:szCs w:val="24"/>
        </w:rPr>
        <w:t>Forum mondial de l’harmonisation des Règlements concernant les véhicules</w:t>
      </w:r>
    </w:p>
    <w:p w14:paraId="30032721" w14:textId="77777777" w:rsidR="006A55F8" w:rsidRPr="00B349E9" w:rsidRDefault="006A55F8" w:rsidP="006A55F8">
      <w:pPr>
        <w:tabs>
          <w:tab w:val="center" w:pos="4819"/>
        </w:tabs>
        <w:spacing w:before="120"/>
        <w:rPr>
          <w:b/>
        </w:rPr>
      </w:pPr>
      <w:r w:rsidRPr="00B349E9">
        <w:rPr>
          <w:b/>
          <w:bCs/>
        </w:rPr>
        <w:t>185</w:t>
      </w:r>
      <w:r w:rsidRPr="00B349E9">
        <w:rPr>
          <w:b/>
          <w:bCs/>
          <w:vertAlign w:val="superscript"/>
        </w:rPr>
        <w:t>e</w:t>
      </w:r>
      <w:r w:rsidRPr="00B349E9">
        <w:rPr>
          <w:b/>
          <w:bCs/>
        </w:rPr>
        <w:t xml:space="preserve"> session</w:t>
      </w:r>
    </w:p>
    <w:p w14:paraId="0400F57C" w14:textId="77777777" w:rsidR="006A55F8" w:rsidRPr="00B349E9" w:rsidRDefault="006A55F8" w:rsidP="006A55F8">
      <w:r w:rsidRPr="00B349E9">
        <w:t>Genève, 23-25 novembre 2021</w:t>
      </w:r>
    </w:p>
    <w:p w14:paraId="33D63704" w14:textId="77777777" w:rsidR="006A55F8" w:rsidRPr="00B349E9" w:rsidRDefault="006A55F8" w:rsidP="006A55F8">
      <w:r w:rsidRPr="00B349E9">
        <w:t>Point 4.6.12 de l’ordre du jour provisoire</w:t>
      </w:r>
    </w:p>
    <w:p w14:paraId="6B482197" w14:textId="77777777" w:rsidR="005C2687" w:rsidRDefault="006A55F8" w:rsidP="006A55F8">
      <w:pPr>
        <w:ind w:right="4960"/>
        <w:rPr>
          <w:b/>
          <w:bCs/>
        </w:rPr>
      </w:pPr>
      <w:r w:rsidRPr="00B349E9">
        <w:rPr>
          <w:b/>
          <w:bCs/>
        </w:rPr>
        <w:t>Accord de 1958</w:t>
      </w:r>
      <w:r>
        <w:rPr>
          <w:b/>
          <w:bCs/>
        </w:rPr>
        <w:t> :</w:t>
      </w:r>
      <w:r w:rsidRPr="00B349E9">
        <w:rPr>
          <w:b/>
          <w:bCs/>
        </w:rPr>
        <w:t xml:space="preserve"> </w:t>
      </w:r>
    </w:p>
    <w:p w14:paraId="3C096B4C" w14:textId="57030F60" w:rsidR="006A55F8" w:rsidRPr="00B349E9" w:rsidRDefault="006A55F8" w:rsidP="006A55F8">
      <w:pPr>
        <w:ind w:right="4960"/>
        <w:rPr>
          <w:b/>
        </w:rPr>
      </w:pPr>
      <w:r w:rsidRPr="00B349E9">
        <w:rPr>
          <w:b/>
          <w:bCs/>
        </w:rPr>
        <w:t>Examen de projets d’amendements à</w:t>
      </w:r>
      <w:r w:rsidR="005C2687">
        <w:rPr>
          <w:b/>
          <w:bCs/>
        </w:rPr>
        <w:t xml:space="preserve"> </w:t>
      </w:r>
      <w:r w:rsidRPr="00B349E9">
        <w:rPr>
          <w:b/>
          <w:bCs/>
        </w:rPr>
        <w:t>des Règlements ONU existants, soumis par le GRE</w:t>
      </w:r>
    </w:p>
    <w:p w14:paraId="50660A17" w14:textId="54B79A94" w:rsidR="006A55F8" w:rsidRPr="00B349E9" w:rsidRDefault="006A55F8" w:rsidP="005C2687">
      <w:pPr>
        <w:pStyle w:val="HChG"/>
        <w:ind w:right="2692"/>
      </w:pPr>
      <w:r w:rsidRPr="00B349E9">
        <w:tab/>
      </w:r>
      <w:r w:rsidRPr="00B349E9">
        <w:tab/>
        <w:t>Proposition de complément 4 à la série originale d’amendements au Règlement ONU n</w:t>
      </w:r>
      <w:r w:rsidRPr="00B349E9">
        <w:rPr>
          <w:vertAlign w:val="superscript"/>
        </w:rPr>
        <w:t>o</w:t>
      </w:r>
      <w:r>
        <w:t> </w:t>
      </w:r>
      <w:r w:rsidRPr="00B349E9">
        <w:t>150 (Dispositifs</w:t>
      </w:r>
      <w:r w:rsidR="005C2687">
        <w:t xml:space="preserve"> </w:t>
      </w:r>
      <w:r w:rsidRPr="00B349E9">
        <w:t>rétroréfléchissants)</w:t>
      </w:r>
    </w:p>
    <w:p w14:paraId="759DF922" w14:textId="77777777" w:rsidR="006A55F8" w:rsidRPr="00B349E9" w:rsidRDefault="006A55F8" w:rsidP="006A55F8">
      <w:pPr>
        <w:pStyle w:val="H1G"/>
        <w:ind w:right="3117"/>
        <w:rPr>
          <w:szCs w:val="24"/>
        </w:rPr>
      </w:pPr>
      <w:r w:rsidRPr="00B349E9">
        <w:tab/>
      </w:r>
      <w:r w:rsidRPr="00B349E9">
        <w:tab/>
        <w:t>Communication du Groupe de travail de l’éclairage et de la signalisation lumineuse</w:t>
      </w:r>
      <w:r w:rsidRPr="006A55F8">
        <w:rPr>
          <w:rStyle w:val="Appelnotedebasdep"/>
          <w:b w:val="0"/>
          <w:bCs/>
          <w:sz w:val="20"/>
          <w:vertAlign w:val="baseline"/>
        </w:rPr>
        <w:footnoteReference w:customMarkFollows="1" w:id="2"/>
        <w:t>*</w:t>
      </w:r>
    </w:p>
    <w:p w14:paraId="486B72F4" w14:textId="6C4D6614" w:rsidR="006A55F8" w:rsidRPr="006A55F8" w:rsidRDefault="006A55F8" w:rsidP="006A55F8">
      <w:pPr>
        <w:pStyle w:val="SingleTxtG"/>
        <w:ind w:firstLine="567"/>
        <w:rPr>
          <w:spacing w:val="-2"/>
        </w:rPr>
      </w:pPr>
      <w:r w:rsidRPr="006A55F8">
        <w:rPr>
          <w:spacing w:val="-2"/>
        </w:rPr>
        <w:t>Le texte ci-après a été adopté par le Groupe de travail de l’éclairage et de la signalisation lumineuse (GRE) à sa quatre-vingt-quatrième session (ECE/TRANS/WP.29/GRE/84, par. 12). Il est fondé sur le document informel GRE-84-04. Il est soumis au Forum mondial de l’harmonisation des Règlements concernant les véhicules (WP.29) et au Comité d’administration de l’Accord de 1958 (AC.1) pour examen à leurs sessions de novembre 2021.</w:t>
      </w:r>
    </w:p>
    <w:p w14:paraId="5D25E02B" w14:textId="77777777" w:rsidR="006A55F8" w:rsidRPr="00B349E9" w:rsidRDefault="006A55F8" w:rsidP="005C2687">
      <w:pPr>
        <w:pStyle w:val="SingleTxtG"/>
      </w:pPr>
      <w:r w:rsidRPr="00B349E9">
        <w:br w:type="page"/>
      </w:r>
    </w:p>
    <w:p w14:paraId="1115B02F" w14:textId="3C347272" w:rsidR="006A55F8" w:rsidRPr="00B349E9" w:rsidRDefault="006A55F8" w:rsidP="006A55F8">
      <w:pPr>
        <w:keepNext/>
        <w:spacing w:after="120"/>
        <w:ind w:left="2268" w:right="1134" w:hanging="1134"/>
        <w:jc w:val="both"/>
        <w:rPr>
          <w:rFonts w:asciiTheme="majorBidi" w:hAnsiTheme="majorBidi" w:cstheme="majorBidi"/>
        </w:rPr>
      </w:pPr>
      <w:r w:rsidRPr="00B349E9">
        <w:rPr>
          <w:i/>
          <w:iCs/>
        </w:rPr>
        <w:lastRenderedPageBreak/>
        <w:t>Paragraphe 5.5.2.1</w:t>
      </w:r>
      <w:r w:rsidRPr="00B349E9">
        <w:t>, lire</w:t>
      </w:r>
      <w:r>
        <w:t> :</w:t>
      </w:r>
    </w:p>
    <w:p w14:paraId="0814B765" w14:textId="5D01C153" w:rsidR="006A55F8" w:rsidRPr="00B349E9" w:rsidRDefault="006A55F8" w:rsidP="006A55F8">
      <w:pPr>
        <w:widowControl w:val="0"/>
        <w:spacing w:after="120"/>
        <w:ind w:left="2268" w:right="1134" w:hanging="1134"/>
        <w:jc w:val="both"/>
      </w:pPr>
      <w:r>
        <w:t>« </w:t>
      </w:r>
      <w:r w:rsidRPr="00B349E9">
        <w:t>5.5.2.1</w:t>
      </w:r>
      <w:r w:rsidRPr="00B349E9">
        <w:tab/>
        <w:t>Cinq échantillons représentant des bandes ou des plaques de marquages rétroréfléchissants doivent être soumis au laboratoire d’essai. S’il s’agit de bandes, ces échantillons doivent mesurer au minimum 3</w:t>
      </w:r>
      <w:r>
        <w:t> </w:t>
      </w:r>
      <w:r w:rsidRPr="00B349E9">
        <w:t>m de long</w:t>
      </w:r>
      <w:r>
        <w:t> ;</w:t>
      </w:r>
      <w:r w:rsidRPr="00B349E9">
        <w:t xml:space="preserve"> s’il s’agit de plaques, leur surface doit être égale à 500</w:t>
      </w:r>
      <w:r>
        <w:t> </w:t>
      </w:r>
      <w:r w:rsidRPr="00B349E9">
        <w:t>mm x 500</w:t>
      </w:r>
      <w:r>
        <w:t> </w:t>
      </w:r>
      <w:r w:rsidRPr="00B349E9">
        <w:t>mm au minimum.</w:t>
      </w:r>
      <w:r>
        <w:t> </w:t>
      </w:r>
      <w:r w:rsidRPr="00B349E9">
        <w:t>».</w:t>
      </w:r>
    </w:p>
    <w:p w14:paraId="1DCC59A3" w14:textId="77777777" w:rsidR="006A55F8" w:rsidRPr="00B349E9" w:rsidRDefault="006A55F8" w:rsidP="006A55F8">
      <w:pPr>
        <w:keepNext/>
        <w:spacing w:after="120"/>
        <w:ind w:left="2268" w:right="1134" w:hanging="1134"/>
        <w:jc w:val="both"/>
        <w:rPr>
          <w:i/>
        </w:rPr>
      </w:pPr>
      <w:r w:rsidRPr="00B349E9">
        <w:rPr>
          <w:i/>
          <w:iCs/>
        </w:rPr>
        <w:t>Annexe 1</w:t>
      </w:r>
    </w:p>
    <w:p w14:paraId="439781AE" w14:textId="70637452" w:rsidR="006A55F8" w:rsidRPr="00B349E9" w:rsidRDefault="006A55F8" w:rsidP="006A55F8">
      <w:pPr>
        <w:keepNext/>
        <w:spacing w:after="120"/>
        <w:ind w:left="2268" w:right="1134" w:hanging="1134"/>
        <w:jc w:val="both"/>
        <w:rPr>
          <w:rFonts w:asciiTheme="majorBidi" w:hAnsiTheme="majorBidi" w:cstheme="majorBidi"/>
        </w:rPr>
      </w:pPr>
      <w:r w:rsidRPr="00B349E9">
        <w:rPr>
          <w:i/>
          <w:iCs/>
        </w:rPr>
        <w:t>Point 9</w:t>
      </w:r>
      <w:r w:rsidRPr="00B349E9">
        <w:t>, lire</w:t>
      </w:r>
      <w:r>
        <w:t> :</w:t>
      </w:r>
    </w:p>
    <w:p w14:paraId="2656C448" w14:textId="343E05F1" w:rsidR="006A55F8" w:rsidRPr="00B349E9" w:rsidRDefault="006A55F8" w:rsidP="006A55F8">
      <w:pPr>
        <w:pStyle w:val="para"/>
        <w:rPr>
          <w:lang w:val="fr-CH"/>
        </w:rPr>
      </w:pPr>
      <w:r w:rsidRPr="00B349E9">
        <w:rPr>
          <w:lang w:val="fr-CH"/>
        </w:rPr>
        <w:t>«</w:t>
      </w:r>
      <w:r>
        <w:rPr>
          <w:lang w:val="fr-CH"/>
        </w:rPr>
        <w:t> </w:t>
      </w:r>
      <w:r w:rsidRPr="00B349E9">
        <w:rPr>
          <w:lang w:val="fr-CH"/>
        </w:rPr>
        <w:t>9</w:t>
      </w:r>
      <w:r w:rsidRPr="00B349E9">
        <w:rPr>
          <w:lang w:val="fr-CH"/>
        </w:rPr>
        <w:tab/>
        <w:t>Description sommaire</w:t>
      </w:r>
      <w:r>
        <w:rPr>
          <w:lang w:val="fr-CH"/>
        </w:rPr>
        <w:t> :</w:t>
      </w:r>
    </w:p>
    <w:p w14:paraId="69B4D05A" w14:textId="277153AD" w:rsidR="006A55F8" w:rsidRPr="00B349E9" w:rsidRDefault="006A55F8" w:rsidP="006A55F8">
      <w:pPr>
        <w:pStyle w:val="Annex1"/>
        <w:ind w:firstLine="0"/>
        <w:jc w:val="left"/>
      </w:pPr>
      <w:r w:rsidRPr="00B349E9">
        <w:t>Isolé/fait partie d’un ensemble de dispositifs</w:t>
      </w:r>
      <w:r w:rsidRPr="006A55F8">
        <w:rPr>
          <w:sz w:val="18"/>
          <w:szCs w:val="18"/>
          <w:vertAlign w:val="superscript"/>
        </w:rPr>
        <w:t>2</w:t>
      </w:r>
      <w:r>
        <w:t> :</w:t>
      </w:r>
      <w:r w:rsidRPr="00B349E9">
        <w:tab/>
      </w:r>
    </w:p>
    <w:p w14:paraId="58A9F080" w14:textId="47631DE4" w:rsidR="006A55F8" w:rsidRPr="00B349E9" w:rsidRDefault="006A55F8" w:rsidP="006A55F8">
      <w:pPr>
        <w:pStyle w:val="Annex1"/>
        <w:ind w:firstLine="0"/>
        <w:jc w:val="left"/>
      </w:pPr>
      <w:r w:rsidRPr="00B349E9">
        <w:t>Couleur de la lumière émise</w:t>
      </w:r>
      <w:r>
        <w:t> :</w:t>
      </w:r>
      <w:r w:rsidRPr="00B349E9">
        <w:t xml:space="preserve"> blanc/rouge/jaune-auto</w:t>
      </w:r>
      <w:r w:rsidRPr="006A55F8">
        <w:rPr>
          <w:sz w:val="18"/>
          <w:szCs w:val="18"/>
          <w:vertAlign w:val="superscript"/>
        </w:rPr>
        <w:t>2</w:t>
      </w:r>
      <w:r w:rsidRPr="006A55F8">
        <w:t> </w:t>
      </w:r>
      <w:r>
        <w:t>:</w:t>
      </w:r>
      <w:r w:rsidRPr="00B349E9">
        <w:tab/>
      </w:r>
    </w:p>
    <w:p w14:paraId="0A7C363F" w14:textId="1329D0F7" w:rsidR="006A55F8" w:rsidRPr="00B349E9" w:rsidRDefault="006A55F8" w:rsidP="006A55F8">
      <w:pPr>
        <w:pStyle w:val="Annex1"/>
        <w:ind w:firstLine="0"/>
        <w:jc w:val="left"/>
      </w:pPr>
      <w:r w:rsidRPr="00B349E9">
        <w:t>Montage en tant que partie intégrante d’un feu intégré dans la carrosserie d’un véhicule</w:t>
      </w:r>
      <w:r>
        <w:t> :</w:t>
      </w:r>
      <w:r w:rsidRPr="00B349E9">
        <w:t xml:space="preserve"> oui/non</w:t>
      </w:r>
      <w:r w:rsidRPr="006A55F8">
        <w:rPr>
          <w:sz w:val="18"/>
          <w:szCs w:val="18"/>
          <w:vertAlign w:val="superscript"/>
        </w:rPr>
        <w:t>2</w:t>
      </w:r>
    </w:p>
    <w:p w14:paraId="5A39B6E6" w14:textId="1912726F" w:rsidR="006A55F8" w:rsidRPr="00B349E9" w:rsidRDefault="006A55F8" w:rsidP="006A55F8">
      <w:pPr>
        <w:pStyle w:val="Annex1"/>
        <w:ind w:firstLine="0"/>
        <w:jc w:val="left"/>
      </w:pPr>
      <w:r w:rsidRPr="00B349E9">
        <w:t>Conditions géométriques du montage et variantes éventuelles</w:t>
      </w:r>
      <w:r>
        <w:t> :</w:t>
      </w:r>
      <w:r w:rsidRPr="00B349E9">
        <w:tab/>
      </w:r>
    </w:p>
    <w:p w14:paraId="732A6F3E" w14:textId="467D1DD5" w:rsidR="006A55F8" w:rsidRPr="00B349E9" w:rsidRDefault="006A55F8" w:rsidP="006A55F8">
      <w:pPr>
        <w:pStyle w:val="Annex1"/>
        <w:ind w:firstLine="0"/>
        <w:jc w:val="left"/>
      </w:pPr>
      <w:r w:rsidRPr="00B349E9">
        <w:t>Seulement pour une hauteur de montage limitée, égale ou inférieure à 750</w:t>
      </w:r>
      <w:r>
        <w:t> </w:t>
      </w:r>
      <w:r w:rsidRPr="00B349E9">
        <w:t>mm au-dessus du sol</w:t>
      </w:r>
      <w:r>
        <w:t> :</w:t>
      </w:r>
      <w:r w:rsidRPr="00B349E9">
        <w:t xml:space="preserve"> oui/non</w:t>
      </w:r>
      <w:r w:rsidRPr="00B349E9">
        <w:rPr>
          <w:vertAlign w:val="superscript"/>
        </w:rPr>
        <w:t>2</w:t>
      </w:r>
      <w:r w:rsidRPr="00B349E9">
        <w:t>.</w:t>
      </w:r>
      <w:r>
        <w:t> </w:t>
      </w:r>
      <w:r w:rsidRPr="00B349E9">
        <w:t>».</w:t>
      </w:r>
    </w:p>
    <w:p w14:paraId="3DFA879F" w14:textId="541F927E" w:rsidR="006A55F8" w:rsidRPr="00B349E9" w:rsidRDefault="006A55F8" w:rsidP="006A55F8">
      <w:pPr>
        <w:keepNext/>
        <w:spacing w:after="120"/>
        <w:ind w:left="2268" w:right="1134" w:hanging="1134"/>
        <w:jc w:val="both"/>
        <w:rPr>
          <w:rFonts w:asciiTheme="majorBidi" w:hAnsiTheme="majorBidi" w:cstheme="majorBidi"/>
        </w:rPr>
      </w:pPr>
      <w:r w:rsidRPr="00B349E9">
        <w:rPr>
          <w:i/>
          <w:iCs/>
        </w:rPr>
        <w:t>Ajouter le nouveau point 12</w:t>
      </w:r>
      <w:r w:rsidRPr="00B349E9">
        <w:t>, libellé comme suit</w:t>
      </w:r>
      <w:r>
        <w:t> :</w:t>
      </w:r>
    </w:p>
    <w:p w14:paraId="4F31C065" w14:textId="24C78BD7" w:rsidR="006A55F8" w:rsidRPr="00B349E9" w:rsidRDefault="006A55F8" w:rsidP="006A55F8">
      <w:pPr>
        <w:pStyle w:val="Annex1"/>
        <w:tabs>
          <w:tab w:val="clear" w:pos="1700"/>
        </w:tabs>
      </w:pPr>
      <w:r w:rsidRPr="00B349E9">
        <w:t>«</w:t>
      </w:r>
      <w:r>
        <w:t> </w:t>
      </w:r>
      <w:r w:rsidRPr="00B349E9">
        <w:t>12</w:t>
      </w:r>
      <w:r w:rsidRPr="00B349E9">
        <w:tab/>
        <w:t>Position de la marque d’homologation</w:t>
      </w:r>
      <w:r>
        <w:t> :</w:t>
      </w:r>
      <w:r w:rsidRPr="00B349E9">
        <w:tab/>
      </w:r>
      <w:r w:rsidRPr="00B349E9">
        <w:tab/>
      </w:r>
      <w:r>
        <w:t> </w:t>
      </w:r>
      <w:r w:rsidRPr="00B349E9">
        <w:t>».</w:t>
      </w:r>
    </w:p>
    <w:p w14:paraId="42AEB02B" w14:textId="77777777" w:rsidR="006A55F8" w:rsidRPr="00B349E9" w:rsidRDefault="006A55F8" w:rsidP="006A55F8">
      <w:pPr>
        <w:pStyle w:val="Annex1"/>
      </w:pPr>
      <w:r w:rsidRPr="00B349E9">
        <w:rPr>
          <w:i/>
          <w:iCs/>
        </w:rPr>
        <w:t>Les points 12 et 13</w:t>
      </w:r>
      <w:r w:rsidRPr="00B349E9">
        <w:t xml:space="preserve"> deviennent les points 13 et 14, respectivement.</w:t>
      </w:r>
    </w:p>
    <w:p w14:paraId="42A9346B" w14:textId="593C5000" w:rsidR="006A55F8" w:rsidRPr="00B349E9" w:rsidRDefault="006A55F8" w:rsidP="006A55F8">
      <w:pPr>
        <w:keepNext/>
        <w:spacing w:after="120"/>
        <w:ind w:left="2268" w:right="1134" w:hanging="1134"/>
        <w:jc w:val="both"/>
        <w:rPr>
          <w:rFonts w:asciiTheme="majorBidi" w:hAnsiTheme="majorBidi" w:cstheme="majorBidi"/>
        </w:rPr>
      </w:pPr>
      <w:r w:rsidRPr="00B349E9">
        <w:rPr>
          <w:i/>
          <w:iCs/>
        </w:rPr>
        <w:t>Le point 14</w:t>
      </w:r>
      <w:r w:rsidRPr="00B349E9">
        <w:t xml:space="preserve"> devient le point 15 et se lit comme suit</w:t>
      </w:r>
      <w:r>
        <w:t> :</w:t>
      </w:r>
    </w:p>
    <w:p w14:paraId="704CBBB1" w14:textId="57E52346" w:rsidR="006A55F8" w:rsidRPr="00B349E9" w:rsidRDefault="006A55F8" w:rsidP="00E53FE8">
      <w:pPr>
        <w:pStyle w:val="Annex1"/>
        <w:tabs>
          <w:tab w:val="clear" w:pos="1700"/>
        </w:tabs>
      </w:pPr>
      <w:r w:rsidRPr="00B349E9">
        <w:t>«</w:t>
      </w:r>
      <w:r>
        <w:t> </w:t>
      </w:r>
      <w:r w:rsidRPr="00B349E9">
        <w:t>15</w:t>
      </w:r>
      <w:r w:rsidRPr="00B349E9">
        <w:tab/>
        <w:t>Signature</w:t>
      </w:r>
      <w:r>
        <w:t> :</w:t>
      </w:r>
      <w:r w:rsidRPr="00B349E9">
        <w:tab/>
      </w:r>
      <w:r>
        <w:t> </w:t>
      </w:r>
      <w:r w:rsidRPr="00B349E9">
        <w:t>».</w:t>
      </w:r>
    </w:p>
    <w:p w14:paraId="4AC978CD" w14:textId="77777777" w:rsidR="006A55F8" w:rsidRPr="00B349E9" w:rsidRDefault="006A55F8" w:rsidP="006A55F8">
      <w:pPr>
        <w:pStyle w:val="Annex1"/>
      </w:pPr>
      <w:r w:rsidRPr="00B349E9">
        <w:rPr>
          <w:i/>
          <w:iCs/>
        </w:rPr>
        <w:t>Le point 15</w:t>
      </w:r>
      <w:r w:rsidRPr="00B349E9">
        <w:t xml:space="preserve"> devient le point 16.</w:t>
      </w:r>
    </w:p>
    <w:p w14:paraId="2E2C21EC" w14:textId="77777777" w:rsidR="006A55F8" w:rsidRPr="00B349E9" w:rsidRDefault="006A55F8" w:rsidP="006A55F8">
      <w:pPr>
        <w:keepNext/>
        <w:spacing w:after="120"/>
        <w:ind w:left="2268" w:right="1134" w:hanging="1134"/>
        <w:jc w:val="both"/>
        <w:rPr>
          <w:i/>
        </w:rPr>
      </w:pPr>
      <w:r w:rsidRPr="00B349E9">
        <w:rPr>
          <w:i/>
          <w:iCs/>
        </w:rPr>
        <w:t>Annexe 6</w:t>
      </w:r>
    </w:p>
    <w:p w14:paraId="6E1E1F37" w14:textId="6E315138" w:rsidR="006A55F8" w:rsidRPr="00B349E9" w:rsidRDefault="006A55F8" w:rsidP="006A55F8">
      <w:pPr>
        <w:keepNext/>
        <w:spacing w:after="120"/>
        <w:ind w:left="2268" w:right="1134" w:hanging="1134"/>
        <w:jc w:val="both"/>
        <w:rPr>
          <w:rFonts w:asciiTheme="majorBidi" w:hAnsiTheme="majorBidi" w:cstheme="majorBidi"/>
        </w:rPr>
      </w:pPr>
      <w:r w:rsidRPr="00B349E9">
        <w:rPr>
          <w:i/>
          <w:iCs/>
        </w:rPr>
        <w:t>Paragraphe 1</w:t>
      </w:r>
      <w:r w:rsidRPr="00B349E9">
        <w:t>, lire</w:t>
      </w:r>
      <w:r>
        <w:t> :</w:t>
      </w:r>
    </w:p>
    <w:p w14:paraId="14A081EF" w14:textId="3D606594" w:rsidR="006A55F8" w:rsidRPr="00B349E9" w:rsidRDefault="006A55F8" w:rsidP="006A55F8">
      <w:pPr>
        <w:tabs>
          <w:tab w:val="left" w:pos="-867"/>
        </w:tabs>
        <w:spacing w:after="120"/>
        <w:ind w:left="2268" w:right="1134" w:hanging="1134"/>
        <w:jc w:val="both"/>
        <w:rPr>
          <w:strike/>
        </w:rPr>
      </w:pPr>
      <w:r w:rsidRPr="00B349E9">
        <w:t>«</w:t>
      </w:r>
      <w:r>
        <w:t> </w:t>
      </w:r>
      <w:r w:rsidRPr="00B349E9">
        <w:t>1</w:t>
      </w:r>
      <w:r w:rsidRPr="00B349E9">
        <w:tab/>
        <w:t xml:space="preserve">Procédure d’essai dans le cas des réflecteurs en plastique moulé pour dispositifs rétroréfléchissants des classes IA, IB, IIIA, IIIB et IVA et plaques de signalisation pour véhicules lents et triangles de </w:t>
      </w:r>
      <w:proofErr w:type="spellStart"/>
      <w:r w:rsidRPr="00B349E9">
        <w:t>présignalisation</w:t>
      </w:r>
      <w:proofErr w:type="spellEnd"/>
      <w:r w:rsidRPr="00B349E9">
        <w:t xml:space="preserve"> du type 1</w:t>
      </w:r>
      <w:r>
        <w:t> :</w:t>
      </w:r>
    </w:p>
    <w:p w14:paraId="6CA57886" w14:textId="75334417" w:rsidR="006A55F8" w:rsidRPr="00B349E9" w:rsidRDefault="006A55F8" w:rsidP="006A55F8">
      <w:pPr>
        <w:tabs>
          <w:tab w:val="left" w:pos="-867"/>
        </w:tabs>
        <w:spacing w:after="120"/>
        <w:ind w:left="2268" w:right="1134"/>
        <w:jc w:val="both"/>
      </w:pPr>
      <w:r>
        <w:t>… </w:t>
      </w:r>
      <w:r w:rsidRPr="00B349E9">
        <w:t>».</w:t>
      </w:r>
    </w:p>
    <w:p w14:paraId="230DB08E" w14:textId="70CAC617" w:rsidR="006A55F8" w:rsidRPr="00B349E9" w:rsidRDefault="006A55F8" w:rsidP="006A55F8">
      <w:pPr>
        <w:keepNext/>
        <w:spacing w:after="120"/>
        <w:ind w:left="2268" w:right="1134" w:hanging="1134"/>
        <w:jc w:val="both"/>
        <w:rPr>
          <w:rFonts w:asciiTheme="majorBidi" w:hAnsiTheme="majorBidi" w:cstheme="majorBidi"/>
        </w:rPr>
      </w:pPr>
      <w:r w:rsidRPr="00B349E9">
        <w:rPr>
          <w:i/>
          <w:iCs/>
        </w:rPr>
        <w:t>Paragraphe 2</w:t>
      </w:r>
      <w:r w:rsidRPr="00B349E9">
        <w:t>, lire</w:t>
      </w:r>
      <w:r>
        <w:t> :</w:t>
      </w:r>
    </w:p>
    <w:p w14:paraId="5F3B056F" w14:textId="31EEEC91" w:rsidR="006A55F8" w:rsidRPr="00B349E9" w:rsidRDefault="006A55F8" w:rsidP="006A55F8">
      <w:pPr>
        <w:tabs>
          <w:tab w:val="left" w:pos="-867"/>
        </w:tabs>
        <w:spacing w:after="120"/>
        <w:ind w:left="2268" w:right="1134" w:hanging="1134"/>
        <w:jc w:val="both"/>
        <w:rPr>
          <w:bCs/>
        </w:rPr>
      </w:pPr>
      <w:r w:rsidRPr="00B349E9">
        <w:t>«</w:t>
      </w:r>
      <w:r>
        <w:t> </w:t>
      </w:r>
      <w:r w:rsidRPr="00B349E9">
        <w:t>2</w:t>
      </w:r>
      <w:r w:rsidRPr="00B349E9">
        <w:tab/>
        <w:t xml:space="preserve">Procédure d’essai dans le cas de matériaux souples pour les dispositifs des classes C, </w:t>
      </w:r>
      <w:bookmarkStart w:id="0" w:name="_Hlk86831870"/>
      <w:r w:rsidRPr="00B349E9">
        <w:t xml:space="preserve">D, E, F, plaques de signalisation des classes </w:t>
      </w:r>
      <w:bookmarkEnd w:id="0"/>
      <w:r w:rsidRPr="00B349E9">
        <w:t xml:space="preserve">1, 2, 3, 4 et 5 et triangles de </w:t>
      </w:r>
      <w:proofErr w:type="spellStart"/>
      <w:r w:rsidRPr="00B349E9">
        <w:t>présignalisation</w:t>
      </w:r>
      <w:proofErr w:type="spellEnd"/>
      <w:r w:rsidRPr="00B349E9">
        <w:t xml:space="preserve"> du type 2</w:t>
      </w:r>
      <w:r>
        <w:t> :</w:t>
      </w:r>
    </w:p>
    <w:p w14:paraId="764C68F5" w14:textId="6A527ADE" w:rsidR="006A55F8" w:rsidRPr="00B349E9" w:rsidRDefault="006A55F8" w:rsidP="006A55F8">
      <w:pPr>
        <w:tabs>
          <w:tab w:val="left" w:pos="-867"/>
        </w:tabs>
        <w:spacing w:after="120"/>
        <w:ind w:left="2268" w:right="1134"/>
        <w:jc w:val="both"/>
        <w:rPr>
          <w:u w:val="single"/>
        </w:rPr>
      </w:pPr>
      <w:r>
        <w:t>… </w:t>
      </w:r>
      <w:r w:rsidRPr="00B349E9">
        <w:t>».</w:t>
      </w:r>
    </w:p>
    <w:p w14:paraId="500D214B" w14:textId="6C73E286" w:rsidR="00F9573C" w:rsidRPr="006A55F8" w:rsidRDefault="006A55F8" w:rsidP="006A55F8">
      <w:pPr>
        <w:pStyle w:val="SingleTxtG"/>
        <w:spacing w:before="240" w:after="0"/>
        <w:jc w:val="center"/>
        <w:rPr>
          <w:u w:val="single"/>
        </w:rPr>
      </w:pPr>
      <w:r>
        <w:rPr>
          <w:u w:val="single"/>
        </w:rPr>
        <w:tab/>
      </w:r>
      <w:r>
        <w:rPr>
          <w:u w:val="single"/>
        </w:rPr>
        <w:tab/>
      </w:r>
      <w:r>
        <w:rPr>
          <w:u w:val="single"/>
        </w:rPr>
        <w:tab/>
      </w:r>
    </w:p>
    <w:sectPr w:rsidR="00F9573C" w:rsidRPr="006A55F8" w:rsidSect="00A10E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DA62" w14:textId="77777777" w:rsidR="005C2687" w:rsidRDefault="005C2687" w:rsidP="00F95C08">
      <w:pPr>
        <w:spacing w:line="240" w:lineRule="auto"/>
      </w:pPr>
    </w:p>
  </w:endnote>
  <w:endnote w:type="continuationSeparator" w:id="0">
    <w:p w14:paraId="53B58954" w14:textId="77777777" w:rsidR="005C2687" w:rsidRPr="00AC3823" w:rsidRDefault="005C2687" w:rsidP="00AC3823">
      <w:pPr>
        <w:pStyle w:val="Pieddepage"/>
      </w:pPr>
    </w:p>
  </w:endnote>
  <w:endnote w:type="continuationNotice" w:id="1">
    <w:p w14:paraId="322124A9" w14:textId="77777777" w:rsidR="005C2687" w:rsidRDefault="005C26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FCB1" w14:textId="3551ACF4" w:rsidR="005C2687" w:rsidRPr="00A10E29" w:rsidRDefault="005C2687" w:rsidP="00A10E29">
    <w:pPr>
      <w:pStyle w:val="Pieddepage"/>
      <w:tabs>
        <w:tab w:val="right" w:pos="9638"/>
      </w:tabs>
    </w:pPr>
    <w:r w:rsidRPr="00A10E29">
      <w:rPr>
        <w:b/>
        <w:sz w:val="18"/>
      </w:rPr>
      <w:fldChar w:fldCharType="begin"/>
    </w:r>
    <w:r w:rsidRPr="00A10E29">
      <w:rPr>
        <w:b/>
        <w:sz w:val="18"/>
      </w:rPr>
      <w:instrText xml:space="preserve"> PAGE  \* MERGEFORMAT </w:instrText>
    </w:r>
    <w:r w:rsidRPr="00A10E29">
      <w:rPr>
        <w:b/>
        <w:sz w:val="18"/>
      </w:rPr>
      <w:fldChar w:fldCharType="separate"/>
    </w:r>
    <w:r w:rsidRPr="00A10E29">
      <w:rPr>
        <w:b/>
        <w:noProof/>
        <w:sz w:val="18"/>
      </w:rPr>
      <w:t>2</w:t>
    </w:r>
    <w:r w:rsidRPr="00A10E29">
      <w:rPr>
        <w:b/>
        <w:sz w:val="18"/>
      </w:rPr>
      <w:fldChar w:fldCharType="end"/>
    </w:r>
    <w:r>
      <w:rPr>
        <w:b/>
        <w:sz w:val="18"/>
      </w:rPr>
      <w:tab/>
    </w:r>
    <w:r>
      <w:t>GE.21-12451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17E3" w14:textId="1748D32E" w:rsidR="005C2687" w:rsidRPr="00A10E29" w:rsidRDefault="005C2687" w:rsidP="00A10E29">
    <w:pPr>
      <w:pStyle w:val="Pieddepage"/>
      <w:tabs>
        <w:tab w:val="right" w:pos="9638"/>
      </w:tabs>
      <w:rPr>
        <w:b/>
        <w:sz w:val="18"/>
      </w:rPr>
    </w:pPr>
    <w:r>
      <w:t>GE.21-12451</w:t>
    </w:r>
    <w:r>
      <w:tab/>
    </w:r>
    <w:r w:rsidRPr="00A10E29">
      <w:rPr>
        <w:b/>
        <w:sz w:val="18"/>
      </w:rPr>
      <w:fldChar w:fldCharType="begin"/>
    </w:r>
    <w:r w:rsidRPr="00A10E29">
      <w:rPr>
        <w:b/>
        <w:sz w:val="18"/>
      </w:rPr>
      <w:instrText xml:space="preserve"> PAGE  \* MERGEFORMAT </w:instrText>
    </w:r>
    <w:r w:rsidRPr="00A10E29">
      <w:rPr>
        <w:b/>
        <w:sz w:val="18"/>
      </w:rPr>
      <w:fldChar w:fldCharType="separate"/>
    </w:r>
    <w:r w:rsidRPr="00A10E29">
      <w:rPr>
        <w:b/>
        <w:noProof/>
        <w:sz w:val="18"/>
      </w:rPr>
      <w:t>3</w:t>
    </w:r>
    <w:r w:rsidRPr="00A10E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3551" w14:textId="77890983" w:rsidR="005C2687" w:rsidRPr="00A10E29" w:rsidRDefault="005C2687" w:rsidP="00A10E2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6FFF142" wp14:editId="66A1D27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21-12451  (F)</w:t>
    </w:r>
    <w:r>
      <w:rPr>
        <w:noProof/>
        <w:sz w:val="20"/>
      </w:rPr>
      <w:drawing>
        <wp:anchor distT="0" distB="0" distL="114300" distR="114300" simplePos="0" relativeHeight="251660288" behindDoc="0" locked="0" layoutInCell="1" allowOverlap="1" wp14:anchorId="5DF95528" wp14:editId="3BDF6F8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291121    291121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5AD7" w14:textId="77777777" w:rsidR="005C2687" w:rsidRPr="00AC3823" w:rsidRDefault="005C2687" w:rsidP="00AC3823">
      <w:pPr>
        <w:pStyle w:val="Pieddepage"/>
        <w:tabs>
          <w:tab w:val="right" w:pos="2155"/>
        </w:tabs>
        <w:spacing w:after="80" w:line="240" w:lineRule="atLeast"/>
        <w:ind w:left="680"/>
        <w:rPr>
          <w:u w:val="single"/>
        </w:rPr>
      </w:pPr>
      <w:r>
        <w:rPr>
          <w:u w:val="single"/>
        </w:rPr>
        <w:tab/>
      </w:r>
    </w:p>
  </w:footnote>
  <w:footnote w:type="continuationSeparator" w:id="0">
    <w:p w14:paraId="322485EF" w14:textId="77777777" w:rsidR="005C2687" w:rsidRPr="00AC3823" w:rsidRDefault="005C2687" w:rsidP="00AC3823">
      <w:pPr>
        <w:pStyle w:val="Pieddepage"/>
        <w:tabs>
          <w:tab w:val="right" w:pos="2155"/>
        </w:tabs>
        <w:spacing w:after="80" w:line="240" w:lineRule="atLeast"/>
        <w:ind w:left="680"/>
        <w:rPr>
          <w:u w:val="single"/>
        </w:rPr>
      </w:pPr>
      <w:r>
        <w:rPr>
          <w:u w:val="single"/>
        </w:rPr>
        <w:tab/>
      </w:r>
    </w:p>
  </w:footnote>
  <w:footnote w:type="continuationNotice" w:id="1">
    <w:p w14:paraId="452CB796" w14:textId="77777777" w:rsidR="005C2687" w:rsidRPr="00AC3823" w:rsidRDefault="005C2687">
      <w:pPr>
        <w:spacing w:line="240" w:lineRule="auto"/>
        <w:rPr>
          <w:sz w:val="2"/>
          <w:szCs w:val="2"/>
        </w:rPr>
      </w:pPr>
    </w:p>
  </w:footnote>
  <w:footnote w:id="2">
    <w:p w14:paraId="6C6385F3" w14:textId="016ABA66" w:rsidR="005C2687" w:rsidRPr="00B349E9" w:rsidRDefault="005C2687" w:rsidP="006A55F8">
      <w:pPr>
        <w:pStyle w:val="Notedebasdepage"/>
      </w:pPr>
      <w:r w:rsidRPr="00B349E9">
        <w:rPr>
          <w:sz w:val="20"/>
        </w:rPr>
        <w:tab/>
        <w:t>*</w:t>
      </w:r>
      <w:r w:rsidRPr="00B349E9">
        <w:rPr>
          <w:sz w:val="20"/>
        </w:rPr>
        <w:tab/>
      </w:r>
      <w:r w:rsidRPr="00B349E9">
        <w:t>Conformément au programme de travail du Comité des transports intérieurs pour 2021 tel qu’il figure dans le projet de budget-programme pour 2021 (A/75/6 (titre V, chap.20), par.</w:t>
      </w:r>
      <w:r>
        <w:t> </w:t>
      </w:r>
      <w:r w:rsidRPr="00B349E9">
        <w:t>20.51), le Forum mondial a pour mission d’élaborer, d’harmoniser et de mettre à jour les Règlements ONU en vue d’améliorer les caractéristiques fonctionnelles des véhicules. Le présent document est soumis en</w:t>
      </w:r>
      <w:r>
        <w:t> </w:t>
      </w:r>
      <w:r w:rsidRPr="00B349E9">
        <w:t>vertu</w:t>
      </w:r>
      <w:r>
        <w:t> </w:t>
      </w:r>
      <w:r w:rsidRPr="00B349E9">
        <w:t>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AC4B" w14:textId="1C53EA11" w:rsidR="005C2687" w:rsidRPr="00A10E29" w:rsidRDefault="005C2687">
    <w:pPr>
      <w:pStyle w:val="En-tte"/>
    </w:pPr>
    <w:fldSimple w:instr=" TITLE  \* MERGEFORMAT ">
      <w:r>
        <w:t>ECE/TRANS/WP.29/2021/96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787C" w14:textId="2361FFF0" w:rsidR="005C2687" w:rsidRPr="00A10E29" w:rsidRDefault="005C2687" w:rsidP="00A10E29">
    <w:pPr>
      <w:pStyle w:val="En-tte"/>
      <w:jc w:val="right"/>
    </w:pPr>
    <w:fldSimple w:instr=" TITLE  \* MERGEFORMAT ">
      <w:r>
        <w:t>ECE/TRANS/WP.29/2021/96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3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C2687"/>
    <w:rsid w:val="006A55F8"/>
    <w:rsid w:val="0071601D"/>
    <w:rsid w:val="007A62E6"/>
    <w:rsid w:val="007F20FA"/>
    <w:rsid w:val="0080684C"/>
    <w:rsid w:val="00871C75"/>
    <w:rsid w:val="008776DC"/>
    <w:rsid w:val="008D5EF9"/>
    <w:rsid w:val="009446C0"/>
    <w:rsid w:val="009705C8"/>
    <w:rsid w:val="009C1CF4"/>
    <w:rsid w:val="009F6B74"/>
    <w:rsid w:val="00A10E29"/>
    <w:rsid w:val="00A3029F"/>
    <w:rsid w:val="00A30353"/>
    <w:rsid w:val="00AC3823"/>
    <w:rsid w:val="00AE323C"/>
    <w:rsid w:val="00AF0CB5"/>
    <w:rsid w:val="00B00181"/>
    <w:rsid w:val="00B00B0D"/>
    <w:rsid w:val="00B45F2E"/>
    <w:rsid w:val="00B765F7"/>
    <w:rsid w:val="00B77993"/>
    <w:rsid w:val="00BA0CA9"/>
    <w:rsid w:val="00C02897"/>
    <w:rsid w:val="00C51839"/>
    <w:rsid w:val="00C97039"/>
    <w:rsid w:val="00D3439C"/>
    <w:rsid w:val="00D7622E"/>
    <w:rsid w:val="00DB1831"/>
    <w:rsid w:val="00DD3BFD"/>
    <w:rsid w:val="00DF6678"/>
    <w:rsid w:val="00E0299A"/>
    <w:rsid w:val="00E53FE8"/>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E32B5"/>
  <w15:docId w15:val="{71A96A8E-3AB2-4DA4-A1BA-9FD44D5E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6A55F8"/>
    <w:pPr>
      <w:suppressAutoHyphens w:val="0"/>
      <w:spacing w:after="120"/>
      <w:ind w:left="2268" w:right="1134" w:hanging="1134"/>
      <w:jc w:val="both"/>
    </w:pPr>
    <w:rPr>
      <w:snapToGrid w:val="0"/>
      <w:lang w:val="fr-FR"/>
    </w:rPr>
  </w:style>
  <w:style w:type="character" w:customStyle="1" w:styleId="SingleTxtGChar">
    <w:name w:val="_ Single Txt_G Char"/>
    <w:link w:val="SingleTxtG"/>
    <w:qFormat/>
    <w:rsid w:val="006A55F8"/>
    <w:rPr>
      <w:rFonts w:ascii="Times New Roman" w:eastAsiaTheme="minorHAnsi" w:hAnsi="Times New Roman" w:cs="Times New Roman"/>
      <w:sz w:val="20"/>
      <w:szCs w:val="20"/>
      <w:lang w:eastAsia="en-US"/>
    </w:rPr>
  </w:style>
  <w:style w:type="character" w:customStyle="1" w:styleId="HChGChar">
    <w:name w:val="_ H _Ch_G Char"/>
    <w:link w:val="HChG"/>
    <w:rsid w:val="006A55F8"/>
    <w:rPr>
      <w:rFonts w:ascii="Times New Roman" w:eastAsiaTheme="minorHAnsi" w:hAnsi="Times New Roman" w:cs="Times New Roman"/>
      <w:b/>
      <w:sz w:val="28"/>
      <w:szCs w:val="20"/>
      <w:lang w:eastAsia="en-US"/>
    </w:rPr>
  </w:style>
  <w:style w:type="character" w:customStyle="1" w:styleId="paraChar">
    <w:name w:val="para Char"/>
    <w:link w:val="para"/>
    <w:rsid w:val="006A55F8"/>
    <w:rPr>
      <w:rFonts w:ascii="Times New Roman" w:eastAsiaTheme="minorHAnsi" w:hAnsi="Times New Roman" w:cs="Times New Roman"/>
      <w:snapToGrid w:val="0"/>
      <w:sz w:val="20"/>
      <w:szCs w:val="20"/>
      <w:lang w:val="fr-FR" w:eastAsia="en-US"/>
    </w:rPr>
  </w:style>
  <w:style w:type="character" w:customStyle="1" w:styleId="H1GChar">
    <w:name w:val="_ H_1_G Char"/>
    <w:link w:val="H1G"/>
    <w:rsid w:val="006A55F8"/>
    <w:rPr>
      <w:rFonts w:ascii="Times New Roman" w:eastAsiaTheme="minorHAnsi" w:hAnsi="Times New Roman" w:cs="Times New Roman"/>
      <w:b/>
      <w:sz w:val="24"/>
      <w:szCs w:val="20"/>
      <w:lang w:eastAsia="en-US"/>
    </w:rPr>
  </w:style>
  <w:style w:type="paragraph" w:customStyle="1" w:styleId="Annex1">
    <w:name w:val="Annex1"/>
    <w:basedOn w:val="Normal"/>
    <w:qFormat/>
    <w:rsid w:val="006A55F8"/>
    <w:pPr>
      <w:tabs>
        <w:tab w:val="left" w:pos="1700"/>
        <w:tab w:val="right" w:leader="dot" w:pos="8505"/>
      </w:tabs>
      <w:spacing w:after="120"/>
      <w:ind w:left="2268" w:right="1134" w:hanging="1134"/>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331</Words>
  <Characters>2317</Characters>
  <Application>Microsoft Office Word</Application>
  <DocSecurity>0</DocSecurity>
  <Lines>193</Lines>
  <Paragraphs>105</Paragraphs>
  <ScaleCrop>false</ScaleCrop>
  <HeadingPairs>
    <vt:vector size="2" baseType="variant">
      <vt:variant>
        <vt:lpstr>Titre</vt:lpstr>
      </vt:variant>
      <vt:variant>
        <vt:i4>1</vt:i4>
      </vt:variant>
    </vt:vector>
  </HeadingPairs>
  <TitlesOfParts>
    <vt:vector size="1" baseType="lpstr">
      <vt:lpstr>ECE/TRANS/WP.29/2021/96</vt:lpstr>
    </vt:vector>
  </TitlesOfParts>
  <Company>DCM</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ECE/TRANS/WP.29/2021/96</dc:title>
  <dc:subject/>
  <dc:creator>Nicolas MORIN</dc:creator>
  <cp:keywords/>
  <cp:lastModifiedBy>Nicolas Morin</cp:lastModifiedBy>
  <cp:revision>2</cp:revision>
  <cp:lastPrinted>2014-05-14T10:59:00Z</cp:lastPrinted>
  <dcterms:created xsi:type="dcterms:W3CDTF">2021-11-29T13:30:00Z</dcterms:created>
  <dcterms:modified xsi:type="dcterms:W3CDTF">2021-11-29T13:30:00Z</dcterms:modified>
</cp:coreProperties>
</file>