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3B31CF2" w14:textId="77777777" w:rsidTr="00387CD4">
        <w:trPr>
          <w:trHeight w:hRule="exact" w:val="851"/>
        </w:trPr>
        <w:tc>
          <w:tcPr>
            <w:tcW w:w="142" w:type="dxa"/>
            <w:tcBorders>
              <w:bottom w:val="single" w:sz="4" w:space="0" w:color="auto"/>
            </w:tcBorders>
          </w:tcPr>
          <w:p w14:paraId="194A8589" w14:textId="77777777" w:rsidR="002D5AAC" w:rsidRDefault="002D5AAC" w:rsidP="005F58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F1AAA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2D2A0E" w14:textId="7A54958B" w:rsidR="002D5AAC" w:rsidRDefault="005F585D" w:rsidP="005F585D">
            <w:pPr>
              <w:jc w:val="right"/>
            </w:pPr>
            <w:r w:rsidRPr="005F585D">
              <w:rPr>
                <w:sz w:val="40"/>
              </w:rPr>
              <w:t>ECE</w:t>
            </w:r>
            <w:r>
              <w:t>/TRANS/WP.15/AC.2/2022/9</w:t>
            </w:r>
          </w:p>
        </w:tc>
      </w:tr>
      <w:tr w:rsidR="002D5AAC" w14:paraId="1300A91C" w14:textId="77777777" w:rsidTr="00387CD4">
        <w:trPr>
          <w:trHeight w:hRule="exact" w:val="2835"/>
        </w:trPr>
        <w:tc>
          <w:tcPr>
            <w:tcW w:w="1280" w:type="dxa"/>
            <w:gridSpan w:val="2"/>
            <w:tcBorders>
              <w:top w:val="single" w:sz="4" w:space="0" w:color="auto"/>
              <w:bottom w:val="single" w:sz="12" w:space="0" w:color="auto"/>
            </w:tcBorders>
          </w:tcPr>
          <w:p w14:paraId="196A6328" w14:textId="77777777" w:rsidR="002D5AAC" w:rsidRDefault="002E5067" w:rsidP="00387CD4">
            <w:pPr>
              <w:spacing w:before="120"/>
              <w:jc w:val="center"/>
            </w:pPr>
            <w:r>
              <w:rPr>
                <w:noProof/>
                <w:lang w:val="fr-CH" w:eastAsia="fr-CH"/>
              </w:rPr>
              <w:drawing>
                <wp:inline distT="0" distB="0" distL="0" distR="0" wp14:anchorId="1CE08075" wp14:editId="6BACC6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6AB6F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D884010" w14:textId="77777777" w:rsidR="002D5AAC" w:rsidRDefault="005F585D" w:rsidP="00387CD4">
            <w:pPr>
              <w:spacing w:before="240"/>
              <w:rPr>
                <w:lang w:val="en-US"/>
              </w:rPr>
            </w:pPr>
            <w:r>
              <w:rPr>
                <w:lang w:val="en-US"/>
              </w:rPr>
              <w:t>Distr.: General</w:t>
            </w:r>
          </w:p>
          <w:p w14:paraId="6A33BBE6" w14:textId="77777777" w:rsidR="005F585D" w:rsidRDefault="005F585D" w:rsidP="005F585D">
            <w:pPr>
              <w:spacing w:line="240" w:lineRule="exact"/>
              <w:rPr>
                <w:lang w:val="en-US"/>
              </w:rPr>
            </w:pPr>
            <w:r>
              <w:rPr>
                <w:lang w:val="en-US"/>
              </w:rPr>
              <w:t>11 November 2021</w:t>
            </w:r>
          </w:p>
          <w:p w14:paraId="6876A9A9" w14:textId="77777777" w:rsidR="005F585D" w:rsidRDefault="005F585D" w:rsidP="005F585D">
            <w:pPr>
              <w:spacing w:line="240" w:lineRule="exact"/>
              <w:rPr>
                <w:lang w:val="en-US"/>
              </w:rPr>
            </w:pPr>
            <w:r>
              <w:rPr>
                <w:lang w:val="en-US"/>
              </w:rPr>
              <w:t>Russian</w:t>
            </w:r>
          </w:p>
          <w:p w14:paraId="15F92B59" w14:textId="5CB6B542" w:rsidR="005F585D" w:rsidRPr="008D53B6" w:rsidRDefault="005F585D" w:rsidP="005F585D">
            <w:pPr>
              <w:spacing w:line="240" w:lineRule="exact"/>
              <w:rPr>
                <w:lang w:val="en-US"/>
              </w:rPr>
            </w:pPr>
            <w:r>
              <w:rPr>
                <w:lang w:val="en-US"/>
              </w:rPr>
              <w:t>Original: French</w:t>
            </w:r>
          </w:p>
        </w:tc>
      </w:tr>
    </w:tbl>
    <w:p w14:paraId="1B645E5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6C0990" w14:textId="77777777" w:rsidR="005F585D" w:rsidRPr="00557B7B" w:rsidRDefault="005F585D" w:rsidP="005F585D">
      <w:pPr>
        <w:spacing w:before="120"/>
        <w:rPr>
          <w:b/>
          <w:sz w:val="24"/>
          <w:szCs w:val="24"/>
        </w:rPr>
      </w:pPr>
      <w:r w:rsidRPr="00557B7B">
        <w:rPr>
          <w:sz w:val="28"/>
          <w:szCs w:val="28"/>
        </w:rPr>
        <w:t>Комитет по внутреннему транспорту</w:t>
      </w:r>
    </w:p>
    <w:p w14:paraId="67B7C488" w14:textId="77777777" w:rsidR="005F585D" w:rsidRPr="00557B7B" w:rsidRDefault="005F585D" w:rsidP="005F585D">
      <w:pPr>
        <w:spacing w:before="120"/>
        <w:rPr>
          <w:b/>
          <w:sz w:val="24"/>
          <w:szCs w:val="24"/>
        </w:rPr>
      </w:pPr>
      <w:r w:rsidRPr="00557B7B">
        <w:rPr>
          <w:b/>
          <w:bCs/>
          <w:sz w:val="24"/>
          <w:szCs w:val="24"/>
        </w:rPr>
        <w:t>Рабочая группа по перевозкам опасных</w:t>
      </w:r>
      <w:r>
        <w:rPr>
          <w:b/>
          <w:bCs/>
          <w:sz w:val="24"/>
          <w:szCs w:val="24"/>
        </w:rPr>
        <w:t xml:space="preserve"> </w:t>
      </w:r>
      <w:r w:rsidRPr="00557B7B">
        <w:rPr>
          <w:b/>
          <w:bCs/>
          <w:sz w:val="24"/>
          <w:szCs w:val="24"/>
        </w:rPr>
        <w:t>грузов</w:t>
      </w:r>
    </w:p>
    <w:p w14:paraId="0FFB92D7" w14:textId="5A48441E" w:rsidR="005F585D" w:rsidRPr="00557B7B" w:rsidRDefault="005F585D" w:rsidP="005F585D">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по внутренним водным путям (ВОПОГ)</w:t>
      </w:r>
      <w:r w:rsidRPr="00764DF2">
        <w:rPr>
          <w:b/>
          <w:bCs/>
        </w:rPr>
        <w:t xml:space="preserve"> </w:t>
      </w:r>
      <w:r>
        <w:rPr>
          <w:b/>
          <w:bCs/>
        </w:rPr>
        <w:br/>
      </w:r>
      <w:r>
        <w:rPr>
          <w:b/>
          <w:bCs/>
        </w:rPr>
        <w:t>(Комитет по вопросам безопасности ВОПОГ)</w:t>
      </w:r>
      <w:bookmarkStart w:id="0" w:name="_Hlk57122394"/>
      <w:bookmarkEnd w:id="0"/>
    </w:p>
    <w:p w14:paraId="413CF821" w14:textId="77777777" w:rsidR="005F585D" w:rsidRPr="00557B7B" w:rsidRDefault="005F585D" w:rsidP="005F585D">
      <w:pPr>
        <w:spacing w:before="120"/>
        <w:rPr>
          <w:b/>
        </w:rPr>
      </w:pPr>
      <w:r>
        <w:rPr>
          <w:b/>
          <w:bCs/>
        </w:rPr>
        <w:t>Тридцать девятая сессия</w:t>
      </w:r>
    </w:p>
    <w:p w14:paraId="5B07E267" w14:textId="77777777" w:rsidR="005F585D" w:rsidRPr="00557B7B" w:rsidRDefault="005F585D" w:rsidP="005F585D">
      <w:r>
        <w:t>Женева, 24–28 января 2022 года</w:t>
      </w:r>
    </w:p>
    <w:p w14:paraId="58857025" w14:textId="77777777" w:rsidR="005F585D" w:rsidRPr="0070245B" w:rsidRDefault="005F585D" w:rsidP="005F585D">
      <w:r>
        <w:t>Пункт 5 b) предварительной повестки дня</w:t>
      </w:r>
    </w:p>
    <w:p w14:paraId="122C1668" w14:textId="216A19DA" w:rsidR="005F585D" w:rsidRDefault="005F585D" w:rsidP="005F585D">
      <w:pPr>
        <w:rPr>
          <w:b/>
          <w:bCs/>
        </w:rPr>
      </w:pPr>
      <w:r>
        <w:rPr>
          <w:b/>
          <w:bCs/>
        </w:rPr>
        <w:t xml:space="preserve">Предложения о внесении поправок в Правила, </w:t>
      </w:r>
      <w:r>
        <w:rPr>
          <w:b/>
          <w:bCs/>
        </w:rPr>
        <w:br/>
      </w:r>
      <w:r>
        <w:rPr>
          <w:b/>
          <w:bCs/>
        </w:rPr>
        <w:t>прилагаемые к ВОПОГ:</w:t>
      </w:r>
    </w:p>
    <w:p w14:paraId="79834D7E" w14:textId="40645AE3" w:rsidR="00E12C5F" w:rsidRDefault="005F585D" w:rsidP="005F585D">
      <w:r>
        <w:rPr>
          <w:b/>
          <w:bCs/>
        </w:rPr>
        <w:t>другие предложения</w:t>
      </w:r>
    </w:p>
    <w:p w14:paraId="25FD173B" w14:textId="6F8CE5A5" w:rsidR="005F585D" w:rsidRPr="00C72E88" w:rsidRDefault="005F585D" w:rsidP="005F585D">
      <w:pPr>
        <w:pStyle w:val="HChG"/>
      </w:pPr>
      <w:r>
        <w:tab/>
      </w:r>
      <w:r>
        <w:tab/>
      </w:r>
      <w:r>
        <w:rPr>
          <w:bCs/>
        </w:rPr>
        <w:t>Несогласованность текстов на различных языках в</w:t>
      </w:r>
      <w:r>
        <w:rPr>
          <w:bCs/>
          <w:lang w:val="en-US"/>
        </w:rPr>
        <w:t> </w:t>
      </w:r>
      <w:r>
        <w:rPr>
          <w:bCs/>
        </w:rPr>
        <w:t>пункте 3.4.14 ВОПОГ в отношении «больших контейнеров»</w:t>
      </w:r>
    </w:p>
    <w:p w14:paraId="797105D3" w14:textId="0B52E24E" w:rsidR="005F585D" w:rsidRPr="00557B7B" w:rsidRDefault="005F585D" w:rsidP="005F585D">
      <w:pPr>
        <w:pStyle w:val="H1G"/>
        <w:rPr>
          <w:rFonts w:eastAsia="Calibri"/>
        </w:rPr>
      </w:pPr>
      <w:r>
        <w:tab/>
      </w:r>
      <w:r>
        <w:tab/>
      </w:r>
      <w:r>
        <w:tab/>
      </w:r>
      <w:r>
        <w:rPr>
          <w:bCs/>
        </w:rPr>
        <w:t>Представлено Центральной комиссией судоходства по Рейну (ЦКСР)</w:t>
      </w:r>
      <w:r w:rsidRPr="0070245B">
        <w:rPr>
          <w:rFonts w:eastAsia="Calibri"/>
          <w:b w:val="0"/>
          <w:bCs/>
        </w:rPr>
        <w:footnoteReference w:customMarkFollows="1" w:id="1"/>
        <w:t xml:space="preserve">* </w:t>
      </w:r>
      <w:r w:rsidRPr="0070245B">
        <w:rPr>
          <w:rFonts w:eastAsia="Calibri"/>
          <w:b w:val="0"/>
          <w:bCs/>
        </w:rPr>
        <w:footnoteReference w:customMarkFollows="1" w:id="2"/>
        <w:t>**</w:t>
      </w:r>
    </w:p>
    <w:p w14:paraId="7FF97638" w14:textId="77777777" w:rsidR="005F585D" w:rsidRPr="00557B7B" w:rsidRDefault="005F585D" w:rsidP="005F585D">
      <w:pPr>
        <w:pStyle w:val="HChG"/>
      </w:pPr>
      <w:r>
        <w:tab/>
      </w:r>
      <w:r>
        <w:tab/>
      </w:r>
      <w:r>
        <w:rPr>
          <w:bCs/>
        </w:rPr>
        <w:t>Введение</w:t>
      </w:r>
    </w:p>
    <w:p w14:paraId="20394B3D" w14:textId="77777777" w:rsidR="005F585D" w:rsidRPr="00557B7B" w:rsidRDefault="005F585D" w:rsidP="005F585D">
      <w:pPr>
        <w:pStyle w:val="SingleTxtG"/>
        <w:rPr>
          <w:rFonts w:eastAsia="SimSun"/>
        </w:rPr>
      </w:pPr>
      <w:r>
        <w:t>1.</w:t>
      </w:r>
      <w:r>
        <w:tab/>
        <w:t>Внимание секретариата ЦКСР было обращено на различие в отношении «больших контейнеров» между вариантами пункта 3.4.14 ВОПОГ на немецком языке и на французском и английском языках.</w:t>
      </w:r>
    </w:p>
    <w:p w14:paraId="5108379B" w14:textId="77777777" w:rsidR="005F585D" w:rsidRPr="00557B7B" w:rsidRDefault="005F585D" w:rsidP="005F585D">
      <w:pPr>
        <w:pStyle w:val="SingleTxtG"/>
        <w:rPr>
          <w:rFonts w:eastAsia="SimSun"/>
        </w:rPr>
      </w:pPr>
      <w:r>
        <w:t>2.</w:t>
      </w:r>
      <w:r>
        <w:tab/>
        <w:t>Секретариат ЦКСР считает, что текст на немецком языке является полным и поэтому варианты на французском и английском языках следует дополнить.</w:t>
      </w:r>
    </w:p>
    <w:p w14:paraId="434A03FC" w14:textId="77777777" w:rsidR="005F585D" w:rsidRPr="00557B7B" w:rsidRDefault="005F585D" w:rsidP="005F585D">
      <w:pPr>
        <w:pStyle w:val="HChG"/>
      </w:pPr>
      <w:r>
        <w:tab/>
        <w:t>I.</w:t>
      </w:r>
      <w:r>
        <w:tab/>
      </w:r>
      <w:r>
        <w:rPr>
          <w:bCs/>
        </w:rPr>
        <w:t>Содержание пункта 3.4.14 ВОПОГ 2021 года</w:t>
      </w:r>
    </w:p>
    <w:p w14:paraId="0987A9C0" w14:textId="77777777" w:rsidR="005F585D" w:rsidRPr="00557B7B" w:rsidRDefault="005F585D" w:rsidP="005F585D">
      <w:pPr>
        <w:pStyle w:val="SingleTxtG"/>
        <w:rPr>
          <w:rStyle w:val="SingleTxtGChar"/>
        </w:rPr>
      </w:pPr>
      <w:r>
        <w:t>3.</w:t>
      </w:r>
      <w:r>
        <w:tab/>
        <w:t>В таблице ниже приведен текст пункта 3.4.14 ВОПОГ:</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41"/>
        <w:gridCol w:w="2520"/>
      </w:tblGrid>
      <w:tr w:rsidR="005F585D" w:rsidRPr="001B37AA" w14:paraId="5A5AF220" w14:textId="77777777" w:rsidTr="008465EC">
        <w:trPr>
          <w:tblHeader/>
        </w:trPr>
        <w:tc>
          <w:tcPr>
            <w:tcW w:w="2409" w:type="dxa"/>
            <w:tcBorders>
              <w:top w:val="single" w:sz="4" w:space="0" w:color="auto"/>
              <w:bottom w:val="single" w:sz="12" w:space="0" w:color="auto"/>
            </w:tcBorders>
            <w:shd w:val="clear" w:color="auto" w:fill="auto"/>
            <w:vAlign w:val="bottom"/>
          </w:tcPr>
          <w:p w14:paraId="3487DE01" w14:textId="77777777" w:rsidR="005F585D" w:rsidRPr="001B37AA" w:rsidRDefault="005F585D" w:rsidP="008465EC">
            <w:pPr>
              <w:keepNext/>
              <w:keepLines/>
              <w:spacing w:before="80" w:after="80" w:line="200" w:lineRule="exact"/>
              <w:ind w:right="113"/>
              <w:rPr>
                <w:i/>
                <w:sz w:val="16"/>
                <w:szCs w:val="16"/>
              </w:rPr>
            </w:pPr>
            <w:r w:rsidRPr="001B37AA">
              <w:rPr>
                <w:i/>
                <w:iCs/>
                <w:sz w:val="16"/>
                <w:szCs w:val="16"/>
              </w:rPr>
              <w:lastRenderedPageBreak/>
              <w:t>Текст на английском языке</w:t>
            </w:r>
          </w:p>
        </w:tc>
        <w:tc>
          <w:tcPr>
            <w:tcW w:w="2441" w:type="dxa"/>
            <w:tcBorders>
              <w:top w:val="single" w:sz="4" w:space="0" w:color="auto"/>
              <w:bottom w:val="single" w:sz="12" w:space="0" w:color="auto"/>
            </w:tcBorders>
            <w:shd w:val="clear" w:color="auto" w:fill="auto"/>
            <w:vAlign w:val="bottom"/>
          </w:tcPr>
          <w:p w14:paraId="5B5C8921" w14:textId="77777777" w:rsidR="005F585D" w:rsidRPr="001B37AA" w:rsidRDefault="005F585D" w:rsidP="008465EC">
            <w:pPr>
              <w:keepNext/>
              <w:keepLines/>
              <w:spacing w:before="80" w:after="80" w:line="200" w:lineRule="exact"/>
              <w:ind w:right="113"/>
              <w:rPr>
                <w:i/>
                <w:sz w:val="16"/>
                <w:szCs w:val="16"/>
              </w:rPr>
            </w:pPr>
            <w:r w:rsidRPr="001B37AA">
              <w:rPr>
                <w:i/>
                <w:iCs/>
                <w:sz w:val="16"/>
                <w:szCs w:val="16"/>
              </w:rPr>
              <w:t>Текст на французском языке</w:t>
            </w:r>
          </w:p>
        </w:tc>
        <w:tc>
          <w:tcPr>
            <w:tcW w:w="2520" w:type="dxa"/>
            <w:tcBorders>
              <w:top w:val="single" w:sz="4" w:space="0" w:color="auto"/>
              <w:bottom w:val="single" w:sz="12" w:space="0" w:color="auto"/>
            </w:tcBorders>
            <w:shd w:val="clear" w:color="auto" w:fill="auto"/>
            <w:vAlign w:val="bottom"/>
          </w:tcPr>
          <w:p w14:paraId="08059CBF" w14:textId="77777777" w:rsidR="005F585D" w:rsidRPr="001B37AA" w:rsidRDefault="005F585D" w:rsidP="008465EC">
            <w:pPr>
              <w:keepNext/>
              <w:keepLines/>
              <w:spacing w:before="80" w:after="80" w:line="200" w:lineRule="exact"/>
              <w:ind w:right="113"/>
              <w:rPr>
                <w:i/>
                <w:sz w:val="16"/>
                <w:szCs w:val="16"/>
              </w:rPr>
            </w:pPr>
            <w:r w:rsidRPr="001B37AA">
              <w:rPr>
                <w:i/>
                <w:iCs/>
                <w:sz w:val="16"/>
                <w:szCs w:val="16"/>
              </w:rPr>
              <w:t>Текст на немецком языке</w:t>
            </w:r>
          </w:p>
        </w:tc>
      </w:tr>
      <w:tr w:rsidR="005F585D" w:rsidRPr="00153E66" w14:paraId="1C7D2744" w14:textId="77777777" w:rsidTr="008465EC">
        <w:trPr>
          <w:trHeight w:hRule="exact" w:val="113"/>
        </w:trPr>
        <w:tc>
          <w:tcPr>
            <w:tcW w:w="2409" w:type="dxa"/>
            <w:tcBorders>
              <w:top w:val="single" w:sz="12" w:space="0" w:color="auto"/>
            </w:tcBorders>
            <w:shd w:val="clear" w:color="auto" w:fill="auto"/>
          </w:tcPr>
          <w:p w14:paraId="6E078BF1" w14:textId="77777777" w:rsidR="005F585D" w:rsidRPr="00153E66" w:rsidRDefault="005F585D" w:rsidP="008465EC">
            <w:pPr>
              <w:keepNext/>
              <w:keepLines/>
              <w:spacing w:before="40" w:after="120"/>
              <w:ind w:right="113"/>
            </w:pPr>
          </w:p>
        </w:tc>
        <w:tc>
          <w:tcPr>
            <w:tcW w:w="2441" w:type="dxa"/>
            <w:tcBorders>
              <w:top w:val="single" w:sz="12" w:space="0" w:color="auto"/>
            </w:tcBorders>
            <w:shd w:val="clear" w:color="auto" w:fill="auto"/>
          </w:tcPr>
          <w:p w14:paraId="32907FFB" w14:textId="77777777" w:rsidR="005F585D" w:rsidRPr="00153E66" w:rsidRDefault="005F585D" w:rsidP="008465EC">
            <w:pPr>
              <w:keepNext/>
              <w:keepLines/>
              <w:spacing w:before="40" w:after="120"/>
              <w:ind w:right="113"/>
            </w:pPr>
          </w:p>
        </w:tc>
        <w:tc>
          <w:tcPr>
            <w:tcW w:w="2520" w:type="dxa"/>
            <w:tcBorders>
              <w:top w:val="single" w:sz="12" w:space="0" w:color="auto"/>
            </w:tcBorders>
            <w:shd w:val="clear" w:color="auto" w:fill="auto"/>
          </w:tcPr>
          <w:p w14:paraId="6C8A9B85" w14:textId="77777777" w:rsidR="005F585D" w:rsidRPr="00153E66" w:rsidRDefault="005F585D" w:rsidP="008465EC">
            <w:pPr>
              <w:keepNext/>
              <w:keepLines/>
              <w:spacing w:before="40" w:after="120"/>
              <w:ind w:right="113"/>
            </w:pPr>
          </w:p>
        </w:tc>
      </w:tr>
      <w:tr w:rsidR="005F585D" w:rsidRPr="005F585D" w14:paraId="0772CF19" w14:textId="77777777" w:rsidTr="008465EC">
        <w:tc>
          <w:tcPr>
            <w:tcW w:w="2409" w:type="dxa"/>
            <w:shd w:val="clear" w:color="auto" w:fill="auto"/>
          </w:tcPr>
          <w:p w14:paraId="08582F8D" w14:textId="77777777" w:rsidR="005F585D" w:rsidRPr="005F585D" w:rsidRDefault="005F585D" w:rsidP="008465EC">
            <w:pPr>
              <w:spacing w:before="40" w:after="120"/>
              <w:ind w:right="113"/>
              <w:rPr>
                <w:lang w:val="en-US"/>
              </w:rPr>
            </w:pPr>
            <w:bookmarkStart w:id="1" w:name="_Hlk84923466"/>
            <w:r w:rsidRPr="00153E66">
              <w:rPr>
                <w:lang w:val="en-US" w:eastAsia="nl-NL"/>
              </w:rPr>
              <w:t xml:space="preserve">The marks specified in 3.4.13 may be dispensed with, if the total gross mass of the packages containing dangerous goods packed in limited quantities carried does not exceed 8 </w:t>
            </w:r>
            <w:proofErr w:type="spellStart"/>
            <w:r w:rsidRPr="00153E66">
              <w:rPr>
                <w:lang w:val="en-US" w:eastAsia="nl-NL"/>
              </w:rPr>
              <w:t>tonnes</w:t>
            </w:r>
            <w:proofErr w:type="spellEnd"/>
            <w:r w:rsidRPr="00153E66">
              <w:rPr>
                <w:lang w:val="en-US" w:eastAsia="nl-NL"/>
              </w:rPr>
              <w:t xml:space="preserve"> per transport unit or wagon.</w:t>
            </w:r>
            <w:bookmarkEnd w:id="1"/>
          </w:p>
        </w:tc>
        <w:tc>
          <w:tcPr>
            <w:tcW w:w="2441" w:type="dxa"/>
            <w:shd w:val="clear" w:color="auto" w:fill="auto"/>
          </w:tcPr>
          <w:p w14:paraId="3A24F184" w14:textId="77777777" w:rsidR="005F585D" w:rsidRPr="00153E66" w:rsidRDefault="005F585D" w:rsidP="008465EC">
            <w:pPr>
              <w:keepNext/>
              <w:keepLines/>
              <w:spacing w:before="40" w:after="120"/>
              <w:ind w:right="113"/>
              <w:rPr>
                <w:lang w:val="fr-FR"/>
              </w:rPr>
            </w:pPr>
            <w:bookmarkStart w:id="2" w:name="_Hlk84923443"/>
            <w:r w:rsidRPr="00153E66">
              <w:rPr>
                <w:lang w:val="fr-FR" w:eastAsia="nl-NL"/>
              </w:rPr>
              <w:t>Les marques prescrites au 3.4.13 ne sont pas obligatoires si la masse brute totale des colis contenant des marchandises dangereuses emballées en quantités limitées transportés ne dépasse pas 8 tonnes par unité de transport ou</w:t>
            </w:r>
            <w:r w:rsidRPr="00153E66">
              <w:rPr>
                <w:snapToGrid w:val="0"/>
                <w:lang w:val="fr-FR"/>
              </w:rPr>
              <w:t xml:space="preserve"> wagon.</w:t>
            </w:r>
            <w:bookmarkEnd w:id="2"/>
          </w:p>
        </w:tc>
        <w:tc>
          <w:tcPr>
            <w:tcW w:w="2520" w:type="dxa"/>
            <w:shd w:val="clear" w:color="auto" w:fill="auto"/>
          </w:tcPr>
          <w:p w14:paraId="36521EC2" w14:textId="77777777" w:rsidR="005F585D" w:rsidRPr="00153E66" w:rsidRDefault="005F585D" w:rsidP="008465EC">
            <w:pPr>
              <w:keepNext/>
              <w:keepLines/>
              <w:spacing w:before="40" w:after="120"/>
              <w:ind w:right="113"/>
              <w:rPr>
                <w:lang w:val="de-DE"/>
              </w:rPr>
            </w:pPr>
            <w:r w:rsidRPr="00153E66">
              <w:rPr>
                <w:lang w:val="de-DE" w:eastAsia="nl-NL"/>
              </w:rPr>
              <w:t>Auf die in Abschnitt 3.4.13 festgelegten Kennzeichen kann verzichtet werden, wenn die Bruttogesamtmasse der beförderten Versandstücke, die in begrenzten Mengen verpackte gefährliche Güter enthalten, 8 Tonnen je Beförderungseinheit, Wagen oder Großcontainer nicht überschreitet.</w:t>
            </w:r>
          </w:p>
        </w:tc>
      </w:tr>
      <w:tr w:rsidR="005F585D" w:rsidRPr="002C3FB3" w14:paraId="554C6D09" w14:textId="77777777" w:rsidTr="008465EC">
        <w:tc>
          <w:tcPr>
            <w:tcW w:w="2409" w:type="dxa"/>
            <w:shd w:val="clear" w:color="auto" w:fill="auto"/>
          </w:tcPr>
          <w:p w14:paraId="5A7FA4A8" w14:textId="77777777" w:rsidR="005F585D" w:rsidRPr="00153E66" w:rsidRDefault="005F585D" w:rsidP="008465EC">
            <w:pPr>
              <w:spacing w:before="40" w:after="120"/>
              <w:ind w:right="113"/>
              <w:rPr>
                <w:lang w:val="en-US" w:eastAsia="nl-NL"/>
              </w:rPr>
            </w:pPr>
            <w:r>
              <w:rPr>
                <w:i/>
                <w:iCs/>
              </w:rPr>
              <w:t>Текст на русском языке</w:t>
            </w:r>
          </w:p>
        </w:tc>
        <w:tc>
          <w:tcPr>
            <w:tcW w:w="2441" w:type="dxa"/>
            <w:shd w:val="clear" w:color="auto" w:fill="auto"/>
          </w:tcPr>
          <w:p w14:paraId="6DDCB22C" w14:textId="77777777" w:rsidR="005F585D" w:rsidRPr="00153E66" w:rsidRDefault="005F585D" w:rsidP="008465EC">
            <w:pPr>
              <w:keepNext/>
              <w:keepLines/>
              <w:spacing w:before="40" w:after="120"/>
              <w:ind w:right="113"/>
              <w:rPr>
                <w:lang w:val="fr-FR" w:eastAsia="nl-NL"/>
              </w:rPr>
            </w:pPr>
          </w:p>
        </w:tc>
        <w:tc>
          <w:tcPr>
            <w:tcW w:w="2520" w:type="dxa"/>
            <w:shd w:val="clear" w:color="auto" w:fill="auto"/>
          </w:tcPr>
          <w:p w14:paraId="46AC2677" w14:textId="77777777" w:rsidR="005F585D" w:rsidRPr="00153E66" w:rsidRDefault="005F585D" w:rsidP="008465EC">
            <w:pPr>
              <w:keepNext/>
              <w:keepLines/>
              <w:spacing w:before="40" w:after="120"/>
              <w:ind w:right="113"/>
              <w:rPr>
                <w:lang w:val="de-DE" w:eastAsia="nl-NL"/>
              </w:rPr>
            </w:pPr>
          </w:p>
        </w:tc>
      </w:tr>
      <w:tr w:rsidR="005F585D" w:rsidRPr="00B07FFC" w14:paraId="5AE77F4C" w14:textId="77777777" w:rsidTr="008465EC">
        <w:tc>
          <w:tcPr>
            <w:tcW w:w="2409" w:type="dxa"/>
            <w:tcBorders>
              <w:bottom w:val="single" w:sz="12" w:space="0" w:color="auto"/>
            </w:tcBorders>
            <w:shd w:val="clear" w:color="auto" w:fill="auto"/>
          </w:tcPr>
          <w:p w14:paraId="6FFFC8E2" w14:textId="77777777" w:rsidR="005F585D" w:rsidRDefault="005F585D" w:rsidP="008465EC">
            <w:pPr>
              <w:spacing w:before="40" w:after="120"/>
              <w:ind w:right="113"/>
              <w:rPr>
                <w:i/>
                <w:iCs/>
              </w:rPr>
            </w:pPr>
            <w:r w:rsidRPr="001B37AA">
              <w:rPr>
                <w:lang w:val="en-US" w:eastAsia="nl-NL"/>
              </w:rPr>
              <w:t>Маркировочные знаки, указанные в пункте 3.4.13, могут не наноситься, если общая масса брутто перевозимых упаковок, содержащих опасные грузы в ограниченных количества, не превышает 8 т на транспортную единицу или вагон.</w:t>
            </w:r>
          </w:p>
        </w:tc>
        <w:tc>
          <w:tcPr>
            <w:tcW w:w="2441" w:type="dxa"/>
            <w:tcBorders>
              <w:bottom w:val="single" w:sz="12" w:space="0" w:color="auto"/>
            </w:tcBorders>
            <w:shd w:val="clear" w:color="auto" w:fill="auto"/>
          </w:tcPr>
          <w:p w14:paraId="42CA8568" w14:textId="77777777" w:rsidR="005F585D" w:rsidRPr="00EA512E" w:rsidRDefault="005F585D" w:rsidP="008465EC">
            <w:pPr>
              <w:keepNext/>
              <w:keepLines/>
              <w:spacing w:before="40" w:after="120"/>
              <w:ind w:right="113"/>
              <w:rPr>
                <w:lang w:eastAsia="nl-NL"/>
              </w:rPr>
            </w:pPr>
          </w:p>
        </w:tc>
        <w:tc>
          <w:tcPr>
            <w:tcW w:w="2520" w:type="dxa"/>
            <w:tcBorders>
              <w:bottom w:val="single" w:sz="12" w:space="0" w:color="auto"/>
            </w:tcBorders>
            <w:shd w:val="clear" w:color="auto" w:fill="auto"/>
          </w:tcPr>
          <w:p w14:paraId="6E6CB1A2" w14:textId="77777777" w:rsidR="005F585D" w:rsidRPr="00153E66" w:rsidRDefault="005F585D" w:rsidP="008465EC">
            <w:pPr>
              <w:keepNext/>
              <w:keepLines/>
              <w:spacing w:before="40" w:after="120"/>
              <w:ind w:right="113"/>
              <w:rPr>
                <w:lang w:val="de-DE" w:eastAsia="nl-NL"/>
              </w:rPr>
            </w:pPr>
          </w:p>
        </w:tc>
      </w:tr>
    </w:tbl>
    <w:p w14:paraId="7E0B72BA" w14:textId="0CA45146" w:rsidR="005F585D" w:rsidRPr="00557B7B" w:rsidRDefault="005F585D" w:rsidP="005F585D">
      <w:pPr>
        <w:pStyle w:val="SingleTxtG"/>
        <w:spacing w:before="120"/>
      </w:pPr>
      <w:r>
        <w:t>4.</w:t>
      </w:r>
      <w:r>
        <w:tab/>
        <w:t>В пункте 3.4.14 ВОПОГ должны содержаться как термины из ДОПОГ, так и термины из МПОГ, т</w:t>
      </w:r>
      <w:r w:rsidR="001B37AA">
        <w:t>.</w:t>
      </w:r>
      <w:r>
        <w:t xml:space="preserve"> е</w:t>
      </w:r>
      <w:r w:rsidR="001B37AA">
        <w:t>.</w:t>
      </w:r>
      <w:r>
        <w:t xml:space="preserve"> формулировка должна быть следующей: «на транспортную единицу, вагон или большой контейнер». Таким образом, текст на немецком языке является правильным. Тексты на английском и французском языках необходимо соответствующим образом адаптировать.</w:t>
      </w:r>
    </w:p>
    <w:p w14:paraId="183D4DE5" w14:textId="77777777" w:rsidR="005F585D" w:rsidRPr="00557B7B" w:rsidRDefault="005F585D" w:rsidP="005F585D">
      <w:pPr>
        <w:pStyle w:val="HChG"/>
      </w:pPr>
      <w:r>
        <w:tab/>
        <w:t>II.</w:t>
      </w:r>
      <w:r>
        <w:tab/>
      </w:r>
      <w:r>
        <w:rPr>
          <w:bCs/>
        </w:rPr>
        <w:t>Предложение</w:t>
      </w:r>
    </w:p>
    <w:p w14:paraId="02E21BA4" w14:textId="77777777" w:rsidR="005F585D" w:rsidRPr="00557B7B" w:rsidRDefault="005F585D" w:rsidP="005F585D">
      <w:pPr>
        <w:pStyle w:val="SingleTxtG"/>
      </w:pPr>
      <w:r>
        <w:t>5.</w:t>
      </w:r>
      <w:r>
        <w:tab/>
        <w:t>Секретариат предлагает дополнить варианты на французском и английском языках.</w:t>
      </w:r>
    </w:p>
    <w:p w14:paraId="374B2710" w14:textId="77777777" w:rsidR="005F585D" w:rsidRPr="00557B7B" w:rsidRDefault="005F585D" w:rsidP="005F585D">
      <w:pPr>
        <w:pStyle w:val="SingleTxtG"/>
      </w:pPr>
      <w:r>
        <w:t xml:space="preserve">(Текст, подлежащий исключению, </w:t>
      </w:r>
      <w:r>
        <w:rPr>
          <w:strike/>
        </w:rPr>
        <w:t>зачеркнут</w:t>
      </w:r>
      <w:r>
        <w:t xml:space="preserve">, новый текст </w:t>
      </w:r>
      <w:r>
        <w:rPr>
          <w:b/>
          <w:bCs/>
          <w:u w:val="single"/>
        </w:rPr>
        <w:t>выделен жирным шрифтом и подчеркнут</w:t>
      </w:r>
      <w:r w:rsidRPr="004F676A">
        <w:t>.</w:t>
      </w:r>
      <w:r>
        <w:t>)</w:t>
      </w:r>
    </w:p>
    <w:p w14:paraId="59266B67" w14:textId="77777777" w:rsidR="005F585D" w:rsidRPr="00557B7B" w:rsidRDefault="005F585D" w:rsidP="005F585D">
      <w:pPr>
        <w:pStyle w:val="SingleTxtG"/>
      </w:pPr>
      <w:r>
        <w:t>6.</w:t>
      </w:r>
      <w:r>
        <w:tab/>
        <w:t xml:space="preserve">Предложение по дополнению варианта пункта 3.4.14 на французском языке сформулировано следующим образом: </w:t>
      </w:r>
      <w:bookmarkStart w:id="3" w:name="_Hlk84929149"/>
    </w:p>
    <w:bookmarkEnd w:id="3"/>
    <w:p w14:paraId="31F3300D" w14:textId="77777777" w:rsidR="005F585D" w:rsidRPr="00B07FFC" w:rsidRDefault="005F585D" w:rsidP="005F585D">
      <w:pPr>
        <w:pStyle w:val="SingleTxtG"/>
        <w:ind w:left="1701"/>
        <w:rPr>
          <w:lang w:val="fr-CH"/>
        </w:rPr>
      </w:pPr>
      <w:r w:rsidRPr="00B07FFC">
        <w:rPr>
          <w:lang w:val="fr-CH"/>
        </w:rPr>
        <w:t>« Les marques prescrites au 3.4.13 ne sont pas obligatoires si la masse brute totale des colis contenant des marchandises dangereuses emballées en quantités limitées transportés ne dépasse pas 8 tonnes par unité de transport</w:t>
      </w:r>
      <w:r w:rsidRPr="00B07FFC">
        <w:rPr>
          <w:b/>
          <w:bCs/>
          <w:u w:val="single"/>
          <w:lang w:val="fr-CH"/>
        </w:rPr>
        <w:t>,</w:t>
      </w:r>
      <w:r w:rsidRPr="00B07FFC">
        <w:rPr>
          <w:lang w:val="fr-CH"/>
        </w:rPr>
        <w:t xml:space="preserve"> </w:t>
      </w:r>
      <w:r w:rsidRPr="00B07FFC">
        <w:rPr>
          <w:strike/>
          <w:lang w:val="fr-CH"/>
        </w:rPr>
        <w:t>ou</w:t>
      </w:r>
      <w:r w:rsidRPr="00B07FFC">
        <w:rPr>
          <w:lang w:val="fr-CH"/>
        </w:rPr>
        <w:t xml:space="preserve"> wagon </w:t>
      </w:r>
      <w:r w:rsidRPr="00B07FFC">
        <w:rPr>
          <w:b/>
          <w:bCs/>
          <w:u w:val="single"/>
          <w:lang w:val="fr-CH"/>
        </w:rPr>
        <w:t>ou grand conteneur</w:t>
      </w:r>
      <w:r w:rsidRPr="00B07FFC">
        <w:rPr>
          <w:lang w:val="fr-CH"/>
        </w:rPr>
        <w:t>. ».</w:t>
      </w:r>
    </w:p>
    <w:p w14:paraId="59873033" w14:textId="77777777" w:rsidR="005F585D" w:rsidRDefault="005F585D" w:rsidP="005F585D">
      <w:pPr>
        <w:pStyle w:val="SingleTxtG"/>
        <w:ind w:left="1701"/>
      </w:pPr>
      <w:r>
        <w:t>Предлагаемый вариант на русском языке:</w:t>
      </w:r>
    </w:p>
    <w:p w14:paraId="3250E753" w14:textId="77777777" w:rsidR="005F585D" w:rsidRPr="00557B7B" w:rsidRDefault="005F585D" w:rsidP="005F585D">
      <w:pPr>
        <w:pStyle w:val="SingleTxtG"/>
        <w:ind w:left="1701"/>
        <w:rPr>
          <w:bCs/>
          <w:snapToGrid w:val="0"/>
        </w:rPr>
      </w:pPr>
      <w:r>
        <w:t>«Маркировочные знаки, указанные в пункте 3.4.13, могут не наноситься, если общая масса брутто перевозимых упаковок, содержащих опасные грузы в ограниченных количества, не превышает 8 т на транспортную единицу</w:t>
      </w:r>
      <w:r>
        <w:rPr>
          <w:b/>
          <w:bCs/>
          <w:u w:val="single"/>
        </w:rPr>
        <w:t>,</w:t>
      </w:r>
      <w:r>
        <w:t xml:space="preserve"> </w:t>
      </w:r>
      <w:r>
        <w:rPr>
          <w:strike/>
        </w:rPr>
        <w:t>или</w:t>
      </w:r>
      <w:r>
        <w:t xml:space="preserve"> вагон </w:t>
      </w:r>
      <w:r>
        <w:rPr>
          <w:b/>
          <w:bCs/>
          <w:u w:val="single"/>
        </w:rPr>
        <w:t>или большой контейнер</w:t>
      </w:r>
      <w:r>
        <w:t>.».</w:t>
      </w:r>
    </w:p>
    <w:p w14:paraId="4A7BB9D7" w14:textId="64C729FA" w:rsidR="005F585D" w:rsidRDefault="005F585D" w:rsidP="005F585D">
      <w:pPr>
        <w:pStyle w:val="SingleTxtG"/>
      </w:pPr>
      <w:r>
        <w:t>7.</w:t>
      </w:r>
      <w:r>
        <w:tab/>
        <w:t>Секретариату ЕЭК ООН предлагается рассмотреть варианты на русском и английском языках.</w:t>
      </w:r>
    </w:p>
    <w:p w14:paraId="61D7C0E6" w14:textId="16CEABFF" w:rsidR="005F585D" w:rsidRPr="001B37AA" w:rsidRDefault="001B37AA" w:rsidP="001B37AA">
      <w:pPr>
        <w:pStyle w:val="SingleTxtG"/>
        <w:spacing w:before="240" w:after="0"/>
        <w:jc w:val="center"/>
        <w:rPr>
          <w:u w:val="single"/>
        </w:rPr>
      </w:pPr>
      <w:r>
        <w:rPr>
          <w:u w:val="single"/>
        </w:rPr>
        <w:tab/>
      </w:r>
      <w:r>
        <w:rPr>
          <w:u w:val="single"/>
        </w:rPr>
        <w:tab/>
      </w:r>
      <w:r>
        <w:rPr>
          <w:u w:val="single"/>
        </w:rPr>
        <w:tab/>
      </w:r>
    </w:p>
    <w:sectPr w:rsidR="005F585D" w:rsidRPr="001B37AA" w:rsidSect="005F585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7C0E" w14:textId="77777777" w:rsidR="00DF0BA6" w:rsidRPr="00A312BC" w:rsidRDefault="00DF0BA6" w:rsidP="00A312BC"/>
  </w:endnote>
  <w:endnote w:type="continuationSeparator" w:id="0">
    <w:p w14:paraId="1EBE715A" w14:textId="77777777" w:rsidR="00DF0BA6" w:rsidRPr="00A312BC" w:rsidRDefault="00DF0B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6A96" w14:textId="710B34D5" w:rsidR="005F585D" w:rsidRPr="005F585D" w:rsidRDefault="005F585D">
    <w:pPr>
      <w:pStyle w:val="a8"/>
    </w:pPr>
    <w:r w:rsidRPr="005F585D">
      <w:rPr>
        <w:b/>
        <w:sz w:val="18"/>
      </w:rPr>
      <w:fldChar w:fldCharType="begin"/>
    </w:r>
    <w:r w:rsidRPr="005F585D">
      <w:rPr>
        <w:b/>
        <w:sz w:val="18"/>
      </w:rPr>
      <w:instrText xml:space="preserve"> PAGE  \* MERGEFORMAT </w:instrText>
    </w:r>
    <w:r w:rsidRPr="005F585D">
      <w:rPr>
        <w:b/>
        <w:sz w:val="18"/>
      </w:rPr>
      <w:fldChar w:fldCharType="separate"/>
    </w:r>
    <w:r w:rsidRPr="005F585D">
      <w:rPr>
        <w:b/>
        <w:noProof/>
        <w:sz w:val="18"/>
      </w:rPr>
      <w:t>2</w:t>
    </w:r>
    <w:r w:rsidRPr="005F585D">
      <w:rPr>
        <w:b/>
        <w:sz w:val="18"/>
      </w:rPr>
      <w:fldChar w:fldCharType="end"/>
    </w:r>
    <w:r>
      <w:rPr>
        <w:b/>
        <w:sz w:val="18"/>
      </w:rPr>
      <w:tab/>
    </w:r>
    <w:r>
      <w:t>GE.21-16505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E6DA" w14:textId="7235ABB2" w:rsidR="005F585D" w:rsidRPr="005F585D" w:rsidRDefault="005F585D" w:rsidP="005F585D">
    <w:pPr>
      <w:pStyle w:val="a8"/>
      <w:tabs>
        <w:tab w:val="clear" w:pos="9639"/>
        <w:tab w:val="right" w:pos="9638"/>
      </w:tabs>
      <w:rPr>
        <w:b/>
        <w:sz w:val="18"/>
      </w:rPr>
    </w:pPr>
    <w:r>
      <w:t>GE.21-16505</w:t>
    </w:r>
    <w:r>
      <w:tab/>
    </w:r>
    <w:r w:rsidRPr="005F585D">
      <w:rPr>
        <w:b/>
        <w:sz w:val="18"/>
      </w:rPr>
      <w:fldChar w:fldCharType="begin"/>
    </w:r>
    <w:r w:rsidRPr="005F585D">
      <w:rPr>
        <w:b/>
        <w:sz w:val="18"/>
      </w:rPr>
      <w:instrText xml:space="preserve"> PAGE  \* MERGEFORMAT </w:instrText>
    </w:r>
    <w:r w:rsidRPr="005F585D">
      <w:rPr>
        <w:b/>
        <w:sz w:val="18"/>
      </w:rPr>
      <w:fldChar w:fldCharType="separate"/>
    </w:r>
    <w:r w:rsidRPr="005F585D">
      <w:rPr>
        <w:b/>
        <w:noProof/>
        <w:sz w:val="18"/>
      </w:rPr>
      <w:t>3</w:t>
    </w:r>
    <w:r w:rsidRPr="005F58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0BC" w14:textId="43AF8F01" w:rsidR="00042B72" w:rsidRPr="005F585D" w:rsidRDefault="005F585D" w:rsidP="005F585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366B00E" wp14:editId="59CA3E6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16505  (</w:t>
    </w:r>
    <w:proofErr w:type="gramEnd"/>
    <w:r>
      <w:t>R)</w:t>
    </w:r>
    <w:r>
      <w:rPr>
        <w:noProof/>
      </w:rPr>
      <w:drawing>
        <wp:anchor distT="0" distB="0" distL="114300" distR="114300" simplePos="0" relativeHeight="251659264" behindDoc="0" locked="0" layoutInCell="1" allowOverlap="1" wp14:anchorId="0EE300C9" wp14:editId="62B06BE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7AA">
      <w:t xml:space="preserve">  191121  221121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4C44" w14:textId="77777777" w:rsidR="00DF0BA6" w:rsidRPr="001075E9" w:rsidRDefault="00DF0BA6" w:rsidP="001075E9">
      <w:pPr>
        <w:tabs>
          <w:tab w:val="right" w:pos="2155"/>
        </w:tabs>
        <w:spacing w:after="80" w:line="240" w:lineRule="auto"/>
        <w:ind w:left="680"/>
        <w:rPr>
          <w:u w:val="single"/>
        </w:rPr>
      </w:pPr>
      <w:r>
        <w:rPr>
          <w:u w:val="single"/>
        </w:rPr>
        <w:tab/>
      </w:r>
    </w:p>
  </w:footnote>
  <w:footnote w:type="continuationSeparator" w:id="0">
    <w:p w14:paraId="57DA5AD2" w14:textId="77777777" w:rsidR="00DF0BA6" w:rsidRDefault="00DF0BA6" w:rsidP="00407B78">
      <w:pPr>
        <w:tabs>
          <w:tab w:val="right" w:pos="2155"/>
        </w:tabs>
        <w:spacing w:after="80"/>
        <w:ind w:left="680"/>
        <w:rPr>
          <w:u w:val="single"/>
        </w:rPr>
      </w:pPr>
      <w:r>
        <w:rPr>
          <w:u w:val="single"/>
        </w:rPr>
        <w:tab/>
      </w:r>
    </w:p>
  </w:footnote>
  <w:footnote w:id="1">
    <w:p w14:paraId="47A238F5" w14:textId="77777777" w:rsidR="005F585D" w:rsidRPr="00557B7B" w:rsidRDefault="005F585D" w:rsidP="005F585D">
      <w:pPr>
        <w:pStyle w:val="ad"/>
        <w:rPr>
          <w:sz w:val="16"/>
          <w:szCs w:val="16"/>
        </w:rPr>
      </w:pPr>
      <w:r>
        <w:tab/>
      </w:r>
      <w:r w:rsidRPr="005F585D">
        <w:rPr>
          <w:sz w:val="20"/>
        </w:rPr>
        <w:t>*</w:t>
      </w:r>
      <w:r>
        <w:tab/>
        <w:t>Распространено на немецком языке Центральной комиссией судоходства по Рейну под условным обозначением CCNR-ZKR/ADN/WP.15/AC.2/2022/9.</w:t>
      </w:r>
    </w:p>
  </w:footnote>
  <w:footnote w:id="2">
    <w:p w14:paraId="356FE061" w14:textId="77777777" w:rsidR="005F585D" w:rsidRPr="006E6078" w:rsidRDefault="005F585D" w:rsidP="005F585D">
      <w:pPr>
        <w:pStyle w:val="ad"/>
        <w:rPr>
          <w:sz w:val="16"/>
          <w:szCs w:val="16"/>
        </w:rPr>
      </w:pPr>
      <w:r>
        <w:tab/>
      </w:r>
      <w:r w:rsidRPr="005F585D">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30D2" w14:textId="0A21F568" w:rsidR="005F585D" w:rsidRPr="005F585D" w:rsidRDefault="005F585D">
    <w:pPr>
      <w:pStyle w:val="a5"/>
    </w:pPr>
    <w:fldSimple w:instr=" TITLE  \* MERGEFORMAT ">
      <w:r w:rsidR="005344EE">
        <w:t>ECE/TRANS/WP.15/AC.2/2022/9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AD64" w14:textId="7AF6BE0A" w:rsidR="005F585D" w:rsidRPr="005F585D" w:rsidRDefault="005F585D" w:rsidP="005F585D">
    <w:pPr>
      <w:pStyle w:val="a5"/>
      <w:jc w:val="right"/>
    </w:pPr>
    <w:fldSimple w:instr=" TITLE  \* MERGEFORMAT ">
      <w:r w:rsidR="005344EE">
        <w:t>ECE/TRANS/WP.15/AC.2/2022/9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A6"/>
    <w:rsid w:val="00033EE1"/>
    <w:rsid w:val="00042B72"/>
    <w:rsid w:val="000558BD"/>
    <w:rsid w:val="000B57E7"/>
    <w:rsid w:val="000B6373"/>
    <w:rsid w:val="000E4E5B"/>
    <w:rsid w:val="000F09DF"/>
    <w:rsid w:val="000F61B2"/>
    <w:rsid w:val="001075E9"/>
    <w:rsid w:val="001318D3"/>
    <w:rsid w:val="0014152F"/>
    <w:rsid w:val="00180183"/>
    <w:rsid w:val="0018024D"/>
    <w:rsid w:val="0018649F"/>
    <w:rsid w:val="00196389"/>
    <w:rsid w:val="001B37AA"/>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44EE"/>
    <w:rsid w:val="005639C1"/>
    <w:rsid w:val="005709E0"/>
    <w:rsid w:val="00572E19"/>
    <w:rsid w:val="005961C8"/>
    <w:rsid w:val="005966F1"/>
    <w:rsid w:val="005D7914"/>
    <w:rsid w:val="005E2B41"/>
    <w:rsid w:val="005F0B42"/>
    <w:rsid w:val="005F585D"/>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0BA6"/>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38255"/>
  <w15:docId w15:val="{27F7CEDB-496A-48DA-818C-B2FCBC2F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5F585D"/>
    <w:rPr>
      <w:lang w:val="ru-RU" w:eastAsia="en-US"/>
    </w:rPr>
  </w:style>
  <w:style w:type="character" w:customStyle="1" w:styleId="HChGChar">
    <w:name w:val="_ H _Ch_G Char"/>
    <w:link w:val="HChG"/>
    <w:rsid w:val="005F585D"/>
    <w:rPr>
      <w:b/>
      <w:sz w:val="28"/>
      <w:lang w:val="ru-RU" w:eastAsia="ru-RU"/>
    </w:rPr>
  </w:style>
  <w:style w:type="table" w:customStyle="1" w:styleId="Tabelraster1">
    <w:name w:val="Tabelraster1"/>
    <w:basedOn w:val="a1"/>
    <w:next w:val="ac"/>
    <w:rsid w:val="005F585D"/>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654E2-6CDE-4FC5-9E95-C3339D57A2E2}"/>
</file>

<file path=customXml/itemProps2.xml><?xml version="1.0" encoding="utf-8"?>
<ds:datastoreItem xmlns:ds="http://schemas.openxmlformats.org/officeDocument/2006/customXml" ds:itemID="{75463648-E973-4591-8159-BE96F687BDF4}"/>
</file>

<file path=customXml/itemProps3.xml><?xml version="1.0" encoding="utf-8"?>
<ds:datastoreItem xmlns:ds="http://schemas.openxmlformats.org/officeDocument/2006/customXml" ds:itemID="{7F43CCDC-B972-457B-AE6D-0D3A2D24E006}"/>
</file>

<file path=docProps/app.xml><?xml version="1.0" encoding="utf-8"?>
<Properties xmlns="http://schemas.openxmlformats.org/officeDocument/2006/extended-properties" xmlns:vt="http://schemas.openxmlformats.org/officeDocument/2006/docPropsVTypes">
  <Template>ECE.dotm</Template>
  <TotalTime>1</TotalTime>
  <Pages>2</Pages>
  <Words>488</Words>
  <Characters>3065</Characters>
  <Application>Microsoft Office Word</Application>
  <DocSecurity>0</DocSecurity>
  <Lines>111</Lines>
  <Paragraphs>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ECE/TRANS/WP.15/AC.2/2022/9</vt:lpstr>
      <vt:lpstr>A/</vt:lpstr>
      <vt:lpstr>A/</vt:lpstr>
    </vt:vector>
  </TitlesOfParts>
  <Company>DCM</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ECE/TRANS/WP.15/AC.2/2022/9</dc:title>
  <dc:subject/>
  <dc:creator>Marina KOROTKOVA</dc:creator>
  <cp:keywords/>
  <cp:lastModifiedBy>Marina KOROTKOVA</cp:lastModifiedBy>
  <cp:revision>3</cp:revision>
  <cp:lastPrinted>2021-11-22T12:39:00Z</cp:lastPrinted>
  <dcterms:created xsi:type="dcterms:W3CDTF">2021-11-22T12:39:00Z</dcterms:created>
  <dcterms:modified xsi:type="dcterms:W3CDTF">2021-11-22T12:39:00Z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