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5C37029" w14:textId="77777777" w:rsidTr="000D1B89">
        <w:trPr>
          <w:cantSplit/>
          <w:trHeight w:hRule="exact" w:val="851"/>
        </w:trPr>
        <w:tc>
          <w:tcPr>
            <w:tcW w:w="1276" w:type="dxa"/>
            <w:tcBorders>
              <w:bottom w:val="single" w:sz="4" w:space="0" w:color="auto"/>
            </w:tcBorders>
            <w:vAlign w:val="bottom"/>
          </w:tcPr>
          <w:p w14:paraId="3BC7F226" w14:textId="77777777" w:rsidR="00717266" w:rsidRDefault="00717266" w:rsidP="000D1B89">
            <w:pPr>
              <w:spacing w:after="80"/>
            </w:pPr>
          </w:p>
        </w:tc>
        <w:tc>
          <w:tcPr>
            <w:tcW w:w="2268" w:type="dxa"/>
            <w:tcBorders>
              <w:bottom w:val="single" w:sz="4" w:space="0" w:color="auto"/>
            </w:tcBorders>
            <w:vAlign w:val="bottom"/>
          </w:tcPr>
          <w:p w14:paraId="00A1825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10E238" w14:textId="77777777" w:rsidR="00717266" w:rsidRPr="00D47EEA" w:rsidRDefault="006C26A7" w:rsidP="006C26A7">
            <w:pPr>
              <w:suppressAutoHyphens w:val="0"/>
              <w:spacing w:after="20"/>
              <w:jc w:val="right"/>
            </w:pPr>
            <w:r w:rsidRPr="006C26A7">
              <w:rPr>
                <w:sz w:val="40"/>
              </w:rPr>
              <w:t>ECE</w:t>
            </w:r>
            <w:r>
              <w:t>/TRANS/WP.15/AC.2/2022/8</w:t>
            </w:r>
          </w:p>
        </w:tc>
      </w:tr>
      <w:tr w:rsidR="00717266" w14:paraId="2FF8397E" w14:textId="77777777" w:rsidTr="000D1B89">
        <w:trPr>
          <w:cantSplit/>
          <w:trHeight w:hRule="exact" w:val="2835"/>
        </w:trPr>
        <w:tc>
          <w:tcPr>
            <w:tcW w:w="1276" w:type="dxa"/>
            <w:tcBorders>
              <w:top w:val="single" w:sz="4" w:space="0" w:color="auto"/>
              <w:bottom w:val="single" w:sz="12" w:space="0" w:color="auto"/>
            </w:tcBorders>
          </w:tcPr>
          <w:p w14:paraId="45B2B6D3" w14:textId="77777777" w:rsidR="00717266" w:rsidRDefault="00717266" w:rsidP="000D1B89">
            <w:pPr>
              <w:spacing w:before="120"/>
            </w:pPr>
            <w:r>
              <w:rPr>
                <w:noProof/>
                <w:lang w:val="fr-CH" w:eastAsia="fr-CH"/>
              </w:rPr>
              <w:drawing>
                <wp:inline distT="0" distB="0" distL="0" distR="0" wp14:anchorId="56E87C96" wp14:editId="30005AB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1CA60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EB02CC" w14:textId="77777777" w:rsidR="006C26A7" w:rsidRPr="009E058D" w:rsidRDefault="006C26A7" w:rsidP="006C26A7">
            <w:pPr>
              <w:spacing w:before="240" w:line="240" w:lineRule="exact"/>
              <w:rPr>
                <w:lang w:val="en-US"/>
              </w:rPr>
            </w:pPr>
            <w:r>
              <w:t>Distr. General</w:t>
            </w:r>
          </w:p>
          <w:p w14:paraId="64D7190F" w14:textId="77777777" w:rsidR="006C26A7" w:rsidRPr="009E058D" w:rsidRDefault="006C26A7" w:rsidP="006C26A7">
            <w:pPr>
              <w:spacing w:line="240" w:lineRule="exact"/>
              <w:rPr>
                <w:lang w:val="en-US"/>
              </w:rPr>
            </w:pPr>
            <w:r>
              <w:t>11 November 2021</w:t>
            </w:r>
          </w:p>
          <w:p w14:paraId="51C39A79" w14:textId="77777777" w:rsidR="006C26A7" w:rsidRDefault="006C26A7" w:rsidP="006C26A7">
            <w:pPr>
              <w:spacing w:line="240" w:lineRule="exact"/>
            </w:pPr>
            <w:r>
              <w:t xml:space="preserve">English </w:t>
            </w:r>
          </w:p>
          <w:p w14:paraId="154C6CD7" w14:textId="5809EE78" w:rsidR="006C26A7" w:rsidRDefault="006C26A7" w:rsidP="006C26A7">
            <w:pPr>
              <w:suppressAutoHyphens w:val="0"/>
            </w:pPr>
            <w:r>
              <w:t>Original: French</w:t>
            </w:r>
          </w:p>
        </w:tc>
      </w:tr>
    </w:tbl>
    <w:p w14:paraId="0EE56BF9" w14:textId="77777777" w:rsidR="006C26A7" w:rsidRPr="00501B1E" w:rsidRDefault="006C26A7" w:rsidP="006C26A7">
      <w:pPr>
        <w:spacing w:before="120"/>
        <w:rPr>
          <w:b/>
          <w:sz w:val="28"/>
          <w:szCs w:val="28"/>
          <w:lang w:val="en-US"/>
        </w:rPr>
      </w:pPr>
      <w:r w:rsidRPr="00501B1E">
        <w:rPr>
          <w:b/>
          <w:bCs/>
          <w:sz w:val="28"/>
          <w:szCs w:val="28"/>
        </w:rPr>
        <w:t>Economic Commission for Europe</w:t>
      </w:r>
    </w:p>
    <w:p w14:paraId="126BEA34" w14:textId="77777777" w:rsidR="006C26A7" w:rsidRPr="00501B1E" w:rsidRDefault="006C26A7" w:rsidP="006C26A7">
      <w:pPr>
        <w:spacing w:before="120"/>
        <w:rPr>
          <w:b/>
          <w:sz w:val="28"/>
          <w:szCs w:val="28"/>
          <w:lang w:val="en-US"/>
        </w:rPr>
      </w:pPr>
      <w:r w:rsidRPr="00501B1E">
        <w:rPr>
          <w:sz w:val="28"/>
          <w:szCs w:val="28"/>
        </w:rPr>
        <w:t xml:space="preserve">Inland Transport Committee </w:t>
      </w:r>
    </w:p>
    <w:p w14:paraId="51048FF3" w14:textId="77777777" w:rsidR="006C26A7" w:rsidRPr="00501B1E" w:rsidRDefault="006C26A7" w:rsidP="006C26A7">
      <w:pPr>
        <w:spacing w:before="120"/>
        <w:rPr>
          <w:b/>
          <w:sz w:val="24"/>
          <w:szCs w:val="24"/>
          <w:lang w:val="en-US"/>
        </w:rPr>
      </w:pPr>
      <w:r w:rsidRPr="00501B1E">
        <w:rPr>
          <w:b/>
          <w:bCs/>
          <w:sz w:val="24"/>
          <w:szCs w:val="24"/>
        </w:rPr>
        <w:t>Working Party on the Transport of Dangerous Goods</w:t>
      </w:r>
    </w:p>
    <w:p w14:paraId="37134CEC" w14:textId="2F2F4961" w:rsidR="006C26A7" w:rsidRPr="009E058D" w:rsidRDefault="006C26A7" w:rsidP="006C26A7">
      <w:pPr>
        <w:spacing w:before="120"/>
        <w:rPr>
          <w:b/>
          <w:lang w:val="en-US"/>
        </w:rPr>
      </w:pPr>
      <w:r>
        <w:rPr>
          <w:b/>
          <w:bCs/>
        </w:rPr>
        <w:t xml:space="preserve">Joint Meeting of Experts on the Regulations annexed to the </w:t>
      </w:r>
      <w:r w:rsidR="00501B1E">
        <w:rPr>
          <w:b/>
          <w:bCs/>
        </w:rPr>
        <w:br/>
      </w:r>
      <w:r>
        <w:rPr>
          <w:b/>
          <w:bCs/>
        </w:rPr>
        <w:t xml:space="preserve">European Agreement concerning the International Carriage </w:t>
      </w:r>
      <w:r w:rsidR="00501B1E">
        <w:rPr>
          <w:b/>
          <w:bCs/>
        </w:rPr>
        <w:br/>
      </w:r>
      <w:r>
        <w:rPr>
          <w:b/>
          <w:bCs/>
        </w:rPr>
        <w:t xml:space="preserve">of Dangerous Goods by Inland Waterways (ADN) </w:t>
      </w:r>
      <w:r w:rsidR="00501B1E">
        <w:rPr>
          <w:b/>
          <w:bCs/>
        </w:rPr>
        <w:br/>
      </w:r>
      <w:r>
        <w:rPr>
          <w:b/>
          <w:bCs/>
        </w:rPr>
        <w:t>(ADN Safety Committee)</w:t>
      </w:r>
      <w:bookmarkStart w:id="0" w:name="_Hlk57122394"/>
      <w:bookmarkEnd w:id="0"/>
    </w:p>
    <w:p w14:paraId="7A7AC5EF" w14:textId="77777777" w:rsidR="006C26A7" w:rsidRPr="009E058D" w:rsidRDefault="006C26A7" w:rsidP="006C26A7">
      <w:pPr>
        <w:spacing w:before="120"/>
        <w:rPr>
          <w:b/>
          <w:lang w:val="en-US"/>
        </w:rPr>
      </w:pPr>
      <w:r>
        <w:rPr>
          <w:b/>
          <w:bCs/>
        </w:rPr>
        <w:t>Thirty-ninth session</w:t>
      </w:r>
    </w:p>
    <w:p w14:paraId="5308579C" w14:textId="6CAC679F" w:rsidR="006C26A7" w:rsidRPr="009E058D" w:rsidRDefault="006C26A7" w:rsidP="006C26A7">
      <w:pPr>
        <w:rPr>
          <w:lang w:val="en-US"/>
        </w:rPr>
      </w:pPr>
      <w:r>
        <w:t>Geneva, 24</w:t>
      </w:r>
      <w:r w:rsidR="00501B1E">
        <w:t>–</w:t>
      </w:r>
      <w:r>
        <w:t>28 January 2022</w:t>
      </w:r>
    </w:p>
    <w:p w14:paraId="0215EA32" w14:textId="77777777" w:rsidR="006C26A7" w:rsidRPr="009E058D" w:rsidRDefault="006C26A7" w:rsidP="006C26A7">
      <w:pPr>
        <w:rPr>
          <w:lang w:val="en-US"/>
        </w:rPr>
      </w:pPr>
      <w:r>
        <w:t>Item 5 (b) of the provisional agenda</w:t>
      </w:r>
    </w:p>
    <w:p w14:paraId="1DC63092" w14:textId="1415C808" w:rsidR="006C26A7" w:rsidRPr="009E058D" w:rsidRDefault="006C26A7" w:rsidP="006C26A7">
      <w:pPr>
        <w:rPr>
          <w:b/>
          <w:bCs/>
          <w:lang w:val="en-US"/>
        </w:rPr>
      </w:pPr>
      <w:r>
        <w:rPr>
          <w:b/>
          <w:bCs/>
        </w:rPr>
        <w:t xml:space="preserve">Proposals for amendments to the Regulations </w:t>
      </w:r>
      <w:r w:rsidR="00501B1E">
        <w:rPr>
          <w:b/>
          <w:bCs/>
        </w:rPr>
        <w:br/>
      </w:r>
      <w:r>
        <w:rPr>
          <w:b/>
          <w:bCs/>
        </w:rPr>
        <w:t>annexed to ADN: Other proposals</w:t>
      </w:r>
    </w:p>
    <w:p w14:paraId="5742118E" w14:textId="77777777" w:rsidR="006C26A7" w:rsidRPr="009E058D" w:rsidRDefault="006C26A7" w:rsidP="006C26A7">
      <w:pPr>
        <w:pStyle w:val="HChG"/>
        <w:rPr>
          <w:lang w:val="en-US"/>
        </w:rPr>
      </w:pPr>
      <w:r>
        <w:tab/>
      </w:r>
      <w:r>
        <w:tab/>
      </w:r>
      <w:r>
        <w:rPr>
          <w:bCs/>
        </w:rPr>
        <w:t>Proposed correction to 9.3.4.3.1.2.2.1.3 of ADN</w:t>
      </w:r>
    </w:p>
    <w:p w14:paraId="1CA84E21" w14:textId="6F2A809C" w:rsidR="006C26A7" w:rsidRPr="009E058D" w:rsidRDefault="006C26A7" w:rsidP="006C26A7">
      <w:pPr>
        <w:pStyle w:val="H1G"/>
        <w:rPr>
          <w:rFonts w:eastAsia="Calibri"/>
          <w:lang w:val="en-US"/>
        </w:rPr>
      </w:pPr>
      <w:r>
        <w:tab/>
      </w:r>
      <w:r>
        <w:tab/>
      </w:r>
      <w:r>
        <w:rPr>
          <w:bCs/>
        </w:rPr>
        <w:t>Transmitted by the Central Commission for the Navigation of the Rhine (CCNR)</w:t>
      </w:r>
      <w:r w:rsidRPr="00CE0F02">
        <w:rPr>
          <w:rStyle w:val="FootnoteReference"/>
          <w:rFonts w:eastAsia="Calibri"/>
          <w:b w:val="0"/>
          <w:bCs/>
          <w:sz w:val="20"/>
          <w:szCs w:val="22"/>
          <w:vertAlign w:val="baseline"/>
        </w:rPr>
        <w:footnoteReference w:customMarkFollows="1" w:id="1"/>
        <w:t>*</w:t>
      </w:r>
      <w:r w:rsidR="00CE0F02" w:rsidRPr="00CE0F02">
        <w:rPr>
          <w:rStyle w:val="FootnoteReference"/>
          <w:rFonts w:eastAsia="Calibri"/>
          <w:b w:val="0"/>
          <w:bCs/>
          <w:position w:val="8"/>
          <w:sz w:val="20"/>
          <w:szCs w:val="22"/>
          <w:vertAlign w:val="baseline"/>
        </w:rPr>
        <w:t>,</w:t>
      </w:r>
      <w:r w:rsidR="00CE0F02" w:rsidRPr="00CE0F02">
        <w:rPr>
          <w:rStyle w:val="FootnoteReference"/>
          <w:rFonts w:eastAsia="Calibri"/>
          <w:b w:val="0"/>
          <w:bCs/>
          <w:sz w:val="20"/>
          <w:szCs w:val="22"/>
          <w:vertAlign w:val="baseline"/>
        </w:rPr>
        <w:t xml:space="preserve"> </w:t>
      </w:r>
      <w:r w:rsidRPr="00CE0F02">
        <w:rPr>
          <w:rStyle w:val="FootnoteReference"/>
          <w:rFonts w:eastAsia="Calibri"/>
          <w:b w:val="0"/>
          <w:bCs/>
          <w:sz w:val="20"/>
          <w:szCs w:val="22"/>
          <w:vertAlign w:val="baseline"/>
        </w:rPr>
        <w:footnoteReference w:customMarkFollows="1" w:id="2"/>
        <w:t>**</w:t>
      </w:r>
    </w:p>
    <w:p w14:paraId="7FC9FDC9" w14:textId="77777777" w:rsidR="006C26A7" w:rsidRPr="009E058D" w:rsidRDefault="006C26A7" w:rsidP="006C26A7">
      <w:pPr>
        <w:pStyle w:val="HChG"/>
        <w:rPr>
          <w:lang w:val="en-US"/>
        </w:rPr>
      </w:pPr>
      <w:r>
        <w:tab/>
      </w:r>
      <w:r>
        <w:tab/>
      </w:r>
      <w:r>
        <w:rPr>
          <w:bCs/>
        </w:rPr>
        <w:t>Introduction</w:t>
      </w:r>
      <w:bookmarkStart w:id="1" w:name="_Hlk83902369"/>
      <w:bookmarkEnd w:id="1"/>
    </w:p>
    <w:p w14:paraId="0319F1E6" w14:textId="77777777" w:rsidR="006C26A7" w:rsidRPr="009E058D" w:rsidRDefault="006C26A7" w:rsidP="006C26A7">
      <w:pPr>
        <w:pStyle w:val="SingleTxtG"/>
        <w:rPr>
          <w:lang w:val="en-US"/>
        </w:rPr>
      </w:pPr>
      <w:bookmarkStart w:id="2" w:name="_Hlk72938542"/>
      <w:r>
        <w:t>1.</w:t>
      </w:r>
      <w:r>
        <w:tab/>
        <w:t>The attention of the CCNR secretariat has been drawn to a discrepancy between the German version and the French and English versions of 9.3.4.3.1.2.2.1.3 of ADN.</w:t>
      </w:r>
    </w:p>
    <w:p w14:paraId="1561AAFF" w14:textId="77777777" w:rsidR="006C26A7" w:rsidRPr="009E058D" w:rsidRDefault="006C26A7" w:rsidP="006C26A7">
      <w:pPr>
        <w:pStyle w:val="SingleTxtG"/>
        <w:rPr>
          <w:lang w:val="en-US"/>
        </w:rPr>
      </w:pPr>
      <w:r>
        <w:t>2.</w:t>
      </w:r>
      <w:r>
        <w:tab/>
        <w:t>After consultation with the German delegation, the CCNR secretariat has concluded that the German text is comprehensive and that the French and English texts should be amended.</w:t>
      </w:r>
    </w:p>
    <w:p w14:paraId="5EE9B315" w14:textId="77777777" w:rsidR="006C26A7" w:rsidRPr="009E058D" w:rsidRDefault="006C26A7" w:rsidP="006C26A7">
      <w:pPr>
        <w:pStyle w:val="HChG"/>
        <w:rPr>
          <w:lang w:val="en-US"/>
        </w:rPr>
      </w:pPr>
      <w:r>
        <w:tab/>
        <w:t>I.</w:t>
      </w:r>
      <w:r>
        <w:tab/>
      </w:r>
      <w:r>
        <w:rPr>
          <w:bCs/>
        </w:rPr>
        <w:t>Content of 9.3.4.3.1.2.2.1.3 of ADN 2021</w:t>
      </w:r>
    </w:p>
    <w:p w14:paraId="4688112F" w14:textId="77777777" w:rsidR="006C26A7" w:rsidRPr="009E058D" w:rsidRDefault="006C26A7" w:rsidP="006C26A7">
      <w:pPr>
        <w:pStyle w:val="SingleTxtG"/>
        <w:rPr>
          <w:lang w:val="en-US"/>
        </w:rPr>
      </w:pPr>
      <w:r>
        <w:t>3.</w:t>
      </w:r>
      <w:r>
        <w:tab/>
        <w:t>The text of 9.3.4.3.1.2.2.1.3 of ADN is reproduced in the table below. The secretariat also reproduces the corresponding illustrations in the present working document:</w:t>
      </w:r>
      <w:bookmarkEnd w:id="2"/>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5033"/>
      </w:tblGrid>
      <w:tr w:rsidR="006C26A7" w:rsidRPr="009E058D" w14:paraId="6ED42C6E" w14:textId="77777777" w:rsidTr="00EE222F">
        <w:tc>
          <w:tcPr>
            <w:tcW w:w="4541" w:type="dxa"/>
          </w:tcPr>
          <w:p w14:paraId="6D0808C5" w14:textId="77777777" w:rsidR="006C26A7" w:rsidRPr="009E058D" w:rsidRDefault="006C26A7" w:rsidP="00B4139F">
            <w:pPr>
              <w:tabs>
                <w:tab w:val="left" w:pos="1701"/>
              </w:tabs>
              <w:spacing w:after="120"/>
              <w:ind w:right="149"/>
              <w:jc w:val="right"/>
              <w:rPr>
                <w:lang w:val="en-US"/>
              </w:rPr>
            </w:pPr>
            <w:r>
              <w:rPr>
                <w:noProof/>
                <w:lang w:val="en-US"/>
              </w:rPr>
              <w:lastRenderedPageBreak/>
              <w:drawing>
                <wp:anchor distT="0" distB="0" distL="114300" distR="114300" simplePos="0" relativeHeight="251660288" behindDoc="0" locked="1" layoutInCell="1" allowOverlap="1" wp14:anchorId="187944AB" wp14:editId="29386A1A">
                  <wp:simplePos x="0" y="0"/>
                  <wp:positionH relativeFrom="column">
                    <wp:posOffset>944880</wp:posOffset>
                  </wp:positionH>
                  <wp:positionV relativeFrom="paragraph">
                    <wp:posOffset>164465</wp:posOffset>
                  </wp:positionV>
                  <wp:extent cx="1788160" cy="2392680"/>
                  <wp:effectExtent l="0" t="0" r="254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2392680"/>
                          </a:xfrm>
                          <a:prstGeom prst="rect">
                            <a:avLst/>
                          </a:prstGeom>
                          <a:noFill/>
                        </pic:spPr>
                      </pic:pic>
                    </a:graphicData>
                  </a:graphic>
                  <wp14:sizeRelH relativeFrom="page">
                    <wp14:pctWidth>0</wp14:pctWidth>
                  </wp14:sizeRelH>
                  <wp14:sizeRelV relativeFrom="page">
                    <wp14:pctHeight>0</wp14:pctHeight>
                  </wp14:sizeRelV>
                </wp:anchor>
              </w:drawing>
            </w:r>
          </w:p>
          <w:p w14:paraId="68455F75" w14:textId="77777777" w:rsidR="006C26A7" w:rsidRPr="009E058D" w:rsidRDefault="006C26A7" w:rsidP="00EE222F">
            <w:pPr>
              <w:tabs>
                <w:tab w:val="left" w:pos="1701"/>
              </w:tabs>
              <w:spacing w:after="120"/>
              <w:ind w:right="315"/>
              <w:jc w:val="center"/>
              <w:rPr>
                <w:b/>
                <w:bCs/>
                <w:i/>
                <w:iCs/>
                <w:sz w:val="16"/>
                <w:szCs w:val="16"/>
                <w:lang w:val="en-US"/>
              </w:rPr>
            </w:pPr>
            <w:r w:rsidRPr="00EE222F">
              <w:rPr>
                <w:b/>
                <w:bCs/>
                <w:i/>
                <w:iCs/>
                <w:sz w:val="18"/>
                <w:szCs w:val="18"/>
              </w:rPr>
              <w:t>Example of vertical collision locations</w:t>
            </w:r>
          </w:p>
        </w:tc>
        <w:tc>
          <w:tcPr>
            <w:tcW w:w="4961" w:type="dxa"/>
          </w:tcPr>
          <w:p w14:paraId="486BE8F0" w14:textId="77777777" w:rsidR="006C26A7" w:rsidRPr="009E058D" w:rsidRDefault="006C26A7" w:rsidP="00EE222F">
            <w:pPr>
              <w:tabs>
                <w:tab w:val="left" w:pos="1701"/>
              </w:tabs>
              <w:spacing w:after="120"/>
              <w:ind w:right="316"/>
              <w:jc w:val="center"/>
              <w:rPr>
                <w:b/>
                <w:bCs/>
                <w:i/>
                <w:iCs/>
                <w:sz w:val="16"/>
                <w:szCs w:val="16"/>
                <w:lang w:val="en-US"/>
              </w:rPr>
            </w:pPr>
            <w:r w:rsidRPr="00EE222F">
              <w:rPr>
                <w:b/>
                <w:bCs/>
                <w:i/>
                <w:iCs/>
                <w:noProof/>
                <w:sz w:val="18"/>
                <w:szCs w:val="18"/>
                <w:lang w:val="en-US"/>
              </w:rPr>
              <w:drawing>
                <wp:anchor distT="0" distB="0" distL="114300" distR="114300" simplePos="0" relativeHeight="251661312" behindDoc="0" locked="1" layoutInCell="1" allowOverlap="1" wp14:anchorId="24089308" wp14:editId="2965194C">
                  <wp:simplePos x="0" y="0"/>
                  <wp:positionH relativeFrom="column">
                    <wp:posOffset>223520</wp:posOffset>
                  </wp:positionH>
                  <wp:positionV relativeFrom="paragraph">
                    <wp:posOffset>128905</wp:posOffset>
                  </wp:positionV>
                  <wp:extent cx="2564765" cy="2391410"/>
                  <wp:effectExtent l="0" t="0" r="6985"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4765" cy="2391410"/>
                          </a:xfrm>
                          <a:prstGeom prst="rect">
                            <a:avLst/>
                          </a:prstGeom>
                          <a:noFill/>
                        </pic:spPr>
                      </pic:pic>
                    </a:graphicData>
                  </a:graphic>
                  <wp14:sizeRelH relativeFrom="page">
                    <wp14:pctWidth>0</wp14:pctWidth>
                  </wp14:sizeRelH>
                  <wp14:sizeRelV relativeFrom="page">
                    <wp14:pctHeight>0</wp14:pctHeight>
                  </wp14:sizeRelV>
                </wp:anchor>
              </w:drawing>
            </w:r>
            <w:r w:rsidRPr="00EE222F">
              <w:rPr>
                <w:b/>
                <w:bCs/>
                <w:i/>
                <w:iCs/>
                <w:sz w:val="18"/>
                <w:szCs w:val="18"/>
              </w:rPr>
              <w:t>Definition of vertical collision locations</w:t>
            </w:r>
          </w:p>
        </w:tc>
      </w:tr>
    </w:tbl>
    <w:p w14:paraId="5CB971B8" w14:textId="77777777" w:rsidR="006C26A7" w:rsidRPr="009E058D" w:rsidRDefault="006C26A7" w:rsidP="00EE222F">
      <w:pPr>
        <w:tabs>
          <w:tab w:val="left" w:pos="1701"/>
        </w:tabs>
        <w:spacing w:before="120" w:after="120"/>
        <w:ind w:left="1418" w:right="851" w:hanging="142"/>
        <w:rPr>
          <w:lang w:val="en-US"/>
        </w:rPr>
      </w:pPr>
      <w:r w:rsidRPr="006E6078">
        <w:rPr>
          <w:noProof/>
          <w:sz w:val="22"/>
          <w:szCs w:val="22"/>
          <w:lang w:val="nl"/>
        </w:rPr>
        <mc:AlternateContent>
          <mc:Choice Requires="wps">
            <w:drawing>
              <wp:anchor distT="0" distB="0" distL="114300" distR="114300" simplePos="0" relativeHeight="251659264" behindDoc="0" locked="0" layoutInCell="1" allowOverlap="1" wp14:anchorId="50F23C32" wp14:editId="641E6818">
                <wp:simplePos x="0" y="0"/>
                <wp:positionH relativeFrom="column">
                  <wp:posOffset>103822</wp:posOffset>
                </wp:positionH>
                <wp:positionV relativeFrom="paragraph">
                  <wp:posOffset>-2183447</wp:posOffset>
                </wp:positionV>
                <wp:extent cx="771525" cy="271780"/>
                <wp:effectExtent l="0" t="0" r="9525" b="0"/>
                <wp:wrapNone/>
                <wp:docPr id="1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2D2BB" w14:textId="77777777" w:rsidR="006C26A7" w:rsidRPr="00EE222F" w:rsidRDefault="006C26A7" w:rsidP="006C26A7">
                            <w:pPr>
                              <w:jc w:val="right"/>
                              <w:rPr>
                                <w:sz w:val="16"/>
                                <w:szCs w:val="16"/>
                              </w:rPr>
                            </w:pPr>
                            <w:r w:rsidRPr="00EE222F">
                              <w:rPr>
                                <w:sz w:val="18"/>
                                <w:szCs w:val="18"/>
                              </w:rPr>
                              <w:t>Striking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C32" id="_x0000_t202" coordsize="21600,21600" o:spt="202" path="m,l,21600r21600,l21600,xe">
                <v:stroke joinstyle="miter"/>
                <v:path gradientshapeok="t" o:connecttype="rect"/>
              </v:shapetype>
              <v:shape id="Text Box 529" o:spid="_x0000_s1026" type="#_x0000_t202" style="position:absolute;left:0;text-align:left;margin-left:8.15pt;margin-top:-171.9pt;width:60.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" stroked="f">
                <v:textbox>
                  <w:txbxContent>
                    <w:p w14:paraId="5912D2BB" w14:textId="77777777" w:rsidR="006C26A7" w:rsidRPr="00EE222F" w:rsidRDefault="006C26A7" w:rsidP="006C26A7">
                      <w:pPr>
                        <w:jc w:val="right"/>
                        <w:rPr>
                          <w:sz w:val="16"/>
                          <w:szCs w:val="16"/>
                        </w:rPr>
                      </w:pPr>
                      <w:r w:rsidRPr="00EE222F">
                        <w:rPr>
                          <w:sz w:val="18"/>
                          <w:szCs w:val="18"/>
                        </w:rPr>
                        <w:t>Striking ship</w:t>
                      </w:r>
                    </w:p>
                  </w:txbxContent>
                </v:textbox>
              </v:shape>
            </w:pict>
          </mc:Fallback>
        </mc:AlternateConten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50"/>
        <w:gridCol w:w="2361"/>
        <w:gridCol w:w="2659"/>
      </w:tblGrid>
      <w:tr w:rsidR="006C26A7" w:rsidRPr="00EE222F" w14:paraId="469C4588" w14:textId="77777777" w:rsidTr="00E00427">
        <w:trPr>
          <w:tblHeader/>
        </w:trPr>
        <w:tc>
          <w:tcPr>
            <w:tcW w:w="2350" w:type="dxa"/>
            <w:tcBorders>
              <w:top w:val="single" w:sz="4" w:space="0" w:color="auto"/>
              <w:bottom w:val="single" w:sz="12" w:space="0" w:color="auto"/>
            </w:tcBorders>
            <w:shd w:val="clear" w:color="auto" w:fill="auto"/>
            <w:vAlign w:val="bottom"/>
          </w:tcPr>
          <w:p w14:paraId="514C8020" w14:textId="77777777" w:rsidR="006C26A7" w:rsidRPr="00EE222F" w:rsidRDefault="006C26A7" w:rsidP="00EE222F">
            <w:pPr>
              <w:suppressAutoHyphens w:val="0"/>
              <w:spacing w:before="80" w:after="80" w:line="200" w:lineRule="exact"/>
              <w:ind w:right="113"/>
              <w:rPr>
                <w:i/>
                <w:sz w:val="16"/>
              </w:rPr>
            </w:pPr>
            <w:r w:rsidRPr="00EE222F">
              <w:rPr>
                <w:i/>
                <w:sz w:val="16"/>
              </w:rPr>
              <w:t>EN</w:t>
            </w:r>
          </w:p>
        </w:tc>
        <w:tc>
          <w:tcPr>
            <w:tcW w:w="2361" w:type="dxa"/>
            <w:tcBorders>
              <w:top w:val="single" w:sz="4" w:space="0" w:color="auto"/>
              <w:bottom w:val="single" w:sz="12" w:space="0" w:color="auto"/>
            </w:tcBorders>
            <w:shd w:val="clear" w:color="auto" w:fill="auto"/>
            <w:vAlign w:val="bottom"/>
          </w:tcPr>
          <w:p w14:paraId="7EDC351F" w14:textId="77777777" w:rsidR="006C26A7" w:rsidRPr="00EE222F" w:rsidRDefault="006C26A7" w:rsidP="00EE222F">
            <w:pPr>
              <w:suppressAutoHyphens w:val="0"/>
              <w:spacing w:before="80" w:after="80" w:line="200" w:lineRule="exact"/>
              <w:ind w:right="113"/>
              <w:rPr>
                <w:i/>
                <w:sz w:val="16"/>
              </w:rPr>
            </w:pPr>
            <w:r w:rsidRPr="00EE222F">
              <w:rPr>
                <w:i/>
                <w:sz w:val="16"/>
              </w:rPr>
              <w:t>FR</w:t>
            </w:r>
          </w:p>
        </w:tc>
        <w:tc>
          <w:tcPr>
            <w:tcW w:w="2659" w:type="dxa"/>
            <w:tcBorders>
              <w:top w:val="single" w:sz="4" w:space="0" w:color="auto"/>
              <w:bottom w:val="single" w:sz="12" w:space="0" w:color="auto"/>
            </w:tcBorders>
            <w:shd w:val="clear" w:color="auto" w:fill="auto"/>
            <w:vAlign w:val="bottom"/>
          </w:tcPr>
          <w:p w14:paraId="60EEDCDF" w14:textId="77777777" w:rsidR="006C26A7" w:rsidRPr="00EE222F" w:rsidRDefault="006C26A7" w:rsidP="00EE222F">
            <w:pPr>
              <w:suppressAutoHyphens w:val="0"/>
              <w:spacing w:before="80" w:after="80" w:line="200" w:lineRule="exact"/>
              <w:ind w:right="113"/>
              <w:rPr>
                <w:i/>
                <w:sz w:val="16"/>
              </w:rPr>
            </w:pPr>
            <w:r w:rsidRPr="00EE222F">
              <w:rPr>
                <w:i/>
                <w:sz w:val="16"/>
              </w:rPr>
              <w:t>DE</w:t>
            </w:r>
          </w:p>
        </w:tc>
      </w:tr>
      <w:tr w:rsidR="006C26A7" w:rsidRPr="00EE222F" w14:paraId="3B2AF863" w14:textId="77777777" w:rsidTr="00E00427">
        <w:trPr>
          <w:trHeight w:hRule="exact" w:val="113"/>
          <w:tblHeader/>
        </w:trPr>
        <w:tc>
          <w:tcPr>
            <w:tcW w:w="2350" w:type="dxa"/>
            <w:tcBorders>
              <w:top w:val="single" w:sz="12" w:space="0" w:color="auto"/>
            </w:tcBorders>
            <w:shd w:val="clear" w:color="auto" w:fill="auto"/>
          </w:tcPr>
          <w:p w14:paraId="7424492C" w14:textId="77777777" w:rsidR="006C26A7" w:rsidRPr="00EE222F" w:rsidRDefault="006C26A7" w:rsidP="00EE222F">
            <w:pPr>
              <w:suppressAutoHyphens w:val="0"/>
              <w:spacing w:before="40" w:after="120" w:line="220" w:lineRule="exact"/>
              <w:ind w:right="113"/>
            </w:pPr>
          </w:p>
        </w:tc>
        <w:tc>
          <w:tcPr>
            <w:tcW w:w="2361" w:type="dxa"/>
            <w:tcBorders>
              <w:top w:val="single" w:sz="12" w:space="0" w:color="auto"/>
            </w:tcBorders>
            <w:shd w:val="clear" w:color="auto" w:fill="auto"/>
          </w:tcPr>
          <w:p w14:paraId="2F1803DD" w14:textId="77777777" w:rsidR="006C26A7" w:rsidRPr="00EE222F" w:rsidRDefault="006C26A7" w:rsidP="00EE222F">
            <w:pPr>
              <w:suppressAutoHyphens w:val="0"/>
              <w:spacing w:before="40" w:after="120" w:line="220" w:lineRule="exact"/>
              <w:ind w:right="113"/>
            </w:pPr>
          </w:p>
        </w:tc>
        <w:tc>
          <w:tcPr>
            <w:tcW w:w="2659" w:type="dxa"/>
            <w:tcBorders>
              <w:top w:val="single" w:sz="12" w:space="0" w:color="auto"/>
            </w:tcBorders>
            <w:shd w:val="clear" w:color="auto" w:fill="auto"/>
          </w:tcPr>
          <w:p w14:paraId="4758F7E5" w14:textId="77777777" w:rsidR="006C26A7" w:rsidRPr="00EE222F" w:rsidRDefault="006C26A7" w:rsidP="00EE222F">
            <w:pPr>
              <w:suppressAutoHyphens w:val="0"/>
              <w:spacing w:before="40" w:after="120" w:line="220" w:lineRule="exact"/>
              <w:ind w:right="113"/>
            </w:pPr>
          </w:p>
        </w:tc>
      </w:tr>
      <w:tr w:rsidR="006C26A7" w:rsidRPr="00EE222F" w14:paraId="2CDBA646" w14:textId="77777777" w:rsidTr="00EE222F">
        <w:tc>
          <w:tcPr>
            <w:tcW w:w="2350" w:type="dxa"/>
            <w:shd w:val="clear" w:color="auto" w:fill="auto"/>
          </w:tcPr>
          <w:p w14:paraId="7A87D2E4" w14:textId="77777777" w:rsidR="006C26A7" w:rsidRPr="00EE222F" w:rsidRDefault="006C26A7" w:rsidP="00EE222F">
            <w:pPr>
              <w:suppressAutoHyphens w:val="0"/>
              <w:spacing w:before="40" w:after="120" w:line="220" w:lineRule="exact"/>
              <w:ind w:right="113"/>
            </w:pPr>
            <w:r w:rsidRPr="00EE222F">
              <w:t xml:space="preserve">Points on each inclined line in the figure in 9.3.4.3.1.2.2.1.1 indicate the same draught difference. Each of these lines reflects a vertical collision location. </w:t>
            </w:r>
          </w:p>
          <w:p w14:paraId="47B2685E" w14:textId="77777777" w:rsidR="006C26A7" w:rsidRPr="00EE222F" w:rsidRDefault="006C26A7" w:rsidP="00EE222F">
            <w:pPr>
              <w:suppressAutoHyphens w:val="0"/>
              <w:spacing w:before="40" w:after="120" w:line="220" w:lineRule="exact"/>
              <w:ind w:right="113"/>
            </w:pPr>
            <w:r w:rsidRPr="00EE222F">
              <w:t xml:space="preserve">In the example in the figure in 9.3.4.3.1.2.2.1.1 three vertical collision locations are defined, depicted by three areas. </w:t>
            </w:r>
          </w:p>
        </w:tc>
        <w:tc>
          <w:tcPr>
            <w:tcW w:w="2361" w:type="dxa"/>
            <w:shd w:val="clear" w:color="auto" w:fill="auto"/>
          </w:tcPr>
          <w:p w14:paraId="225ABB96" w14:textId="77777777" w:rsidR="006C26A7" w:rsidRPr="00EE222F" w:rsidRDefault="006C26A7" w:rsidP="00EE222F">
            <w:pPr>
              <w:suppressAutoHyphens w:val="0"/>
              <w:spacing w:before="40" w:after="120" w:line="220" w:lineRule="exact"/>
              <w:ind w:right="113"/>
              <w:rPr>
                <w:lang w:val="fr-FR"/>
              </w:rPr>
            </w:pPr>
            <w:r w:rsidRPr="00EE222F">
              <w:rPr>
                <w:lang w:val="fr-CH"/>
              </w:rPr>
              <w:t xml:space="preserve">Les points sur chaque ligne inclinée dans la figure de 9.3.4.3.1.2.2.1.1 indiquent la même différence de tirant d’eau. Chacune de ces lignes représente un point d’impact de collision dans le sens vertical. Dans l’exemple de la figure du 9.3.4.3.1.2.2.1.1, trois points d’impact de collision dans le sens vertical sont représentés par trois surfaces. </w:t>
            </w:r>
          </w:p>
        </w:tc>
        <w:tc>
          <w:tcPr>
            <w:tcW w:w="2659" w:type="dxa"/>
            <w:shd w:val="clear" w:color="auto" w:fill="auto"/>
          </w:tcPr>
          <w:p w14:paraId="0DDB3061" w14:textId="77777777" w:rsidR="006C26A7" w:rsidRPr="00EE222F" w:rsidRDefault="006C26A7" w:rsidP="00EE222F">
            <w:pPr>
              <w:suppressAutoHyphens w:val="0"/>
              <w:spacing w:before="40" w:after="120" w:line="220" w:lineRule="exact"/>
              <w:ind w:right="113"/>
              <w:rPr>
                <w:lang w:val="de-DE"/>
              </w:rPr>
            </w:pPr>
            <w:r w:rsidRPr="00EE222F">
              <w:rPr>
                <w:lang w:val="de-DE"/>
              </w:rPr>
              <w:t xml:space="preserve">Die Punkte auf einer jeden schrägen Linie in der Abbildung in Absatz 9.3.4.3.1.2.2.1.1 zeigen dieselbe Tiefgangsdifferenz an. Jede dieser Linien stellt eine senkrechte Kollisionsstelle dar. In dem Beispiel in der Abbildung in Absatz 9.3.4.3.1.2.2.1.1 werden drei senkrechte Kollisionsstellen festgelegt, die durch drei Flächen graphisch dargestellt sind. </w:t>
            </w:r>
          </w:p>
        </w:tc>
      </w:tr>
      <w:tr w:rsidR="006C26A7" w:rsidRPr="00EE222F" w14:paraId="0281A2DF" w14:textId="77777777" w:rsidTr="00EE222F">
        <w:tc>
          <w:tcPr>
            <w:tcW w:w="2350" w:type="dxa"/>
            <w:shd w:val="clear" w:color="auto" w:fill="auto"/>
          </w:tcPr>
          <w:p w14:paraId="01868547" w14:textId="77777777" w:rsidR="006C26A7" w:rsidRPr="00EE222F" w:rsidRDefault="006C26A7" w:rsidP="00EE222F">
            <w:pPr>
              <w:suppressAutoHyphens w:val="0"/>
              <w:spacing w:before="40" w:after="120" w:line="220" w:lineRule="exact"/>
              <w:ind w:right="113"/>
            </w:pPr>
            <w:r w:rsidRPr="00EE222F">
              <w:t>Point P</w:t>
            </w:r>
            <w:r w:rsidRPr="00EE222F">
              <w:rPr>
                <w:vertAlign w:val="subscript"/>
              </w:rPr>
              <w:t>1</w:t>
            </w:r>
            <w:r w:rsidRPr="00EE222F">
              <w:t xml:space="preserve"> is the point where the lower edge of the vertical part of the push barge or V–bow strikes at deck level of the struck vessel. </w:t>
            </w:r>
          </w:p>
        </w:tc>
        <w:tc>
          <w:tcPr>
            <w:tcW w:w="2361" w:type="dxa"/>
            <w:shd w:val="clear" w:color="auto" w:fill="auto"/>
          </w:tcPr>
          <w:p w14:paraId="20B3B0F6" w14:textId="77777777" w:rsidR="006C26A7" w:rsidRPr="00EE222F" w:rsidRDefault="006C26A7" w:rsidP="00EE222F">
            <w:pPr>
              <w:suppressAutoHyphens w:val="0"/>
              <w:spacing w:before="40" w:after="120" w:line="220" w:lineRule="exact"/>
              <w:ind w:right="113"/>
              <w:rPr>
                <w:lang w:val="fr-CH"/>
              </w:rPr>
            </w:pPr>
            <w:r w:rsidRPr="00EE222F">
              <w:rPr>
                <w:lang w:val="fr-CH"/>
              </w:rPr>
              <w:t>Le point P</w:t>
            </w:r>
            <w:r w:rsidRPr="00EE222F">
              <w:rPr>
                <w:vertAlign w:val="subscript"/>
                <w:lang w:val="fr-CH"/>
              </w:rPr>
              <w:t xml:space="preserve">1 </w:t>
            </w:r>
            <w:r w:rsidRPr="00EE222F">
              <w:rPr>
                <w:lang w:val="fr-CH"/>
              </w:rPr>
              <w:t xml:space="preserve">correspond au cas où le bord inférieur de la partie verticale de l’étrave d’une barge de poussage ou de l’étrave en forme de V d’un bateau percute l’autre bateau au niveau du pont. </w:t>
            </w:r>
          </w:p>
        </w:tc>
        <w:tc>
          <w:tcPr>
            <w:tcW w:w="2659" w:type="dxa"/>
            <w:shd w:val="clear" w:color="auto" w:fill="auto"/>
          </w:tcPr>
          <w:p w14:paraId="2898A1BD" w14:textId="77777777" w:rsidR="006C26A7" w:rsidRPr="00EE222F" w:rsidRDefault="006C26A7" w:rsidP="00EE222F">
            <w:pPr>
              <w:suppressAutoHyphens w:val="0"/>
              <w:spacing w:before="40" w:after="120" w:line="220" w:lineRule="exact"/>
              <w:ind w:right="113"/>
              <w:rPr>
                <w:lang w:val="de-DE"/>
              </w:rPr>
            </w:pPr>
            <w:r w:rsidRPr="00EE222F">
              <w:rPr>
                <w:lang w:val="de-DE"/>
              </w:rPr>
              <w:t>Der Punkt P</w:t>
            </w:r>
            <w:r w:rsidRPr="00EE222F">
              <w:rPr>
                <w:vertAlign w:val="subscript"/>
                <w:lang w:val="de-DE"/>
              </w:rPr>
              <w:t>1</w:t>
            </w:r>
            <w:r w:rsidRPr="00EE222F">
              <w:rPr>
                <w:lang w:val="de-DE"/>
              </w:rPr>
              <w:t xml:space="preserve"> ist der Punkt, in dem die untere Ecke des senkrechten Teils des Schubleichter- oder V-Bugs die Decksebene des getroffenen Schiffes berührt.</w:t>
            </w:r>
          </w:p>
        </w:tc>
      </w:tr>
      <w:tr w:rsidR="006C26A7" w:rsidRPr="00EE222F" w14:paraId="0038C468" w14:textId="77777777" w:rsidTr="00EE222F">
        <w:tc>
          <w:tcPr>
            <w:tcW w:w="2350" w:type="dxa"/>
            <w:tcBorders>
              <w:bottom w:val="nil"/>
            </w:tcBorders>
            <w:shd w:val="clear" w:color="auto" w:fill="auto"/>
          </w:tcPr>
          <w:p w14:paraId="4252009E" w14:textId="77777777" w:rsidR="006C26A7" w:rsidRPr="00EE222F" w:rsidRDefault="006C26A7" w:rsidP="00EE222F">
            <w:pPr>
              <w:suppressAutoHyphens w:val="0"/>
              <w:spacing w:before="40" w:after="120" w:line="220" w:lineRule="exact"/>
              <w:ind w:right="113"/>
            </w:pPr>
            <w:r w:rsidRPr="00EE222F">
              <w:t>The triangular area for collision case 1 is bordered by point P</w:t>
            </w:r>
            <w:r w:rsidRPr="00EE222F">
              <w:rPr>
                <w:vertAlign w:val="subscript"/>
              </w:rPr>
              <w:t>1</w:t>
            </w:r>
            <w:r w:rsidRPr="00EE222F">
              <w:t>. This corresponds to the vertical collision location “collision at deck level”.</w:t>
            </w:r>
          </w:p>
        </w:tc>
        <w:tc>
          <w:tcPr>
            <w:tcW w:w="2361" w:type="dxa"/>
            <w:tcBorders>
              <w:bottom w:val="nil"/>
            </w:tcBorders>
            <w:shd w:val="clear" w:color="auto" w:fill="auto"/>
          </w:tcPr>
          <w:p w14:paraId="5EEE870D" w14:textId="49904A40" w:rsidR="006C26A7" w:rsidRPr="00EE222F" w:rsidRDefault="006C26A7" w:rsidP="00EE222F">
            <w:pPr>
              <w:suppressAutoHyphens w:val="0"/>
              <w:spacing w:before="40" w:after="120" w:line="220" w:lineRule="exact"/>
              <w:ind w:right="113"/>
              <w:rPr>
                <w:lang w:val="fr-CH"/>
              </w:rPr>
            </w:pPr>
            <w:r w:rsidRPr="00EE222F">
              <w:rPr>
                <w:lang w:val="fr-CH"/>
              </w:rPr>
              <w:t>La</w:t>
            </w:r>
            <w:r w:rsidR="00E00427">
              <w:rPr>
                <w:lang w:val="fr-CH"/>
              </w:rPr>
              <w:t xml:space="preserve"> </w:t>
            </w:r>
            <w:r w:rsidRPr="00EE222F">
              <w:rPr>
                <w:lang w:val="fr-CH"/>
              </w:rPr>
              <w:t>surface triangulaire pour le cas de collision n</w:t>
            </w:r>
            <w:r w:rsidRPr="00EE222F">
              <w:rPr>
                <w:vertAlign w:val="superscript"/>
                <w:lang w:val="fr-CH"/>
              </w:rPr>
              <w:t>o</w:t>
            </w:r>
            <w:r w:rsidR="00E00427">
              <w:rPr>
                <w:lang w:val="fr-CH"/>
              </w:rPr>
              <w:t xml:space="preserve"> </w:t>
            </w:r>
            <w:r w:rsidRPr="00EE222F">
              <w:rPr>
                <w:lang w:val="fr-CH"/>
              </w:rPr>
              <w:t>1 est bordée par le point P</w:t>
            </w:r>
            <w:r w:rsidRPr="00EE222F">
              <w:rPr>
                <w:vertAlign w:val="subscript"/>
                <w:lang w:val="fr-CH"/>
              </w:rPr>
              <w:t>1</w:t>
            </w:r>
            <w:r w:rsidRPr="00EE222F">
              <w:rPr>
                <w:lang w:val="fr-CH"/>
              </w:rPr>
              <w:t>. Ceci correspond au point d’impact de collision dans le sens vertical “collision au niveau du pont”.</w:t>
            </w:r>
          </w:p>
        </w:tc>
        <w:tc>
          <w:tcPr>
            <w:tcW w:w="2659" w:type="dxa"/>
            <w:tcBorders>
              <w:bottom w:val="nil"/>
            </w:tcBorders>
            <w:shd w:val="clear" w:color="auto" w:fill="auto"/>
          </w:tcPr>
          <w:p w14:paraId="7FBFE81E" w14:textId="77777777" w:rsidR="006C26A7" w:rsidRPr="00EE222F" w:rsidRDefault="006C26A7" w:rsidP="00EE222F">
            <w:pPr>
              <w:suppressAutoHyphens w:val="0"/>
              <w:spacing w:before="40" w:after="120" w:line="220" w:lineRule="exact"/>
              <w:ind w:right="113"/>
              <w:rPr>
                <w:lang w:val="de-DE"/>
              </w:rPr>
            </w:pPr>
            <w:r w:rsidRPr="00EE222F">
              <w:rPr>
                <w:lang w:val="de-DE"/>
              </w:rPr>
              <w:t>Die Dreiecksfläche für den Kollisionsfall 1 ist durch den Punkt P</w:t>
            </w:r>
            <w:r w:rsidRPr="00EE222F">
              <w:rPr>
                <w:vertAlign w:val="subscript"/>
                <w:lang w:val="de-DE"/>
              </w:rPr>
              <w:t>1</w:t>
            </w:r>
            <w:r w:rsidRPr="00EE222F">
              <w:rPr>
                <w:lang w:val="de-DE"/>
              </w:rPr>
              <w:t xml:space="preserve"> begrenzt. Dies entspricht der senkrechten Kollisionsstelle „Kollision über Deck“.</w:t>
            </w:r>
          </w:p>
        </w:tc>
      </w:tr>
      <w:tr w:rsidR="006C26A7" w:rsidRPr="00EE222F" w14:paraId="1DE03F17" w14:textId="77777777" w:rsidTr="00EE222F">
        <w:tc>
          <w:tcPr>
            <w:tcW w:w="2350" w:type="dxa"/>
            <w:tcBorders>
              <w:top w:val="nil"/>
              <w:bottom w:val="nil"/>
            </w:tcBorders>
            <w:shd w:val="clear" w:color="auto" w:fill="auto"/>
          </w:tcPr>
          <w:p w14:paraId="1CD386DA" w14:textId="77777777" w:rsidR="006C26A7" w:rsidRPr="00EE222F" w:rsidRDefault="006C26A7" w:rsidP="00EE222F">
            <w:pPr>
              <w:keepNext/>
              <w:keepLines/>
              <w:suppressAutoHyphens w:val="0"/>
              <w:spacing w:before="40" w:after="120" w:line="220" w:lineRule="exact"/>
              <w:ind w:right="113"/>
            </w:pPr>
          </w:p>
        </w:tc>
        <w:tc>
          <w:tcPr>
            <w:tcW w:w="2361" w:type="dxa"/>
            <w:tcBorders>
              <w:top w:val="nil"/>
              <w:bottom w:val="nil"/>
            </w:tcBorders>
            <w:shd w:val="clear" w:color="auto" w:fill="auto"/>
          </w:tcPr>
          <w:p w14:paraId="79E90E18" w14:textId="77777777" w:rsidR="006C26A7" w:rsidRPr="00EE222F" w:rsidRDefault="006C26A7" w:rsidP="00EE222F">
            <w:pPr>
              <w:keepNext/>
              <w:keepLines/>
              <w:suppressAutoHyphens w:val="0"/>
              <w:spacing w:before="40" w:after="120" w:line="220" w:lineRule="exact"/>
              <w:ind w:right="113"/>
            </w:pPr>
          </w:p>
        </w:tc>
        <w:tc>
          <w:tcPr>
            <w:tcW w:w="2659" w:type="dxa"/>
            <w:tcBorders>
              <w:top w:val="nil"/>
              <w:bottom w:val="nil"/>
            </w:tcBorders>
            <w:shd w:val="clear" w:color="auto" w:fill="auto"/>
          </w:tcPr>
          <w:p w14:paraId="7CCEA015" w14:textId="77777777" w:rsidR="006C26A7" w:rsidRPr="00EE222F" w:rsidRDefault="006C26A7" w:rsidP="00EE222F">
            <w:pPr>
              <w:keepNext/>
              <w:keepLines/>
              <w:suppressAutoHyphens w:val="0"/>
              <w:spacing w:before="40" w:after="120" w:line="220" w:lineRule="exact"/>
              <w:ind w:right="113"/>
              <w:rPr>
                <w:lang w:val="de-DE"/>
              </w:rPr>
            </w:pPr>
            <w:r w:rsidRPr="00EE222F">
              <w:rPr>
                <w:lang w:val="de-DE"/>
              </w:rPr>
              <w:t>Der Punkt P</w:t>
            </w:r>
            <w:r w:rsidRPr="00EE222F">
              <w:rPr>
                <w:vertAlign w:val="subscript"/>
                <w:lang w:val="de-DE"/>
              </w:rPr>
              <w:t>2</w:t>
            </w:r>
            <w:r w:rsidRPr="00EE222F">
              <w:rPr>
                <w:lang w:val="de-DE"/>
              </w:rPr>
              <w:t xml:space="preserve"> ist der Punkt, in dem der obere senkrechte Teil des Schubleichter- bzw. V-Bugs den oberen Teil der Bergplatte berührt. Die Fläche, die durch die Punkte P</w:t>
            </w:r>
            <w:r w:rsidRPr="00EE222F">
              <w:rPr>
                <w:vertAlign w:val="subscript"/>
                <w:lang w:val="de-DE"/>
              </w:rPr>
              <w:t>1</w:t>
            </w:r>
            <w:r w:rsidRPr="00EE222F">
              <w:rPr>
                <w:lang w:val="de-DE"/>
              </w:rPr>
              <w:t xml:space="preserve"> und P</w:t>
            </w:r>
            <w:r w:rsidRPr="00EE222F">
              <w:rPr>
                <w:vertAlign w:val="subscript"/>
                <w:lang w:val="de-DE"/>
              </w:rPr>
              <w:t>2</w:t>
            </w:r>
            <w:r w:rsidRPr="00EE222F">
              <w:rPr>
                <w:lang w:val="de-DE"/>
              </w:rPr>
              <w:t xml:space="preserve"> begrenzt wird, entspricht der senkrechten Kollisionsstelle „Kollision auf Höhe Deck“.</w:t>
            </w:r>
          </w:p>
        </w:tc>
      </w:tr>
      <w:tr w:rsidR="006C26A7" w:rsidRPr="00EE222F" w14:paraId="0C669D97" w14:textId="77777777" w:rsidTr="00EE222F">
        <w:tc>
          <w:tcPr>
            <w:tcW w:w="2350" w:type="dxa"/>
            <w:tcBorders>
              <w:top w:val="nil"/>
            </w:tcBorders>
            <w:shd w:val="clear" w:color="auto" w:fill="auto"/>
          </w:tcPr>
          <w:p w14:paraId="3EE119C4" w14:textId="20D96F89" w:rsidR="006C26A7" w:rsidRPr="00EE222F" w:rsidRDefault="006C26A7" w:rsidP="00EE222F">
            <w:pPr>
              <w:suppressAutoHyphens w:val="0"/>
              <w:spacing w:before="40" w:after="120" w:line="220" w:lineRule="exact"/>
              <w:ind w:right="113"/>
            </w:pPr>
            <w:r w:rsidRPr="00EE222F">
              <w:t xml:space="preserve">The triangular upper left area of the rectangle corresponds to the vertical collision location </w:t>
            </w:r>
            <w:r w:rsidR="00E00427">
              <w:t>“</w:t>
            </w:r>
            <w:r w:rsidRPr="00EE222F">
              <w:t>collision below deck</w:t>
            </w:r>
            <w:r w:rsidR="00E00427">
              <w:t>”</w:t>
            </w:r>
            <w:r w:rsidRPr="00EE222F">
              <w:t>. The draught difference ΔT</w:t>
            </w:r>
            <w:r w:rsidRPr="00EE222F">
              <w:rPr>
                <w:vertAlign w:val="subscript"/>
              </w:rPr>
              <w:t>i</w:t>
            </w:r>
            <w:r w:rsidRPr="00EE222F">
              <w:t>, i=1,2,3 shall be used in the collision calculations (see following figure).</w:t>
            </w:r>
          </w:p>
        </w:tc>
        <w:tc>
          <w:tcPr>
            <w:tcW w:w="2361" w:type="dxa"/>
            <w:tcBorders>
              <w:top w:val="nil"/>
            </w:tcBorders>
            <w:shd w:val="clear" w:color="auto" w:fill="auto"/>
          </w:tcPr>
          <w:p w14:paraId="5CA647D2" w14:textId="5BC902FF" w:rsidR="006C26A7" w:rsidRPr="00EE222F" w:rsidRDefault="006C26A7" w:rsidP="00EE222F">
            <w:pPr>
              <w:suppressAutoHyphens w:val="0"/>
              <w:spacing w:before="40" w:after="120" w:line="220" w:lineRule="exact"/>
              <w:ind w:right="113"/>
              <w:rPr>
                <w:lang w:val="fr-CH"/>
              </w:rPr>
            </w:pPr>
            <w:r w:rsidRPr="00EE222F">
              <w:rPr>
                <w:lang w:val="fr-CH"/>
              </w:rPr>
              <w:t xml:space="preserve">Le triangle occupant la partie supérieure gauche du rectangle correspond au point d’impact de collision dans le sens vertical </w:t>
            </w:r>
            <w:r w:rsidR="00E00427">
              <w:rPr>
                <w:lang w:val="fr-CH"/>
              </w:rPr>
              <w:t>“</w:t>
            </w:r>
            <w:r w:rsidRPr="00EE222F">
              <w:rPr>
                <w:lang w:val="fr-CH"/>
              </w:rPr>
              <w:t>collision sous le pont</w:t>
            </w:r>
            <w:r w:rsidR="00E00427">
              <w:rPr>
                <w:lang w:val="fr-CH"/>
              </w:rPr>
              <w:t>”</w:t>
            </w:r>
            <w:r w:rsidRPr="00EE222F">
              <w:rPr>
                <w:lang w:val="fr-CH"/>
              </w:rPr>
              <w:t xml:space="preserve">. La différence de tirant d’eau </w:t>
            </w:r>
            <w:r w:rsidRPr="00EE222F">
              <w:t>Δ</w:t>
            </w:r>
            <w:r w:rsidRPr="00EE222F">
              <w:rPr>
                <w:lang w:val="fr-CH"/>
              </w:rPr>
              <w:t>T</w:t>
            </w:r>
            <w:r w:rsidRPr="00EE222F">
              <w:rPr>
                <w:vertAlign w:val="subscript"/>
                <w:lang w:val="fr-CH"/>
              </w:rPr>
              <w:t>i</w:t>
            </w:r>
            <w:r w:rsidRPr="00EE222F">
              <w:rPr>
                <w:lang w:val="fr-CH"/>
              </w:rPr>
              <w:t>, i = 1,2,3 est utilisée dans les calculs de collision (voir figure ci</w:t>
            </w:r>
            <w:r w:rsidRPr="00EE222F">
              <w:rPr>
                <w:lang w:val="fr-CH"/>
              </w:rPr>
              <w:noBreakHyphen/>
              <w:t>dessous).</w:t>
            </w:r>
          </w:p>
        </w:tc>
        <w:tc>
          <w:tcPr>
            <w:tcW w:w="2659" w:type="dxa"/>
            <w:tcBorders>
              <w:top w:val="nil"/>
            </w:tcBorders>
            <w:shd w:val="clear" w:color="auto" w:fill="auto"/>
          </w:tcPr>
          <w:p w14:paraId="721E3866" w14:textId="77777777" w:rsidR="006C26A7" w:rsidRPr="00EE222F" w:rsidRDefault="006C26A7" w:rsidP="00EE222F">
            <w:pPr>
              <w:suppressAutoHyphens w:val="0"/>
              <w:spacing w:before="40" w:after="120" w:line="220" w:lineRule="exact"/>
              <w:ind w:right="113"/>
              <w:rPr>
                <w:lang w:val="de-DE"/>
              </w:rPr>
            </w:pPr>
            <w:r w:rsidRPr="00EE222F">
              <w:rPr>
                <w:lang w:val="de-DE"/>
              </w:rPr>
              <w:t>Die dreieckige, obere linke Fläche des Rechtecks entspricht der senkrechten Kollisionsstelle „Kollision unter Deck“. Die Tiefgangsdifferenz ΔTi, i = 1, 2, 3 ist in den Kollisionsberechnungen zu benutzen (siehe nachfolgende Abbildung):</w:t>
            </w:r>
          </w:p>
        </w:tc>
      </w:tr>
    </w:tbl>
    <w:p w14:paraId="4556976E" w14:textId="77777777" w:rsidR="006C26A7" w:rsidRPr="009E058D" w:rsidRDefault="006C26A7" w:rsidP="006C26A7">
      <w:pPr>
        <w:pStyle w:val="HChG"/>
        <w:rPr>
          <w:lang w:val="en-US"/>
        </w:rPr>
      </w:pPr>
      <w:r w:rsidRPr="0030553D">
        <w:tab/>
      </w:r>
      <w:r>
        <w:t>II.</w:t>
      </w:r>
      <w:r>
        <w:tab/>
      </w:r>
      <w:r>
        <w:rPr>
          <w:bCs/>
        </w:rPr>
        <w:t>Proposal</w:t>
      </w:r>
    </w:p>
    <w:p w14:paraId="25FC25F0" w14:textId="77777777" w:rsidR="006C26A7" w:rsidRPr="009E058D" w:rsidRDefault="006C26A7" w:rsidP="006C26A7">
      <w:pPr>
        <w:pStyle w:val="SingleTxtG"/>
        <w:rPr>
          <w:lang w:val="en-US"/>
        </w:rPr>
      </w:pPr>
      <w:r>
        <w:t>5.</w:t>
      </w:r>
      <w:r>
        <w:tab/>
        <w:t>The secretariat proposes to add to the English and French versions the additional sentence from the German version, which contains details relating to P</w:t>
      </w:r>
      <w:r>
        <w:rPr>
          <w:vertAlign w:val="subscript"/>
        </w:rPr>
        <w:t>2</w:t>
      </w:r>
      <w:r>
        <w:t>. It is likely that this sentence is also missing in the Russian version.</w:t>
      </w:r>
    </w:p>
    <w:p w14:paraId="55482CE5" w14:textId="77777777" w:rsidR="006C26A7" w:rsidRPr="009E058D" w:rsidRDefault="006C26A7" w:rsidP="006C26A7">
      <w:pPr>
        <w:pStyle w:val="SingleTxtG"/>
        <w:rPr>
          <w:lang w:val="en-US"/>
        </w:rPr>
      </w:pPr>
      <w:r>
        <w:t>6.</w:t>
      </w:r>
      <w:r>
        <w:tab/>
        <w:t>The proposed amended text of 9.3.4.3.1.2.2.1.3 in the English version reads as follows:</w:t>
      </w:r>
      <w:bookmarkStart w:id="3" w:name="_Hlk83904291"/>
      <w:bookmarkEnd w:id="3"/>
    </w:p>
    <w:p w14:paraId="4CEF3CAF" w14:textId="7C1BB579" w:rsidR="006C26A7" w:rsidRPr="009E058D" w:rsidRDefault="00E00427" w:rsidP="006C26A7">
      <w:pPr>
        <w:pStyle w:val="SingleTxtG"/>
        <w:ind w:left="1701"/>
        <w:rPr>
          <w:lang w:val="en-US"/>
        </w:rPr>
      </w:pPr>
      <w:r>
        <w:t>“</w:t>
      </w:r>
      <w:r w:rsidR="006C26A7">
        <w:t>Point P</w:t>
      </w:r>
      <w:r w:rsidR="006C26A7">
        <w:rPr>
          <w:vertAlign w:val="subscript"/>
        </w:rPr>
        <w:t>2</w:t>
      </w:r>
      <w:r w:rsidR="006C26A7">
        <w:t xml:space="preserve"> is the point where the upper edge of the vertical part of the push barge or V-bow strikes the upper part of the wale plate. The area bordered by points P</w:t>
      </w:r>
      <w:r w:rsidR="006C26A7">
        <w:rPr>
          <w:vertAlign w:val="subscript"/>
        </w:rPr>
        <w:t>1</w:t>
      </w:r>
      <w:r w:rsidR="006C26A7">
        <w:t xml:space="preserve"> and P</w:t>
      </w:r>
      <w:r w:rsidR="006C26A7">
        <w:rPr>
          <w:vertAlign w:val="subscript"/>
        </w:rPr>
        <w:t>2</w:t>
      </w:r>
      <w:r w:rsidR="006C26A7">
        <w:t xml:space="preserve"> corresponds to the vertical collision location ‘collision at deck level’.</w:t>
      </w:r>
      <w:r>
        <w:t>”</w:t>
      </w:r>
    </w:p>
    <w:p w14:paraId="10F7EA35" w14:textId="506AE36B" w:rsidR="006C26A7" w:rsidRPr="009E058D" w:rsidRDefault="006C26A7" w:rsidP="006C26A7">
      <w:pPr>
        <w:pStyle w:val="SingleTxtG"/>
        <w:rPr>
          <w:lang w:val="en-US"/>
        </w:rPr>
      </w:pPr>
      <w:bookmarkStart w:id="4" w:name="_Hlk84242687"/>
      <w:r>
        <w:t>7.</w:t>
      </w:r>
      <w:r>
        <w:tab/>
        <w:t xml:space="preserve">The secretariat proposes the following alignment of the English version with the German version (DE: </w:t>
      </w:r>
      <w:r w:rsidR="00E00427" w:rsidRPr="00EF712E">
        <w:rPr>
          <w:lang w:val="en-US" w:eastAsia="en-US"/>
        </w:rPr>
        <w:t>„</w:t>
      </w:r>
      <w:r>
        <w:t xml:space="preserve">Dies entspricht der senkrechten Kollisionsstelle </w:t>
      </w:r>
      <w:r w:rsidR="00E00427" w:rsidRPr="00EF712E">
        <w:rPr>
          <w:lang w:val="en-US" w:eastAsia="en-US"/>
        </w:rPr>
        <w:t>„</w:t>
      </w:r>
      <w:r>
        <w:t>Kollision über Deck</w:t>
      </w:r>
      <w:r w:rsidR="00E00427" w:rsidRPr="00EF712E">
        <w:rPr>
          <w:lang w:val="en-US"/>
        </w:rPr>
        <w:t>“.</w:t>
      </w:r>
      <w:r w:rsidR="00E00427" w:rsidRPr="00EF712E">
        <w:rPr>
          <w:lang w:val="en-US" w:eastAsia="en-US"/>
        </w:rPr>
        <w:t>“</w:t>
      </w:r>
      <w:r>
        <w:t>):</w:t>
      </w:r>
    </w:p>
    <w:p w14:paraId="11E0A48F" w14:textId="2D21EB95" w:rsidR="006C26A7" w:rsidRPr="009E058D" w:rsidRDefault="00BF6C4A" w:rsidP="00BF6C4A">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9E058D">
        <w:rPr>
          <w:lang w:val="en-US"/>
        </w:rPr>
        <w:t>•</w:t>
      </w:r>
      <w:r w:rsidRPr="009E058D">
        <w:rPr>
          <w:lang w:val="en-US"/>
        </w:rPr>
        <w:tab/>
      </w:r>
      <w:r w:rsidR="006C26A7">
        <w:rPr>
          <w:i/>
          <w:iCs/>
        </w:rPr>
        <w:t xml:space="preserve">Replace </w:t>
      </w:r>
      <w:r w:rsidR="00E00427">
        <w:t>“</w:t>
      </w:r>
      <w:r w:rsidR="006C26A7">
        <w:t xml:space="preserve">This corresponds to the vertical collision location </w:t>
      </w:r>
      <w:r w:rsidR="00E00427">
        <w:t>‘</w:t>
      </w:r>
      <w:r w:rsidR="006C26A7">
        <w:t>collision at deck level</w:t>
      </w:r>
      <w:r w:rsidR="00E00427">
        <w:t>’”</w:t>
      </w:r>
      <w:r w:rsidR="006C26A7">
        <w:t xml:space="preserve"> </w:t>
      </w:r>
      <w:r w:rsidR="006C26A7">
        <w:rPr>
          <w:i/>
          <w:iCs/>
        </w:rPr>
        <w:t>with</w:t>
      </w:r>
      <w:r w:rsidR="006C26A7">
        <w:t xml:space="preserve">: </w:t>
      </w:r>
      <w:r w:rsidR="00E00427">
        <w:t>“</w:t>
      </w:r>
      <w:r w:rsidR="006C26A7">
        <w:t xml:space="preserve">This corresponds to the vertical collision location </w:t>
      </w:r>
      <w:r w:rsidR="00E00427">
        <w:t>‘</w:t>
      </w:r>
      <w:r w:rsidR="006C26A7">
        <w:t>collision above deck level</w:t>
      </w:r>
      <w:r w:rsidR="00E00427">
        <w:t>’”</w:t>
      </w:r>
      <w:r w:rsidR="006C26A7">
        <w:t xml:space="preserve">. </w:t>
      </w:r>
      <w:bookmarkStart w:id="5" w:name="_Hlk84243501"/>
      <w:bookmarkEnd w:id="5"/>
    </w:p>
    <w:bookmarkEnd w:id="4"/>
    <w:p w14:paraId="7215C95A" w14:textId="77777777" w:rsidR="006C26A7" w:rsidRPr="009E058D" w:rsidRDefault="006C26A7" w:rsidP="006C26A7">
      <w:pPr>
        <w:pStyle w:val="SingleTxtG"/>
        <w:rPr>
          <w:lang w:val="en-US"/>
        </w:rPr>
      </w:pPr>
      <w:r>
        <w:t>8.</w:t>
      </w:r>
      <w:r>
        <w:tab/>
        <w:t>The secretariat proposes the following editorial change to the French version:</w:t>
      </w:r>
    </w:p>
    <w:p w14:paraId="48DA85DE" w14:textId="2B245D74" w:rsidR="006C26A7" w:rsidRPr="009E058D" w:rsidRDefault="00BF6C4A" w:rsidP="00BF6C4A">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9E058D">
        <w:rPr>
          <w:lang w:val="en-US"/>
        </w:rPr>
        <w:t>•</w:t>
      </w:r>
      <w:r w:rsidRPr="009E058D">
        <w:rPr>
          <w:lang w:val="en-US"/>
        </w:rPr>
        <w:tab/>
      </w:r>
      <w:r w:rsidR="006C26A7">
        <w:rPr>
          <w:i/>
          <w:iCs/>
        </w:rPr>
        <w:t xml:space="preserve">Replace </w:t>
      </w:r>
      <w:r w:rsidR="00E00427">
        <w:t>“</w:t>
      </w:r>
      <w:r w:rsidR="006C26A7">
        <w:t>Le triangle</w:t>
      </w:r>
      <w:r w:rsidR="00E00427">
        <w:t>”</w:t>
      </w:r>
      <w:r w:rsidR="006C26A7">
        <w:t xml:space="preserve"> (the triangle) </w:t>
      </w:r>
      <w:r w:rsidR="006C26A7">
        <w:rPr>
          <w:i/>
          <w:iCs/>
        </w:rPr>
        <w:t>with</w:t>
      </w:r>
      <w:r w:rsidR="006C26A7">
        <w:t xml:space="preserve">: </w:t>
      </w:r>
      <w:r w:rsidR="00E00427">
        <w:t>“</w:t>
      </w:r>
      <w:r w:rsidR="006C26A7">
        <w:t>La surface triangulaire</w:t>
      </w:r>
      <w:r w:rsidR="00E00427">
        <w:t>”</w:t>
      </w:r>
      <w:r w:rsidR="006C26A7">
        <w:t xml:space="preserve"> (the triangular area).</w:t>
      </w:r>
    </w:p>
    <w:p w14:paraId="024E7F60" w14:textId="77777777" w:rsidR="006C26A7" w:rsidRPr="009E058D" w:rsidRDefault="006C26A7" w:rsidP="006C26A7">
      <w:pPr>
        <w:spacing w:before="240"/>
        <w:jc w:val="center"/>
        <w:rPr>
          <w:u w:val="single"/>
          <w:lang w:val="en-US"/>
        </w:rPr>
      </w:pPr>
      <w:r w:rsidRPr="009E058D">
        <w:rPr>
          <w:u w:val="single"/>
          <w:lang w:val="en-US"/>
        </w:rPr>
        <w:tab/>
      </w:r>
      <w:r w:rsidRPr="009E058D">
        <w:rPr>
          <w:u w:val="single"/>
          <w:lang w:val="en-US"/>
        </w:rPr>
        <w:tab/>
      </w:r>
      <w:r w:rsidRPr="009E058D">
        <w:rPr>
          <w:u w:val="single"/>
          <w:lang w:val="en-US"/>
        </w:rPr>
        <w:tab/>
      </w:r>
    </w:p>
    <w:sectPr w:rsidR="006C26A7" w:rsidRPr="009E058D"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69C3" w14:textId="77777777" w:rsidR="003851B9" w:rsidRPr="00FB1744" w:rsidRDefault="003851B9" w:rsidP="00FB1744">
      <w:pPr>
        <w:pStyle w:val="Footer"/>
      </w:pPr>
    </w:p>
  </w:endnote>
  <w:endnote w:type="continuationSeparator" w:id="0">
    <w:p w14:paraId="14216162" w14:textId="77777777" w:rsidR="003851B9" w:rsidRPr="00FB1744" w:rsidRDefault="003851B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7D99" w14:textId="77777777" w:rsidR="006C26A7" w:rsidRDefault="006C26A7" w:rsidP="006C26A7">
    <w:pPr>
      <w:pStyle w:val="Footer"/>
      <w:tabs>
        <w:tab w:val="right" w:pos="9638"/>
      </w:tabs>
    </w:pPr>
    <w:r w:rsidRPr="006C26A7">
      <w:rPr>
        <w:b/>
        <w:bCs/>
        <w:sz w:val="18"/>
      </w:rPr>
      <w:fldChar w:fldCharType="begin"/>
    </w:r>
    <w:r w:rsidRPr="006C26A7">
      <w:rPr>
        <w:b/>
        <w:bCs/>
        <w:sz w:val="18"/>
      </w:rPr>
      <w:instrText xml:space="preserve"> PAGE  \* MERGEFORMAT </w:instrText>
    </w:r>
    <w:r w:rsidRPr="006C26A7">
      <w:rPr>
        <w:b/>
        <w:bCs/>
        <w:sz w:val="18"/>
      </w:rPr>
      <w:fldChar w:fldCharType="separate"/>
    </w:r>
    <w:r w:rsidRPr="006C26A7">
      <w:rPr>
        <w:b/>
        <w:bCs/>
        <w:noProof/>
        <w:sz w:val="18"/>
      </w:rPr>
      <w:t>2</w:t>
    </w:r>
    <w:r w:rsidRPr="006C26A7">
      <w:rPr>
        <w:b/>
        <w:bCs/>
        <w:sz w:val="18"/>
      </w:rPr>
      <w:fldChar w:fldCharType="end"/>
    </w:r>
    <w:r>
      <w:tab/>
      <w:t>GE.21-16494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F581" w14:textId="77777777" w:rsidR="006C26A7" w:rsidRDefault="006C26A7" w:rsidP="006C26A7">
    <w:pPr>
      <w:pStyle w:val="Footer"/>
      <w:tabs>
        <w:tab w:val="right" w:pos="9638"/>
      </w:tabs>
    </w:pPr>
    <w:r>
      <w:t>GE.21-16494</w:t>
    </w:r>
    <w:r>
      <w:tab/>
    </w:r>
    <w:r w:rsidRPr="006C26A7">
      <w:rPr>
        <w:b/>
        <w:bCs/>
        <w:sz w:val="18"/>
      </w:rPr>
      <w:fldChar w:fldCharType="begin"/>
    </w:r>
    <w:r w:rsidRPr="006C26A7">
      <w:rPr>
        <w:b/>
        <w:bCs/>
        <w:sz w:val="18"/>
      </w:rPr>
      <w:instrText xml:space="preserve"> PAGE  \* MERGEFORMAT </w:instrText>
    </w:r>
    <w:r w:rsidRPr="006C26A7">
      <w:rPr>
        <w:b/>
        <w:bCs/>
        <w:sz w:val="18"/>
      </w:rPr>
      <w:fldChar w:fldCharType="separate"/>
    </w:r>
    <w:r w:rsidRPr="006C26A7">
      <w:rPr>
        <w:b/>
        <w:bCs/>
        <w:noProof/>
        <w:sz w:val="18"/>
      </w:rPr>
      <w:t>3</w:t>
    </w:r>
    <w:r w:rsidRPr="006C26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E454" w14:textId="77777777" w:rsidR="00C448F7" w:rsidRDefault="006C26A7">
    <w:pPr>
      <w:pStyle w:val="Footer"/>
      <w:rPr>
        <w:sz w:val="20"/>
      </w:rPr>
    </w:pPr>
    <w:bookmarkStart w:id="6" w:name="_GoBack"/>
    <w:bookmarkEnd w:id="6"/>
    <w:r>
      <w:rPr>
        <w:noProof/>
        <w:lang w:val="en-US"/>
      </w:rPr>
      <w:drawing>
        <wp:anchor distT="0" distB="0" distL="114300" distR="114300" simplePos="0" relativeHeight="251659264" behindDoc="1" locked="1" layoutInCell="1" allowOverlap="1" wp14:anchorId="6DC330E5" wp14:editId="7437B97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4C3571" w14:textId="704F2F8A" w:rsidR="006C26A7" w:rsidRPr="006C26A7" w:rsidRDefault="006C26A7" w:rsidP="006C26A7">
    <w:pPr>
      <w:pStyle w:val="Footer"/>
      <w:tabs>
        <w:tab w:val="right" w:pos="7370"/>
      </w:tabs>
      <w:rPr>
        <w:sz w:val="20"/>
      </w:rPr>
    </w:pPr>
    <w:r>
      <w:rPr>
        <w:sz w:val="20"/>
      </w:rPr>
      <w:t>GE.21-16494  (E)</w:t>
    </w:r>
    <w:r>
      <w:rPr>
        <w:noProof/>
        <w:sz w:val="20"/>
      </w:rPr>
      <w:drawing>
        <wp:anchor distT="0" distB="0" distL="114300" distR="114300" simplePos="0" relativeHeight="251660288" behindDoc="0" locked="0" layoutInCell="1" allowOverlap="1" wp14:anchorId="18D25F26" wp14:editId="5998FDB5">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B4">
      <w:rPr>
        <w:sz w:val="20"/>
      </w:rPr>
      <w:t xml:space="preserve">    221121    231121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C354" w14:textId="77777777" w:rsidR="003851B9" w:rsidRPr="00FB1744" w:rsidRDefault="003851B9" w:rsidP="00FB1744">
      <w:pPr>
        <w:tabs>
          <w:tab w:val="right" w:pos="2155"/>
        </w:tabs>
        <w:spacing w:after="80" w:line="240" w:lineRule="auto"/>
        <w:ind w:left="680"/>
      </w:pPr>
      <w:r>
        <w:rPr>
          <w:u w:val="single"/>
        </w:rPr>
        <w:tab/>
      </w:r>
    </w:p>
  </w:footnote>
  <w:footnote w:type="continuationSeparator" w:id="0">
    <w:p w14:paraId="3F603342" w14:textId="77777777" w:rsidR="003851B9" w:rsidRPr="00FB1744" w:rsidRDefault="003851B9" w:rsidP="00FB1744">
      <w:pPr>
        <w:tabs>
          <w:tab w:val="right" w:pos="2155"/>
        </w:tabs>
        <w:spacing w:after="80" w:line="240" w:lineRule="auto"/>
        <w:ind w:left="680"/>
      </w:pPr>
      <w:r>
        <w:rPr>
          <w:u w:val="single"/>
        </w:rPr>
        <w:tab/>
      </w:r>
    </w:p>
  </w:footnote>
  <w:footnote w:id="1">
    <w:p w14:paraId="21766F96" w14:textId="77777777" w:rsidR="006C26A7" w:rsidRPr="009E058D" w:rsidRDefault="006C26A7" w:rsidP="006C26A7">
      <w:pPr>
        <w:pStyle w:val="FootnoteText"/>
        <w:rPr>
          <w:sz w:val="16"/>
          <w:szCs w:val="16"/>
          <w:lang w:val="en-US"/>
        </w:rPr>
      </w:pPr>
      <w:r>
        <w:tab/>
        <w:t>*</w:t>
      </w:r>
      <w:r>
        <w:tab/>
        <w:t>Distributed in German by the Central Commission for the Navigation of the Rhine under the symbol CCNR-ZKR/ADN/WP.15/AC.2/2022/8.</w:t>
      </w:r>
    </w:p>
  </w:footnote>
  <w:footnote w:id="2">
    <w:p w14:paraId="57A38EC1" w14:textId="4906A528" w:rsidR="006C26A7" w:rsidRPr="009E058D" w:rsidRDefault="006C26A7" w:rsidP="006C26A7">
      <w:pPr>
        <w:pStyle w:val="FootnoteText"/>
        <w:rPr>
          <w:sz w:val="16"/>
          <w:szCs w:val="16"/>
          <w:lang w:val="en-US"/>
        </w:rPr>
      </w:pPr>
      <w:r>
        <w:tab/>
        <w:t>**</w:t>
      </w:r>
      <w:r>
        <w:tab/>
        <w:t>In accordance with the programme of work of the Inland Transport Committee for 2021 as outlined in the proposed programme budget for 2021 (A/75/6 (Sect.</w:t>
      </w:r>
      <w:r w:rsidR="001416C3">
        <w:t xml:space="preserve"> </w:t>
      </w:r>
      <w:r>
        <w:t>20), para</w:t>
      </w:r>
      <w:r w:rsidR="001416C3">
        <w:t>.</w:t>
      </w:r>
      <w:r>
        <w:t xml:space="preserve">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1D7B" w14:textId="77777777" w:rsidR="006C26A7" w:rsidRDefault="006C26A7" w:rsidP="006C26A7">
    <w:pPr>
      <w:pStyle w:val="Header"/>
    </w:pPr>
    <w:r>
      <w:t>ECE/TRANS/WP.15/AC.2/2022/8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9853" w14:textId="77777777" w:rsidR="006C26A7" w:rsidRDefault="006C26A7" w:rsidP="006C26A7">
    <w:pPr>
      <w:pStyle w:val="Header"/>
      <w:jc w:val="right"/>
    </w:pPr>
    <w:r>
      <w:t>ECE/TRANS/WP.15/AC.2/2022/8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851B9"/>
    <w:rsid w:val="00046E92"/>
    <w:rsid w:val="000D1B89"/>
    <w:rsid w:val="000F6E29"/>
    <w:rsid w:val="001170DC"/>
    <w:rsid w:val="001416C3"/>
    <w:rsid w:val="001F23B4"/>
    <w:rsid w:val="00247E2C"/>
    <w:rsid w:val="002D6C53"/>
    <w:rsid w:val="002F5595"/>
    <w:rsid w:val="00334F6A"/>
    <w:rsid w:val="00342AC8"/>
    <w:rsid w:val="003851B9"/>
    <w:rsid w:val="003B4550"/>
    <w:rsid w:val="0043448D"/>
    <w:rsid w:val="00461253"/>
    <w:rsid w:val="00501B1E"/>
    <w:rsid w:val="005042C2"/>
    <w:rsid w:val="00506C12"/>
    <w:rsid w:val="0056599A"/>
    <w:rsid w:val="00585AE1"/>
    <w:rsid w:val="00587690"/>
    <w:rsid w:val="00671529"/>
    <w:rsid w:val="006A5598"/>
    <w:rsid w:val="006C26A7"/>
    <w:rsid w:val="00717266"/>
    <w:rsid w:val="007268F9"/>
    <w:rsid w:val="007C52B0"/>
    <w:rsid w:val="009411B4"/>
    <w:rsid w:val="009D0139"/>
    <w:rsid w:val="009F5CDC"/>
    <w:rsid w:val="00A429CD"/>
    <w:rsid w:val="00A775CF"/>
    <w:rsid w:val="00AB3C7E"/>
    <w:rsid w:val="00B06045"/>
    <w:rsid w:val="00B815ED"/>
    <w:rsid w:val="00BF6C4A"/>
    <w:rsid w:val="00C35A27"/>
    <w:rsid w:val="00C448F7"/>
    <w:rsid w:val="00CE0F02"/>
    <w:rsid w:val="00E00427"/>
    <w:rsid w:val="00E02C2B"/>
    <w:rsid w:val="00E665C4"/>
    <w:rsid w:val="00E929D6"/>
    <w:rsid w:val="00ED6C48"/>
    <w:rsid w:val="00EE222F"/>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26222"/>
  <w15:docId w15:val="{666C3BF4-15DC-45F7-848E-AD2AB72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6C26A7"/>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AA095BC0-2C5D-409D-A60C-34B9098F48F6}"/>
</file>

<file path=customXml/itemProps3.xml><?xml version="1.0" encoding="utf-8"?>
<ds:datastoreItem xmlns:ds="http://schemas.openxmlformats.org/officeDocument/2006/customXml" ds:itemID="{E78CF909-830E-4336-96EC-E44DA8191C92}"/>
</file>

<file path=customXml/itemProps4.xml><?xml version="1.0" encoding="utf-8"?>
<ds:datastoreItem xmlns:ds="http://schemas.openxmlformats.org/officeDocument/2006/customXml" ds:itemID="{F9387827-B84A-409A-AF4D-780F67176BB4}"/>
</file>

<file path=docProps/app.xml><?xml version="1.0" encoding="utf-8"?>
<Properties xmlns="http://schemas.openxmlformats.org/officeDocument/2006/extended-properties" xmlns:vt="http://schemas.openxmlformats.org/officeDocument/2006/docPropsVTypes">
  <Template>CESCR.dotm</Template>
  <TotalTime>0</TotalTime>
  <Pages>3</Pages>
  <Words>822</Words>
  <Characters>4603</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ECE/TRANS/WP.15/AC.2/2022/8</vt:lpstr>
    </vt:vector>
  </TitlesOfParts>
  <Company>DCM</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ECE/TRANS/WP.15/AC.2/2022/8</dc:title>
  <dc:subject>2116494</dc:subject>
  <dc:creator>cg</dc:creator>
  <cp:keywords/>
  <dc:description/>
  <cp:lastModifiedBy>Maria Rosario Corazon Gatmaytan</cp:lastModifiedBy>
  <cp:revision>2</cp:revision>
  <dcterms:created xsi:type="dcterms:W3CDTF">2021-11-23T07:32:00Z</dcterms:created>
  <dcterms:modified xsi:type="dcterms:W3CDTF">2021-11-23T07:32:00Z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