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A034BA1" w14:textId="77777777" w:rsidTr="00387CD4">
        <w:trPr>
          <w:trHeight w:hRule="exact" w:val="851"/>
        </w:trPr>
        <w:tc>
          <w:tcPr>
            <w:tcW w:w="142" w:type="dxa"/>
            <w:tcBorders>
              <w:bottom w:val="single" w:sz="4" w:space="0" w:color="auto"/>
            </w:tcBorders>
          </w:tcPr>
          <w:p w14:paraId="4B9CEC71" w14:textId="77777777" w:rsidR="002D5AAC" w:rsidRPr="00237893" w:rsidRDefault="002D5AAC" w:rsidP="00165CEA">
            <w:pPr>
              <w:kinsoku w:val="0"/>
              <w:overflowPunct w:val="0"/>
              <w:autoSpaceDE w:val="0"/>
              <w:autoSpaceDN w:val="0"/>
              <w:adjustRightInd w:val="0"/>
              <w:snapToGrid w:val="0"/>
              <w:rPr>
                <w:lang w:val="fr-CH"/>
              </w:rPr>
            </w:pPr>
          </w:p>
        </w:tc>
        <w:tc>
          <w:tcPr>
            <w:tcW w:w="4536" w:type="dxa"/>
            <w:gridSpan w:val="2"/>
            <w:tcBorders>
              <w:bottom w:val="single" w:sz="4" w:space="0" w:color="auto"/>
            </w:tcBorders>
            <w:vAlign w:val="bottom"/>
          </w:tcPr>
          <w:p w14:paraId="5E27916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F01FAE7" w14:textId="48E8D632" w:rsidR="002D5AAC" w:rsidRDefault="00165CEA" w:rsidP="00165CEA">
            <w:pPr>
              <w:jc w:val="right"/>
            </w:pPr>
            <w:r w:rsidRPr="00165CEA">
              <w:rPr>
                <w:sz w:val="40"/>
              </w:rPr>
              <w:t>ECE</w:t>
            </w:r>
            <w:r>
              <w:t>/TRANS/WP.15/AC.2/2022/4</w:t>
            </w:r>
          </w:p>
        </w:tc>
      </w:tr>
      <w:tr w:rsidR="002D5AAC" w:rsidRPr="00237893" w14:paraId="6CEEE611" w14:textId="77777777" w:rsidTr="00387CD4">
        <w:trPr>
          <w:trHeight w:hRule="exact" w:val="2835"/>
        </w:trPr>
        <w:tc>
          <w:tcPr>
            <w:tcW w:w="1280" w:type="dxa"/>
            <w:gridSpan w:val="2"/>
            <w:tcBorders>
              <w:top w:val="single" w:sz="4" w:space="0" w:color="auto"/>
              <w:bottom w:val="single" w:sz="12" w:space="0" w:color="auto"/>
            </w:tcBorders>
          </w:tcPr>
          <w:p w14:paraId="6B7945EA" w14:textId="77777777" w:rsidR="002D5AAC" w:rsidRDefault="002E5067" w:rsidP="00387CD4">
            <w:pPr>
              <w:spacing w:before="120"/>
              <w:jc w:val="center"/>
            </w:pPr>
            <w:r>
              <w:rPr>
                <w:noProof/>
                <w:lang w:val="fr-CH" w:eastAsia="fr-CH"/>
              </w:rPr>
              <w:drawing>
                <wp:inline distT="0" distB="0" distL="0" distR="0" wp14:anchorId="5316C953" wp14:editId="2C3655B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67C078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DC2B4EC" w14:textId="77777777" w:rsidR="002D5AAC" w:rsidRDefault="00165CEA" w:rsidP="00387CD4">
            <w:pPr>
              <w:spacing w:before="240"/>
              <w:rPr>
                <w:lang w:val="en-US"/>
              </w:rPr>
            </w:pPr>
            <w:r>
              <w:rPr>
                <w:lang w:val="en-US"/>
              </w:rPr>
              <w:t>Distr.: General</w:t>
            </w:r>
          </w:p>
          <w:p w14:paraId="43C14F50" w14:textId="547976C8" w:rsidR="00165CEA" w:rsidRDefault="00165CEA" w:rsidP="00165CEA">
            <w:pPr>
              <w:spacing w:line="240" w:lineRule="exact"/>
              <w:rPr>
                <w:lang w:val="en-US"/>
              </w:rPr>
            </w:pPr>
            <w:r>
              <w:rPr>
                <w:lang w:val="en-US"/>
              </w:rPr>
              <w:t xml:space="preserve">10 </w:t>
            </w:r>
            <w:r w:rsidR="001F57EF">
              <w:rPr>
                <w:lang w:val="en-US"/>
              </w:rPr>
              <w:t>November</w:t>
            </w:r>
            <w:r>
              <w:rPr>
                <w:lang w:val="en-US"/>
              </w:rPr>
              <w:t xml:space="preserve"> 2021</w:t>
            </w:r>
          </w:p>
          <w:p w14:paraId="74FC1F66" w14:textId="77777777" w:rsidR="00165CEA" w:rsidRDefault="00165CEA" w:rsidP="00165CEA">
            <w:pPr>
              <w:spacing w:line="240" w:lineRule="exact"/>
              <w:rPr>
                <w:lang w:val="en-US"/>
              </w:rPr>
            </w:pPr>
            <w:r>
              <w:rPr>
                <w:lang w:val="en-US"/>
              </w:rPr>
              <w:t>Russian</w:t>
            </w:r>
          </w:p>
          <w:p w14:paraId="7F39F167" w14:textId="44C594D4" w:rsidR="00165CEA" w:rsidRPr="008D53B6" w:rsidRDefault="00165CEA" w:rsidP="00165CEA">
            <w:pPr>
              <w:spacing w:line="240" w:lineRule="exact"/>
              <w:rPr>
                <w:lang w:val="en-US"/>
              </w:rPr>
            </w:pPr>
            <w:r>
              <w:rPr>
                <w:lang w:val="en-US"/>
              </w:rPr>
              <w:t>Original: French</w:t>
            </w:r>
          </w:p>
        </w:tc>
      </w:tr>
    </w:tbl>
    <w:p w14:paraId="23FCF883"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1FB0105" w14:textId="77777777" w:rsidR="00165CEA" w:rsidRPr="000C2960" w:rsidRDefault="00165CEA" w:rsidP="00165CEA">
      <w:pPr>
        <w:spacing w:before="120"/>
        <w:rPr>
          <w:sz w:val="28"/>
          <w:szCs w:val="28"/>
        </w:rPr>
      </w:pPr>
      <w:r w:rsidRPr="000C2960">
        <w:rPr>
          <w:sz w:val="28"/>
          <w:szCs w:val="28"/>
        </w:rPr>
        <w:t>Комитет по внутреннему транспорту</w:t>
      </w:r>
    </w:p>
    <w:p w14:paraId="0562F024" w14:textId="77777777" w:rsidR="00165CEA" w:rsidRPr="000C2960" w:rsidRDefault="00165CEA" w:rsidP="00165CEA">
      <w:pPr>
        <w:spacing w:before="120"/>
        <w:rPr>
          <w:b/>
          <w:sz w:val="24"/>
          <w:szCs w:val="24"/>
        </w:rPr>
      </w:pPr>
      <w:r w:rsidRPr="000C2960">
        <w:rPr>
          <w:b/>
          <w:sz w:val="24"/>
          <w:szCs w:val="24"/>
        </w:rPr>
        <w:t>Рабочая группа по перевозке опасных грузов</w:t>
      </w:r>
    </w:p>
    <w:p w14:paraId="3FA347F4" w14:textId="5D564D9C" w:rsidR="00165CEA" w:rsidRPr="000C2960" w:rsidRDefault="00165CEA" w:rsidP="00165CEA">
      <w:pPr>
        <w:spacing w:before="120"/>
        <w:rPr>
          <w:b/>
        </w:rPr>
      </w:pPr>
      <w:r w:rsidRPr="000C2960">
        <w:rPr>
          <w:b/>
        </w:rPr>
        <w:t xml:space="preserve">Совместное совещание экспертов по Правилам, </w:t>
      </w:r>
      <w:r>
        <w:rPr>
          <w:b/>
        </w:rPr>
        <w:br/>
      </w:r>
      <w:r w:rsidRPr="000C2960">
        <w:rPr>
          <w:b/>
        </w:rPr>
        <w:t xml:space="preserve">прилагаемым к </w:t>
      </w:r>
      <w:bookmarkStart w:id="0" w:name="_Hlk57122394"/>
      <w:bookmarkEnd w:id="0"/>
      <w:r w:rsidRPr="000C2960">
        <w:rPr>
          <w:b/>
        </w:rPr>
        <w:t xml:space="preserve">Европейскому соглашению </w:t>
      </w:r>
      <w:r>
        <w:rPr>
          <w:b/>
        </w:rPr>
        <w:br/>
      </w:r>
      <w:r w:rsidRPr="000C2960">
        <w:rPr>
          <w:b/>
        </w:rPr>
        <w:t xml:space="preserve">о международной перевозке опасных грузов </w:t>
      </w:r>
      <w:r>
        <w:rPr>
          <w:b/>
        </w:rPr>
        <w:br/>
      </w:r>
      <w:r w:rsidRPr="000C2960">
        <w:rPr>
          <w:b/>
        </w:rPr>
        <w:t xml:space="preserve">по внутренним водным путям (ВОПОГ) </w:t>
      </w:r>
      <w:r>
        <w:rPr>
          <w:b/>
        </w:rPr>
        <w:br/>
      </w:r>
      <w:r w:rsidRPr="000C2960">
        <w:rPr>
          <w:b/>
        </w:rPr>
        <w:t>(Комитет по вопросам безопасности ВОПОГ)</w:t>
      </w:r>
    </w:p>
    <w:p w14:paraId="760C424A" w14:textId="77777777" w:rsidR="00165CEA" w:rsidRPr="000C2960" w:rsidRDefault="00165CEA" w:rsidP="00165CEA">
      <w:pPr>
        <w:spacing w:before="120"/>
        <w:rPr>
          <w:b/>
        </w:rPr>
      </w:pPr>
      <w:r w:rsidRPr="000C2960">
        <w:rPr>
          <w:b/>
        </w:rPr>
        <w:t>Тридцать девятая сессия</w:t>
      </w:r>
    </w:p>
    <w:p w14:paraId="4F580B3D" w14:textId="77777777" w:rsidR="00165CEA" w:rsidRPr="000C2960" w:rsidRDefault="00165CEA" w:rsidP="00165CEA">
      <w:r w:rsidRPr="000C2960">
        <w:t>Женева, 24–28 января 2022 года</w:t>
      </w:r>
    </w:p>
    <w:p w14:paraId="7FB414D3" w14:textId="77777777" w:rsidR="00165CEA" w:rsidRPr="000C2960" w:rsidRDefault="00165CEA" w:rsidP="00165CEA">
      <w:r w:rsidRPr="000C2960">
        <w:t>Пункт 5 b) предварительной повестки дня</w:t>
      </w:r>
    </w:p>
    <w:p w14:paraId="3A8FD18C" w14:textId="52EC3469" w:rsidR="00165CEA" w:rsidRPr="000C2960" w:rsidRDefault="00165CEA" w:rsidP="00165CEA">
      <w:pPr>
        <w:rPr>
          <w:b/>
          <w:bCs/>
        </w:rPr>
      </w:pPr>
      <w:r w:rsidRPr="000C2960">
        <w:rPr>
          <w:b/>
          <w:bCs/>
        </w:rPr>
        <w:t xml:space="preserve">Предложения о внесении поправок в Правила, </w:t>
      </w:r>
      <w:r>
        <w:rPr>
          <w:b/>
          <w:bCs/>
        </w:rPr>
        <w:br/>
      </w:r>
      <w:r w:rsidRPr="000C2960">
        <w:rPr>
          <w:b/>
          <w:bCs/>
        </w:rPr>
        <w:t>прилагаемые к ВОПОГ: другие предложения</w:t>
      </w:r>
    </w:p>
    <w:p w14:paraId="3A66BB1B" w14:textId="77777777" w:rsidR="00165CEA" w:rsidRPr="000C2960" w:rsidRDefault="00165CEA" w:rsidP="00165CEA">
      <w:pPr>
        <w:pStyle w:val="HChG"/>
      </w:pPr>
      <w:bookmarkStart w:id="1" w:name="_Hlk33099965"/>
      <w:r w:rsidRPr="000C2960">
        <w:rPr>
          <w:snapToGrid w:val="0"/>
        </w:rPr>
        <w:tab/>
      </w:r>
      <w:r w:rsidRPr="000C2960">
        <w:rPr>
          <w:snapToGrid w:val="0"/>
        </w:rPr>
        <w:tab/>
        <w:t xml:space="preserve">Поправки, вступающие в силу с 1 января 2023 года, </w:t>
      </w:r>
      <w:r w:rsidRPr="000C2960">
        <w:t>обновление ссылок на стандарты</w:t>
      </w:r>
    </w:p>
    <w:bookmarkEnd w:id="1"/>
    <w:p w14:paraId="1224CD15" w14:textId="4AA378B6" w:rsidR="00165CEA" w:rsidRPr="000C2960" w:rsidRDefault="00165CEA" w:rsidP="00165CEA">
      <w:pPr>
        <w:pStyle w:val="H1G"/>
        <w:rPr>
          <w:b w:val="0"/>
          <w:bCs/>
          <w:sz w:val="18"/>
        </w:rPr>
      </w:pPr>
      <w:r w:rsidRPr="000C2960">
        <w:tab/>
      </w:r>
      <w:r w:rsidRPr="000C2960">
        <w:tab/>
        <w:t>Передано правительством Германии</w:t>
      </w:r>
      <w:r w:rsidRPr="00165CEA">
        <w:rPr>
          <w:rStyle w:val="aa"/>
          <w:b w:val="0"/>
          <w:bCs/>
          <w:sz w:val="20"/>
          <w:vertAlign w:val="baseline"/>
        </w:rPr>
        <w:footnoteReference w:customMarkFollows="1" w:id="1"/>
        <w:t>*</w:t>
      </w:r>
      <w:r w:rsidRPr="00165CEA">
        <w:rPr>
          <w:b w:val="0"/>
          <w:bCs/>
          <w:sz w:val="20"/>
        </w:rPr>
        <w:t xml:space="preserve"> </w:t>
      </w:r>
      <w:r w:rsidRPr="00165CEA">
        <w:rPr>
          <w:rStyle w:val="aa"/>
          <w:b w:val="0"/>
          <w:bCs/>
          <w:sz w:val="20"/>
          <w:vertAlign w:val="baseline"/>
        </w:rPr>
        <w:footnoteReference w:customMarkFollows="1" w:id="2"/>
        <w:t>**</w:t>
      </w:r>
    </w:p>
    <w:tbl>
      <w:tblPr>
        <w:tblW w:w="7370" w:type="dxa"/>
        <w:tblInd w:w="1134" w:type="dxa"/>
        <w:tblLayout w:type="fixed"/>
        <w:tblCellMar>
          <w:left w:w="0" w:type="dxa"/>
          <w:right w:w="0" w:type="dxa"/>
        </w:tblCellMar>
        <w:tblLook w:val="0000" w:firstRow="0" w:lastRow="0" w:firstColumn="0" w:lastColumn="0" w:noHBand="0" w:noVBand="0"/>
      </w:tblPr>
      <w:tblGrid>
        <w:gridCol w:w="1872"/>
        <w:gridCol w:w="5498"/>
      </w:tblGrid>
      <w:tr w:rsidR="00165CEA" w:rsidRPr="000C2960" w14:paraId="36BD6E5D" w14:textId="77777777" w:rsidTr="005136D0">
        <w:trPr>
          <w:tblHeader/>
        </w:trPr>
        <w:tc>
          <w:tcPr>
            <w:tcW w:w="1872" w:type="dxa"/>
            <w:tcBorders>
              <w:top w:val="single" w:sz="4" w:space="0" w:color="auto"/>
              <w:bottom w:val="single" w:sz="12" w:space="0" w:color="auto"/>
            </w:tcBorders>
            <w:shd w:val="clear" w:color="auto" w:fill="auto"/>
            <w:vAlign w:val="bottom"/>
          </w:tcPr>
          <w:p w14:paraId="28DC630A" w14:textId="77777777" w:rsidR="00165CEA" w:rsidRPr="000C2960" w:rsidRDefault="00165CEA" w:rsidP="005136D0">
            <w:pPr>
              <w:spacing w:before="80" w:after="80" w:line="200" w:lineRule="exact"/>
              <w:ind w:right="113"/>
              <w:rPr>
                <w:i/>
                <w:sz w:val="16"/>
              </w:rPr>
            </w:pPr>
            <w:r w:rsidRPr="000C2960">
              <w:rPr>
                <w:rFonts w:eastAsia="Arial"/>
                <w:i/>
                <w:sz w:val="16"/>
              </w:rPr>
              <w:t>Резюме</w:t>
            </w:r>
          </w:p>
        </w:tc>
        <w:tc>
          <w:tcPr>
            <w:tcW w:w="5498" w:type="dxa"/>
            <w:tcBorders>
              <w:top w:val="single" w:sz="4" w:space="0" w:color="auto"/>
              <w:bottom w:val="single" w:sz="12" w:space="0" w:color="auto"/>
            </w:tcBorders>
            <w:shd w:val="clear" w:color="auto" w:fill="auto"/>
            <w:vAlign w:val="bottom"/>
          </w:tcPr>
          <w:p w14:paraId="29D04A41" w14:textId="77777777" w:rsidR="00165CEA" w:rsidRPr="000C2960" w:rsidRDefault="00165CEA" w:rsidP="005136D0">
            <w:pPr>
              <w:spacing w:before="80" w:after="80" w:line="200" w:lineRule="exact"/>
              <w:ind w:right="113"/>
              <w:rPr>
                <w:i/>
                <w:sz w:val="16"/>
              </w:rPr>
            </w:pPr>
          </w:p>
        </w:tc>
      </w:tr>
      <w:tr w:rsidR="00165CEA" w:rsidRPr="000C2960" w14:paraId="1140DCDC" w14:textId="77777777" w:rsidTr="005136D0">
        <w:trPr>
          <w:trHeight w:hRule="exact" w:val="113"/>
        </w:trPr>
        <w:tc>
          <w:tcPr>
            <w:tcW w:w="1872" w:type="dxa"/>
            <w:tcBorders>
              <w:top w:val="single" w:sz="12" w:space="0" w:color="auto"/>
            </w:tcBorders>
            <w:shd w:val="clear" w:color="auto" w:fill="auto"/>
          </w:tcPr>
          <w:p w14:paraId="1C3FBBF5" w14:textId="77777777" w:rsidR="00165CEA" w:rsidRPr="000C2960" w:rsidRDefault="00165CEA" w:rsidP="005136D0">
            <w:pPr>
              <w:spacing w:before="40" w:after="120"/>
              <w:ind w:right="113"/>
              <w:rPr>
                <w:rFonts w:eastAsia="Arial"/>
              </w:rPr>
            </w:pPr>
          </w:p>
        </w:tc>
        <w:tc>
          <w:tcPr>
            <w:tcW w:w="5498" w:type="dxa"/>
            <w:tcBorders>
              <w:top w:val="single" w:sz="12" w:space="0" w:color="auto"/>
            </w:tcBorders>
            <w:shd w:val="clear" w:color="auto" w:fill="auto"/>
          </w:tcPr>
          <w:p w14:paraId="541A5522" w14:textId="77777777" w:rsidR="00165CEA" w:rsidRPr="000C2960" w:rsidRDefault="00165CEA" w:rsidP="005136D0">
            <w:pPr>
              <w:spacing w:before="40" w:after="120"/>
              <w:ind w:right="113"/>
            </w:pPr>
          </w:p>
        </w:tc>
      </w:tr>
      <w:tr w:rsidR="00165CEA" w:rsidRPr="000C2960" w14:paraId="0578B6F8" w14:textId="77777777" w:rsidTr="005136D0">
        <w:tc>
          <w:tcPr>
            <w:tcW w:w="1872" w:type="dxa"/>
            <w:shd w:val="clear" w:color="auto" w:fill="auto"/>
          </w:tcPr>
          <w:p w14:paraId="00659FCB" w14:textId="77777777" w:rsidR="00165CEA" w:rsidRPr="000C2960" w:rsidRDefault="00165CEA" w:rsidP="005136D0">
            <w:pPr>
              <w:spacing w:before="40" w:after="120"/>
              <w:ind w:right="113"/>
              <w:rPr>
                <w:b/>
              </w:rPr>
            </w:pPr>
            <w:r w:rsidRPr="000C2960">
              <w:rPr>
                <w:b/>
              </w:rPr>
              <w:t>Существо предложения:</w:t>
            </w:r>
          </w:p>
        </w:tc>
        <w:tc>
          <w:tcPr>
            <w:tcW w:w="5498" w:type="dxa"/>
            <w:shd w:val="clear" w:color="auto" w:fill="auto"/>
          </w:tcPr>
          <w:p w14:paraId="55AFE73E" w14:textId="77777777" w:rsidR="00165CEA" w:rsidRPr="000C2960" w:rsidRDefault="00165CEA" w:rsidP="005136D0">
            <w:pPr>
              <w:spacing w:before="40" w:after="120"/>
              <w:ind w:right="113"/>
              <w:jc w:val="both"/>
            </w:pPr>
            <w:bookmarkStart w:id="2" w:name="_Hlk83387777"/>
            <w:r w:rsidRPr="000C2960">
              <w:t>Для некоторых стандартов, приведенных в Правилах, прилагаемых к ВОПОГ, была указана неверная дата публикации при их первом включении. Поэтому эти стандарты не удается найти и их применение невозможно.</w:t>
            </w:r>
          </w:p>
          <w:p w14:paraId="58470DB7" w14:textId="77777777" w:rsidR="00165CEA" w:rsidRPr="000C2960" w:rsidRDefault="00165CEA" w:rsidP="005136D0">
            <w:pPr>
              <w:spacing w:before="40" w:after="120"/>
              <w:ind w:right="113"/>
              <w:jc w:val="both"/>
            </w:pPr>
            <w:r w:rsidRPr="000C2960">
              <w:t>В ряде положений действующего ВОПОГ содержатся ссылки на стандарты EN, ISO и DIN, стандарты IEC и ASTM, которые были пересмотрены и заменены.</w:t>
            </w:r>
          </w:p>
          <w:p w14:paraId="38E605B0" w14:textId="2D94F495" w:rsidR="00165CEA" w:rsidRPr="000C2960" w:rsidRDefault="00165CEA" w:rsidP="005136D0">
            <w:pPr>
              <w:spacing w:before="40" w:after="120"/>
              <w:ind w:right="113"/>
              <w:jc w:val="both"/>
            </w:pPr>
            <w:r w:rsidRPr="000C2960">
              <w:t xml:space="preserve">При строительстве новых судов или замене оборудования или компонентов судна невозможно найти на рынке продукцию, соответствующую старым стандартам. При использовании компонентов, соответствующих новым стандартам, органы по освидетельствованию или классификационные общества не могут подтвердить в своем отчете об осмотре в соответствии с разделом 1.16.3 ВОПОГ, что компоненты соответствуют требованиям действующих Правил, прилагаемых к ВОПОГ, </w:t>
            </w:r>
            <w:r w:rsidRPr="000C2960">
              <w:lastRenderedPageBreak/>
              <w:t>и</w:t>
            </w:r>
            <w:r w:rsidR="00AB4AD6">
              <w:rPr>
                <w:lang w:val="en-US"/>
              </w:rPr>
              <w:t> </w:t>
            </w:r>
            <w:r w:rsidRPr="000C2960">
              <w:t>в</w:t>
            </w:r>
            <w:r w:rsidR="00AB4AD6">
              <w:rPr>
                <w:lang w:val="en-US"/>
              </w:rPr>
              <w:t> </w:t>
            </w:r>
            <w:r w:rsidRPr="000C2960">
              <w:t>ходе осмотров эти компоненты становятся предметом возражений по причине несоответствия Правилам.</w:t>
            </w:r>
          </w:p>
          <w:p w14:paraId="6B751377" w14:textId="77777777" w:rsidR="00165CEA" w:rsidRPr="000C2960" w:rsidRDefault="00165CEA" w:rsidP="005136D0">
            <w:pPr>
              <w:spacing w:before="40" w:after="120"/>
              <w:ind w:right="113"/>
              <w:jc w:val="both"/>
            </w:pPr>
            <w:r w:rsidRPr="000C2960">
              <w:t>Пересмотр норм и стандартов, а также процедур электротехнических, взрывозащитных и других испытаний, как правило, приводит к повышению уровня безопасности. Конструкция и оборудование судов, перевозящих опасные грузы, должны всегда поддерживаться на максимально возможном уровне безопасности с учетом необходимых и соответствующих переходных периодов.</w:t>
            </w:r>
            <w:bookmarkEnd w:id="2"/>
          </w:p>
        </w:tc>
      </w:tr>
      <w:tr w:rsidR="00165CEA" w:rsidRPr="000C2960" w14:paraId="7BD21BCA" w14:textId="77777777" w:rsidTr="005136D0">
        <w:tc>
          <w:tcPr>
            <w:tcW w:w="1872" w:type="dxa"/>
            <w:shd w:val="clear" w:color="auto" w:fill="auto"/>
          </w:tcPr>
          <w:p w14:paraId="030FE997" w14:textId="77777777" w:rsidR="00165CEA" w:rsidRPr="000C2960" w:rsidRDefault="00165CEA" w:rsidP="005136D0">
            <w:pPr>
              <w:spacing w:before="40" w:after="120"/>
              <w:ind w:right="113"/>
              <w:rPr>
                <w:b/>
              </w:rPr>
            </w:pPr>
            <w:r w:rsidRPr="000C2960">
              <w:rPr>
                <w:b/>
              </w:rPr>
              <w:lastRenderedPageBreak/>
              <w:t>Предлагаемое решение:</w:t>
            </w:r>
          </w:p>
        </w:tc>
        <w:tc>
          <w:tcPr>
            <w:tcW w:w="5498" w:type="dxa"/>
            <w:shd w:val="clear" w:color="auto" w:fill="auto"/>
          </w:tcPr>
          <w:p w14:paraId="148100C1" w14:textId="77777777" w:rsidR="00165CEA" w:rsidRPr="000C2960" w:rsidRDefault="00165CEA" w:rsidP="005136D0">
            <w:pPr>
              <w:spacing w:before="40" w:after="120"/>
              <w:ind w:right="113"/>
              <w:jc w:val="both"/>
            </w:pPr>
            <w:r w:rsidRPr="000C2960">
              <w:t>Обновление ссылок на стандарты EN, ISO и DIN, стандарты IEC и ASTM с 1 января 2023 года. По мере возможности будут использоваться стандарты ISO и IEC, чтобы договаривающиеся стороны, не входящие в ЕС, также могли их применять.</w:t>
            </w:r>
          </w:p>
          <w:p w14:paraId="340696C0" w14:textId="77777777" w:rsidR="00165CEA" w:rsidRPr="000C2960" w:rsidRDefault="00165CEA" w:rsidP="005136D0">
            <w:pPr>
              <w:spacing w:before="40" w:after="120"/>
              <w:ind w:right="113"/>
              <w:jc w:val="both"/>
            </w:pPr>
            <w:r w:rsidRPr="000C2960">
              <w:t>Введение переходных положений: Н.З.М. с 1 января 2023 года, возобновление свидетельства о допущении после 31 декабря 2026 года.</w:t>
            </w:r>
          </w:p>
        </w:tc>
      </w:tr>
      <w:tr w:rsidR="00165CEA" w:rsidRPr="000C2960" w14:paraId="10B9026D" w14:textId="77777777" w:rsidTr="005136D0">
        <w:tc>
          <w:tcPr>
            <w:tcW w:w="1872" w:type="dxa"/>
            <w:tcBorders>
              <w:bottom w:val="single" w:sz="12" w:space="0" w:color="auto"/>
            </w:tcBorders>
            <w:shd w:val="clear" w:color="auto" w:fill="auto"/>
          </w:tcPr>
          <w:p w14:paraId="4680FEA2" w14:textId="77777777" w:rsidR="00165CEA" w:rsidRPr="000C2960" w:rsidRDefault="00165CEA" w:rsidP="005136D0">
            <w:pPr>
              <w:spacing w:before="40" w:after="120"/>
              <w:ind w:right="113"/>
              <w:rPr>
                <w:b/>
              </w:rPr>
            </w:pPr>
            <w:r w:rsidRPr="000C2960">
              <w:rPr>
                <w:b/>
              </w:rPr>
              <w:t>Справочные документы:</w:t>
            </w:r>
          </w:p>
        </w:tc>
        <w:tc>
          <w:tcPr>
            <w:tcW w:w="5498" w:type="dxa"/>
            <w:tcBorders>
              <w:bottom w:val="single" w:sz="12" w:space="0" w:color="auto"/>
            </w:tcBorders>
            <w:shd w:val="clear" w:color="auto" w:fill="auto"/>
          </w:tcPr>
          <w:p w14:paraId="5DB55634" w14:textId="77777777" w:rsidR="00165CEA" w:rsidRPr="000C2960" w:rsidRDefault="00165CEA" w:rsidP="005136D0">
            <w:pPr>
              <w:spacing w:before="40" w:after="120"/>
              <w:ind w:right="113"/>
              <w:jc w:val="both"/>
            </w:pPr>
            <w:r w:rsidRPr="000C2960">
              <w:t xml:space="preserve">Доклад о работе тридцать четвертой сессии, январь 2019 года, ECE/TRANS/WP.15/AC.2/70, </w:t>
            </w:r>
            <w:proofErr w:type="spellStart"/>
            <w:r w:rsidRPr="000C2960">
              <w:t>пп</w:t>
            </w:r>
            <w:proofErr w:type="spellEnd"/>
            <w:r w:rsidRPr="000C2960">
              <w:t xml:space="preserve">. 81 и 82. </w:t>
            </w:r>
          </w:p>
        </w:tc>
      </w:tr>
    </w:tbl>
    <w:p w14:paraId="249EDAE7" w14:textId="77777777" w:rsidR="00165CEA" w:rsidRPr="000C2960" w:rsidRDefault="00165CEA" w:rsidP="00165CEA">
      <w:pPr>
        <w:pStyle w:val="HChG"/>
      </w:pPr>
      <w:r w:rsidRPr="000C2960">
        <w:tab/>
      </w:r>
      <w:r w:rsidRPr="000C2960">
        <w:tab/>
        <w:t>Введение</w:t>
      </w:r>
    </w:p>
    <w:p w14:paraId="7D409872" w14:textId="77777777" w:rsidR="00165CEA" w:rsidRPr="000C2960" w:rsidRDefault="00165CEA" w:rsidP="00165CEA">
      <w:pPr>
        <w:pStyle w:val="SingleTxtG"/>
      </w:pPr>
      <w:r w:rsidRPr="000C2960">
        <w:t>1.</w:t>
      </w:r>
      <w:r w:rsidRPr="000C2960">
        <w:tab/>
        <w:t>Для непрерывного мониторинга технических стандартов на конкретные опасные грузы и стандартов, упоминаемых в правилах, Совместное совещание МПОГ/ДОПОГ/ВОПОГ учредило рабочую группу по стандартам, которая проверяет содержание стандартов и их пересмотры на стадии проекта на предмет их совместимости с правилами перевозки опасных грузов. Что касается общих стандартов, например в области электротехники, то в международных организациях, ответственных за опасные грузы, не ведется систематического контроля.</w:t>
      </w:r>
    </w:p>
    <w:p w14:paraId="32254706" w14:textId="77777777" w:rsidR="00165CEA" w:rsidRPr="000C2960" w:rsidRDefault="00165CEA" w:rsidP="00165CEA">
      <w:pPr>
        <w:pStyle w:val="SingleTxtG"/>
      </w:pPr>
      <w:r w:rsidRPr="000C2960">
        <w:t>2.</w:t>
      </w:r>
      <w:r w:rsidRPr="000C2960">
        <w:tab/>
        <w:t>В Правилах, прилагаемых к ВОПОГ, содержатся в основном ссылки на нормы и стандарты, которые не были разработаны специально для перевозки опасных грузов, но которые касаются многих промышленных и более общих областей. Поэтому Комитету по вопросам безопасности ВОПОГ надлежит самостоятельно проверять актуальность этих ссылок и их применимость в Правилах.</w:t>
      </w:r>
    </w:p>
    <w:p w14:paraId="5B228386" w14:textId="77777777" w:rsidR="00165CEA" w:rsidRPr="000C2960" w:rsidRDefault="00165CEA" w:rsidP="00165CEA">
      <w:pPr>
        <w:pStyle w:val="SingleTxtG"/>
      </w:pPr>
      <w:r w:rsidRPr="000C2960">
        <w:t>3.</w:t>
      </w:r>
      <w:r w:rsidRPr="000C2960">
        <w:tab/>
        <w:t>Неофициальная рабочая группа по стандартам, предусмотренная Комитетом по вопросам безопасности ВОПОГ, по разным причинам не была воплощена в реальность. Поэтому немецкая делегация взяла на себя обязательство проверить актуальность стандартов, упомянутых в издании ВОПОГ 2021 года, и подготовила следующие предложения о внесении поправок.</w:t>
      </w:r>
    </w:p>
    <w:p w14:paraId="561C9D6B" w14:textId="77777777" w:rsidR="00165CEA" w:rsidRPr="000C2960" w:rsidRDefault="00165CEA" w:rsidP="00165CEA">
      <w:pPr>
        <w:pStyle w:val="HChG"/>
      </w:pPr>
      <w:r w:rsidRPr="000C2960">
        <w:lastRenderedPageBreak/>
        <w:tab/>
        <w:t>I.</w:t>
      </w:r>
      <w:r w:rsidRPr="000C2960">
        <w:tab/>
        <w:t>Предложения и их обоснование</w:t>
      </w:r>
    </w:p>
    <w:p w14:paraId="22D007BC" w14:textId="77777777" w:rsidR="00165CEA" w:rsidRPr="000C2960" w:rsidRDefault="00165CEA" w:rsidP="00165CEA">
      <w:pPr>
        <w:pStyle w:val="H1G"/>
      </w:pPr>
      <w:r w:rsidRPr="000C2960">
        <w:rPr>
          <w:b w:val="0"/>
        </w:rPr>
        <w:tab/>
      </w:r>
      <w:r w:rsidRPr="000C2960">
        <w:rPr>
          <w:bCs/>
        </w:rPr>
        <w:t>A.</w:t>
      </w:r>
      <w:r w:rsidRPr="000C2960">
        <w:tab/>
        <w:t>Предложения о внесении поправок, касающиеся только ВОПОГ</w:t>
      </w:r>
    </w:p>
    <w:p w14:paraId="21C5866C" w14:textId="1927ED2C" w:rsidR="00165CEA" w:rsidRPr="000C2960" w:rsidRDefault="00165CEA" w:rsidP="00165CEA">
      <w:pPr>
        <w:pStyle w:val="H23G"/>
      </w:pPr>
      <w:r w:rsidRPr="000C2960">
        <w:tab/>
      </w:r>
      <w:r w:rsidRPr="000C2960">
        <w:tab/>
        <w:t xml:space="preserve">В раздел 1.2.1 </w:t>
      </w:r>
      <w:r w:rsidR="00F22588">
        <w:t>«</w:t>
      </w:r>
      <w:r w:rsidRPr="000C2960">
        <w:t>Определения</w:t>
      </w:r>
      <w:r w:rsidR="00F22588">
        <w:t>»</w:t>
      </w:r>
      <w:r w:rsidRPr="000C2960">
        <w:t xml:space="preserve"> внести следующие изменения:</w:t>
      </w:r>
    </w:p>
    <w:p w14:paraId="31C2AFE2" w14:textId="6039A66A" w:rsidR="00165CEA" w:rsidRPr="000C2960" w:rsidRDefault="00165CEA" w:rsidP="00165CEA">
      <w:pPr>
        <w:pStyle w:val="H23G"/>
        <w:rPr>
          <w:rStyle w:val="SingleTxtGChar"/>
          <w:rFonts w:eastAsiaTheme="minorHAnsi"/>
        </w:rPr>
      </w:pPr>
      <w:r w:rsidRPr="000C2960">
        <w:tab/>
      </w:r>
      <w:r w:rsidRPr="000C2960">
        <w:rPr>
          <w:rStyle w:val="SingleTxtGChar"/>
          <w:rFonts w:eastAsiaTheme="minorHAnsi"/>
        </w:rPr>
        <w:tab/>
      </w:r>
      <w:r w:rsidRPr="000C2960">
        <w:t>a)</w:t>
      </w:r>
      <w:r w:rsidRPr="000C2960">
        <w:tab/>
        <w:t>В</w:t>
      </w:r>
      <w:r w:rsidRPr="000C2960">
        <w:rPr>
          <w:rStyle w:val="SingleTxtGChar"/>
          <w:rFonts w:eastAsiaTheme="minorHAnsi"/>
        </w:rPr>
        <w:t xml:space="preserve"> определениях </w:t>
      </w:r>
      <w:r w:rsidR="00F22588">
        <w:rPr>
          <w:rStyle w:val="SingleTxtGChar"/>
          <w:rFonts w:eastAsiaTheme="minorHAnsi"/>
        </w:rPr>
        <w:t>«</w:t>
      </w:r>
      <w:proofErr w:type="spellStart"/>
      <w:r w:rsidRPr="000C2960">
        <w:rPr>
          <w:rStyle w:val="SingleTxtGChar"/>
          <w:rFonts w:eastAsiaTheme="minorHAnsi"/>
        </w:rPr>
        <w:t>Дефлаграция</w:t>
      </w:r>
      <w:proofErr w:type="spellEnd"/>
      <w:r w:rsidR="00F22588">
        <w:rPr>
          <w:rStyle w:val="SingleTxtGChar"/>
          <w:rFonts w:eastAsiaTheme="minorHAnsi"/>
        </w:rPr>
        <w:t>»</w:t>
      </w:r>
      <w:r w:rsidRPr="000C2960">
        <w:rPr>
          <w:rStyle w:val="SingleTxtGChar"/>
          <w:rFonts w:eastAsiaTheme="minorHAnsi"/>
        </w:rPr>
        <w:t xml:space="preserve">, </w:t>
      </w:r>
      <w:r w:rsidR="00F22588">
        <w:rPr>
          <w:rStyle w:val="SingleTxtGChar"/>
          <w:rFonts w:eastAsiaTheme="minorHAnsi"/>
        </w:rPr>
        <w:t>«</w:t>
      </w:r>
      <w:r w:rsidRPr="000C2960">
        <w:rPr>
          <w:rStyle w:val="SingleTxtGChar"/>
          <w:rFonts w:eastAsiaTheme="minorHAnsi"/>
        </w:rPr>
        <w:t>Детонация</w:t>
      </w:r>
      <w:r w:rsidR="00F22588">
        <w:rPr>
          <w:rStyle w:val="SingleTxtGChar"/>
          <w:rFonts w:eastAsiaTheme="minorHAnsi"/>
        </w:rPr>
        <w:t>»</w:t>
      </w:r>
      <w:r w:rsidRPr="000C2960">
        <w:rPr>
          <w:rStyle w:val="SingleTxtGChar"/>
          <w:rFonts w:eastAsiaTheme="minorHAnsi"/>
        </w:rPr>
        <w:t xml:space="preserve">, </w:t>
      </w:r>
      <w:r w:rsidR="00F22588">
        <w:rPr>
          <w:rStyle w:val="SingleTxtGChar"/>
          <w:rFonts w:eastAsiaTheme="minorHAnsi"/>
        </w:rPr>
        <w:t>«</w:t>
      </w:r>
      <w:r w:rsidRPr="000C2960">
        <w:rPr>
          <w:rStyle w:val="SingleTxtGChar"/>
          <w:rFonts w:eastAsiaTheme="minorHAnsi"/>
        </w:rPr>
        <w:t>Взрыв</w:t>
      </w:r>
      <w:r w:rsidR="00F22588">
        <w:rPr>
          <w:rStyle w:val="SingleTxtGChar"/>
          <w:rFonts w:eastAsiaTheme="minorHAnsi"/>
        </w:rPr>
        <w:t>»</w:t>
      </w:r>
      <w:r w:rsidRPr="000C2960">
        <w:rPr>
          <w:rStyle w:val="SingleTxtGChar"/>
          <w:rFonts w:eastAsiaTheme="minorHAnsi"/>
        </w:rPr>
        <w:t xml:space="preserve">, </w:t>
      </w:r>
      <w:r w:rsidR="00F22588">
        <w:rPr>
          <w:rStyle w:val="SingleTxtGChar"/>
          <w:rFonts w:eastAsiaTheme="minorHAnsi"/>
        </w:rPr>
        <w:t>«</w:t>
      </w:r>
      <w:r w:rsidRPr="000C2960">
        <w:rPr>
          <w:rStyle w:val="SingleTxtGChar"/>
          <w:rFonts w:eastAsiaTheme="minorHAnsi"/>
        </w:rPr>
        <w:t>Взрывоопасная среда</w:t>
      </w:r>
      <w:r w:rsidR="00F22588">
        <w:rPr>
          <w:rStyle w:val="SingleTxtGChar"/>
          <w:rFonts w:eastAsiaTheme="minorHAnsi"/>
        </w:rPr>
        <w:t>»</w:t>
      </w:r>
      <w:r w:rsidRPr="000C2960">
        <w:rPr>
          <w:rStyle w:val="SingleTxtGChar"/>
          <w:rFonts w:eastAsiaTheme="minorHAnsi"/>
        </w:rPr>
        <w:t xml:space="preserve">, </w:t>
      </w:r>
      <w:r w:rsidR="00F22588">
        <w:rPr>
          <w:rStyle w:val="SingleTxtGChar"/>
          <w:rFonts w:eastAsiaTheme="minorHAnsi"/>
        </w:rPr>
        <w:t>«</w:t>
      </w:r>
      <w:r w:rsidRPr="000C2960">
        <w:rPr>
          <w:rStyle w:val="SingleTxtGChar"/>
          <w:rFonts w:eastAsiaTheme="minorHAnsi"/>
        </w:rPr>
        <w:t>Температурный класс</w:t>
      </w:r>
      <w:r w:rsidR="00F22588">
        <w:rPr>
          <w:rStyle w:val="SingleTxtGChar"/>
          <w:rFonts w:eastAsiaTheme="minorHAnsi"/>
        </w:rPr>
        <w:t>»</w:t>
      </w:r>
      <w:r w:rsidRPr="000C2960">
        <w:rPr>
          <w:rStyle w:val="SingleTxtGChar"/>
          <w:rFonts w:eastAsiaTheme="minorHAnsi"/>
        </w:rPr>
        <w:t xml:space="preserve"> и </w:t>
      </w:r>
      <w:r w:rsidR="00F22588">
        <w:rPr>
          <w:rStyle w:val="SingleTxtGChar"/>
          <w:rFonts w:eastAsiaTheme="minorHAnsi"/>
        </w:rPr>
        <w:t>«</w:t>
      </w:r>
      <w:r w:rsidRPr="000C2960">
        <w:rPr>
          <w:rStyle w:val="SingleTxtGChar"/>
          <w:rFonts w:eastAsiaTheme="minorHAnsi"/>
        </w:rPr>
        <w:t>Температура самовоспламенения</w:t>
      </w:r>
      <w:r w:rsidR="00F22588">
        <w:rPr>
          <w:rStyle w:val="SingleTxtGChar"/>
          <w:rFonts w:eastAsiaTheme="minorHAnsi"/>
        </w:rPr>
        <w:t>»</w:t>
      </w:r>
    </w:p>
    <w:p w14:paraId="14E231FE" w14:textId="2ED68EEB" w:rsidR="00165CEA" w:rsidRPr="000C2960" w:rsidRDefault="00165CEA" w:rsidP="00165CEA">
      <w:pPr>
        <w:pStyle w:val="H4G"/>
      </w:pPr>
      <w:r w:rsidRPr="000C2960">
        <w:tab/>
      </w:r>
      <w:r w:rsidRPr="000C2960">
        <w:tab/>
        <w:t xml:space="preserve">Заменить </w:t>
      </w:r>
      <w:r w:rsidR="00F22588">
        <w:t>«</w:t>
      </w:r>
      <w:r w:rsidRPr="000C2960">
        <w:t>EN 13237:2011</w:t>
      </w:r>
      <w:r w:rsidR="00F22588">
        <w:t>»</w:t>
      </w:r>
      <w:r w:rsidRPr="000C2960">
        <w:t xml:space="preserve"> на </w:t>
      </w:r>
      <w:r w:rsidR="00F22588">
        <w:t>«</w:t>
      </w:r>
      <w:r w:rsidRPr="000C2960">
        <w:t>EN 13237:2012</w:t>
      </w:r>
      <w:r w:rsidR="00F22588">
        <w:t>»</w:t>
      </w:r>
      <w:r w:rsidRPr="000C2960">
        <w:t>.</w:t>
      </w:r>
    </w:p>
    <w:p w14:paraId="44A49C4A" w14:textId="3DC40FA2" w:rsidR="00165CEA" w:rsidRPr="000C2960" w:rsidRDefault="00165CEA" w:rsidP="00F22588">
      <w:pPr>
        <w:pStyle w:val="SingleTxtG"/>
      </w:pPr>
      <w:r w:rsidRPr="000C2960">
        <w:t>4.</w:t>
      </w:r>
      <w:r w:rsidRPr="000C2960">
        <w:tab/>
        <w:t xml:space="preserve">Название стандарта: </w:t>
      </w:r>
      <w:r w:rsidR="00F22588">
        <w:t>«</w:t>
      </w:r>
      <w:r w:rsidRPr="000C2960">
        <w:t>Потенциально взрывоопасные среды</w:t>
      </w:r>
      <w:r w:rsidR="00F22588">
        <w:t xml:space="preserve"> </w:t>
      </w:r>
      <w:r w:rsidRPr="000C2960">
        <w:t>— Термины и определения для оборудования и систем защиты, предназначенных для использования во взрывоопасных средах</w:t>
      </w:r>
      <w:r w:rsidR="00F22588">
        <w:t>»</w:t>
      </w:r>
      <w:r w:rsidRPr="000C2960">
        <w:t>.</w:t>
      </w:r>
    </w:p>
    <w:p w14:paraId="7A0C9381" w14:textId="77777777" w:rsidR="00165CEA" w:rsidRPr="000C2960" w:rsidRDefault="00165CEA" w:rsidP="00165CEA">
      <w:pPr>
        <w:pStyle w:val="SingleTxtG"/>
      </w:pPr>
      <w:r w:rsidRPr="000C2960">
        <w:t>5.</w:t>
      </w:r>
      <w:r w:rsidRPr="000C2960">
        <w:tab/>
        <w:t>Эта поправка предлагается для исправления редакционной ошибки. Версии этого стандарта 2011 года не существует.</w:t>
      </w:r>
    </w:p>
    <w:p w14:paraId="4F83A6C9" w14:textId="77777777" w:rsidR="00165CEA" w:rsidRPr="000C2960" w:rsidRDefault="00165CEA" w:rsidP="00165CEA">
      <w:pPr>
        <w:pStyle w:val="SingleTxtG"/>
      </w:pPr>
      <w:r w:rsidRPr="000C2960">
        <w:rPr>
          <w:bCs/>
        </w:rPr>
        <w:t>6.</w:t>
      </w:r>
      <w:r w:rsidRPr="000C2960">
        <w:rPr>
          <w:b/>
        </w:rPr>
        <w:tab/>
      </w:r>
      <w:r w:rsidRPr="000C2960">
        <w:rPr>
          <w:bCs/>
        </w:rPr>
        <w:t>Переходные положения не требуются, так как новых требований не вводится.</w:t>
      </w:r>
    </w:p>
    <w:p w14:paraId="08A24EA8" w14:textId="5BDE4E6A" w:rsidR="00165CEA" w:rsidRPr="000C2960" w:rsidRDefault="00165CEA" w:rsidP="00165CEA">
      <w:pPr>
        <w:pStyle w:val="H23G"/>
      </w:pPr>
      <w:r w:rsidRPr="000C2960">
        <w:tab/>
        <w:t>b)</w:t>
      </w:r>
      <w:r w:rsidRPr="000C2960">
        <w:tab/>
        <w:t xml:space="preserve">В определении </w:t>
      </w:r>
      <w:r w:rsidR="00F22588">
        <w:t>«</w:t>
      </w:r>
      <w:bookmarkStart w:id="3" w:name="_Hlk88041633"/>
      <w:proofErr w:type="spellStart"/>
      <w:r w:rsidRPr="000C2960">
        <w:t>Газодетекторная</w:t>
      </w:r>
      <w:proofErr w:type="spellEnd"/>
      <w:r w:rsidRPr="000C2960">
        <w:t xml:space="preserve"> </w:t>
      </w:r>
      <w:bookmarkEnd w:id="3"/>
      <w:r w:rsidRPr="000C2960">
        <w:t>система</w:t>
      </w:r>
      <w:r w:rsidR="00F22588">
        <w:t>»</w:t>
      </w:r>
    </w:p>
    <w:p w14:paraId="55B02A25" w14:textId="3A86F2DF" w:rsidR="00165CEA" w:rsidRPr="000C2960" w:rsidRDefault="00165CEA" w:rsidP="00165CEA">
      <w:pPr>
        <w:pStyle w:val="H4G"/>
      </w:pPr>
      <w:r w:rsidRPr="000C2960">
        <w:tab/>
      </w:r>
      <w:r w:rsidRPr="000C2960">
        <w:tab/>
        <w:t xml:space="preserve">Заменить </w:t>
      </w:r>
      <w:r w:rsidR="00F22588">
        <w:t>«</w:t>
      </w:r>
      <w:r w:rsidRPr="000C2960">
        <w:t>EN 50271:2010</w:t>
      </w:r>
      <w:r w:rsidR="00F22588">
        <w:t>»</w:t>
      </w:r>
      <w:r w:rsidRPr="000C2960">
        <w:t xml:space="preserve"> на </w:t>
      </w:r>
      <w:r w:rsidR="00F22588">
        <w:t>«</w:t>
      </w:r>
      <w:r w:rsidRPr="000C2960">
        <w:t>EN 50271:2018</w:t>
      </w:r>
      <w:r w:rsidR="00F22588">
        <w:t>»</w:t>
      </w:r>
      <w:r w:rsidRPr="000C2960">
        <w:t>.</w:t>
      </w:r>
    </w:p>
    <w:p w14:paraId="624DA03C" w14:textId="463B8B42" w:rsidR="00165CEA" w:rsidRPr="000C2960" w:rsidRDefault="00165CEA" w:rsidP="00165CEA">
      <w:pPr>
        <w:pStyle w:val="SingleTxtG"/>
      </w:pPr>
      <w:r w:rsidRPr="000C2960">
        <w:t>7.</w:t>
      </w:r>
      <w:r w:rsidRPr="000C2960">
        <w:tab/>
        <w:t xml:space="preserve">Название стандарта: </w:t>
      </w:r>
      <w:r w:rsidR="00F22588">
        <w:t>«</w:t>
      </w:r>
      <w:r w:rsidRPr="000C2960">
        <w:t>Электрические приборы для обнаружения и измерения горючих газов, токсичных газов или кислорода</w:t>
      </w:r>
      <w:r w:rsidR="00AB4AD6" w:rsidRPr="00AB4AD6">
        <w:t xml:space="preserve"> </w:t>
      </w:r>
      <w:r w:rsidRPr="000C2960">
        <w:t>— Требования и испытания для приборов, использующих программное обеспечение и/или цифровые технологии</w:t>
      </w:r>
      <w:r w:rsidR="00F22588">
        <w:t>»</w:t>
      </w:r>
      <w:r w:rsidRPr="000C2960">
        <w:t>.</w:t>
      </w:r>
    </w:p>
    <w:p w14:paraId="570912FC" w14:textId="20F8D9D1" w:rsidR="00165CEA" w:rsidRPr="000C2960" w:rsidRDefault="00165CEA" w:rsidP="00165CEA">
      <w:pPr>
        <w:pStyle w:val="SingleTxtG"/>
      </w:pPr>
      <w:r w:rsidRPr="000C2960">
        <w:t>8.</w:t>
      </w:r>
      <w:r w:rsidRPr="000C2960">
        <w:tab/>
        <w:t>Указанная версия стандарта устарела. Изменения касаются, в частности, технически значимых аспектов соответствия SIL (</w:t>
      </w:r>
      <w:proofErr w:type="spellStart"/>
      <w:r w:rsidRPr="000C2960">
        <w:t>Safety</w:t>
      </w:r>
      <w:proofErr w:type="spellEnd"/>
      <w:r w:rsidRPr="000C2960">
        <w:t xml:space="preserve"> </w:t>
      </w:r>
      <w:proofErr w:type="spellStart"/>
      <w:r w:rsidRPr="000C2960">
        <w:t>integrity</w:t>
      </w:r>
      <w:proofErr w:type="spellEnd"/>
      <w:r w:rsidRPr="000C2960">
        <w:t xml:space="preserve"> </w:t>
      </w:r>
      <w:proofErr w:type="spellStart"/>
      <w:r w:rsidRPr="000C2960">
        <w:t>level</w:t>
      </w:r>
      <w:proofErr w:type="spellEnd"/>
      <w:r w:rsidRPr="000C2960">
        <w:t xml:space="preserve"> (уровень полноты безопасности)) 1 и адаптации структуры стандарта EN</w:t>
      </w:r>
      <w:r w:rsidR="00AB4AD6">
        <w:rPr>
          <w:lang w:val="en-US"/>
        </w:rPr>
        <w:t> </w:t>
      </w:r>
      <w:r w:rsidRPr="000C2960">
        <w:t>50402 (</w:t>
      </w:r>
      <w:r w:rsidR="00F22588">
        <w:t>«</w:t>
      </w:r>
      <w:r w:rsidRPr="000C2960">
        <w:t>Электрооборудование для обнаружения и измерения горючих или токсичных газов или паров или кислорода</w:t>
      </w:r>
      <w:r w:rsidR="00AB4AD6" w:rsidRPr="00AB4AD6">
        <w:t xml:space="preserve"> </w:t>
      </w:r>
      <w:r w:rsidRPr="000C2960">
        <w:t xml:space="preserve">— Требования к функциональной безопасности </w:t>
      </w:r>
      <w:proofErr w:type="spellStart"/>
      <w:r w:rsidRPr="000C2960">
        <w:t>газодетекторных</w:t>
      </w:r>
      <w:proofErr w:type="spellEnd"/>
      <w:r w:rsidRPr="000C2960">
        <w:t xml:space="preserve"> систем</w:t>
      </w:r>
      <w:r w:rsidR="00F22588">
        <w:t>»</w:t>
      </w:r>
      <w:r w:rsidRPr="000C2960">
        <w:t>).</w:t>
      </w:r>
    </w:p>
    <w:p w14:paraId="122A2AB0" w14:textId="77777777" w:rsidR="00165CEA" w:rsidRPr="000C2960" w:rsidRDefault="00165CEA" w:rsidP="00165CEA">
      <w:pPr>
        <w:pStyle w:val="SingleTxtG"/>
      </w:pPr>
      <w:r w:rsidRPr="000C2960">
        <w:t>9.</w:t>
      </w:r>
      <w:r w:rsidRPr="000C2960">
        <w:tab/>
        <w:t xml:space="preserve">Приобрести </w:t>
      </w:r>
      <w:proofErr w:type="spellStart"/>
      <w:r w:rsidRPr="000C2960">
        <w:t>газодетекторные</w:t>
      </w:r>
      <w:proofErr w:type="spellEnd"/>
      <w:r w:rsidRPr="000C2960">
        <w:t xml:space="preserve"> системы для постройки новых судов или запасные части для находящихся в эксплуатации судов, которые соответствуют старой редакции стандарта, уже невозможно. Нет никаких известных причин делать вывод о том, что текущая версия не подходит для ВОПОГ.</w:t>
      </w:r>
    </w:p>
    <w:p w14:paraId="76B44CF1" w14:textId="2E5F71CE" w:rsidR="00165CEA" w:rsidRPr="000C2960" w:rsidRDefault="00165CEA" w:rsidP="00165CEA">
      <w:pPr>
        <w:pStyle w:val="SingleTxtG"/>
      </w:pPr>
      <w:bookmarkStart w:id="4" w:name="_Hlk84251227"/>
      <w:r w:rsidRPr="000C2960">
        <w:t>10.</w:t>
      </w:r>
      <w:r w:rsidRPr="000C2960">
        <w:tab/>
        <w:t xml:space="preserve">Включить в </w:t>
      </w:r>
      <w:r w:rsidR="00F22588">
        <w:t>«</w:t>
      </w:r>
      <w:r w:rsidRPr="000C2960">
        <w:t>1.6.7.2.2.2 Таблица общих переходных положений</w:t>
      </w:r>
      <w:r w:rsidR="00F22588">
        <w:t xml:space="preserve"> </w:t>
      </w:r>
      <w:r w:rsidRPr="000C2960">
        <w:t>— танкеры</w:t>
      </w:r>
      <w:r w:rsidR="00F22588">
        <w:t>»</w:t>
      </w:r>
      <w:r w:rsidRPr="000C2960">
        <w:t xml:space="preserve"> следующее переходное положение:</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165CEA" w:rsidRPr="000C2960" w14:paraId="6B113A00" w14:textId="77777777" w:rsidTr="005136D0">
        <w:trPr>
          <w:cantSplit/>
        </w:trPr>
        <w:tc>
          <w:tcPr>
            <w:tcW w:w="1207" w:type="dxa"/>
            <w:tcBorders>
              <w:top w:val="single" w:sz="6" w:space="0" w:color="auto"/>
              <w:left w:val="single" w:sz="6" w:space="0" w:color="auto"/>
              <w:bottom w:val="single" w:sz="6" w:space="0" w:color="auto"/>
              <w:right w:val="single" w:sz="6" w:space="0" w:color="auto"/>
            </w:tcBorders>
          </w:tcPr>
          <w:bookmarkEnd w:id="4"/>
          <w:p w14:paraId="7DF8C3CA" w14:textId="77777777" w:rsidR="00165CEA" w:rsidRPr="000C2960" w:rsidRDefault="00165CEA" w:rsidP="00F22588">
            <w:pPr>
              <w:pStyle w:val="N3"/>
              <w:tabs>
                <w:tab w:val="clear" w:pos="170"/>
              </w:tabs>
              <w:suppressAutoHyphens/>
              <w:spacing w:line="240" w:lineRule="atLeast"/>
              <w:rPr>
                <w:rFonts w:ascii="Times New Roman" w:hAnsi="Times New Roman"/>
                <w:sz w:val="20"/>
                <w:lang w:val="ru-RU"/>
              </w:rPr>
            </w:pPr>
            <w:r w:rsidRPr="000C2960">
              <w:rPr>
                <w:rFonts w:ascii="Times New Roman" w:hAnsi="Times New Roman"/>
                <w:sz w:val="20"/>
                <w:lang w:val="ru-RU"/>
              </w:rPr>
              <w:t>1.2.1</w:t>
            </w:r>
          </w:p>
        </w:tc>
        <w:tc>
          <w:tcPr>
            <w:tcW w:w="2552" w:type="dxa"/>
            <w:tcBorders>
              <w:top w:val="single" w:sz="6" w:space="0" w:color="auto"/>
              <w:left w:val="single" w:sz="6" w:space="0" w:color="auto"/>
              <w:bottom w:val="single" w:sz="6" w:space="0" w:color="auto"/>
              <w:right w:val="single" w:sz="6" w:space="0" w:color="auto"/>
            </w:tcBorders>
          </w:tcPr>
          <w:p w14:paraId="4B7C2188" w14:textId="77777777" w:rsidR="00165CEA" w:rsidRPr="000C2960" w:rsidRDefault="00165CEA" w:rsidP="00F22588">
            <w:pPr>
              <w:spacing w:before="40" w:after="120" w:line="220" w:lineRule="exact"/>
              <w:ind w:right="113"/>
            </w:pPr>
            <w:proofErr w:type="spellStart"/>
            <w:r w:rsidRPr="000C2960">
              <w:t>Газодетекторная</w:t>
            </w:r>
            <w:proofErr w:type="spellEnd"/>
            <w:r w:rsidRPr="000C2960">
              <w:t xml:space="preserve"> система</w:t>
            </w:r>
          </w:p>
          <w:p w14:paraId="741F2FB3" w14:textId="082CD38A" w:rsidR="00165CEA" w:rsidRPr="000C2960" w:rsidRDefault="00165CEA" w:rsidP="00F22588">
            <w:pPr>
              <w:ind w:right="184"/>
            </w:pPr>
            <w:r w:rsidRPr="000C2960">
              <w:t xml:space="preserve">Испытание в соответствии со стандартами </w:t>
            </w:r>
            <w:r w:rsidR="00AB4AD6">
              <w:br/>
            </w:r>
            <w:r w:rsidRPr="000C2960">
              <w:t xml:space="preserve">IEC/EN 60079-29-1:2016 </w:t>
            </w:r>
            <w:r w:rsidR="00AB4AD6">
              <w:br/>
            </w:r>
            <w:r w:rsidRPr="000C2960">
              <w:t>и EN 50271:2018</w:t>
            </w:r>
          </w:p>
        </w:tc>
        <w:tc>
          <w:tcPr>
            <w:tcW w:w="5355" w:type="dxa"/>
            <w:tcBorders>
              <w:top w:val="single" w:sz="6" w:space="0" w:color="auto"/>
              <w:left w:val="single" w:sz="6" w:space="0" w:color="auto"/>
              <w:bottom w:val="single" w:sz="6" w:space="0" w:color="auto"/>
              <w:right w:val="single" w:sz="6" w:space="0" w:color="auto"/>
            </w:tcBorders>
          </w:tcPr>
          <w:p w14:paraId="6B75E94D" w14:textId="77777777" w:rsidR="00165CEA" w:rsidRPr="000C2960" w:rsidRDefault="00165CEA" w:rsidP="00F22588">
            <w:pPr>
              <w:pStyle w:val="N3"/>
              <w:tabs>
                <w:tab w:val="clear" w:pos="170"/>
              </w:tabs>
              <w:suppressAutoHyphens/>
              <w:spacing w:line="240" w:lineRule="atLeast"/>
              <w:ind w:left="0" w:firstLine="0"/>
              <w:jc w:val="center"/>
              <w:rPr>
                <w:sz w:val="20"/>
                <w:lang w:val="ru-RU"/>
              </w:rPr>
            </w:pPr>
            <w:r w:rsidRPr="000C2960">
              <w:rPr>
                <w:sz w:val="20"/>
                <w:lang w:val="ru-RU"/>
              </w:rPr>
              <w:t>Н.З.М. с 1 января 2023 года</w:t>
            </w:r>
          </w:p>
          <w:p w14:paraId="258411CE" w14:textId="77777777" w:rsidR="00165CEA" w:rsidRPr="000C2960" w:rsidRDefault="00165CEA" w:rsidP="00F22588">
            <w:pPr>
              <w:pStyle w:val="N3"/>
              <w:tabs>
                <w:tab w:val="clear" w:pos="170"/>
              </w:tabs>
              <w:suppressAutoHyphens/>
              <w:spacing w:line="240" w:lineRule="atLeast"/>
              <w:ind w:left="0" w:firstLine="0"/>
              <w:jc w:val="center"/>
              <w:rPr>
                <w:rFonts w:ascii="Times New Roman" w:hAnsi="Times New Roman"/>
                <w:sz w:val="20"/>
                <w:lang w:val="ru-RU"/>
              </w:rPr>
            </w:pPr>
          </w:p>
          <w:p w14:paraId="56ABD5CA" w14:textId="5204E0C4" w:rsidR="00165CEA" w:rsidRPr="000C2960" w:rsidRDefault="00165CEA" w:rsidP="00F22588">
            <w:pPr>
              <w:pStyle w:val="N3"/>
              <w:tabs>
                <w:tab w:val="clear" w:pos="170"/>
              </w:tabs>
              <w:suppressAutoHyphens/>
              <w:spacing w:line="240" w:lineRule="atLeast"/>
              <w:ind w:left="0" w:firstLine="0"/>
              <w:jc w:val="center"/>
              <w:rPr>
                <w:rFonts w:ascii="Times New Roman" w:hAnsi="Times New Roman"/>
                <w:sz w:val="20"/>
                <w:lang w:val="ru-RU"/>
              </w:rPr>
            </w:pPr>
            <w:r w:rsidRPr="000C2960">
              <w:rPr>
                <w:rFonts w:ascii="Times New Roman" w:hAnsi="Times New Roman"/>
                <w:sz w:val="20"/>
                <w:lang w:val="ru-RU"/>
              </w:rPr>
              <w:t xml:space="preserve">Для судов, введенных в эксплуатацию </w:t>
            </w:r>
            <w:r w:rsidR="00F22588">
              <w:rPr>
                <w:rFonts w:ascii="Times New Roman" w:hAnsi="Times New Roman"/>
                <w:sz w:val="20"/>
                <w:lang w:val="ru-RU"/>
              </w:rPr>
              <w:br/>
            </w:r>
            <w:r w:rsidRPr="000C2960">
              <w:rPr>
                <w:rFonts w:ascii="Times New Roman" w:hAnsi="Times New Roman"/>
                <w:sz w:val="20"/>
                <w:lang w:val="ru-RU"/>
              </w:rPr>
              <w:t>до 1 января 2019 года:</w:t>
            </w:r>
          </w:p>
          <w:p w14:paraId="19358AF0" w14:textId="202F9A78" w:rsidR="00165CEA" w:rsidRPr="000C2960" w:rsidRDefault="00165CEA" w:rsidP="00F22588">
            <w:pPr>
              <w:pStyle w:val="N3"/>
              <w:tabs>
                <w:tab w:val="clear" w:pos="170"/>
              </w:tabs>
              <w:suppressAutoHyphens/>
              <w:spacing w:line="240" w:lineRule="atLeast"/>
              <w:ind w:left="0" w:firstLine="0"/>
              <w:jc w:val="center"/>
              <w:rPr>
                <w:rFonts w:ascii="Times New Roman" w:hAnsi="Times New Roman"/>
                <w:sz w:val="20"/>
                <w:lang w:val="ru-RU"/>
              </w:rPr>
            </w:pPr>
            <w:r w:rsidRPr="000C2960">
              <w:rPr>
                <w:rFonts w:ascii="Times New Roman" w:hAnsi="Times New Roman"/>
                <w:sz w:val="20"/>
                <w:lang w:val="ru-RU"/>
              </w:rPr>
              <w:t xml:space="preserve">Возобновление свидетельства о допущении </w:t>
            </w:r>
            <w:r w:rsidR="00F22588">
              <w:rPr>
                <w:rFonts w:ascii="Times New Roman" w:hAnsi="Times New Roman"/>
                <w:sz w:val="20"/>
                <w:lang w:val="ru-RU"/>
              </w:rPr>
              <w:br/>
            </w:r>
            <w:r w:rsidRPr="000C2960">
              <w:rPr>
                <w:rFonts w:ascii="Times New Roman" w:hAnsi="Times New Roman"/>
                <w:sz w:val="20"/>
                <w:lang w:val="ru-RU"/>
              </w:rPr>
              <w:t>после 31 декабря 2024 года</w:t>
            </w:r>
          </w:p>
          <w:p w14:paraId="361FE9E3" w14:textId="77777777" w:rsidR="00165CEA" w:rsidRPr="000C2960" w:rsidRDefault="00165CEA" w:rsidP="00F22588">
            <w:pPr>
              <w:pStyle w:val="N3"/>
              <w:tabs>
                <w:tab w:val="clear" w:pos="170"/>
              </w:tabs>
              <w:suppressAutoHyphens/>
              <w:spacing w:line="240" w:lineRule="atLeast"/>
              <w:ind w:left="0" w:firstLine="0"/>
              <w:jc w:val="center"/>
              <w:rPr>
                <w:rFonts w:ascii="Times New Roman" w:hAnsi="Times New Roman"/>
                <w:sz w:val="20"/>
                <w:lang w:val="ru-RU"/>
              </w:rPr>
            </w:pPr>
          </w:p>
          <w:p w14:paraId="530111B5" w14:textId="0D66C4AC" w:rsidR="00165CEA" w:rsidRPr="000C2960" w:rsidRDefault="00165CEA" w:rsidP="00C330AF">
            <w:pPr>
              <w:pStyle w:val="N3"/>
              <w:tabs>
                <w:tab w:val="clear" w:pos="170"/>
              </w:tabs>
              <w:suppressAutoHyphens/>
              <w:spacing w:after="120" w:line="240" w:lineRule="atLeast"/>
              <w:ind w:left="0" w:firstLine="0"/>
              <w:jc w:val="center"/>
              <w:rPr>
                <w:rFonts w:ascii="Times New Roman" w:hAnsi="Times New Roman"/>
                <w:sz w:val="20"/>
                <w:lang w:val="ru-RU"/>
              </w:rPr>
            </w:pPr>
            <w:r w:rsidRPr="000C2960">
              <w:rPr>
                <w:rFonts w:ascii="Times New Roman" w:hAnsi="Times New Roman"/>
                <w:sz w:val="20"/>
                <w:lang w:val="ru-RU"/>
              </w:rPr>
              <w:t>Для судов, введенных в эксплуатацию с 1 января 2019 года:</w:t>
            </w:r>
            <w:r w:rsidR="00F22588">
              <w:rPr>
                <w:rFonts w:ascii="Times New Roman" w:hAnsi="Times New Roman"/>
                <w:sz w:val="20"/>
                <w:lang w:val="ru-RU"/>
              </w:rPr>
              <w:br/>
            </w:r>
            <w:r w:rsidRPr="000C2960">
              <w:rPr>
                <w:rFonts w:ascii="Times New Roman" w:hAnsi="Times New Roman"/>
                <w:sz w:val="20"/>
                <w:lang w:val="ru-RU"/>
              </w:rPr>
              <w:t xml:space="preserve">Возобновление свидетельства о допущении </w:t>
            </w:r>
            <w:r w:rsidR="00F22588">
              <w:rPr>
                <w:rFonts w:ascii="Times New Roman" w:hAnsi="Times New Roman"/>
                <w:sz w:val="20"/>
                <w:lang w:val="ru-RU"/>
              </w:rPr>
              <w:br/>
            </w:r>
            <w:r w:rsidRPr="000C2960">
              <w:rPr>
                <w:rFonts w:ascii="Times New Roman" w:hAnsi="Times New Roman"/>
                <w:sz w:val="20"/>
                <w:lang w:val="ru-RU"/>
              </w:rPr>
              <w:t>после 31 декабря 2027 года</w:t>
            </w:r>
          </w:p>
        </w:tc>
      </w:tr>
    </w:tbl>
    <w:p w14:paraId="0EEAF0DD" w14:textId="77777777" w:rsidR="00165CEA" w:rsidRPr="000C2960" w:rsidRDefault="00165CEA" w:rsidP="00165CEA">
      <w:pPr>
        <w:pStyle w:val="SingleTxtG"/>
        <w:spacing w:before="120"/>
      </w:pPr>
      <w:r w:rsidRPr="000C2960">
        <w:t>11.</w:t>
      </w:r>
      <w:r w:rsidRPr="000C2960">
        <w:tab/>
        <w:t xml:space="preserve">В измененной версии стандарта содержатся элементы, относящиеся к безопасности. Поэтому для поддержания максимально возможного уровня безопасности необходимо модернизировать </w:t>
      </w:r>
      <w:proofErr w:type="spellStart"/>
      <w:r w:rsidRPr="000C2960">
        <w:t>газодетекторные</w:t>
      </w:r>
      <w:proofErr w:type="spellEnd"/>
      <w:r w:rsidRPr="000C2960">
        <w:t xml:space="preserve"> системы.</w:t>
      </w:r>
    </w:p>
    <w:p w14:paraId="66270043" w14:textId="28FD0DE0" w:rsidR="00165CEA" w:rsidRPr="000C2960" w:rsidRDefault="00165CEA" w:rsidP="00165CEA">
      <w:pPr>
        <w:pStyle w:val="SingleTxtG"/>
      </w:pPr>
      <w:r w:rsidRPr="000C2960">
        <w:t>12.</w:t>
      </w:r>
      <w:r w:rsidRPr="000C2960">
        <w:tab/>
        <w:t xml:space="preserve">Однако стандарт, применимый к </w:t>
      </w:r>
      <w:proofErr w:type="spellStart"/>
      <w:r w:rsidRPr="000C2960">
        <w:t>газодетекторным</w:t>
      </w:r>
      <w:proofErr w:type="spellEnd"/>
      <w:r w:rsidRPr="000C2960">
        <w:t xml:space="preserve"> системам, в редакции 2010</w:t>
      </w:r>
      <w:r w:rsidR="00AB4AD6">
        <w:rPr>
          <w:lang w:val="en-US"/>
        </w:rPr>
        <w:t> </w:t>
      </w:r>
      <w:r w:rsidRPr="000C2960">
        <w:t>года</w:t>
      </w:r>
      <w:r w:rsidR="00AB4AD6" w:rsidRPr="00AB4AD6">
        <w:t>,</w:t>
      </w:r>
      <w:r w:rsidRPr="000C2960">
        <w:t xml:space="preserve"> введен в действие только с 1 января 2019 года (ВОПОГ 2019 года). До</w:t>
      </w:r>
      <w:r w:rsidR="00AB4AD6">
        <w:rPr>
          <w:lang w:val="en-US"/>
        </w:rPr>
        <w:t> </w:t>
      </w:r>
      <w:r w:rsidRPr="000C2960">
        <w:t>ВОПОГ 2019 года в определении не упоминалось ни одного стандарта, касающегося осмотра. По-прежнему действует переходный период</w:t>
      </w:r>
      <w:r w:rsidR="00AB4AD6">
        <w:rPr>
          <w:lang w:val="en-US"/>
        </w:rPr>
        <w:t> </w:t>
      </w:r>
      <w:r w:rsidRPr="000C2960">
        <w:t xml:space="preserve">— </w:t>
      </w:r>
      <w:r w:rsidR="00F22588">
        <w:t>«</w:t>
      </w:r>
      <w:r w:rsidRPr="000C2960">
        <w:t>Возобновление свидетельства о допущении после 31 декабря 2024 года</w:t>
      </w:r>
      <w:r w:rsidR="00F22588">
        <w:t>»</w:t>
      </w:r>
      <w:r w:rsidRPr="000C2960">
        <w:t>.</w:t>
      </w:r>
    </w:p>
    <w:p w14:paraId="0141EA1A" w14:textId="77777777" w:rsidR="00165CEA" w:rsidRPr="000C2960" w:rsidRDefault="00165CEA" w:rsidP="00165CEA">
      <w:pPr>
        <w:pStyle w:val="SingleTxtG"/>
      </w:pPr>
      <w:r w:rsidRPr="000C2960">
        <w:lastRenderedPageBreak/>
        <w:t>13.</w:t>
      </w:r>
      <w:r w:rsidRPr="000C2960">
        <w:tab/>
        <w:t>Поэтому следовало бы ввести дифференцированный переходный период.</w:t>
      </w:r>
    </w:p>
    <w:p w14:paraId="58BEA02A" w14:textId="653EDBF7" w:rsidR="00165CEA" w:rsidRPr="000C2960" w:rsidRDefault="00165CEA" w:rsidP="00165CEA">
      <w:pPr>
        <w:pStyle w:val="SingleTxtG"/>
      </w:pPr>
      <w:r w:rsidRPr="000C2960">
        <w:t>14.</w:t>
      </w:r>
      <w:r w:rsidRPr="000C2960">
        <w:tab/>
        <w:t>Это не означает каких-либо изменений для судов, находящихся в эксплуатации по состоянию на 1 января 2019 года. Применение более позднего стандарта по</w:t>
      </w:r>
      <w:r w:rsidR="001208BB">
        <w:noBreakHyphen/>
      </w:r>
      <w:r w:rsidRPr="000C2960">
        <w:t xml:space="preserve">прежнему требуется для этих судов только при </w:t>
      </w:r>
      <w:bookmarkStart w:id="5" w:name="_Hlk88101272"/>
      <w:r w:rsidRPr="000C2960">
        <w:t xml:space="preserve">возобновлении свидетельства о допущении </w:t>
      </w:r>
      <w:bookmarkEnd w:id="5"/>
      <w:r w:rsidRPr="000C2960">
        <w:t>после 31 декабря 2024 года. На практике эти суда могут обойтись без применения стандарта редакции 2010 года.</w:t>
      </w:r>
    </w:p>
    <w:p w14:paraId="2413585B" w14:textId="77777777" w:rsidR="00165CEA" w:rsidRPr="000C2960" w:rsidRDefault="00165CEA" w:rsidP="00165CEA">
      <w:pPr>
        <w:pStyle w:val="SingleTxtG"/>
      </w:pPr>
      <w:r w:rsidRPr="000C2960">
        <w:t>15.</w:t>
      </w:r>
      <w:r w:rsidRPr="000C2960">
        <w:tab/>
        <w:t>Для судов, введенных в эксплуатацию после 1 января 2019 года, применение стандарта редакции 2018 года должно быть отложено. Оно должно требоваться только при возобновлении свидетельства о допущении после 31 декабря 2027 года. Это означает, что существующие системы могут использоваться в течение пяти лет даже на судах, которые будут введены в эксплуатацию в 2022 году.</w:t>
      </w:r>
    </w:p>
    <w:p w14:paraId="15316BFC" w14:textId="7AF75562" w:rsidR="00165CEA" w:rsidRPr="000C2960" w:rsidRDefault="00165CEA" w:rsidP="00165CEA">
      <w:pPr>
        <w:pStyle w:val="H23G"/>
      </w:pPr>
      <w:r w:rsidRPr="000C2960">
        <w:tab/>
        <w:t>c)</w:t>
      </w:r>
      <w:r w:rsidRPr="000C2960">
        <w:tab/>
        <w:t xml:space="preserve">В определениях </w:t>
      </w:r>
      <w:r w:rsidR="00F22588">
        <w:t>«</w:t>
      </w:r>
      <w:r w:rsidRPr="000C2960">
        <w:t>Система измерения содержания кислорода</w:t>
      </w:r>
      <w:r w:rsidR="00F22588">
        <w:t>»</w:t>
      </w:r>
      <w:r w:rsidRPr="000C2960">
        <w:t xml:space="preserve"> и </w:t>
      </w:r>
      <w:r w:rsidR="00F22588">
        <w:t>«</w:t>
      </w:r>
      <w:proofErr w:type="spellStart"/>
      <w:r w:rsidRPr="000C2960">
        <w:t>Кислородомер</w:t>
      </w:r>
      <w:proofErr w:type="spellEnd"/>
      <w:r w:rsidR="001208BB">
        <w:t>»</w:t>
      </w:r>
    </w:p>
    <w:p w14:paraId="24085C9E" w14:textId="2BE7D407" w:rsidR="00165CEA" w:rsidRPr="000C2960" w:rsidRDefault="00165CEA" w:rsidP="00165CEA">
      <w:pPr>
        <w:pStyle w:val="H4G"/>
      </w:pPr>
      <w:r w:rsidRPr="000C2960">
        <w:tab/>
      </w:r>
      <w:r w:rsidRPr="000C2960">
        <w:tab/>
        <w:t xml:space="preserve">Заменить </w:t>
      </w:r>
      <w:r w:rsidR="00F22588">
        <w:t>«</w:t>
      </w:r>
      <w:r w:rsidRPr="000C2960">
        <w:t>IEC/EN 50104:2010</w:t>
      </w:r>
      <w:r w:rsidR="00F22588">
        <w:t>»</w:t>
      </w:r>
      <w:r w:rsidRPr="000C2960">
        <w:t xml:space="preserve"> на </w:t>
      </w:r>
      <w:r w:rsidR="00F22588">
        <w:t>«</w:t>
      </w:r>
      <w:r w:rsidRPr="000C2960">
        <w:t>EN 50104:2019</w:t>
      </w:r>
      <w:r w:rsidR="00F22588">
        <w:t>»</w:t>
      </w:r>
      <w:r w:rsidRPr="000C2960">
        <w:t>.</w:t>
      </w:r>
    </w:p>
    <w:p w14:paraId="6FD5EA78" w14:textId="01C52FE0" w:rsidR="00165CEA" w:rsidRPr="000C2960" w:rsidRDefault="00165CEA" w:rsidP="00165CEA">
      <w:pPr>
        <w:pStyle w:val="SingleTxtG"/>
      </w:pPr>
      <w:r w:rsidRPr="000C2960">
        <w:t>16.</w:t>
      </w:r>
      <w:r w:rsidRPr="000C2960">
        <w:tab/>
        <w:t xml:space="preserve">Название стандарта: </w:t>
      </w:r>
      <w:r w:rsidR="00F22588">
        <w:t>«</w:t>
      </w:r>
      <w:r w:rsidRPr="000C2960">
        <w:t>Электрооборудование для обнаружения и измерения кислорода</w:t>
      </w:r>
      <w:r w:rsidR="00242FDF">
        <w:t xml:space="preserve"> </w:t>
      </w:r>
      <w:r w:rsidRPr="000C2960">
        <w:t>— Правила работы и методы испытаний</w:t>
      </w:r>
      <w:r w:rsidR="00F22588">
        <w:t>»</w:t>
      </w:r>
      <w:r w:rsidRPr="000C2960">
        <w:t>.</w:t>
      </w:r>
    </w:p>
    <w:p w14:paraId="7C90EBF6" w14:textId="6BB818B8" w:rsidR="00165CEA" w:rsidRPr="000C2960" w:rsidRDefault="00165CEA" w:rsidP="00165CEA">
      <w:pPr>
        <w:pStyle w:val="SingleTxtG"/>
      </w:pPr>
      <w:r w:rsidRPr="000C2960">
        <w:t>17.</w:t>
      </w:r>
      <w:r w:rsidRPr="000C2960">
        <w:tab/>
        <w:t>Указанная версия стандарта устарела. Поправки касаются, в частности, согласования требований со стандартом EN 60079-29-1 (</w:t>
      </w:r>
      <w:r w:rsidR="00F22588">
        <w:t>«</w:t>
      </w:r>
      <w:r w:rsidRPr="000C2960">
        <w:t>Взрывоопасные среды</w:t>
      </w:r>
      <w:r w:rsidR="001208BB">
        <w:t xml:space="preserve"> </w:t>
      </w:r>
      <w:r w:rsidRPr="000C2960">
        <w:t>— Часть 29-1: Газоанализаторы</w:t>
      </w:r>
      <w:r w:rsidR="001208BB">
        <w:t xml:space="preserve"> </w:t>
      </w:r>
      <w:r w:rsidRPr="000C2960">
        <w:t>— Требования к эксплуатационным характеристикам газоанализаторов горючих газов</w:t>
      </w:r>
      <w:r w:rsidR="00F22588">
        <w:t>»</w:t>
      </w:r>
      <w:r w:rsidRPr="000C2960">
        <w:t xml:space="preserve">), пересмотра раздела 5.4 </w:t>
      </w:r>
      <w:r w:rsidR="00F22588">
        <w:t>«</w:t>
      </w:r>
      <w:r w:rsidRPr="000C2960">
        <w:t>Правила работы и методы испытаний</w:t>
      </w:r>
      <w:r w:rsidR="00F22588">
        <w:t>»</w:t>
      </w:r>
      <w:r w:rsidRPr="000C2960">
        <w:t xml:space="preserve"> и пересмотра раздела 4 </w:t>
      </w:r>
      <w:r w:rsidR="00F22588">
        <w:t>«</w:t>
      </w:r>
      <w:r w:rsidRPr="000C2960">
        <w:t>Общие технические требования</w:t>
      </w:r>
      <w:r w:rsidR="00F22588">
        <w:t>»</w:t>
      </w:r>
      <w:r w:rsidRPr="000C2960">
        <w:t>.</w:t>
      </w:r>
    </w:p>
    <w:p w14:paraId="5EB92BA2" w14:textId="77777777" w:rsidR="00165CEA" w:rsidRPr="000C2960" w:rsidRDefault="00165CEA" w:rsidP="00165CEA">
      <w:pPr>
        <w:pStyle w:val="SingleTxtG"/>
      </w:pPr>
      <w:r w:rsidRPr="000C2960">
        <w:t>18.</w:t>
      </w:r>
      <w:r w:rsidRPr="000C2960">
        <w:tab/>
        <w:t xml:space="preserve">Приобрести элементы оборудования для измерения содержания кислорода и </w:t>
      </w:r>
      <w:proofErr w:type="spellStart"/>
      <w:r w:rsidRPr="000C2960">
        <w:t>кислородомеры</w:t>
      </w:r>
      <w:proofErr w:type="spellEnd"/>
      <w:r w:rsidRPr="000C2960">
        <w:t xml:space="preserve"> для постройки новых судов или запасные части для судов, находящихся в эксплуатации, которые соответствуют старой редакции стандарта, уже невозможно. Нет никаких известных причин делать вывод о том, что текущая версия не подходит для ВОПОГ.</w:t>
      </w:r>
    </w:p>
    <w:p w14:paraId="00CBDC05" w14:textId="5EC79854" w:rsidR="00165CEA" w:rsidRPr="000C2960" w:rsidRDefault="00165CEA" w:rsidP="00165CEA">
      <w:pPr>
        <w:pStyle w:val="SingleTxtG"/>
      </w:pPr>
      <w:r w:rsidRPr="000C2960">
        <w:t>19.</w:t>
      </w:r>
      <w:r w:rsidRPr="000C2960">
        <w:tab/>
        <w:t xml:space="preserve">Включить в </w:t>
      </w:r>
      <w:r w:rsidR="00F22588">
        <w:t>«</w:t>
      </w:r>
      <w:r w:rsidRPr="000C2960">
        <w:t>1.6.7.2.2.2 Таблица общих переходных положений</w:t>
      </w:r>
      <w:r w:rsidR="00242FDF">
        <w:t xml:space="preserve"> </w:t>
      </w:r>
      <w:r w:rsidRPr="000C2960">
        <w:t>— танкеры</w:t>
      </w:r>
      <w:r w:rsidR="00F22588">
        <w:t>»</w:t>
      </w:r>
      <w:r w:rsidRPr="000C2960">
        <w:t xml:space="preserve"> следующие переходные положения:</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165CEA" w:rsidRPr="000C2960" w14:paraId="05172D47" w14:textId="77777777" w:rsidTr="005136D0">
        <w:trPr>
          <w:cantSplit/>
        </w:trPr>
        <w:tc>
          <w:tcPr>
            <w:tcW w:w="1207" w:type="dxa"/>
            <w:tcBorders>
              <w:top w:val="single" w:sz="6" w:space="0" w:color="auto"/>
              <w:left w:val="single" w:sz="6" w:space="0" w:color="auto"/>
              <w:bottom w:val="single" w:sz="6" w:space="0" w:color="auto"/>
              <w:right w:val="single" w:sz="6" w:space="0" w:color="auto"/>
            </w:tcBorders>
          </w:tcPr>
          <w:p w14:paraId="27C44A17" w14:textId="77777777" w:rsidR="00165CEA" w:rsidRPr="000C2960" w:rsidRDefault="00165CEA" w:rsidP="001208BB">
            <w:pPr>
              <w:pStyle w:val="N3"/>
              <w:tabs>
                <w:tab w:val="clear" w:pos="170"/>
              </w:tabs>
              <w:suppressAutoHyphens/>
              <w:spacing w:line="240" w:lineRule="atLeast"/>
              <w:rPr>
                <w:rFonts w:ascii="Times New Roman" w:hAnsi="Times New Roman"/>
                <w:sz w:val="20"/>
                <w:lang w:val="ru-RU"/>
              </w:rPr>
            </w:pPr>
            <w:r w:rsidRPr="000C2960">
              <w:rPr>
                <w:rFonts w:ascii="Times New Roman" w:hAnsi="Times New Roman"/>
                <w:sz w:val="20"/>
                <w:lang w:val="ru-RU"/>
              </w:rPr>
              <w:t>1.2.1</w:t>
            </w:r>
          </w:p>
        </w:tc>
        <w:tc>
          <w:tcPr>
            <w:tcW w:w="2552" w:type="dxa"/>
            <w:tcBorders>
              <w:top w:val="single" w:sz="6" w:space="0" w:color="auto"/>
              <w:left w:val="single" w:sz="6" w:space="0" w:color="auto"/>
              <w:bottom w:val="single" w:sz="6" w:space="0" w:color="auto"/>
              <w:right w:val="single" w:sz="6" w:space="0" w:color="auto"/>
            </w:tcBorders>
          </w:tcPr>
          <w:p w14:paraId="305B1685" w14:textId="77777777" w:rsidR="00165CEA" w:rsidRPr="000C2960" w:rsidRDefault="00165CEA" w:rsidP="001208BB">
            <w:pPr>
              <w:spacing w:before="40" w:after="120" w:line="220" w:lineRule="exact"/>
              <w:ind w:right="113"/>
            </w:pPr>
            <w:r w:rsidRPr="000C2960">
              <w:t>Система измерения содержания кислорода</w:t>
            </w:r>
          </w:p>
          <w:p w14:paraId="317BBA35" w14:textId="6B10BC3F" w:rsidR="00165CEA" w:rsidRPr="000C2960" w:rsidRDefault="00165CEA" w:rsidP="001208BB">
            <w:pPr>
              <w:pStyle w:val="N3"/>
              <w:tabs>
                <w:tab w:val="clear" w:pos="170"/>
              </w:tabs>
              <w:suppressAutoHyphens/>
              <w:spacing w:line="240" w:lineRule="atLeast"/>
              <w:ind w:left="0" w:firstLine="0"/>
              <w:jc w:val="left"/>
              <w:rPr>
                <w:rFonts w:ascii="Times New Roman" w:hAnsi="Times New Roman"/>
                <w:sz w:val="20"/>
                <w:lang w:val="ru-RU"/>
              </w:rPr>
            </w:pPr>
            <w:r w:rsidRPr="000C2960">
              <w:rPr>
                <w:rFonts w:ascii="Times New Roman" w:hAnsi="Times New Roman"/>
                <w:sz w:val="20"/>
                <w:lang w:val="ru-RU"/>
              </w:rPr>
              <w:t>Испытание в соответствии со стандартом EN</w:t>
            </w:r>
            <w:r w:rsidR="00242FDF">
              <w:rPr>
                <w:rFonts w:ascii="Times New Roman" w:hAnsi="Times New Roman"/>
                <w:sz w:val="20"/>
                <w:lang w:val="ru-RU"/>
              </w:rPr>
              <w:t> </w:t>
            </w:r>
            <w:r w:rsidRPr="000C2960">
              <w:rPr>
                <w:rFonts w:ascii="Times New Roman" w:hAnsi="Times New Roman"/>
                <w:sz w:val="20"/>
                <w:lang w:val="ru-RU"/>
              </w:rPr>
              <w:t>50104:2019</w:t>
            </w:r>
          </w:p>
        </w:tc>
        <w:tc>
          <w:tcPr>
            <w:tcW w:w="5355" w:type="dxa"/>
            <w:tcBorders>
              <w:top w:val="single" w:sz="6" w:space="0" w:color="auto"/>
              <w:left w:val="single" w:sz="6" w:space="0" w:color="auto"/>
              <w:bottom w:val="single" w:sz="6" w:space="0" w:color="auto"/>
              <w:right w:val="single" w:sz="6" w:space="0" w:color="auto"/>
            </w:tcBorders>
          </w:tcPr>
          <w:p w14:paraId="72A342D4" w14:textId="77777777" w:rsidR="00165CEA" w:rsidRPr="000C2960" w:rsidRDefault="00165CEA" w:rsidP="001208BB">
            <w:pPr>
              <w:pStyle w:val="N3"/>
              <w:tabs>
                <w:tab w:val="clear" w:pos="170"/>
              </w:tabs>
              <w:suppressAutoHyphens/>
              <w:spacing w:line="240" w:lineRule="atLeast"/>
              <w:jc w:val="center"/>
              <w:rPr>
                <w:rFonts w:ascii="Times New Roman" w:hAnsi="Times New Roman"/>
                <w:sz w:val="20"/>
                <w:lang w:val="ru-RU"/>
              </w:rPr>
            </w:pPr>
            <w:r w:rsidRPr="000C2960">
              <w:rPr>
                <w:rFonts w:ascii="Times New Roman" w:hAnsi="Times New Roman"/>
                <w:sz w:val="20"/>
                <w:lang w:val="ru-RU"/>
              </w:rPr>
              <w:t>Н.З.М. с 1 января 2023 года</w:t>
            </w:r>
          </w:p>
          <w:p w14:paraId="7C47B0B7" w14:textId="25FDF3C8" w:rsidR="00165CEA" w:rsidRPr="000C2960" w:rsidRDefault="00165CEA" w:rsidP="001208BB">
            <w:pPr>
              <w:pStyle w:val="N3"/>
              <w:tabs>
                <w:tab w:val="clear" w:pos="170"/>
              </w:tabs>
              <w:suppressAutoHyphens/>
              <w:spacing w:line="240" w:lineRule="atLeast"/>
              <w:ind w:left="0" w:firstLine="0"/>
              <w:jc w:val="center"/>
              <w:rPr>
                <w:rFonts w:ascii="Times New Roman" w:hAnsi="Times New Roman"/>
                <w:sz w:val="20"/>
                <w:lang w:val="ru-RU"/>
              </w:rPr>
            </w:pPr>
            <w:r w:rsidRPr="000C2960">
              <w:rPr>
                <w:rFonts w:ascii="Times New Roman" w:hAnsi="Times New Roman"/>
                <w:sz w:val="20"/>
                <w:lang w:val="ru-RU"/>
              </w:rPr>
              <w:t xml:space="preserve">Возобновление свидетельства о допущении </w:t>
            </w:r>
            <w:r w:rsidR="001208BB">
              <w:rPr>
                <w:rFonts w:ascii="Times New Roman" w:hAnsi="Times New Roman"/>
                <w:sz w:val="20"/>
                <w:lang w:val="ru-RU"/>
              </w:rPr>
              <w:br/>
            </w:r>
            <w:r w:rsidRPr="000C2960">
              <w:rPr>
                <w:rFonts w:ascii="Times New Roman" w:hAnsi="Times New Roman"/>
                <w:sz w:val="20"/>
                <w:lang w:val="ru-RU"/>
              </w:rPr>
              <w:t>после 31 декабря 2026 года</w:t>
            </w:r>
          </w:p>
          <w:p w14:paraId="65536213" w14:textId="77777777" w:rsidR="00165CEA" w:rsidRPr="000C2960" w:rsidRDefault="00165CEA" w:rsidP="001208BB">
            <w:pPr>
              <w:pStyle w:val="N3"/>
              <w:tabs>
                <w:tab w:val="clear" w:pos="170"/>
              </w:tabs>
              <w:suppressAutoHyphens/>
              <w:spacing w:line="240" w:lineRule="atLeast"/>
              <w:rPr>
                <w:rFonts w:ascii="Times New Roman" w:hAnsi="Times New Roman"/>
                <w:sz w:val="20"/>
                <w:lang w:val="ru-RU"/>
              </w:rPr>
            </w:pPr>
          </w:p>
          <w:p w14:paraId="4AE66E02" w14:textId="63A98993" w:rsidR="00165CEA" w:rsidRPr="000C2960" w:rsidRDefault="00165CEA" w:rsidP="00242FDF">
            <w:pPr>
              <w:pStyle w:val="N3"/>
              <w:tabs>
                <w:tab w:val="clear" w:pos="170"/>
              </w:tabs>
              <w:suppressAutoHyphens/>
              <w:spacing w:after="120" w:line="240" w:lineRule="atLeast"/>
              <w:ind w:left="0" w:firstLine="0"/>
              <w:jc w:val="left"/>
              <w:rPr>
                <w:rFonts w:ascii="Times New Roman" w:hAnsi="Times New Roman"/>
                <w:sz w:val="20"/>
                <w:lang w:val="ru-RU"/>
              </w:rPr>
            </w:pPr>
            <w:r w:rsidRPr="000C2960">
              <w:rPr>
                <w:rFonts w:ascii="Times New Roman" w:hAnsi="Times New Roman"/>
                <w:sz w:val="20"/>
                <w:lang w:val="ru-RU"/>
              </w:rPr>
              <w:t>До этого срока система измерения содержания кислорода должна осматриваться в соответствии со стандартом IEC/EN</w:t>
            </w:r>
            <w:r w:rsidR="00242FDF">
              <w:rPr>
                <w:rFonts w:ascii="Times New Roman" w:hAnsi="Times New Roman"/>
                <w:sz w:val="20"/>
                <w:lang w:val="ru-RU"/>
              </w:rPr>
              <w:t> </w:t>
            </w:r>
            <w:r w:rsidRPr="000C2960">
              <w:rPr>
                <w:rFonts w:ascii="Times New Roman" w:hAnsi="Times New Roman"/>
                <w:sz w:val="20"/>
                <w:lang w:val="ru-RU"/>
              </w:rPr>
              <w:t>50104:2010.</w:t>
            </w:r>
          </w:p>
        </w:tc>
      </w:tr>
      <w:tr w:rsidR="00165CEA" w:rsidRPr="000C2960" w14:paraId="0FCF7D7F" w14:textId="77777777" w:rsidTr="005136D0">
        <w:trPr>
          <w:cantSplit/>
        </w:trPr>
        <w:tc>
          <w:tcPr>
            <w:tcW w:w="1207" w:type="dxa"/>
            <w:tcBorders>
              <w:top w:val="single" w:sz="6" w:space="0" w:color="auto"/>
              <w:left w:val="single" w:sz="6" w:space="0" w:color="auto"/>
              <w:bottom w:val="single" w:sz="6" w:space="0" w:color="auto"/>
              <w:right w:val="single" w:sz="6" w:space="0" w:color="auto"/>
            </w:tcBorders>
          </w:tcPr>
          <w:p w14:paraId="6530BB82" w14:textId="77777777" w:rsidR="00165CEA" w:rsidRPr="000C2960" w:rsidRDefault="00165CEA" w:rsidP="001208BB">
            <w:pPr>
              <w:pStyle w:val="N3"/>
              <w:tabs>
                <w:tab w:val="clear" w:pos="170"/>
              </w:tabs>
              <w:suppressAutoHyphens/>
              <w:spacing w:line="240" w:lineRule="atLeast"/>
              <w:rPr>
                <w:rFonts w:ascii="Times New Roman" w:hAnsi="Times New Roman"/>
                <w:sz w:val="20"/>
                <w:lang w:val="ru-RU"/>
              </w:rPr>
            </w:pPr>
            <w:r w:rsidRPr="000C2960">
              <w:rPr>
                <w:rFonts w:ascii="Times New Roman" w:hAnsi="Times New Roman"/>
                <w:sz w:val="20"/>
                <w:lang w:val="ru-RU"/>
              </w:rPr>
              <w:t>1.2.1</w:t>
            </w:r>
          </w:p>
        </w:tc>
        <w:tc>
          <w:tcPr>
            <w:tcW w:w="2552" w:type="dxa"/>
            <w:tcBorders>
              <w:top w:val="single" w:sz="6" w:space="0" w:color="auto"/>
              <w:left w:val="single" w:sz="6" w:space="0" w:color="auto"/>
              <w:bottom w:val="single" w:sz="6" w:space="0" w:color="auto"/>
              <w:right w:val="single" w:sz="6" w:space="0" w:color="auto"/>
            </w:tcBorders>
          </w:tcPr>
          <w:p w14:paraId="19964558" w14:textId="77777777" w:rsidR="00165CEA" w:rsidRPr="000C2960" w:rsidRDefault="00165CEA" w:rsidP="001208BB">
            <w:proofErr w:type="spellStart"/>
            <w:r w:rsidRPr="000C2960">
              <w:t>Кислородомер</w:t>
            </w:r>
            <w:proofErr w:type="spellEnd"/>
          </w:p>
          <w:p w14:paraId="34EEEFA6" w14:textId="77777777" w:rsidR="00165CEA" w:rsidRPr="000C2960" w:rsidRDefault="00165CEA" w:rsidP="001208BB">
            <w:pPr>
              <w:pStyle w:val="N3"/>
              <w:tabs>
                <w:tab w:val="clear" w:pos="170"/>
              </w:tabs>
              <w:suppressAutoHyphens/>
              <w:spacing w:line="240" w:lineRule="atLeast"/>
              <w:ind w:left="41" w:firstLine="0"/>
              <w:jc w:val="left"/>
              <w:rPr>
                <w:rFonts w:ascii="Times New Roman" w:hAnsi="Times New Roman"/>
                <w:sz w:val="20"/>
                <w:lang w:val="ru-RU"/>
              </w:rPr>
            </w:pPr>
          </w:p>
          <w:p w14:paraId="4D6C935D" w14:textId="73DC04E5" w:rsidR="00165CEA" w:rsidRPr="000C2960" w:rsidRDefault="00165CEA" w:rsidP="001208BB">
            <w:r w:rsidRPr="000C2960">
              <w:t>Испытание в соответствии со стандартом EN</w:t>
            </w:r>
            <w:r w:rsidR="00242FDF">
              <w:t> </w:t>
            </w:r>
            <w:r w:rsidRPr="000C2960">
              <w:t>50104:2019</w:t>
            </w:r>
          </w:p>
        </w:tc>
        <w:tc>
          <w:tcPr>
            <w:tcW w:w="5355" w:type="dxa"/>
            <w:tcBorders>
              <w:top w:val="single" w:sz="6" w:space="0" w:color="auto"/>
              <w:left w:val="single" w:sz="6" w:space="0" w:color="auto"/>
              <w:bottom w:val="single" w:sz="6" w:space="0" w:color="auto"/>
              <w:right w:val="single" w:sz="6" w:space="0" w:color="auto"/>
            </w:tcBorders>
          </w:tcPr>
          <w:p w14:paraId="595E2B61" w14:textId="77777777" w:rsidR="00165CEA" w:rsidRPr="000C2960" w:rsidRDefault="00165CEA" w:rsidP="001208BB">
            <w:pPr>
              <w:pStyle w:val="N3"/>
              <w:suppressAutoHyphens/>
              <w:spacing w:line="240" w:lineRule="atLeast"/>
              <w:jc w:val="center"/>
              <w:rPr>
                <w:rFonts w:ascii="Times New Roman" w:hAnsi="Times New Roman"/>
                <w:sz w:val="20"/>
                <w:lang w:val="ru-RU"/>
              </w:rPr>
            </w:pPr>
            <w:r w:rsidRPr="000C2960">
              <w:rPr>
                <w:rFonts w:ascii="Times New Roman" w:hAnsi="Times New Roman"/>
                <w:sz w:val="20"/>
                <w:lang w:val="ru-RU"/>
              </w:rPr>
              <w:t>Н.З.М. с 1 января 2023 года</w:t>
            </w:r>
          </w:p>
          <w:p w14:paraId="0CB304DA" w14:textId="1A7E1141" w:rsidR="00165CEA" w:rsidRPr="000C2960" w:rsidRDefault="00165CEA" w:rsidP="001208BB">
            <w:pPr>
              <w:pStyle w:val="N3"/>
              <w:tabs>
                <w:tab w:val="clear" w:pos="170"/>
              </w:tabs>
              <w:suppressAutoHyphens/>
              <w:spacing w:line="240" w:lineRule="atLeast"/>
              <w:ind w:left="0" w:firstLine="0"/>
              <w:jc w:val="center"/>
              <w:rPr>
                <w:rFonts w:ascii="Times New Roman" w:hAnsi="Times New Roman"/>
                <w:sz w:val="20"/>
                <w:lang w:val="ru-RU"/>
              </w:rPr>
            </w:pPr>
            <w:r w:rsidRPr="000C2960">
              <w:rPr>
                <w:rFonts w:ascii="Times New Roman" w:hAnsi="Times New Roman"/>
                <w:sz w:val="20"/>
                <w:lang w:val="ru-RU"/>
              </w:rPr>
              <w:t xml:space="preserve">Возобновление свидетельства о допущении </w:t>
            </w:r>
            <w:r w:rsidR="001208BB">
              <w:rPr>
                <w:rFonts w:ascii="Times New Roman" w:hAnsi="Times New Roman"/>
                <w:sz w:val="20"/>
                <w:lang w:val="ru-RU"/>
              </w:rPr>
              <w:br/>
            </w:r>
            <w:r w:rsidRPr="000C2960">
              <w:rPr>
                <w:rFonts w:ascii="Times New Roman" w:hAnsi="Times New Roman"/>
                <w:sz w:val="20"/>
                <w:lang w:val="ru-RU"/>
              </w:rPr>
              <w:t>после 31 декабря 2026 года</w:t>
            </w:r>
          </w:p>
          <w:p w14:paraId="4ACDE627" w14:textId="77777777" w:rsidR="00165CEA" w:rsidRPr="000C2960" w:rsidRDefault="00165CEA" w:rsidP="001208BB">
            <w:pPr>
              <w:pStyle w:val="N3"/>
              <w:tabs>
                <w:tab w:val="clear" w:pos="170"/>
              </w:tabs>
              <w:suppressAutoHyphens/>
              <w:spacing w:line="240" w:lineRule="atLeast"/>
              <w:rPr>
                <w:rFonts w:ascii="Times New Roman" w:hAnsi="Times New Roman"/>
                <w:sz w:val="20"/>
                <w:lang w:val="ru-RU"/>
              </w:rPr>
            </w:pPr>
          </w:p>
          <w:p w14:paraId="58034088" w14:textId="77777777" w:rsidR="00165CEA" w:rsidRPr="000C2960" w:rsidRDefault="00165CEA" w:rsidP="001208BB">
            <w:pPr>
              <w:pStyle w:val="N3"/>
              <w:tabs>
                <w:tab w:val="clear" w:pos="170"/>
              </w:tabs>
              <w:suppressAutoHyphens/>
              <w:spacing w:after="120" w:line="240" w:lineRule="atLeast"/>
              <w:ind w:left="0" w:firstLine="0"/>
              <w:jc w:val="left"/>
              <w:rPr>
                <w:rFonts w:ascii="Times New Roman" w:hAnsi="Times New Roman"/>
                <w:sz w:val="20"/>
                <w:lang w:val="ru-RU"/>
              </w:rPr>
            </w:pPr>
            <w:r w:rsidRPr="000C2960">
              <w:rPr>
                <w:rFonts w:ascii="Times New Roman" w:hAnsi="Times New Roman"/>
                <w:sz w:val="20"/>
                <w:lang w:val="ru-RU"/>
              </w:rPr>
              <w:t xml:space="preserve">До этого срока </w:t>
            </w:r>
            <w:proofErr w:type="spellStart"/>
            <w:r w:rsidRPr="000C2960">
              <w:rPr>
                <w:rFonts w:ascii="Times New Roman" w:hAnsi="Times New Roman"/>
                <w:sz w:val="20"/>
                <w:lang w:val="ru-RU"/>
              </w:rPr>
              <w:t>кислородомер</w:t>
            </w:r>
            <w:proofErr w:type="spellEnd"/>
            <w:r w:rsidRPr="000C2960">
              <w:rPr>
                <w:rFonts w:ascii="Times New Roman" w:hAnsi="Times New Roman"/>
                <w:sz w:val="20"/>
                <w:lang w:val="ru-RU"/>
              </w:rPr>
              <w:t xml:space="preserve"> должен осматриваться в соответствии со стандартом IEC/EN 50104:2010.</w:t>
            </w:r>
          </w:p>
        </w:tc>
      </w:tr>
    </w:tbl>
    <w:p w14:paraId="260E2DAE" w14:textId="5A28D49D" w:rsidR="00165CEA" w:rsidRPr="000C2960" w:rsidRDefault="00165CEA" w:rsidP="00165CEA">
      <w:pPr>
        <w:pStyle w:val="SingleTxtG"/>
        <w:spacing w:before="120"/>
      </w:pPr>
      <w:r w:rsidRPr="000C2960">
        <w:t>20.</w:t>
      </w:r>
      <w:r w:rsidRPr="000C2960">
        <w:tab/>
        <w:t xml:space="preserve">В измененной версии стандарта содержатся элементы, относящиеся к безопасности. Поэтому для поддержания максимально возможного уровня безопасности необходимо модернизировать </w:t>
      </w:r>
      <w:proofErr w:type="spellStart"/>
      <w:r w:rsidRPr="000C2960">
        <w:t>газодетекторные</w:t>
      </w:r>
      <w:proofErr w:type="spellEnd"/>
      <w:r w:rsidRPr="000C2960">
        <w:t xml:space="preserve"> системы. Для</w:t>
      </w:r>
      <w:r w:rsidR="001208BB">
        <w:t> </w:t>
      </w:r>
      <w:r w:rsidRPr="000C2960">
        <w:t>организации необходимой замены достаточно переходного периода от трех до восьми лет с момента принятия поправки.</w:t>
      </w:r>
    </w:p>
    <w:p w14:paraId="08FB3D10" w14:textId="3E6E0FBA" w:rsidR="00165CEA" w:rsidRPr="000C2960" w:rsidRDefault="00165CEA" w:rsidP="00165CEA">
      <w:pPr>
        <w:pStyle w:val="H23G"/>
      </w:pPr>
      <w:r w:rsidRPr="000C2960">
        <w:lastRenderedPageBreak/>
        <w:tab/>
        <w:t>d)</w:t>
      </w:r>
      <w:r w:rsidRPr="000C2960">
        <w:tab/>
        <w:t xml:space="preserve">В определении </w:t>
      </w:r>
      <w:r w:rsidR="00F22588">
        <w:t>«</w:t>
      </w:r>
      <w:r w:rsidRPr="000C2960">
        <w:t>Защитная одежда</w:t>
      </w:r>
      <w:r w:rsidR="00F22588">
        <w:t>»</w:t>
      </w:r>
    </w:p>
    <w:p w14:paraId="296241EA" w14:textId="5A2F94AE" w:rsidR="00165CEA" w:rsidRPr="000C2960" w:rsidRDefault="00165CEA" w:rsidP="00165CEA">
      <w:pPr>
        <w:pStyle w:val="H4G"/>
      </w:pPr>
      <w:r w:rsidRPr="000C2960">
        <w:tab/>
      </w:r>
      <w:r w:rsidRPr="000C2960">
        <w:tab/>
        <w:t xml:space="preserve">Заменить </w:t>
      </w:r>
      <w:r w:rsidR="00F22588">
        <w:t>«</w:t>
      </w:r>
      <w:r w:rsidRPr="000C2960">
        <w:t>EN 1149-5:2008</w:t>
      </w:r>
      <w:r w:rsidR="00F22588">
        <w:t>»</w:t>
      </w:r>
      <w:r w:rsidRPr="000C2960">
        <w:t xml:space="preserve"> на </w:t>
      </w:r>
      <w:r w:rsidR="00F22588">
        <w:t>«</w:t>
      </w:r>
      <w:r w:rsidRPr="000C2960">
        <w:t>EN 1149-5:2018</w:t>
      </w:r>
      <w:r w:rsidR="00F22588">
        <w:t>»</w:t>
      </w:r>
      <w:r w:rsidRPr="000C2960">
        <w:t>.</w:t>
      </w:r>
    </w:p>
    <w:p w14:paraId="39878334" w14:textId="6364185B" w:rsidR="00165CEA" w:rsidRPr="000C2960" w:rsidRDefault="00165CEA" w:rsidP="00165CEA">
      <w:pPr>
        <w:pStyle w:val="SingleTxtG"/>
      </w:pPr>
      <w:r w:rsidRPr="000C2960">
        <w:t>21.</w:t>
      </w:r>
      <w:r w:rsidRPr="000C2960">
        <w:tab/>
        <w:t xml:space="preserve">Название стандарта: </w:t>
      </w:r>
      <w:r w:rsidR="00F22588">
        <w:t>«</w:t>
      </w:r>
      <w:r w:rsidRPr="000C2960">
        <w:t>Защитная одежда</w:t>
      </w:r>
      <w:r w:rsidR="00794A3C">
        <w:t xml:space="preserve"> </w:t>
      </w:r>
      <w:r w:rsidRPr="000C2960">
        <w:t>— Электростатические свойства</w:t>
      </w:r>
      <w:r w:rsidR="00794A3C">
        <w:t xml:space="preserve"> </w:t>
      </w:r>
      <w:r w:rsidRPr="000C2960">
        <w:t>— Часть 5: Требования к рабочим характеристикам материала и конструктивному исполнению</w:t>
      </w:r>
      <w:r w:rsidR="00F22588">
        <w:t>»</w:t>
      </w:r>
      <w:r w:rsidRPr="000C2960">
        <w:t>.</w:t>
      </w:r>
    </w:p>
    <w:p w14:paraId="1EC12986" w14:textId="77777777" w:rsidR="00165CEA" w:rsidRPr="000C2960" w:rsidRDefault="00165CEA" w:rsidP="00165CEA">
      <w:pPr>
        <w:pStyle w:val="SingleTxtG"/>
      </w:pPr>
      <w:r w:rsidRPr="000C2960">
        <w:t>22.</w:t>
      </w:r>
      <w:r w:rsidRPr="000C2960">
        <w:tab/>
        <w:t>Указанная версия стандарта устарела. Поправки касаются, в частности, области применения, нормативных ссылок, новых терминов, толщины любого непроводящего слоя, образующего внешнюю поверхность одежды, требования к заземлению, толщины любого непроводящего аксессуара на внешней поверхности одежды и информационного приложение ZA.</w:t>
      </w:r>
    </w:p>
    <w:p w14:paraId="7362C607" w14:textId="40AB18A0" w:rsidR="00165CEA" w:rsidRPr="000C2960" w:rsidRDefault="00165CEA" w:rsidP="00165CEA">
      <w:pPr>
        <w:pStyle w:val="SingleTxtG"/>
      </w:pPr>
      <w:r w:rsidRPr="000C2960">
        <w:t>23.</w:t>
      </w:r>
      <w:r w:rsidRPr="000C2960">
        <w:tab/>
        <w:t xml:space="preserve">Ссылка на стандарт в определении указывает на условия, при которых уместно использовать защитную одежду: </w:t>
      </w:r>
      <w:r w:rsidR="00F22588">
        <w:t>«</w:t>
      </w:r>
      <w:r w:rsidRPr="000C2960">
        <w:t>...должна выбираться с учетом потенциальной опасности. В отношении защитной одежды см., например...</w:t>
      </w:r>
      <w:r w:rsidR="00F22588">
        <w:t>»</w:t>
      </w:r>
      <w:r w:rsidRPr="000C2960">
        <w:t>. Приобрести защитную одежду, соответствующую старой редакции стандарта, уже невозможно. Нет никаких известных причин делать вывод о том, что текущая версия не подходит для ВОПОГ.</w:t>
      </w:r>
    </w:p>
    <w:p w14:paraId="2F53FE45" w14:textId="3C1D2F5A" w:rsidR="00165CEA" w:rsidRPr="000C2960" w:rsidRDefault="00165CEA" w:rsidP="00165CEA">
      <w:pPr>
        <w:pStyle w:val="SingleTxtG"/>
        <w:rPr>
          <w:bCs/>
        </w:rPr>
      </w:pPr>
      <w:bookmarkStart w:id="6" w:name="_Hlk84253358"/>
      <w:r w:rsidRPr="000C2960">
        <w:t>24.</w:t>
      </w:r>
      <w:r w:rsidRPr="000C2960">
        <w:tab/>
        <w:t xml:space="preserve">Включить </w:t>
      </w:r>
      <w:bookmarkStart w:id="7" w:name="_Hlk88104576"/>
      <w:r w:rsidRPr="000C2960">
        <w:t xml:space="preserve">в </w:t>
      </w:r>
      <w:r w:rsidR="00F22588">
        <w:t>«</w:t>
      </w:r>
      <w:r w:rsidRPr="000C2960">
        <w:rPr>
          <w:bCs/>
        </w:rPr>
        <w:t>1.6.7.2.2.2 Таблица общих переходных положений</w:t>
      </w:r>
      <w:r w:rsidR="00794A3C">
        <w:rPr>
          <w:bCs/>
        </w:rPr>
        <w:t xml:space="preserve"> </w:t>
      </w:r>
      <w:r w:rsidRPr="000C2960">
        <w:rPr>
          <w:bCs/>
        </w:rPr>
        <w:t>— танкеры</w:t>
      </w:r>
      <w:r w:rsidR="00F22588">
        <w:rPr>
          <w:bCs/>
        </w:rPr>
        <w:t>»</w:t>
      </w:r>
      <w:r w:rsidRPr="000C2960">
        <w:rPr>
          <w:bCs/>
        </w:rPr>
        <w:t xml:space="preserve"> </w:t>
      </w:r>
      <w:bookmarkEnd w:id="7"/>
      <w:r w:rsidRPr="000C2960">
        <w:t>следующее переходное положение</w:t>
      </w:r>
      <w:r w:rsidRPr="000C2960">
        <w:rPr>
          <w:bCs/>
        </w:rPr>
        <w:t>:</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165CEA" w:rsidRPr="000C2960" w14:paraId="2998820C" w14:textId="77777777" w:rsidTr="005136D0">
        <w:trPr>
          <w:cantSplit/>
        </w:trPr>
        <w:tc>
          <w:tcPr>
            <w:tcW w:w="1207" w:type="dxa"/>
            <w:tcBorders>
              <w:top w:val="single" w:sz="6" w:space="0" w:color="auto"/>
              <w:left w:val="single" w:sz="6" w:space="0" w:color="auto"/>
              <w:bottom w:val="single" w:sz="6" w:space="0" w:color="auto"/>
              <w:right w:val="single" w:sz="6" w:space="0" w:color="auto"/>
            </w:tcBorders>
          </w:tcPr>
          <w:bookmarkEnd w:id="6"/>
          <w:p w14:paraId="444E5D21" w14:textId="77777777" w:rsidR="00165CEA" w:rsidRPr="000C2960" w:rsidRDefault="00165CEA" w:rsidP="005136D0">
            <w:pPr>
              <w:pStyle w:val="N3"/>
              <w:tabs>
                <w:tab w:val="clear" w:pos="170"/>
              </w:tabs>
              <w:spacing w:line="240" w:lineRule="atLeast"/>
              <w:rPr>
                <w:rFonts w:ascii="Times New Roman" w:hAnsi="Times New Roman"/>
                <w:sz w:val="20"/>
                <w:lang w:val="ru-RU"/>
              </w:rPr>
            </w:pPr>
            <w:r w:rsidRPr="000C2960">
              <w:rPr>
                <w:rFonts w:ascii="Times New Roman" w:hAnsi="Times New Roman"/>
                <w:sz w:val="20"/>
                <w:lang w:val="ru-RU"/>
              </w:rPr>
              <w:t>1.2.1</w:t>
            </w:r>
          </w:p>
        </w:tc>
        <w:tc>
          <w:tcPr>
            <w:tcW w:w="2552" w:type="dxa"/>
            <w:tcBorders>
              <w:top w:val="single" w:sz="6" w:space="0" w:color="auto"/>
              <w:left w:val="single" w:sz="6" w:space="0" w:color="auto"/>
              <w:bottom w:val="single" w:sz="6" w:space="0" w:color="auto"/>
              <w:right w:val="single" w:sz="6" w:space="0" w:color="auto"/>
            </w:tcBorders>
          </w:tcPr>
          <w:p w14:paraId="0D57A072" w14:textId="77777777" w:rsidR="00165CEA" w:rsidRPr="000C2960" w:rsidRDefault="00165CEA" w:rsidP="005136D0">
            <w:pPr>
              <w:pStyle w:val="N3"/>
              <w:tabs>
                <w:tab w:val="clear" w:pos="170"/>
              </w:tabs>
              <w:spacing w:line="240" w:lineRule="atLeast"/>
              <w:rPr>
                <w:rFonts w:ascii="Times New Roman" w:hAnsi="Times New Roman"/>
                <w:sz w:val="20"/>
                <w:lang w:val="ru-RU"/>
              </w:rPr>
            </w:pPr>
            <w:r w:rsidRPr="000C2960">
              <w:rPr>
                <w:rFonts w:ascii="Times New Roman" w:hAnsi="Times New Roman"/>
                <w:sz w:val="20"/>
                <w:lang w:val="ru-RU"/>
              </w:rPr>
              <w:t>Защитная одежда</w:t>
            </w:r>
          </w:p>
          <w:p w14:paraId="75B2E6A4" w14:textId="77777777" w:rsidR="00165CEA" w:rsidRPr="000C2960" w:rsidRDefault="00165CEA" w:rsidP="005136D0">
            <w:pPr>
              <w:pStyle w:val="N3"/>
              <w:tabs>
                <w:tab w:val="clear" w:pos="170"/>
              </w:tabs>
              <w:spacing w:line="240" w:lineRule="atLeast"/>
              <w:rPr>
                <w:rFonts w:ascii="Times New Roman" w:hAnsi="Times New Roman"/>
                <w:sz w:val="20"/>
                <w:lang w:val="ru-RU"/>
              </w:rPr>
            </w:pPr>
            <w:r w:rsidRPr="000C2960">
              <w:rPr>
                <w:rFonts w:ascii="Times New Roman" w:hAnsi="Times New Roman"/>
                <w:sz w:val="20"/>
                <w:lang w:val="ru-RU"/>
              </w:rPr>
              <w:t>Соответствие стандарту</w:t>
            </w:r>
          </w:p>
          <w:p w14:paraId="6B470861" w14:textId="77777777" w:rsidR="00165CEA" w:rsidRPr="000C2960" w:rsidRDefault="00165CEA" w:rsidP="005136D0">
            <w:pPr>
              <w:pStyle w:val="N3"/>
              <w:tabs>
                <w:tab w:val="clear" w:pos="170"/>
              </w:tabs>
              <w:spacing w:after="120" w:line="240" w:lineRule="atLeast"/>
              <w:rPr>
                <w:rFonts w:ascii="Times New Roman" w:hAnsi="Times New Roman"/>
                <w:sz w:val="20"/>
                <w:lang w:val="ru-RU"/>
              </w:rPr>
            </w:pPr>
            <w:r w:rsidRPr="000C2960">
              <w:rPr>
                <w:rFonts w:ascii="Times New Roman" w:hAnsi="Times New Roman"/>
                <w:sz w:val="20"/>
                <w:lang w:val="ru-RU"/>
              </w:rPr>
              <w:t>EN 1149-5:2018</w:t>
            </w:r>
          </w:p>
        </w:tc>
        <w:tc>
          <w:tcPr>
            <w:tcW w:w="5355" w:type="dxa"/>
            <w:tcBorders>
              <w:top w:val="single" w:sz="6" w:space="0" w:color="auto"/>
              <w:left w:val="single" w:sz="6" w:space="0" w:color="auto"/>
              <w:bottom w:val="single" w:sz="6" w:space="0" w:color="auto"/>
              <w:right w:val="single" w:sz="6" w:space="0" w:color="auto"/>
            </w:tcBorders>
          </w:tcPr>
          <w:p w14:paraId="1F19532C" w14:textId="77777777" w:rsidR="00165CEA" w:rsidRPr="000C2960" w:rsidRDefault="00165CEA" w:rsidP="005136D0">
            <w:pPr>
              <w:pStyle w:val="N3"/>
              <w:spacing w:line="240" w:lineRule="atLeast"/>
              <w:jc w:val="center"/>
              <w:rPr>
                <w:rFonts w:ascii="Times New Roman" w:hAnsi="Times New Roman"/>
                <w:sz w:val="20"/>
                <w:lang w:val="ru-RU"/>
              </w:rPr>
            </w:pPr>
            <w:r w:rsidRPr="000C2960">
              <w:rPr>
                <w:rFonts w:ascii="Times New Roman" w:hAnsi="Times New Roman"/>
                <w:sz w:val="20"/>
                <w:lang w:val="ru-RU"/>
              </w:rPr>
              <w:t>Н.З.М. с 1 января 2023 года</w:t>
            </w:r>
          </w:p>
        </w:tc>
      </w:tr>
    </w:tbl>
    <w:p w14:paraId="5AC1CFA3" w14:textId="77777777" w:rsidR="00165CEA" w:rsidRPr="000C2960" w:rsidRDefault="00165CEA" w:rsidP="00165CEA">
      <w:pPr>
        <w:pStyle w:val="SingleTxtG"/>
        <w:spacing w:before="120"/>
      </w:pPr>
      <w:r w:rsidRPr="000C2960">
        <w:t>25.</w:t>
      </w:r>
      <w:r w:rsidRPr="000C2960">
        <w:tab/>
        <w:t>Замена имеющейся защитной одежды не требуется, так как она имеет ограниченный срок службы и обязательно заменяется, как только перестает выполнять свою функцию.</w:t>
      </w:r>
    </w:p>
    <w:p w14:paraId="584792C7" w14:textId="7E4267B8" w:rsidR="00165CEA" w:rsidRPr="000C2960" w:rsidRDefault="00165CEA" w:rsidP="00165CEA">
      <w:pPr>
        <w:pStyle w:val="H23G"/>
      </w:pPr>
      <w:r w:rsidRPr="000C2960">
        <w:tab/>
        <w:t>e)</w:t>
      </w:r>
      <w:r w:rsidRPr="000C2960">
        <w:tab/>
        <w:t xml:space="preserve">В определении </w:t>
      </w:r>
      <w:r w:rsidR="00F22588">
        <w:t>«</w:t>
      </w:r>
      <w:r w:rsidRPr="000C2960">
        <w:t>Виды взрывозащиты</w:t>
      </w:r>
      <w:r w:rsidR="00F22588">
        <w:t>»</w:t>
      </w:r>
      <w:r w:rsidRPr="000C2960">
        <w:t xml:space="preserve">, в разделе </w:t>
      </w:r>
      <w:r w:rsidR="00F22588">
        <w:t>«</w:t>
      </w:r>
      <w:r w:rsidRPr="000C2960">
        <w:t>Электрооборудование</w:t>
      </w:r>
      <w:r w:rsidR="00F22588">
        <w:t>»</w:t>
      </w:r>
    </w:p>
    <w:p w14:paraId="4CD6D214" w14:textId="45B87714" w:rsidR="00165CEA" w:rsidRPr="000C2960" w:rsidRDefault="00165CEA" w:rsidP="00794A3C">
      <w:pPr>
        <w:pStyle w:val="H4G"/>
      </w:pPr>
      <w:r w:rsidRPr="000C2960">
        <w:tab/>
      </w:r>
      <w:r w:rsidRPr="000C2960">
        <w:tab/>
        <w:t>i)</w:t>
      </w:r>
      <w:r w:rsidRPr="000C2960">
        <w:tab/>
        <w:t xml:space="preserve">Заменить </w:t>
      </w:r>
      <w:r w:rsidR="00F22588">
        <w:t>«</w:t>
      </w:r>
      <w:proofErr w:type="spellStart"/>
      <w:r w:rsidRPr="000C2960">
        <w:t>EEx</w:t>
      </w:r>
      <w:proofErr w:type="spellEnd"/>
      <w:r w:rsidRPr="000C2960">
        <w:t xml:space="preserve"> (d)</w:t>
      </w:r>
      <w:r w:rsidR="00F22588">
        <w:t>»</w:t>
      </w:r>
      <w:r w:rsidRPr="000C2960">
        <w:t xml:space="preserve"> на </w:t>
      </w:r>
      <w:r w:rsidR="00F22588">
        <w:t>«</w:t>
      </w:r>
      <w:proofErr w:type="spellStart"/>
      <w:r w:rsidRPr="000C2960">
        <w:t>EEx</w:t>
      </w:r>
      <w:proofErr w:type="spellEnd"/>
      <w:r w:rsidRPr="000C2960">
        <w:t xml:space="preserve"> d</w:t>
      </w:r>
      <w:r w:rsidR="00F22588">
        <w:t>»</w:t>
      </w:r>
      <w:r w:rsidRPr="000C2960">
        <w:t xml:space="preserve"> и заменить </w:t>
      </w:r>
      <w:r w:rsidR="00F22588">
        <w:t>«</w:t>
      </w:r>
      <w:r w:rsidRPr="000C2960">
        <w:t>IEC 60079-1:2014</w:t>
      </w:r>
      <w:r w:rsidR="00F22588">
        <w:t>»</w:t>
      </w:r>
      <w:r w:rsidRPr="000C2960">
        <w:t xml:space="preserve"> </w:t>
      </w:r>
      <w:r w:rsidR="00794A3C">
        <w:br/>
      </w:r>
      <w:r w:rsidRPr="000C2960">
        <w:t xml:space="preserve">на </w:t>
      </w:r>
      <w:r w:rsidR="00F22588">
        <w:t>«</w:t>
      </w:r>
      <w:r w:rsidRPr="000C2960">
        <w:t>IEC</w:t>
      </w:r>
      <w:r w:rsidR="00794A3C">
        <w:t> </w:t>
      </w:r>
      <w:r w:rsidRPr="000C2960">
        <w:t>60079-1:2014 Cor1:2018</w:t>
      </w:r>
      <w:r w:rsidR="00F22588">
        <w:t>»</w:t>
      </w:r>
      <w:r w:rsidRPr="000C2960">
        <w:t>.</w:t>
      </w:r>
    </w:p>
    <w:p w14:paraId="684637C8" w14:textId="1527A06C" w:rsidR="00165CEA" w:rsidRPr="000C2960" w:rsidRDefault="00165CEA" w:rsidP="00165CEA">
      <w:pPr>
        <w:pStyle w:val="SingleTxtG"/>
      </w:pPr>
      <w:bookmarkStart w:id="8" w:name="_Hlk84260501"/>
      <w:r w:rsidRPr="000C2960">
        <w:t>26.</w:t>
      </w:r>
      <w:r w:rsidRPr="000C2960">
        <w:tab/>
        <w:t>Название стандарта:</w:t>
      </w:r>
      <w:bookmarkEnd w:id="8"/>
      <w:r w:rsidRPr="000C2960">
        <w:t xml:space="preserve"> </w:t>
      </w:r>
      <w:r w:rsidR="00F22588">
        <w:t>«</w:t>
      </w:r>
      <w:r w:rsidRPr="000C2960">
        <w:t>Взрывоопасные среды</w:t>
      </w:r>
      <w:r w:rsidR="00242FDF">
        <w:t xml:space="preserve"> </w:t>
      </w:r>
      <w:r w:rsidRPr="000C2960">
        <w:t xml:space="preserve">— Часть 1: Защита оборудования взрывонепроницаемыми оболочками </w:t>
      </w:r>
      <w:r w:rsidR="00794A3C" w:rsidRPr="00794A3C">
        <w:t>“</w:t>
      </w:r>
      <w:r w:rsidRPr="000C2960">
        <w:t>d</w:t>
      </w:r>
      <w:r w:rsidR="00794A3C" w:rsidRPr="00794A3C">
        <w:t>”</w:t>
      </w:r>
      <w:r w:rsidR="00F22588">
        <w:t>»</w:t>
      </w:r>
      <w:r w:rsidRPr="000C2960">
        <w:t>.</w:t>
      </w:r>
    </w:p>
    <w:p w14:paraId="68D6F0C9" w14:textId="77777777" w:rsidR="00165CEA" w:rsidRPr="000C2960" w:rsidRDefault="00165CEA" w:rsidP="00165CEA">
      <w:pPr>
        <w:pStyle w:val="SingleTxtG"/>
      </w:pPr>
      <w:bookmarkStart w:id="9" w:name="_Hlk84260279"/>
      <w:r w:rsidRPr="000C2960">
        <w:t>27.</w:t>
      </w:r>
      <w:r w:rsidRPr="000C2960">
        <w:tab/>
        <w:t>Поправки к этому стандарту носят редакционный характер</w:t>
      </w:r>
      <w:bookmarkEnd w:id="9"/>
      <w:r w:rsidRPr="000C2960">
        <w:t>. Это не приводит к улучшению технической безопасности.</w:t>
      </w:r>
    </w:p>
    <w:p w14:paraId="18E035E6" w14:textId="7B6AADF9" w:rsidR="00165CEA" w:rsidRPr="000C2960" w:rsidRDefault="00165CEA" w:rsidP="00165CEA">
      <w:pPr>
        <w:pStyle w:val="SingleTxtG"/>
      </w:pPr>
      <w:r w:rsidRPr="000C2960">
        <w:t>28.</w:t>
      </w:r>
      <w:r w:rsidRPr="000C2960">
        <w:tab/>
        <w:t xml:space="preserve">Включить в </w:t>
      </w:r>
      <w:r w:rsidR="00F22588">
        <w:t>«</w:t>
      </w:r>
      <w:r w:rsidRPr="000C2960">
        <w:t>1.6.7.2.2.2 Таблица общих переходных положений</w:t>
      </w:r>
      <w:r w:rsidR="00794A3C" w:rsidRPr="00794A3C">
        <w:t xml:space="preserve"> </w:t>
      </w:r>
      <w:r w:rsidRPr="000C2960">
        <w:t>— танкеры</w:t>
      </w:r>
      <w:r w:rsidR="00F22588">
        <w:t>»</w:t>
      </w:r>
      <w:r w:rsidRPr="000C2960">
        <w:t xml:space="preserve"> следующее переходное положение:</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165CEA" w:rsidRPr="000C2960" w14:paraId="48333C4A" w14:textId="77777777" w:rsidTr="005136D0">
        <w:trPr>
          <w:cantSplit/>
        </w:trPr>
        <w:tc>
          <w:tcPr>
            <w:tcW w:w="1207" w:type="dxa"/>
            <w:tcBorders>
              <w:top w:val="single" w:sz="6" w:space="0" w:color="auto"/>
              <w:left w:val="single" w:sz="6" w:space="0" w:color="auto"/>
              <w:bottom w:val="single" w:sz="6" w:space="0" w:color="auto"/>
              <w:right w:val="single" w:sz="6" w:space="0" w:color="auto"/>
            </w:tcBorders>
          </w:tcPr>
          <w:p w14:paraId="6C807B17" w14:textId="77777777" w:rsidR="00165CEA" w:rsidRPr="000C2960" w:rsidRDefault="00165CEA" w:rsidP="005136D0">
            <w:pPr>
              <w:pStyle w:val="N3"/>
              <w:tabs>
                <w:tab w:val="clear" w:pos="170"/>
              </w:tabs>
              <w:spacing w:line="240" w:lineRule="atLeast"/>
              <w:rPr>
                <w:rFonts w:ascii="Times New Roman" w:hAnsi="Times New Roman"/>
                <w:sz w:val="20"/>
                <w:lang w:val="ru-RU"/>
              </w:rPr>
            </w:pPr>
            <w:r w:rsidRPr="000C2960">
              <w:rPr>
                <w:rFonts w:ascii="Times New Roman" w:hAnsi="Times New Roman"/>
                <w:sz w:val="20"/>
                <w:lang w:val="ru-RU"/>
              </w:rPr>
              <w:t>1.2.1</w:t>
            </w:r>
          </w:p>
        </w:tc>
        <w:tc>
          <w:tcPr>
            <w:tcW w:w="2552" w:type="dxa"/>
            <w:tcBorders>
              <w:top w:val="single" w:sz="6" w:space="0" w:color="auto"/>
              <w:left w:val="single" w:sz="6" w:space="0" w:color="auto"/>
              <w:bottom w:val="single" w:sz="6" w:space="0" w:color="auto"/>
              <w:right w:val="single" w:sz="6" w:space="0" w:color="auto"/>
            </w:tcBorders>
          </w:tcPr>
          <w:p w14:paraId="17FF0696" w14:textId="77777777" w:rsidR="00165CEA" w:rsidRPr="000C2960" w:rsidRDefault="00165CEA" w:rsidP="005136D0">
            <w:pPr>
              <w:pStyle w:val="N3"/>
              <w:tabs>
                <w:tab w:val="clear" w:pos="170"/>
              </w:tabs>
              <w:spacing w:line="240" w:lineRule="atLeast"/>
              <w:rPr>
                <w:rFonts w:ascii="Times New Roman" w:hAnsi="Times New Roman"/>
                <w:sz w:val="20"/>
                <w:lang w:val="ru-RU"/>
              </w:rPr>
            </w:pPr>
            <w:r w:rsidRPr="000C2960">
              <w:rPr>
                <w:rFonts w:ascii="Times New Roman" w:hAnsi="Times New Roman"/>
                <w:sz w:val="20"/>
                <w:lang w:val="ru-RU"/>
              </w:rPr>
              <w:t>Виды защиты</w:t>
            </w:r>
          </w:p>
          <w:p w14:paraId="2DAC6B41" w14:textId="77777777" w:rsidR="00165CEA" w:rsidRPr="000C2960" w:rsidRDefault="00165CEA" w:rsidP="00794A3C">
            <w:pPr>
              <w:pStyle w:val="N3"/>
              <w:tabs>
                <w:tab w:val="clear" w:pos="170"/>
              </w:tabs>
              <w:spacing w:after="120" w:line="240" w:lineRule="atLeast"/>
              <w:rPr>
                <w:rFonts w:ascii="Times New Roman" w:hAnsi="Times New Roman"/>
                <w:iCs/>
                <w:sz w:val="20"/>
                <w:lang w:val="ru-RU"/>
              </w:rPr>
            </w:pPr>
            <w:proofErr w:type="spellStart"/>
            <w:r w:rsidRPr="000C2960">
              <w:rPr>
                <w:rFonts w:ascii="Times New Roman" w:hAnsi="Times New Roman"/>
                <w:iCs/>
                <w:sz w:val="20"/>
                <w:lang w:val="ru-RU"/>
              </w:rPr>
              <w:t>EEx</w:t>
            </w:r>
            <w:proofErr w:type="spellEnd"/>
            <w:r w:rsidRPr="000C2960">
              <w:rPr>
                <w:rFonts w:ascii="Times New Roman" w:hAnsi="Times New Roman"/>
                <w:iCs/>
                <w:sz w:val="20"/>
                <w:lang w:val="ru-RU"/>
              </w:rPr>
              <w:t xml:space="preserve"> d, стандарт IEC</w:t>
            </w:r>
          </w:p>
        </w:tc>
        <w:tc>
          <w:tcPr>
            <w:tcW w:w="5355" w:type="dxa"/>
            <w:tcBorders>
              <w:top w:val="single" w:sz="6" w:space="0" w:color="auto"/>
              <w:left w:val="single" w:sz="6" w:space="0" w:color="auto"/>
              <w:bottom w:val="single" w:sz="6" w:space="0" w:color="auto"/>
              <w:right w:val="single" w:sz="6" w:space="0" w:color="auto"/>
            </w:tcBorders>
          </w:tcPr>
          <w:p w14:paraId="4A9B7062" w14:textId="77777777" w:rsidR="00165CEA" w:rsidRPr="000C2960" w:rsidRDefault="00165CEA" w:rsidP="005136D0">
            <w:pPr>
              <w:pStyle w:val="N3"/>
              <w:spacing w:line="240" w:lineRule="atLeast"/>
              <w:jc w:val="center"/>
              <w:rPr>
                <w:rFonts w:ascii="Times New Roman" w:hAnsi="Times New Roman"/>
                <w:sz w:val="20"/>
                <w:lang w:val="ru-RU"/>
              </w:rPr>
            </w:pPr>
            <w:r w:rsidRPr="000C2960">
              <w:rPr>
                <w:rFonts w:ascii="Times New Roman" w:hAnsi="Times New Roman"/>
                <w:sz w:val="20"/>
                <w:lang w:val="ru-RU"/>
              </w:rPr>
              <w:t>Н.З.М. с 1 января 2023 года</w:t>
            </w:r>
          </w:p>
        </w:tc>
      </w:tr>
    </w:tbl>
    <w:p w14:paraId="709CB0CE" w14:textId="46A12337" w:rsidR="00165CEA" w:rsidRPr="000C2960" w:rsidRDefault="00165CEA" w:rsidP="00165CEA">
      <w:pPr>
        <w:pStyle w:val="H4G"/>
      </w:pPr>
      <w:r w:rsidRPr="000C2960">
        <w:tab/>
      </w:r>
      <w:r w:rsidRPr="000C2960">
        <w:tab/>
      </w:r>
      <w:proofErr w:type="spellStart"/>
      <w:r w:rsidRPr="000C2960">
        <w:t>ii</w:t>
      </w:r>
      <w:proofErr w:type="spellEnd"/>
      <w:r w:rsidRPr="000C2960">
        <w:t>)</w:t>
      </w:r>
      <w:r w:rsidRPr="000C2960">
        <w:tab/>
        <w:t xml:space="preserve">Заменить </w:t>
      </w:r>
      <w:r w:rsidR="00F22588">
        <w:t>«</w:t>
      </w:r>
      <w:proofErr w:type="spellStart"/>
      <w:r w:rsidRPr="000C2960">
        <w:t>EEx</w:t>
      </w:r>
      <w:proofErr w:type="spellEnd"/>
      <w:r w:rsidRPr="000C2960">
        <w:t xml:space="preserve"> (e)</w:t>
      </w:r>
      <w:r w:rsidR="00F22588">
        <w:t>»</w:t>
      </w:r>
      <w:r w:rsidRPr="000C2960">
        <w:t xml:space="preserve"> на </w:t>
      </w:r>
      <w:r w:rsidR="00F22588">
        <w:t>«</w:t>
      </w:r>
      <w:proofErr w:type="spellStart"/>
      <w:r w:rsidRPr="000C2960">
        <w:t>EEx</w:t>
      </w:r>
      <w:proofErr w:type="spellEnd"/>
      <w:r w:rsidRPr="000C2960">
        <w:t xml:space="preserve"> e</w:t>
      </w:r>
      <w:r w:rsidR="00F22588">
        <w:t>»</w:t>
      </w:r>
      <w:r w:rsidRPr="000C2960">
        <w:t xml:space="preserve"> и заменить </w:t>
      </w:r>
      <w:r w:rsidR="00F22588">
        <w:t>«</w:t>
      </w:r>
      <w:r w:rsidRPr="000C2960">
        <w:t>IEC 60079-7:2016</w:t>
      </w:r>
      <w:r w:rsidR="00F22588">
        <w:t>»</w:t>
      </w:r>
      <w:r w:rsidRPr="000C2960">
        <w:t xml:space="preserve"> </w:t>
      </w:r>
      <w:r w:rsidR="00794A3C">
        <w:br/>
      </w:r>
      <w:r w:rsidRPr="000C2960">
        <w:t xml:space="preserve">на </w:t>
      </w:r>
      <w:r w:rsidR="00F22588">
        <w:t>«</w:t>
      </w:r>
      <w:r w:rsidRPr="000C2960">
        <w:t>IEC 60079-7:2016 A1:2017</w:t>
      </w:r>
      <w:r w:rsidR="00F22588">
        <w:t>»</w:t>
      </w:r>
      <w:r w:rsidRPr="000C2960">
        <w:t>.</w:t>
      </w:r>
    </w:p>
    <w:p w14:paraId="4637CB71" w14:textId="7D93D916" w:rsidR="00165CEA" w:rsidRPr="000C2960" w:rsidRDefault="00165CEA" w:rsidP="00165CEA">
      <w:pPr>
        <w:pStyle w:val="SingleTxtG"/>
      </w:pPr>
      <w:r w:rsidRPr="000C2960">
        <w:t>29.</w:t>
      </w:r>
      <w:r w:rsidRPr="000C2960">
        <w:tab/>
        <w:t xml:space="preserve">Название стандарта: </w:t>
      </w:r>
      <w:r w:rsidR="00F22588">
        <w:t>«</w:t>
      </w:r>
      <w:r w:rsidRPr="000C2960">
        <w:t>Взрывоопасные среды</w:t>
      </w:r>
      <w:r w:rsidR="00242FDF">
        <w:t xml:space="preserve"> </w:t>
      </w:r>
      <w:r w:rsidRPr="000C2960">
        <w:t xml:space="preserve">— Часть 7: Защита оборудования путем повышенной безопасности </w:t>
      </w:r>
      <w:r w:rsidR="00794A3C" w:rsidRPr="00794A3C">
        <w:t>“</w:t>
      </w:r>
      <w:r w:rsidRPr="000C2960">
        <w:t>e</w:t>
      </w:r>
      <w:r w:rsidR="00794A3C" w:rsidRPr="00794A3C">
        <w:t>”</w:t>
      </w:r>
      <w:r w:rsidR="00F22588">
        <w:t>»</w:t>
      </w:r>
      <w:r w:rsidRPr="000C2960">
        <w:t>.</w:t>
      </w:r>
    </w:p>
    <w:p w14:paraId="65848A96" w14:textId="77777777" w:rsidR="00165CEA" w:rsidRPr="000C2960" w:rsidRDefault="00165CEA" w:rsidP="00165CEA">
      <w:pPr>
        <w:pStyle w:val="SingleTxtG"/>
      </w:pPr>
      <w:r w:rsidRPr="000C2960">
        <w:t>30.</w:t>
      </w:r>
      <w:r w:rsidRPr="000C2960">
        <w:tab/>
        <w:t>Поправки к этому стандарту носят редакционный характер. Это не приводит к улучшению технической безопасности.</w:t>
      </w:r>
    </w:p>
    <w:p w14:paraId="28C582D9" w14:textId="1C9254D7" w:rsidR="00165CEA" w:rsidRPr="000C2960" w:rsidRDefault="00165CEA" w:rsidP="00165CEA">
      <w:pPr>
        <w:pStyle w:val="SingleTxtG"/>
      </w:pPr>
      <w:r w:rsidRPr="000C2960">
        <w:t>31.</w:t>
      </w:r>
      <w:r w:rsidRPr="000C2960">
        <w:tab/>
        <w:t xml:space="preserve">Включить в </w:t>
      </w:r>
      <w:r w:rsidR="00F22588">
        <w:t>«</w:t>
      </w:r>
      <w:r w:rsidRPr="000C2960">
        <w:t>1.6.7.2.2.2 Таблица общих переходных положений</w:t>
      </w:r>
      <w:r w:rsidR="00794A3C" w:rsidRPr="00794A3C">
        <w:t xml:space="preserve"> </w:t>
      </w:r>
      <w:r w:rsidRPr="000C2960">
        <w:t>— танкеры</w:t>
      </w:r>
      <w:r w:rsidR="00F22588">
        <w:t>»</w:t>
      </w:r>
      <w:r w:rsidRPr="000C2960">
        <w:t xml:space="preserve"> следующее переходное положение:</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165CEA" w:rsidRPr="000C2960" w14:paraId="5C8C9312" w14:textId="77777777" w:rsidTr="005136D0">
        <w:trPr>
          <w:cantSplit/>
        </w:trPr>
        <w:tc>
          <w:tcPr>
            <w:tcW w:w="1207" w:type="dxa"/>
            <w:tcBorders>
              <w:top w:val="single" w:sz="6" w:space="0" w:color="auto"/>
              <w:left w:val="single" w:sz="6" w:space="0" w:color="auto"/>
              <w:bottom w:val="single" w:sz="6" w:space="0" w:color="auto"/>
              <w:right w:val="single" w:sz="6" w:space="0" w:color="auto"/>
            </w:tcBorders>
          </w:tcPr>
          <w:p w14:paraId="3C3976F4" w14:textId="77777777" w:rsidR="00165CEA" w:rsidRPr="000C2960" w:rsidRDefault="00165CEA" w:rsidP="005136D0">
            <w:pPr>
              <w:pStyle w:val="N3"/>
              <w:tabs>
                <w:tab w:val="clear" w:pos="170"/>
              </w:tabs>
              <w:spacing w:line="240" w:lineRule="atLeast"/>
              <w:rPr>
                <w:rFonts w:ascii="Times New Roman" w:hAnsi="Times New Roman"/>
                <w:sz w:val="20"/>
                <w:lang w:val="ru-RU"/>
              </w:rPr>
            </w:pPr>
            <w:r w:rsidRPr="000C2960">
              <w:rPr>
                <w:rFonts w:ascii="Times New Roman" w:hAnsi="Times New Roman"/>
                <w:sz w:val="20"/>
                <w:lang w:val="ru-RU"/>
              </w:rPr>
              <w:t>1.2.1</w:t>
            </w:r>
          </w:p>
        </w:tc>
        <w:tc>
          <w:tcPr>
            <w:tcW w:w="2552" w:type="dxa"/>
            <w:tcBorders>
              <w:top w:val="single" w:sz="6" w:space="0" w:color="auto"/>
              <w:left w:val="single" w:sz="6" w:space="0" w:color="auto"/>
              <w:bottom w:val="single" w:sz="6" w:space="0" w:color="auto"/>
              <w:right w:val="single" w:sz="6" w:space="0" w:color="auto"/>
            </w:tcBorders>
          </w:tcPr>
          <w:p w14:paraId="03954A5B" w14:textId="77777777" w:rsidR="00165CEA" w:rsidRPr="000C2960" w:rsidRDefault="00165CEA" w:rsidP="005136D0">
            <w:pPr>
              <w:pStyle w:val="N3"/>
              <w:tabs>
                <w:tab w:val="clear" w:pos="170"/>
              </w:tabs>
              <w:spacing w:line="240" w:lineRule="atLeast"/>
              <w:rPr>
                <w:rFonts w:ascii="Times New Roman" w:hAnsi="Times New Roman"/>
                <w:sz w:val="20"/>
                <w:lang w:val="ru-RU"/>
              </w:rPr>
            </w:pPr>
            <w:r w:rsidRPr="000C2960">
              <w:rPr>
                <w:rFonts w:ascii="Times New Roman" w:hAnsi="Times New Roman"/>
                <w:sz w:val="20"/>
                <w:lang w:val="ru-RU"/>
              </w:rPr>
              <w:t>Виды защиты</w:t>
            </w:r>
          </w:p>
          <w:p w14:paraId="11524520" w14:textId="77777777" w:rsidR="00165CEA" w:rsidRPr="000C2960" w:rsidRDefault="00165CEA" w:rsidP="00794A3C">
            <w:pPr>
              <w:pStyle w:val="N3"/>
              <w:tabs>
                <w:tab w:val="clear" w:pos="170"/>
              </w:tabs>
              <w:spacing w:after="120" w:line="240" w:lineRule="atLeast"/>
              <w:rPr>
                <w:rFonts w:ascii="Times New Roman" w:hAnsi="Times New Roman"/>
                <w:iCs/>
                <w:sz w:val="20"/>
                <w:lang w:val="ru-RU"/>
              </w:rPr>
            </w:pPr>
            <w:proofErr w:type="spellStart"/>
            <w:r w:rsidRPr="000C2960">
              <w:rPr>
                <w:rFonts w:ascii="Times New Roman" w:hAnsi="Times New Roman"/>
                <w:iCs/>
                <w:sz w:val="20"/>
                <w:lang w:val="ru-RU"/>
              </w:rPr>
              <w:t>EEx</w:t>
            </w:r>
            <w:proofErr w:type="spellEnd"/>
            <w:r w:rsidRPr="000C2960">
              <w:rPr>
                <w:rFonts w:ascii="Times New Roman" w:hAnsi="Times New Roman"/>
                <w:iCs/>
                <w:sz w:val="20"/>
                <w:lang w:val="ru-RU"/>
              </w:rPr>
              <w:t xml:space="preserve"> e, стандарт IEC</w:t>
            </w:r>
          </w:p>
        </w:tc>
        <w:tc>
          <w:tcPr>
            <w:tcW w:w="5355" w:type="dxa"/>
            <w:tcBorders>
              <w:top w:val="single" w:sz="6" w:space="0" w:color="auto"/>
              <w:left w:val="single" w:sz="6" w:space="0" w:color="auto"/>
              <w:bottom w:val="single" w:sz="6" w:space="0" w:color="auto"/>
              <w:right w:val="single" w:sz="6" w:space="0" w:color="auto"/>
            </w:tcBorders>
          </w:tcPr>
          <w:p w14:paraId="1C329BB8" w14:textId="77777777" w:rsidR="00165CEA" w:rsidRPr="000C2960" w:rsidRDefault="00165CEA" w:rsidP="005136D0">
            <w:pPr>
              <w:pStyle w:val="N3"/>
              <w:spacing w:line="240" w:lineRule="atLeast"/>
              <w:jc w:val="center"/>
              <w:rPr>
                <w:rFonts w:ascii="Times New Roman" w:hAnsi="Times New Roman"/>
                <w:sz w:val="20"/>
                <w:lang w:val="ru-RU"/>
              </w:rPr>
            </w:pPr>
            <w:r w:rsidRPr="000C2960">
              <w:rPr>
                <w:rFonts w:ascii="Times New Roman" w:hAnsi="Times New Roman"/>
                <w:sz w:val="20"/>
                <w:lang w:val="ru-RU"/>
              </w:rPr>
              <w:t>Н.З.М. с 1 января 2023 года</w:t>
            </w:r>
          </w:p>
        </w:tc>
      </w:tr>
    </w:tbl>
    <w:p w14:paraId="17F30058" w14:textId="6BE0E660" w:rsidR="00165CEA" w:rsidRPr="000C2960" w:rsidRDefault="00165CEA" w:rsidP="00165CEA">
      <w:pPr>
        <w:pStyle w:val="H4G"/>
      </w:pPr>
      <w:r w:rsidRPr="000C2960">
        <w:lastRenderedPageBreak/>
        <w:tab/>
      </w:r>
      <w:r w:rsidRPr="000C2960">
        <w:tab/>
      </w:r>
      <w:proofErr w:type="spellStart"/>
      <w:r w:rsidRPr="000C2960">
        <w:t>iii</w:t>
      </w:r>
      <w:proofErr w:type="spellEnd"/>
      <w:r w:rsidRPr="000C2960">
        <w:t>)</w:t>
      </w:r>
      <w:r w:rsidRPr="000C2960">
        <w:tab/>
        <w:t xml:space="preserve">Заменить </w:t>
      </w:r>
      <w:r w:rsidR="00F22588">
        <w:t>«</w:t>
      </w:r>
      <w:proofErr w:type="spellStart"/>
      <w:r w:rsidRPr="000C2960">
        <w:t>EEx</w:t>
      </w:r>
      <w:proofErr w:type="spellEnd"/>
      <w:r w:rsidRPr="000C2960">
        <w:t xml:space="preserve"> (</w:t>
      </w:r>
      <w:proofErr w:type="spellStart"/>
      <w:r w:rsidRPr="000C2960">
        <w:t>ia</w:t>
      </w:r>
      <w:proofErr w:type="spellEnd"/>
      <w:r w:rsidRPr="000C2960">
        <w:t>)</w:t>
      </w:r>
      <w:r w:rsidR="00F22588">
        <w:t>»</w:t>
      </w:r>
      <w:r w:rsidRPr="000C2960">
        <w:t xml:space="preserve"> на </w:t>
      </w:r>
      <w:r w:rsidR="00F22588">
        <w:t>«</w:t>
      </w:r>
      <w:proofErr w:type="spellStart"/>
      <w:r w:rsidRPr="000C2960">
        <w:t>EEx</w:t>
      </w:r>
      <w:proofErr w:type="spellEnd"/>
      <w:r w:rsidRPr="000C2960">
        <w:t xml:space="preserve"> </w:t>
      </w:r>
      <w:proofErr w:type="spellStart"/>
      <w:r w:rsidRPr="000C2960">
        <w:t>ia</w:t>
      </w:r>
      <w:proofErr w:type="spellEnd"/>
      <w:r w:rsidR="00F22588">
        <w:t>»</w:t>
      </w:r>
      <w:r w:rsidRPr="000C2960">
        <w:t xml:space="preserve"> и </w:t>
      </w:r>
      <w:r w:rsidR="00F22588">
        <w:t>«</w:t>
      </w:r>
      <w:proofErr w:type="spellStart"/>
      <w:r w:rsidRPr="000C2960">
        <w:t>EEx</w:t>
      </w:r>
      <w:proofErr w:type="spellEnd"/>
      <w:r w:rsidRPr="000C2960">
        <w:t xml:space="preserve"> (</w:t>
      </w:r>
      <w:proofErr w:type="spellStart"/>
      <w:r w:rsidRPr="000C2960">
        <w:t>ib</w:t>
      </w:r>
      <w:proofErr w:type="spellEnd"/>
      <w:r w:rsidRPr="000C2960">
        <w:t>)</w:t>
      </w:r>
      <w:r w:rsidR="00F22588">
        <w:t>»</w:t>
      </w:r>
      <w:r w:rsidRPr="000C2960">
        <w:t xml:space="preserve"> на </w:t>
      </w:r>
      <w:r w:rsidR="00F22588">
        <w:t>«</w:t>
      </w:r>
      <w:proofErr w:type="spellStart"/>
      <w:r w:rsidRPr="000C2960">
        <w:t>EEx</w:t>
      </w:r>
      <w:proofErr w:type="spellEnd"/>
      <w:r w:rsidRPr="000C2960">
        <w:t xml:space="preserve"> </w:t>
      </w:r>
      <w:proofErr w:type="spellStart"/>
      <w:r w:rsidRPr="000C2960">
        <w:t>ib</w:t>
      </w:r>
      <w:proofErr w:type="spellEnd"/>
      <w:r w:rsidR="00F22588">
        <w:t>»</w:t>
      </w:r>
      <w:r w:rsidRPr="000C2960">
        <w:t xml:space="preserve"> и дважды заменить </w:t>
      </w:r>
      <w:r w:rsidR="00F22588">
        <w:t>«</w:t>
      </w:r>
      <w:r w:rsidRPr="000C2960">
        <w:t>IEC 60079-11:2012</w:t>
      </w:r>
      <w:r w:rsidR="00F22588">
        <w:t>»</w:t>
      </w:r>
      <w:r w:rsidRPr="000C2960">
        <w:t xml:space="preserve"> на </w:t>
      </w:r>
      <w:r w:rsidR="00F22588">
        <w:t>«</w:t>
      </w:r>
      <w:r w:rsidRPr="000C2960">
        <w:t>IEC 60079-11:2011 Cor.:2012</w:t>
      </w:r>
      <w:r w:rsidR="00F22588">
        <w:t>»</w:t>
      </w:r>
      <w:r w:rsidRPr="000C2960">
        <w:t>.</w:t>
      </w:r>
    </w:p>
    <w:p w14:paraId="6060EB89" w14:textId="62760AC6" w:rsidR="00165CEA" w:rsidRPr="000C2960" w:rsidRDefault="00165CEA" w:rsidP="00165CEA">
      <w:pPr>
        <w:pStyle w:val="SingleTxtG"/>
      </w:pPr>
      <w:r w:rsidRPr="000C2960">
        <w:t>32.</w:t>
      </w:r>
      <w:r w:rsidRPr="000C2960">
        <w:tab/>
        <w:t xml:space="preserve">Название стандарта: </w:t>
      </w:r>
      <w:r w:rsidR="00F22588">
        <w:t>«</w:t>
      </w:r>
      <w:r w:rsidRPr="000C2960">
        <w:t>Взрывоопасные среды</w:t>
      </w:r>
      <w:r w:rsidR="00242FDF">
        <w:t xml:space="preserve"> </w:t>
      </w:r>
      <w:r w:rsidRPr="000C2960">
        <w:t xml:space="preserve">— Часть 11: Защита оборудования устройством повышенной надежности </w:t>
      </w:r>
      <w:r w:rsidR="00794A3C" w:rsidRPr="00794A3C">
        <w:t>“</w:t>
      </w:r>
      <w:proofErr w:type="spellStart"/>
      <w:r w:rsidR="00242FDF">
        <w:rPr>
          <w:lang w:val="en-US"/>
        </w:rPr>
        <w:t>i</w:t>
      </w:r>
      <w:proofErr w:type="spellEnd"/>
      <w:r w:rsidR="00794A3C" w:rsidRPr="00794A3C">
        <w:t>”</w:t>
      </w:r>
      <w:r w:rsidR="00F22588">
        <w:t>»</w:t>
      </w:r>
      <w:r w:rsidRPr="000C2960">
        <w:t>.</w:t>
      </w:r>
    </w:p>
    <w:p w14:paraId="0138D01F" w14:textId="77777777" w:rsidR="00165CEA" w:rsidRPr="000C2960" w:rsidRDefault="00165CEA" w:rsidP="00165CEA">
      <w:pPr>
        <w:pStyle w:val="SingleTxtG"/>
        <w:rPr>
          <w:bCs/>
        </w:rPr>
      </w:pPr>
      <w:r w:rsidRPr="000C2960">
        <w:t>33.</w:t>
      </w:r>
      <w:r w:rsidRPr="000C2960">
        <w:tab/>
        <w:t xml:space="preserve">Это редакционная поправка к записи в ВОПОГ. </w:t>
      </w:r>
      <w:r w:rsidRPr="000C2960">
        <w:rPr>
          <w:bCs/>
        </w:rPr>
        <w:t>Никаких переходных положений не требуется.</w:t>
      </w:r>
    </w:p>
    <w:p w14:paraId="7B94F792" w14:textId="64324077" w:rsidR="00165CEA" w:rsidRPr="000C2960" w:rsidRDefault="00165CEA" w:rsidP="00165CEA">
      <w:pPr>
        <w:pStyle w:val="H4G"/>
      </w:pPr>
      <w:r w:rsidRPr="000C2960">
        <w:tab/>
      </w:r>
      <w:r w:rsidRPr="000C2960">
        <w:tab/>
      </w:r>
      <w:proofErr w:type="spellStart"/>
      <w:r w:rsidRPr="000C2960">
        <w:t>iv</w:t>
      </w:r>
      <w:proofErr w:type="spellEnd"/>
      <w:r w:rsidRPr="000C2960">
        <w:t>)</w:t>
      </w:r>
      <w:r w:rsidRPr="000C2960">
        <w:tab/>
        <w:t xml:space="preserve">Заменить </w:t>
      </w:r>
      <w:r w:rsidR="00F22588">
        <w:t>«</w:t>
      </w:r>
      <w:proofErr w:type="spellStart"/>
      <w:r w:rsidRPr="000C2960">
        <w:t>EEx</w:t>
      </w:r>
      <w:proofErr w:type="spellEnd"/>
      <w:r w:rsidRPr="000C2960">
        <w:t xml:space="preserve"> (m)</w:t>
      </w:r>
      <w:r w:rsidR="00F22588">
        <w:t>»</w:t>
      </w:r>
      <w:r w:rsidRPr="000C2960">
        <w:t xml:space="preserve"> на </w:t>
      </w:r>
      <w:r w:rsidR="00F22588">
        <w:t>«</w:t>
      </w:r>
      <w:proofErr w:type="spellStart"/>
      <w:r w:rsidRPr="000C2960">
        <w:t>EEx</w:t>
      </w:r>
      <w:proofErr w:type="spellEnd"/>
      <w:r w:rsidRPr="000C2960">
        <w:t xml:space="preserve"> m</w:t>
      </w:r>
      <w:r w:rsidR="00F22588">
        <w:t>»</w:t>
      </w:r>
      <w:r w:rsidRPr="000C2960">
        <w:t xml:space="preserve"> и заменить </w:t>
      </w:r>
      <w:r w:rsidR="00F22588">
        <w:t>«</w:t>
      </w:r>
      <w:r w:rsidRPr="000C2960">
        <w:t>IEC 60079-18:2014</w:t>
      </w:r>
      <w:r w:rsidR="00F22588">
        <w:t>»</w:t>
      </w:r>
      <w:r w:rsidRPr="000C2960">
        <w:t xml:space="preserve"> </w:t>
      </w:r>
      <w:r w:rsidR="00794A3C">
        <w:br/>
      </w:r>
      <w:r w:rsidRPr="000C2960">
        <w:t xml:space="preserve">на </w:t>
      </w:r>
      <w:r w:rsidR="00F22588">
        <w:t>«</w:t>
      </w:r>
      <w:r w:rsidRPr="000C2960">
        <w:t>IEC 60079-18:2014; A1:2017; Cor.:2018</w:t>
      </w:r>
      <w:r w:rsidR="00F22588">
        <w:t>»</w:t>
      </w:r>
      <w:r w:rsidRPr="000C2960">
        <w:t>.</w:t>
      </w:r>
    </w:p>
    <w:p w14:paraId="1CEA92BB" w14:textId="36FC37E2" w:rsidR="00165CEA" w:rsidRPr="000C2960" w:rsidRDefault="00165CEA" w:rsidP="00165CEA">
      <w:pPr>
        <w:pStyle w:val="SingleTxtG"/>
      </w:pPr>
      <w:r w:rsidRPr="000C2960">
        <w:t>34.</w:t>
      </w:r>
      <w:r w:rsidRPr="000C2960">
        <w:tab/>
        <w:t xml:space="preserve">Название стандарта: </w:t>
      </w:r>
      <w:r w:rsidR="00F22588">
        <w:t>«</w:t>
      </w:r>
      <w:r w:rsidRPr="000C2960">
        <w:t>Взрывоопасные среды</w:t>
      </w:r>
      <w:r w:rsidR="00794A3C" w:rsidRPr="00794A3C">
        <w:t xml:space="preserve"> </w:t>
      </w:r>
      <w:r w:rsidRPr="000C2960">
        <w:t xml:space="preserve">— Часть 18: Защита оборудования путем </w:t>
      </w:r>
      <w:proofErr w:type="spellStart"/>
      <w:r w:rsidRPr="000C2960">
        <w:t>капсулирования</w:t>
      </w:r>
      <w:proofErr w:type="spellEnd"/>
      <w:r w:rsidRPr="000C2960">
        <w:t xml:space="preserve"> </w:t>
      </w:r>
      <w:r w:rsidR="00794A3C" w:rsidRPr="00794A3C">
        <w:t>“</w:t>
      </w:r>
      <w:r w:rsidRPr="000C2960">
        <w:t>m</w:t>
      </w:r>
      <w:r w:rsidR="00794A3C" w:rsidRPr="00794A3C">
        <w:t>”</w:t>
      </w:r>
      <w:r w:rsidR="00F22588">
        <w:t>»</w:t>
      </w:r>
      <w:r w:rsidRPr="000C2960">
        <w:t>.</w:t>
      </w:r>
    </w:p>
    <w:p w14:paraId="6E0BC428" w14:textId="77777777" w:rsidR="00165CEA" w:rsidRPr="000C2960" w:rsidRDefault="00165CEA" w:rsidP="00165CEA">
      <w:pPr>
        <w:pStyle w:val="SingleTxtG"/>
      </w:pPr>
      <w:r w:rsidRPr="000C2960">
        <w:t>35.</w:t>
      </w:r>
      <w:r w:rsidRPr="000C2960">
        <w:tab/>
        <w:t>Поправка к этому стандарту носит редакционный характер и касается описания процедуры испытания. Это не приводит к улучшению технической безопасности.</w:t>
      </w:r>
    </w:p>
    <w:p w14:paraId="54712386" w14:textId="0D610370" w:rsidR="00165CEA" w:rsidRPr="000C2960" w:rsidRDefault="00165CEA" w:rsidP="00165CEA">
      <w:pPr>
        <w:pStyle w:val="SingleTxtG"/>
      </w:pPr>
      <w:r w:rsidRPr="000C2960">
        <w:t>36.</w:t>
      </w:r>
      <w:r w:rsidRPr="000C2960">
        <w:tab/>
        <w:t xml:space="preserve">Включить в </w:t>
      </w:r>
      <w:r w:rsidR="00F22588">
        <w:t>«</w:t>
      </w:r>
      <w:r w:rsidRPr="000C2960">
        <w:t>1.6.7.2.2.2 Таблица общих переходных положений</w:t>
      </w:r>
      <w:r w:rsidR="00794A3C" w:rsidRPr="00794A3C">
        <w:t xml:space="preserve"> </w:t>
      </w:r>
      <w:r w:rsidRPr="000C2960">
        <w:t>— танкеры</w:t>
      </w:r>
      <w:r w:rsidR="00F22588">
        <w:t>»</w:t>
      </w:r>
      <w:r w:rsidRPr="000C2960">
        <w:t xml:space="preserve"> следующее переходное положение:</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165CEA" w:rsidRPr="000C2960" w14:paraId="7A1AEF0A" w14:textId="77777777" w:rsidTr="005136D0">
        <w:trPr>
          <w:cantSplit/>
        </w:trPr>
        <w:tc>
          <w:tcPr>
            <w:tcW w:w="1207" w:type="dxa"/>
            <w:tcBorders>
              <w:top w:val="single" w:sz="6" w:space="0" w:color="auto"/>
              <w:left w:val="single" w:sz="6" w:space="0" w:color="auto"/>
              <w:bottom w:val="single" w:sz="6" w:space="0" w:color="auto"/>
              <w:right w:val="single" w:sz="6" w:space="0" w:color="auto"/>
            </w:tcBorders>
          </w:tcPr>
          <w:p w14:paraId="136CA23A" w14:textId="77777777" w:rsidR="00165CEA" w:rsidRPr="000C2960" w:rsidRDefault="00165CEA" w:rsidP="005136D0">
            <w:pPr>
              <w:pStyle w:val="N3"/>
              <w:tabs>
                <w:tab w:val="clear" w:pos="170"/>
              </w:tabs>
              <w:spacing w:line="240" w:lineRule="atLeast"/>
              <w:rPr>
                <w:rFonts w:ascii="Times New Roman" w:hAnsi="Times New Roman"/>
                <w:sz w:val="20"/>
                <w:lang w:val="ru-RU"/>
              </w:rPr>
            </w:pPr>
            <w:r w:rsidRPr="000C2960">
              <w:rPr>
                <w:rFonts w:ascii="Times New Roman" w:hAnsi="Times New Roman"/>
                <w:sz w:val="20"/>
                <w:lang w:val="ru-RU"/>
              </w:rPr>
              <w:t>1.2.1</w:t>
            </w:r>
          </w:p>
        </w:tc>
        <w:tc>
          <w:tcPr>
            <w:tcW w:w="2552" w:type="dxa"/>
            <w:tcBorders>
              <w:top w:val="single" w:sz="6" w:space="0" w:color="auto"/>
              <w:left w:val="single" w:sz="6" w:space="0" w:color="auto"/>
              <w:bottom w:val="single" w:sz="6" w:space="0" w:color="auto"/>
              <w:right w:val="single" w:sz="6" w:space="0" w:color="auto"/>
            </w:tcBorders>
          </w:tcPr>
          <w:p w14:paraId="499836AE" w14:textId="77777777" w:rsidR="00165CEA" w:rsidRPr="000C2960" w:rsidRDefault="00165CEA" w:rsidP="005136D0">
            <w:pPr>
              <w:pStyle w:val="N3"/>
              <w:tabs>
                <w:tab w:val="clear" w:pos="170"/>
              </w:tabs>
              <w:spacing w:line="240" w:lineRule="atLeast"/>
              <w:rPr>
                <w:rFonts w:ascii="Times New Roman" w:hAnsi="Times New Roman"/>
                <w:sz w:val="20"/>
                <w:lang w:val="ru-RU"/>
              </w:rPr>
            </w:pPr>
            <w:r w:rsidRPr="000C2960">
              <w:rPr>
                <w:rFonts w:ascii="Times New Roman" w:hAnsi="Times New Roman"/>
                <w:sz w:val="20"/>
                <w:lang w:val="ru-RU"/>
              </w:rPr>
              <w:t>Виды защиты</w:t>
            </w:r>
          </w:p>
          <w:p w14:paraId="6F76801C" w14:textId="77777777" w:rsidR="00165CEA" w:rsidRPr="000C2960" w:rsidRDefault="00165CEA" w:rsidP="00794A3C">
            <w:pPr>
              <w:pStyle w:val="N3"/>
              <w:tabs>
                <w:tab w:val="clear" w:pos="170"/>
              </w:tabs>
              <w:spacing w:after="120" w:line="240" w:lineRule="atLeast"/>
              <w:rPr>
                <w:rFonts w:ascii="Times New Roman" w:hAnsi="Times New Roman"/>
                <w:iCs/>
                <w:sz w:val="20"/>
                <w:lang w:val="ru-RU"/>
              </w:rPr>
            </w:pPr>
            <w:proofErr w:type="spellStart"/>
            <w:r w:rsidRPr="000C2960">
              <w:rPr>
                <w:rFonts w:ascii="Times New Roman" w:hAnsi="Times New Roman"/>
                <w:iCs/>
                <w:sz w:val="20"/>
                <w:lang w:val="ru-RU"/>
              </w:rPr>
              <w:t>EEx</w:t>
            </w:r>
            <w:proofErr w:type="spellEnd"/>
            <w:r w:rsidRPr="000C2960">
              <w:rPr>
                <w:rFonts w:ascii="Times New Roman" w:hAnsi="Times New Roman"/>
                <w:iCs/>
                <w:sz w:val="20"/>
                <w:lang w:val="ru-RU"/>
              </w:rPr>
              <w:t xml:space="preserve"> m, стандарт IEC </w:t>
            </w:r>
          </w:p>
        </w:tc>
        <w:tc>
          <w:tcPr>
            <w:tcW w:w="5355" w:type="dxa"/>
            <w:tcBorders>
              <w:top w:val="single" w:sz="6" w:space="0" w:color="auto"/>
              <w:left w:val="single" w:sz="6" w:space="0" w:color="auto"/>
              <w:bottom w:val="single" w:sz="6" w:space="0" w:color="auto"/>
              <w:right w:val="single" w:sz="6" w:space="0" w:color="auto"/>
            </w:tcBorders>
          </w:tcPr>
          <w:p w14:paraId="301D9647" w14:textId="77777777" w:rsidR="00165CEA" w:rsidRPr="000C2960" w:rsidRDefault="00165CEA" w:rsidP="005136D0">
            <w:pPr>
              <w:pStyle w:val="N3"/>
              <w:tabs>
                <w:tab w:val="clear" w:pos="170"/>
              </w:tabs>
              <w:spacing w:line="240" w:lineRule="atLeast"/>
              <w:jc w:val="center"/>
              <w:rPr>
                <w:rFonts w:ascii="Times New Roman" w:hAnsi="Times New Roman"/>
                <w:sz w:val="20"/>
                <w:lang w:val="ru-RU"/>
              </w:rPr>
            </w:pPr>
            <w:r w:rsidRPr="000C2960">
              <w:rPr>
                <w:rFonts w:ascii="Times New Roman" w:hAnsi="Times New Roman"/>
                <w:sz w:val="20"/>
                <w:lang w:val="ru-RU"/>
              </w:rPr>
              <w:t>Н.З.М. с 1 января 2023 года</w:t>
            </w:r>
          </w:p>
        </w:tc>
      </w:tr>
    </w:tbl>
    <w:p w14:paraId="76515D3F" w14:textId="5DCD9CC1" w:rsidR="00165CEA" w:rsidRPr="000C2960" w:rsidRDefault="00165CEA" w:rsidP="00165CEA">
      <w:pPr>
        <w:pStyle w:val="H4G"/>
      </w:pPr>
      <w:r w:rsidRPr="000C2960">
        <w:tab/>
      </w:r>
      <w:r w:rsidRPr="000C2960">
        <w:tab/>
        <w:t>v)</w:t>
      </w:r>
      <w:r w:rsidRPr="000C2960">
        <w:tab/>
        <w:t xml:space="preserve">Заменить </w:t>
      </w:r>
      <w:r w:rsidR="00F22588">
        <w:t>«</w:t>
      </w:r>
      <w:proofErr w:type="spellStart"/>
      <w:r w:rsidRPr="000C2960">
        <w:t>EEx</w:t>
      </w:r>
      <w:proofErr w:type="spellEnd"/>
      <w:r w:rsidRPr="000C2960">
        <w:t xml:space="preserve"> (p)</w:t>
      </w:r>
      <w:r w:rsidR="00F22588">
        <w:t>»</w:t>
      </w:r>
      <w:r w:rsidRPr="000C2960">
        <w:t xml:space="preserve"> на </w:t>
      </w:r>
      <w:r w:rsidR="00F22588">
        <w:t>«</w:t>
      </w:r>
      <w:proofErr w:type="spellStart"/>
      <w:r w:rsidRPr="000C2960">
        <w:t>EEx</w:t>
      </w:r>
      <w:proofErr w:type="spellEnd"/>
      <w:r w:rsidRPr="000C2960">
        <w:t xml:space="preserve"> p</w:t>
      </w:r>
      <w:r w:rsidR="00F22588">
        <w:t>»</w:t>
      </w:r>
      <w:r w:rsidRPr="000C2960">
        <w:t xml:space="preserve"> и заменить </w:t>
      </w:r>
      <w:r w:rsidR="00F22588">
        <w:t>«</w:t>
      </w:r>
      <w:r w:rsidRPr="000C2960">
        <w:t>IEC 60079-2:2014</w:t>
      </w:r>
      <w:r w:rsidR="00F22588">
        <w:t>»</w:t>
      </w:r>
      <w:r w:rsidRPr="000C2960">
        <w:t xml:space="preserve"> </w:t>
      </w:r>
      <w:r w:rsidR="00794A3C">
        <w:br/>
      </w:r>
      <w:r w:rsidRPr="000C2960">
        <w:t xml:space="preserve">на </w:t>
      </w:r>
      <w:r w:rsidR="00F22588">
        <w:t>«</w:t>
      </w:r>
      <w:r w:rsidRPr="000C2960">
        <w:t>IEC 60079-2:2014 Cor.:2015</w:t>
      </w:r>
      <w:r w:rsidR="00F22588">
        <w:t>»</w:t>
      </w:r>
      <w:r w:rsidRPr="000C2960">
        <w:t>.</w:t>
      </w:r>
    </w:p>
    <w:p w14:paraId="2A733B97" w14:textId="511245B6" w:rsidR="00165CEA" w:rsidRPr="000C2960" w:rsidRDefault="00165CEA" w:rsidP="00165CEA">
      <w:pPr>
        <w:pStyle w:val="SingleTxtG"/>
      </w:pPr>
      <w:r w:rsidRPr="000C2960">
        <w:t>37.</w:t>
      </w:r>
      <w:r w:rsidRPr="000C2960">
        <w:tab/>
        <w:t xml:space="preserve">Название стандарта: </w:t>
      </w:r>
      <w:r w:rsidR="00F22588">
        <w:t>«</w:t>
      </w:r>
      <w:r w:rsidRPr="000C2960">
        <w:t>Взрывоопасные среды</w:t>
      </w:r>
      <w:r w:rsidR="00057686" w:rsidRPr="00057686">
        <w:t xml:space="preserve"> </w:t>
      </w:r>
      <w:r w:rsidRPr="000C2960">
        <w:t xml:space="preserve">— Часть 2: Защита оборудования с помощью оболочки под избыточным давлением </w:t>
      </w:r>
      <w:r w:rsidR="00794A3C" w:rsidRPr="00794A3C">
        <w:t>“</w:t>
      </w:r>
      <w:r w:rsidRPr="000C2960">
        <w:t>p</w:t>
      </w:r>
      <w:r w:rsidR="00794A3C" w:rsidRPr="00794A3C">
        <w:t>”</w:t>
      </w:r>
      <w:r w:rsidR="00F22588">
        <w:t>»</w:t>
      </w:r>
      <w:r w:rsidRPr="000C2960">
        <w:t>.</w:t>
      </w:r>
    </w:p>
    <w:p w14:paraId="21C1D385" w14:textId="4CB31AAA" w:rsidR="00165CEA" w:rsidRPr="000C2960" w:rsidRDefault="00165CEA" w:rsidP="00165CEA">
      <w:pPr>
        <w:pStyle w:val="H4G"/>
      </w:pPr>
      <w:r w:rsidRPr="000C2960">
        <w:tab/>
      </w:r>
      <w:r w:rsidRPr="000C2960">
        <w:tab/>
      </w:r>
      <w:proofErr w:type="spellStart"/>
      <w:r w:rsidRPr="000C2960">
        <w:t>vi</w:t>
      </w:r>
      <w:proofErr w:type="spellEnd"/>
      <w:r w:rsidRPr="000C2960">
        <w:t>)</w:t>
      </w:r>
      <w:r w:rsidRPr="000C2960">
        <w:tab/>
        <w:t xml:space="preserve">Заменить </w:t>
      </w:r>
      <w:r w:rsidR="00F22588">
        <w:t>«</w:t>
      </w:r>
      <w:proofErr w:type="spellStart"/>
      <w:r w:rsidRPr="000C2960">
        <w:t>EEx</w:t>
      </w:r>
      <w:proofErr w:type="spellEnd"/>
      <w:r w:rsidRPr="000C2960">
        <w:t xml:space="preserve"> (q)</w:t>
      </w:r>
      <w:r w:rsidR="00F22588">
        <w:t>»</w:t>
      </w:r>
      <w:r w:rsidRPr="000C2960">
        <w:t xml:space="preserve"> на </w:t>
      </w:r>
      <w:r w:rsidR="00F22588">
        <w:t>«</w:t>
      </w:r>
      <w:proofErr w:type="spellStart"/>
      <w:r w:rsidRPr="000C2960">
        <w:t>EEx</w:t>
      </w:r>
      <w:proofErr w:type="spellEnd"/>
      <w:r w:rsidRPr="000C2960">
        <w:t xml:space="preserve"> q</w:t>
      </w:r>
      <w:r w:rsidR="00F22588">
        <w:t>»</w:t>
      </w:r>
      <w:r w:rsidRPr="000C2960">
        <w:t>.</w:t>
      </w:r>
    </w:p>
    <w:p w14:paraId="23DC499E" w14:textId="77777777" w:rsidR="00165CEA" w:rsidRPr="000C2960" w:rsidRDefault="00165CEA" w:rsidP="00165CEA">
      <w:pPr>
        <w:pStyle w:val="SingleTxtG"/>
      </w:pPr>
      <w:r w:rsidRPr="000C2960">
        <w:t>38.</w:t>
      </w:r>
      <w:r w:rsidRPr="000C2960">
        <w:tab/>
        <w:t>Даты издания стандарта устарели. Приобрести компоненты для постройки новых судов или запасные части для судов, находящихся в эксплуатации, которые соответствуют старой редакции стандарта, уже невозможно. Нет никаких известных причин делать вывод о том, что текущая версия не подходит для ВОПОГ.</w:t>
      </w:r>
    </w:p>
    <w:p w14:paraId="550103FF" w14:textId="77777777" w:rsidR="00165CEA" w:rsidRPr="000C2960" w:rsidRDefault="00165CEA" w:rsidP="00165CEA">
      <w:pPr>
        <w:pStyle w:val="SingleTxtG"/>
      </w:pPr>
      <w:r w:rsidRPr="000C2960">
        <w:t>39.</w:t>
      </w:r>
      <w:r w:rsidRPr="000C2960">
        <w:tab/>
        <w:t xml:space="preserve">Улучшение буквенных кодов соответствует действующему стандарту </w:t>
      </w:r>
      <w:r w:rsidRPr="000C2960">
        <w:rPr>
          <w:iCs/>
        </w:rPr>
        <w:t>IEC</w:t>
      </w:r>
      <w:r w:rsidRPr="000C2960">
        <w:t>.</w:t>
      </w:r>
    </w:p>
    <w:p w14:paraId="2303200F" w14:textId="77777777" w:rsidR="00165CEA" w:rsidRPr="000C2960" w:rsidRDefault="00165CEA" w:rsidP="00165CEA">
      <w:pPr>
        <w:pStyle w:val="SingleTxtG"/>
      </w:pPr>
      <w:r w:rsidRPr="000C2960">
        <w:t>40.</w:t>
      </w:r>
      <w:r w:rsidRPr="000C2960">
        <w:tab/>
        <w:t>Для исправления этого стандарта не было опубликовано никакой технической информации. Это не приводит к улучшению технической безопасности.</w:t>
      </w:r>
    </w:p>
    <w:p w14:paraId="49F1B1CC" w14:textId="794205D9" w:rsidR="00165CEA" w:rsidRPr="000C2960" w:rsidRDefault="00165CEA" w:rsidP="00165CEA">
      <w:pPr>
        <w:pStyle w:val="SingleTxtG"/>
      </w:pPr>
      <w:r w:rsidRPr="000C2960">
        <w:t>41.</w:t>
      </w:r>
      <w:r w:rsidRPr="000C2960">
        <w:tab/>
        <w:t xml:space="preserve">Включить в </w:t>
      </w:r>
      <w:r w:rsidR="00F22588">
        <w:t>«</w:t>
      </w:r>
      <w:r w:rsidRPr="000C2960">
        <w:t>1.6.7.2.2.2 Таблица общих переходных положений</w:t>
      </w:r>
      <w:r w:rsidR="00794A3C" w:rsidRPr="00794A3C">
        <w:t xml:space="preserve"> </w:t>
      </w:r>
      <w:r w:rsidRPr="000C2960">
        <w:t>— танкеры</w:t>
      </w:r>
      <w:r w:rsidR="00F22588">
        <w:t>»</w:t>
      </w:r>
      <w:r w:rsidRPr="000C2960">
        <w:t xml:space="preserve"> следующее переходное положение:</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165CEA" w:rsidRPr="000C2960" w14:paraId="4890B3DE" w14:textId="77777777" w:rsidTr="005136D0">
        <w:trPr>
          <w:cantSplit/>
        </w:trPr>
        <w:tc>
          <w:tcPr>
            <w:tcW w:w="1207" w:type="dxa"/>
            <w:tcBorders>
              <w:top w:val="single" w:sz="6" w:space="0" w:color="auto"/>
              <w:left w:val="single" w:sz="6" w:space="0" w:color="auto"/>
              <w:bottom w:val="single" w:sz="6" w:space="0" w:color="auto"/>
              <w:right w:val="single" w:sz="6" w:space="0" w:color="auto"/>
            </w:tcBorders>
          </w:tcPr>
          <w:p w14:paraId="583EAA7C" w14:textId="77777777" w:rsidR="00165CEA" w:rsidRPr="000C2960" w:rsidRDefault="00165CEA" w:rsidP="005136D0">
            <w:pPr>
              <w:pStyle w:val="N3"/>
              <w:tabs>
                <w:tab w:val="clear" w:pos="170"/>
              </w:tabs>
              <w:spacing w:line="240" w:lineRule="atLeast"/>
              <w:rPr>
                <w:rFonts w:ascii="Times New Roman" w:hAnsi="Times New Roman"/>
                <w:sz w:val="20"/>
                <w:lang w:val="ru-RU"/>
              </w:rPr>
            </w:pPr>
            <w:r w:rsidRPr="000C2960">
              <w:rPr>
                <w:rFonts w:ascii="Times New Roman" w:hAnsi="Times New Roman"/>
                <w:sz w:val="20"/>
                <w:lang w:val="ru-RU"/>
              </w:rPr>
              <w:t>1.2.1</w:t>
            </w:r>
          </w:p>
        </w:tc>
        <w:tc>
          <w:tcPr>
            <w:tcW w:w="2552" w:type="dxa"/>
            <w:tcBorders>
              <w:top w:val="single" w:sz="6" w:space="0" w:color="auto"/>
              <w:left w:val="single" w:sz="6" w:space="0" w:color="auto"/>
              <w:bottom w:val="single" w:sz="6" w:space="0" w:color="auto"/>
              <w:right w:val="single" w:sz="6" w:space="0" w:color="auto"/>
            </w:tcBorders>
          </w:tcPr>
          <w:p w14:paraId="771F4CE8" w14:textId="77777777" w:rsidR="00165CEA" w:rsidRPr="000C2960" w:rsidRDefault="00165CEA" w:rsidP="005136D0">
            <w:pPr>
              <w:pStyle w:val="N3"/>
              <w:tabs>
                <w:tab w:val="clear" w:pos="170"/>
              </w:tabs>
              <w:spacing w:line="240" w:lineRule="atLeast"/>
              <w:rPr>
                <w:rFonts w:ascii="Times New Roman" w:hAnsi="Times New Roman"/>
                <w:sz w:val="20"/>
                <w:lang w:val="ru-RU"/>
              </w:rPr>
            </w:pPr>
            <w:r w:rsidRPr="000C2960">
              <w:rPr>
                <w:rFonts w:ascii="Times New Roman" w:hAnsi="Times New Roman"/>
                <w:sz w:val="20"/>
                <w:lang w:val="ru-RU"/>
              </w:rPr>
              <w:t>Виды защиты</w:t>
            </w:r>
          </w:p>
          <w:p w14:paraId="06D655C6" w14:textId="77777777" w:rsidR="00165CEA" w:rsidRPr="000C2960" w:rsidRDefault="00165CEA" w:rsidP="005136D0">
            <w:pPr>
              <w:pStyle w:val="N3"/>
              <w:tabs>
                <w:tab w:val="clear" w:pos="170"/>
              </w:tabs>
              <w:spacing w:after="120" w:line="240" w:lineRule="atLeast"/>
              <w:rPr>
                <w:rFonts w:ascii="Times New Roman" w:hAnsi="Times New Roman"/>
                <w:iCs/>
                <w:sz w:val="20"/>
                <w:lang w:val="ru-RU"/>
              </w:rPr>
            </w:pPr>
            <w:proofErr w:type="spellStart"/>
            <w:r w:rsidRPr="000C2960">
              <w:rPr>
                <w:rFonts w:ascii="Times New Roman" w:hAnsi="Times New Roman"/>
                <w:iCs/>
                <w:sz w:val="20"/>
                <w:lang w:val="ru-RU"/>
              </w:rPr>
              <w:t>EEx</w:t>
            </w:r>
            <w:proofErr w:type="spellEnd"/>
            <w:r w:rsidRPr="000C2960">
              <w:rPr>
                <w:rFonts w:ascii="Times New Roman" w:hAnsi="Times New Roman"/>
                <w:iCs/>
                <w:sz w:val="20"/>
                <w:lang w:val="ru-RU"/>
              </w:rPr>
              <w:t xml:space="preserve"> p, </w:t>
            </w:r>
            <w:proofErr w:type="spellStart"/>
            <w:r w:rsidRPr="000C2960">
              <w:rPr>
                <w:rFonts w:ascii="Times New Roman" w:hAnsi="Times New Roman"/>
                <w:iCs/>
                <w:sz w:val="20"/>
                <w:lang w:val="ru-RU"/>
              </w:rPr>
              <w:t>EEx</w:t>
            </w:r>
            <w:proofErr w:type="spellEnd"/>
            <w:r w:rsidRPr="000C2960">
              <w:rPr>
                <w:rFonts w:ascii="Times New Roman" w:hAnsi="Times New Roman"/>
                <w:iCs/>
                <w:sz w:val="20"/>
                <w:lang w:val="ru-RU"/>
              </w:rPr>
              <w:t xml:space="preserve"> q, стандарт IEC</w:t>
            </w:r>
          </w:p>
        </w:tc>
        <w:tc>
          <w:tcPr>
            <w:tcW w:w="5355" w:type="dxa"/>
            <w:tcBorders>
              <w:top w:val="single" w:sz="6" w:space="0" w:color="auto"/>
              <w:left w:val="single" w:sz="6" w:space="0" w:color="auto"/>
              <w:bottom w:val="single" w:sz="6" w:space="0" w:color="auto"/>
              <w:right w:val="single" w:sz="6" w:space="0" w:color="auto"/>
            </w:tcBorders>
          </w:tcPr>
          <w:p w14:paraId="67A53936" w14:textId="77777777" w:rsidR="00165CEA" w:rsidRPr="000C2960" w:rsidRDefault="00165CEA" w:rsidP="005136D0">
            <w:pPr>
              <w:pStyle w:val="N3"/>
              <w:spacing w:line="240" w:lineRule="atLeast"/>
              <w:jc w:val="center"/>
              <w:rPr>
                <w:rFonts w:ascii="Times New Roman" w:hAnsi="Times New Roman"/>
                <w:sz w:val="20"/>
                <w:lang w:val="ru-RU"/>
              </w:rPr>
            </w:pPr>
            <w:r w:rsidRPr="000C2960">
              <w:rPr>
                <w:rFonts w:ascii="Times New Roman" w:hAnsi="Times New Roman"/>
                <w:sz w:val="20"/>
                <w:lang w:val="ru-RU"/>
              </w:rPr>
              <w:t>Н.З.М. с 1 января 2023 года</w:t>
            </w:r>
          </w:p>
        </w:tc>
      </w:tr>
    </w:tbl>
    <w:p w14:paraId="72513106" w14:textId="1A3316EF" w:rsidR="00165CEA" w:rsidRPr="000C2960" w:rsidRDefault="00165CEA" w:rsidP="00165CEA">
      <w:pPr>
        <w:pStyle w:val="H23G"/>
      </w:pPr>
      <w:r w:rsidRPr="000C2960">
        <w:tab/>
        <w:t>f)</w:t>
      </w:r>
      <w:r w:rsidRPr="000C2960">
        <w:tab/>
        <w:t xml:space="preserve">В определениях </w:t>
      </w:r>
      <w:r w:rsidR="00F22588">
        <w:t>«</w:t>
      </w:r>
      <w:r w:rsidRPr="000C2960">
        <w:t>Категория оборудования</w:t>
      </w:r>
      <w:r w:rsidR="00F22588">
        <w:t>»</w:t>
      </w:r>
      <w:r w:rsidRPr="000C2960">
        <w:t xml:space="preserve"> (три раза) и </w:t>
      </w:r>
      <w:r w:rsidR="00F22588">
        <w:t>«</w:t>
      </w:r>
      <w:r w:rsidRPr="000C2960">
        <w:t>Уровень взрывозащиты оборудования</w:t>
      </w:r>
      <w:r w:rsidR="00F22588">
        <w:t>»</w:t>
      </w:r>
    </w:p>
    <w:p w14:paraId="2FD2AA2B" w14:textId="28EB125A" w:rsidR="00165CEA" w:rsidRPr="000C2960" w:rsidRDefault="00165CEA" w:rsidP="00165CEA">
      <w:pPr>
        <w:pStyle w:val="H4G"/>
      </w:pPr>
      <w:r w:rsidRPr="000C2960">
        <w:tab/>
      </w:r>
      <w:r w:rsidRPr="000C2960">
        <w:tab/>
      </w:r>
      <w:r w:rsidRPr="000C2960">
        <w:tab/>
        <w:t xml:space="preserve">Заменить </w:t>
      </w:r>
      <w:r w:rsidR="00F22588">
        <w:t>«</w:t>
      </w:r>
      <w:r w:rsidRPr="000C2960">
        <w:t>IEC 60079-0</w:t>
      </w:r>
      <w:r w:rsidR="00F22588">
        <w:t>»</w:t>
      </w:r>
      <w:r w:rsidRPr="000C2960">
        <w:t xml:space="preserve"> на </w:t>
      </w:r>
      <w:r w:rsidR="00F22588">
        <w:t>«</w:t>
      </w:r>
      <w:r w:rsidRPr="000C2960">
        <w:t>IEC 60079-0:2017+COR1:2020</w:t>
      </w:r>
      <w:r w:rsidR="00F22588">
        <w:t>»</w:t>
      </w:r>
      <w:r w:rsidRPr="000C2960">
        <w:t>.</w:t>
      </w:r>
    </w:p>
    <w:p w14:paraId="3FD6F82E" w14:textId="657C3F4A" w:rsidR="00165CEA" w:rsidRPr="000C2960" w:rsidRDefault="00165CEA" w:rsidP="00165CEA">
      <w:pPr>
        <w:pStyle w:val="H23G"/>
      </w:pPr>
      <w:r w:rsidRPr="000C2960">
        <w:tab/>
        <w:t>g)</w:t>
      </w:r>
      <w:r w:rsidRPr="000C2960">
        <w:tab/>
        <w:t xml:space="preserve">В определении </w:t>
      </w:r>
      <w:r w:rsidR="00F22588">
        <w:t>«</w:t>
      </w:r>
      <w:r w:rsidRPr="000C2960">
        <w:t>Электрооборудование, защищенное от водяных струй</w:t>
      </w:r>
      <w:r w:rsidR="00F22588">
        <w:t>»</w:t>
      </w:r>
    </w:p>
    <w:p w14:paraId="34FBDE45" w14:textId="74E73F07" w:rsidR="00165CEA" w:rsidRPr="000C2960" w:rsidRDefault="00165CEA" w:rsidP="00165CEA">
      <w:pPr>
        <w:pStyle w:val="H4G"/>
      </w:pPr>
      <w:r w:rsidRPr="000C2960">
        <w:tab/>
      </w:r>
      <w:r w:rsidRPr="000C2960">
        <w:tab/>
      </w:r>
      <w:r w:rsidRPr="000C2960">
        <w:tab/>
        <w:t xml:space="preserve">Заменить </w:t>
      </w:r>
      <w:r w:rsidR="00F22588">
        <w:t>«</w:t>
      </w:r>
      <w:r w:rsidRPr="000C2960">
        <w:t>издании МЭК 60529</w:t>
      </w:r>
      <w:r w:rsidR="00F22588">
        <w:t>»</w:t>
      </w:r>
      <w:r w:rsidRPr="000C2960">
        <w:t xml:space="preserve"> на </w:t>
      </w:r>
      <w:r w:rsidR="00F22588">
        <w:t>«</w:t>
      </w:r>
      <w:r w:rsidRPr="000C2960">
        <w:t>издании МЭК 60529:1989 + A1:1999 + A2:2013</w:t>
      </w:r>
      <w:r w:rsidR="00F22588">
        <w:t>»</w:t>
      </w:r>
      <w:r w:rsidRPr="000C2960">
        <w:t>.</w:t>
      </w:r>
    </w:p>
    <w:p w14:paraId="3D8AC393" w14:textId="3DD34EA8" w:rsidR="00165CEA" w:rsidRPr="000C2960" w:rsidRDefault="00165CEA" w:rsidP="00165CEA">
      <w:pPr>
        <w:pStyle w:val="SingleTxtG"/>
      </w:pPr>
      <w:r w:rsidRPr="000C2960">
        <w:t>42.</w:t>
      </w:r>
      <w:r w:rsidRPr="000C2960">
        <w:tab/>
        <w:t xml:space="preserve">Название стандарта: </w:t>
      </w:r>
      <w:r w:rsidR="00F22588">
        <w:t>«</w:t>
      </w:r>
      <w:r w:rsidRPr="000C2960">
        <w:t>Взрывоопасные среды</w:t>
      </w:r>
      <w:r w:rsidR="00794A3C" w:rsidRPr="00794A3C">
        <w:t xml:space="preserve"> </w:t>
      </w:r>
      <w:r w:rsidRPr="000C2960">
        <w:t>— Часть 0: Оборудование</w:t>
      </w:r>
      <w:r w:rsidR="00794A3C" w:rsidRPr="00794A3C">
        <w:t xml:space="preserve"> </w:t>
      </w:r>
      <w:r w:rsidRPr="000C2960">
        <w:t>— Общие технические требования</w:t>
      </w:r>
      <w:r w:rsidR="00F22588">
        <w:t>»</w:t>
      </w:r>
      <w:r w:rsidRPr="000C2960">
        <w:t>.</w:t>
      </w:r>
    </w:p>
    <w:p w14:paraId="0F7DB553" w14:textId="77777777" w:rsidR="00165CEA" w:rsidRPr="000C2960" w:rsidRDefault="00165CEA" w:rsidP="00165CEA">
      <w:pPr>
        <w:pStyle w:val="SingleTxtG"/>
      </w:pPr>
      <w:r w:rsidRPr="000C2960">
        <w:t>43.</w:t>
      </w:r>
      <w:r w:rsidRPr="000C2960">
        <w:tab/>
        <w:t>По сравнению с предыдущей редакцией, действовавшей на момент вступления в силу ВОПОГ, была добавлена только степень защиты IPX9 (испытание на устойчивость корпусов к высоконапорным очистителям), что не имеет значения в контексте ВОПОГ. Это не приводит к улучшению технической безопасности.</w:t>
      </w:r>
    </w:p>
    <w:p w14:paraId="64A1D93D" w14:textId="77777777" w:rsidR="00165CEA" w:rsidRPr="000C2960" w:rsidRDefault="00165CEA" w:rsidP="00165CEA">
      <w:pPr>
        <w:pStyle w:val="SingleTxtG"/>
      </w:pPr>
      <w:r w:rsidRPr="000C2960">
        <w:lastRenderedPageBreak/>
        <w:t>44.</w:t>
      </w:r>
      <w:r w:rsidRPr="000C2960">
        <w:tab/>
        <w:t>Динамическая ссылка была бы слишком неопределенной для тех, кто применяет Правила, поскольку не указано, какая версия стандарта должна применяться. Кроме того, законодатель должен сохранять за собой всю полноту регулирующей компетенции и не делегировать ее частным органам по стандартизации. Он должен сам определить (после оценки безопасности) конкретное содержание стандарта, который он хочет сделать применимым в ВОПОГ для всех лиц, применяющих Правила.</w:t>
      </w:r>
    </w:p>
    <w:p w14:paraId="3017D9D2" w14:textId="513D3B1B" w:rsidR="00165CEA" w:rsidRPr="000C2960" w:rsidRDefault="00165CEA" w:rsidP="00165CEA">
      <w:pPr>
        <w:pStyle w:val="SingleTxtG"/>
        <w:rPr>
          <w:bCs/>
        </w:rPr>
      </w:pPr>
      <w:r w:rsidRPr="000C2960">
        <w:t>45.</w:t>
      </w:r>
      <w:r w:rsidRPr="000C2960">
        <w:tab/>
        <w:t xml:space="preserve">Включить в </w:t>
      </w:r>
      <w:r w:rsidR="00F22588">
        <w:t>«</w:t>
      </w:r>
      <w:r w:rsidRPr="000C2960">
        <w:t>1.6.7.2.2.2 Таблица общих переходных положений</w:t>
      </w:r>
      <w:r w:rsidR="005136D0" w:rsidRPr="005136D0">
        <w:t xml:space="preserve"> </w:t>
      </w:r>
      <w:r w:rsidRPr="000C2960">
        <w:t>— танкеры</w:t>
      </w:r>
      <w:r w:rsidR="00F22588">
        <w:t>»</w:t>
      </w:r>
      <w:r w:rsidRPr="000C2960">
        <w:t xml:space="preserve"> следующее переходное положение</w:t>
      </w:r>
      <w:r w:rsidRPr="000C2960">
        <w:rPr>
          <w:bCs/>
        </w:rPr>
        <w:t>:</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165CEA" w:rsidRPr="000C2960" w14:paraId="08B814A5" w14:textId="77777777" w:rsidTr="005136D0">
        <w:trPr>
          <w:cantSplit/>
        </w:trPr>
        <w:tc>
          <w:tcPr>
            <w:tcW w:w="1207" w:type="dxa"/>
            <w:tcBorders>
              <w:top w:val="single" w:sz="6" w:space="0" w:color="auto"/>
              <w:left w:val="single" w:sz="6" w:space="0" w:color="auto"/>
              <w:bottom w:val="single" w:sz="6" w:space="0" w:color="auto"/>
              <w:right w:val="single" w:sz="6" w:space="0" w:color="auto"/>
            </w:tcBorders>
          </w:tcPr>
          <w:p w14:paraId="1E0C0CE8" w14:textId="77777777" w:rsidR="00165CEA" w:rsidRPr="000C2960" w:rsidRDefault="00165CEA" w:rsidP="005136D0">
            <w:pPr>
              <w:pStyle w:val="N3"/>
              <w:tabs>
                <w:tab w:val="clear" w:pos="170"/>
              </w:tabs>
              <w:suppressAutoHyphens/>
              <w:spacing w:line="240" w:lineRule="atLeast"/>
              <w:rPr>
                <w:rFonts w:ascii="Times New Roman" w:hAnsi="Times New Roman"/>
                <w:sz w:val="20"/>
                <w:lang w:val="ru-RU"/>
              </w:rPr>
            </w:pPr>
            <w:r w:rsidRPr="000C2960">
              <w:rPr>
                <w:rFonts w:ascii="Times New Roman" w:hAnsi="Times New Roman"/>
                <w:sz w:val="20"/>
                <w:lang w:val="ru-RU"/>
              </w:rPr>
              <w:t>1.2.1</w:t>
            </w:r>
          </w:p>
        </w:tc>
        <w:tc>
          <w:tcPr>
            <w:tcW w:w="2552" w:type="dxa"/>
            <w:tcBorders>
              <w:top w:val="single" w:sz="6" w:space="0" w:color="auto"/>
              <w:left w:val="single" w:sz="6" w:space="0" w:color="auto"/>
              <w:bottom w:val="single" w:sz="6" w:space="0" w:color="auto"/>
              <w:right w:val="single" w:sz="6" w:space="0" w:color="auto"/>
            </w:tcBorders>
          </w:tcPr>
          <w:p w14:paraId="4F57DBEC" w14:textId="77777777" w:rsidR="00165CEA" w:rsidRPr="000C2960" w:rsidRDefault="00165CEA" w:rsidP="005136D0">
            <w:pPr>
              <w:pStyle w:val="N3"/>
              <w:tabs>
                <w:tab w:val="clear" w:pos="170"/>
              </w:tabs>
              <w:suppressAutoHyphens/>
              <w:spacing w:after="120" w:line="240" w:lineRule="atLeast"/>
              <w:ind w:left="0" w:firstLine="0"/>
              <w:jc w:val="left"/>
              <w:rPr>
                <w:rFonts w:ascii="Times New Roman" w:hAnsi="Times New Roman"/>
                <w:sz w:val="20"/>
                <w:lang w:val="ru-RU"/>
              </w:rPr>
            </w:pPr>
            <w:r w:rsidRPr="000C2960">
              <w:rPr>
                <w:rFonts w:ascii="Times New Roman" w:hAnsi="Times New Roman"/>
                <w:sz w:val="20"/>
                <w:lang w:val="ru-RU"/>
              </w:rPr>
              <w:t>Электрооборудование, защищенное от водяных струй</w:t>
            </w:r>
          </w:p>
          <w:p w14:paraId="789CDD0C" w14:textId="459250C4" w:rsidR="00165CEA" w:rsidRPr="000C2960" w:rsidRDefault="00165CEA" w:rsidP="005136D0">
            <w:pPr>
              <w:pStyle w:val="N3"/>
              <w:tabs>
                <w:tab w:val="clear" w:pos="170"/>
              </w:tabs>
              <w:suppressAutoHyphens/>
              <w:spacing w:after="120" w:line="240" w:lineRule="atLeast"/>
              <w:ind w:left="0" w:firstLine="0"/>
              <w:jc w:val="left"/>
              <w:rPr>
                <w:rFonts w:ascii="Times New Roman" w:hAnsi="Times New Roman"/>
                <w:sz w:val="20"/>
                <w:lang w:val="ru-RU"/>
              </w:rPr>
            </w:pPr>
            <w:r w:rsidRPr="000C2960">
              <w:rPr>
                <w:rFonts w:ascii="Times New Roman" w:hAnsi="Times New Roman"/>
                <w:sz w:val="20"/>
                <w:lang w:val="ru-RU"/>
              </w:rPr>
              <w:t>CEI 60529:1989 + A1:1999 + A2:2013</w:t>
            </w:r>
          </w:p>
        </w:tc>
        <w:tc>
          <w:tcPr>
            <w:tcW w:w="5355" w:type="dxa"/>
            <w:tcBorders>
              <w:top w:val="single" w:sz="6" w:space="0" w:color="auto"/>
              <w:left w:val="single" w:sz="6" w:space="0" w:color="auto"/>
              <w:bottom w:val="single" w:sz="6" w:space="0" w:color="auto"/>
              <w:right w:val="single" w:sz="6" w:space="0" w:color="auto"/>
            </w:tcBorders>
          </w:tcPr>
          <w:p w14:paraId="34D92047" w14:textId="77777777" w:rsidR="00165CEA" w:rsidRPr="000C2960" w:rsidRDefault="00165CEA" w:rsidP="005136D0">
            <w:pPr>
              <w:pStyle w:val="N3"/>
              <w:suppressAutoHyphens/>
              <w:spacing w:line="240" w:lineRule="atLeast"/>
              <w:jc w:val="center"/>
              <w:rPr>
                <w:rFonts w:ascii="Times New Roman" w:hAnsi="Times New Roman"/>
                <w:sz w:val="20"/>
                <w:lang w:val="ru-RU"/>
              </w:rPr>
            </w:pPr>
            <w:r w:rsidRPr="000C2960">
              <w:rPr>
                <w:rFonts w:ascii="Times New Roman" w:hAnsi="Times New Roman"/>
                <w:sz w:val="20"/>
                <w:lang w:val="ru-RU"/>
              </w:rPr>
              <w:t>Н.З.М. с 1 января 2023 года</w:t>
            </w:r>
          </w:p>
        </w:tc>
      </w:tr>
    </w:tbl>
    <w:p w14:paraId="18FCB10C" w14:textId="2F892EF0" w:rsidR="00165CEA" w:rsidRPr="000C2960" w:rsidRDefault="00165CEA" w:rsidP="00165CEA">
      <w:pPr>
        <w:pStyle w:val="H23G"/>
      </w:pPr>
      <w:r w:rsidRPr="000C2960">
        <w:tab/>
        <w:t>h)</w:t>
      </w:r>
      <w:r w:rsidRPr="000C2960">
        <w:tab/>
        <w:t xml:space="preserve">В определении </w:t>
      </w:r>
      <w:r w:rsidR="00F22588">
        <w:t>«</w:t>
      </w:r>
      <w:r w:rsidRPr="000C2960">
        <w:t>Группа/подгруппа взрывоопасности</w:t>
      </w:r>
    </w:p>
    <w:p w14:paraId="3120C831" w14:textId="7A19275F" w:rsidR="00165CEA" w:rsidRPr="000C2960" w:rsidRDefault="00165CEA" w:rsidP="00165CEA">
      <w:pPr>
        <w:pStyle w:val="H4G"/>
      </w:pPr>
      <w:r w:rsidRPr="000C2960">
        <w:tab/>
      </w:r>
      <w:r w:rsidRPr="000C2960">
        <w:tab/>
        <w:t xml:space="preserve">Заменить </w:t>
      </w:r>
      <w:r w:rsidR="00F22588">
        <w:t>«</w:t>
      </w:r>
      <w:bookmarkStart w:id="10" w:name="_Hlk85204730"/>
      <w:r w:rsidRPr="000C2960">
        <w:t>IEC 60079-0:2012</w:t>
      </w:r>
      <w:bookmarkEnd w:id="10"/>
      <w:r w:rsidR="00F22588">
        <w:t>»</w:t>
      </w:r>
      <w:r w:rsidRPr="000C2960">
        <w:t xml:space="preserve"> на </w:t>
      </w:r>
      <w:r w:rsidR="00F22588">
        <w:t>«</w:t>
      </w:r>
      <w:r w:rsidRPr="000C2960">
        <w:t>IEC 60079-0:2017+COR1:2020</w:t>
      </w:r>
      <w:r w:rsidR="00F22588">
        <w:t>»</w:t>
      </w:r>
      <w:r w:rsidRPr="000C2960">
        <w:t>.</w:t>
      </w:r>
    </w:p>
    <w:p w14:paraId="51ACC76E" w14:textId="73CB7A9F" w:rsidR="00165CEA" w:rsidRPr="000C2960" w:rsidRDefault="00165CEA" w:rsidP="00165CEA">
      <w:pPr>
        <w:pStyle w:val="SingleTxtG"/>
      </w:pPr>
      <w:r w:rsidRPr="000C2960">
        <w:t>46.</w:t>
      </w:r>
      <w:r w:rsidRPr="000C2960">
        <w:tab/>
        <w:t xml:space="preserve">Название стандарта: </w:t>
      </w:r>
      <w:r w:rsidR="00F22588">
        <w:t>«</w:t>
      </w:r>
      <w:r w:rsidRPr="000C2960">
        <w:t>Взрывоопасные среды</w:t>
      </w:r>
      <w:r w:rsidR="005136D0" w:rsidRPr="005136D0">
        <w:t xml:space="preserve"> </w:t>
      </w:r>
      <w:r w:rsidRPr="000C2960">
        <w:t>— Часть 0: Оборудование</w:t>
      </w:r>
      <w:r w:rsidR="005136D0" w:rsidRPr="005136D0">
        <w:t xml:space="preserve"> </w:t>
      </w:r>
      <w:r w:rsidRPr="000C2960">
        <w:t>— Общие технические требования</w:t>
      </w:r>
      <w:r w:rsidR="00F22588">
        <w:t>»</w:t>
      </w:r>
      <w:r w:rsidRPr="000C2960">
        <w:t>.</w:t>
      </w:r>
    </w:p>
    <w:p w14:paraId="6C6BB9AC" w14:textId="77777777" w:rsidR="00165CEA" w:rsidRPr="000C2960" w:rsidRDefault="00165CEA" w:rsidP="00165CEA">
      <w:pPr>
        <w:pStyle w:val="SingleTxtG"/>
      </w:pPr>
      <w:r w:rsidRPr="000C2960">
        <w:t>47.</w:t>
      </w:r>
      <w:r w:rsidRPr="000C2960">
        <w:tab/>
        <w:t>Указанный стандарт является устаревшим. В содержание внесены существенные изменения.</w:t>
      </w:r>
    </w:p>
    <w:p w14:paraId="7BBEFF34" w14:textId="77777777" w:rsidR="00165CEA" w:rsidRPr="000C2960" w:rsidRDefault="00165CEA" w:rsidP="00165CEA">
      <w:pPr>
        <w:pStyle w:val="SingleTxtG"/>
      </w:pPr>
      <w:r w:rsidRPr="000C2960">
        <w:t>48.</w:t>
      </w:r>
      <w:r w:rsidRPr="000C2960">
        <w:tab/>
        <w:t>Приобрести элементы оборудования для постройки новых судов или сменные элементы оборудования для судов, находящихся в эксплуатации, которые соответствуют старой редакции стандарта, уже невозможно. Нет никаких известных причин делать вывод о том, что текущая версия не подходит для ВОПОГ.</w:t>
      </w:r>
    </w:p>
    <w:p w14:paraId="69517AAE" w14:textId="14D9932C" w:rsidR="00165CEA" w:rsidRPr="000C2960" w:rsidRDefault="00165CEA" w:rsidP="00165CEA">
      <w:pPr>
        <w:pStyle w:val="SingleTxtG"/>
        <w:rPr>
          <w:bCs/>
        </w:rPr>
      </w:pPr>
      <w:r w:rsidRPr="000C2960">
        <w:t>49.</w:t>
      </w:r>
      <w:r w:rsidRPr="000C2960">
        <w:tab/>
        <w:t xml:space="preserve">Включить в </w:t>
      </w:r>
      <w:r w:rsidR="00F22588">
        <w:t>«</w:t>
      </w:r>
      <w:r w:rsidRPr="000C2960">
        <w:t>1.6.7.2.2.2 Таблица общих переходных положений</w:t>
      </w:r>
      <w:r w:rsidR="005136D0" w:rsidRPr="005136D0">
        <w:t xml:space="preserve"> </w:t>
      </w:r>
      <w:r w:rsidRPr="000C2960">
        <w:t>— танкеры</w:t>
      </w:r>
      <w:r w:rsidR="00F22588">
        <w:t>»</w:t>
      </w:r>
      <w:r w:rsidRPr="000C2960">
        <w:t xml:space="preserve"> следующее переходное положение</w:t>
      </w:r>
      <w:r w:rsidRPr="000C2960">
        <w:rPr>
          <w:bCs/>
        </w:rPr>
        <w:t>:</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165CEA" w:rsidRPr="000C2960" w14:paraId="29C45B48" w14:textId="77777777" w:rsidTr="005136D0">
        <w:trPr>
          <w:cantSplit/>
        </w:trPr>
        <w:tc>
          <w:tcPr>
            <w:tcW w:w="1207" w:type="dxa"/>
            <w:tcBorders>
              <w:top w:val="single" w:sz="6" w:space="0" w:color="auto"/>
              <w:left w:val="single" w:sz="6" w:space="0" w:color="auto"/>
              <w:bottom w:val="single" w:sz="6" w:space="0" w:color="auto"/>
              <w:right w:val="single" w:sz="6" w:space="0" w:color="auto"/>
            </w:tcBorders>
          </w:tcPr>
          <w:p w14:paraId="75DC4ABC" w14:textId="77777777" w:rsidR="00165CEA" w:rsidRPr="000C2960" w:rsidRDefault="00165CEA" w:rsidP="005136D0">
            <w:pPr>
              <w:pStyle w:val="N3"/>
              <w:tabs>
                <w:tab w:val="clear" w:pos="170"/>
              </w:tabs>
              <w:suppressAutoHyphens/>
              <w:spacing w:before="60" w:after="60" w:line="240" w:lineRule="atLeast"/>
              <w:rPr>
                <w:rFonts w:ascii="Times New Roman" w:hAnsi="Times New Roman"/>
                <w:sz w:val="20"/>
                <w:lang w:val="ru-RU"/>
              </w:rPr>
            </w:pPr>
            <w:r w:rsidRPr="000C2960">
              <w:rPr>
                <w:rFonts w:ascii="Times New Roman" w:hAnsi="Times New Roman"/>
                <w:sz w:val="20"/>
                <w:lang w:val="ru-RU"/>
              </w:rPr>
              <w:t>1.2.1</w:t>
            </w:r>
          </w:p>
        </w:tc>
        <w:tc>
          <w:tcPr>
            <w:tcW w:w="2552" w:type="dxa"/>
            <w:tcBorders>
              <w:top w:val="single" w:sz="6" w:space="0" w:color="auto"/>
              <w:left w:val="single" w:sz="6" w:space="0" w:color="auto"/>
              <w:bottom w:val="single" w:sz="6" w:space="0" w:color="auto"/>
              <w:right w:val="single" w:sz="6" w:space="0" w:color="auto"/>
            </w:tcBorders>
          </w:tcPr>
          <w:p w14:paraId="1F2C1339" w14:textId="77777777" w:rsidR="00165CEA" w:rsidRPr="000C2960" w:rsidRDefault="00165CEA" w:rsidP="005136D0">
            <w:pPr>
              <w:tabs>
                <w:tab w:val="left" w:pos="567"/>
              </w:tabs>
            </w:pPr>
            <w:r w:rsidRPr="000C2960">
              <w:t>Группа взрывоопасности</w:t>
            </w:r>
          </w:p>
          <w:p w14:paraId="4AFA3E3A" w14:textId="69286E40" w:rsidR="00165CEA" w:rsidRPr="000C2960" w:rsidRDefault="00165CEA" w:rsidP="005136D0">
            <w:pPr>
              <w:tabs>
                <w:tab w:val="left" w:pos="567"/>
              </w:tabs>
            </w:pPr>
            <w:r w:rsidRPr="000C2960">
              <w:t>CEI 60079-0:2017+</w:t>
            </w:r>
            <w:r w:rsidR="005136D0">
              <w:br/>
            </w:r>
            <w:r w:rsidRPr="000C2960">
              <w:t>COR1:2020</w:t>
            </w:r>
          </w:p>
        </w:tc>
        <w:tc>
          <w:tcPr>
            <w:tcW w:w="5355" w:type="dxa"/>
            <w:tcBorders>
              <w:top w:val="single" w:sz="6" w:space="0" w:color="auto"/>
              <w:left w:val="single" w:sz="6" w:space="0" w:color="auto"/>
              <w:bottom w:val="single" w:sz="6" w:space="0" w:color="auto"/>
              <w:right w:val="single" w:sz="6" w:space="0" w:color="auto"/>
            </w:tcBorders>
          </w:tcPr>
          <w:p w14:paraId="7D3214CD" w14:textId="77777777" w:rsidR="00165CEA" w:rsidRPr="000C2960" w:rsidRDefault="00165CEA" w:rsidP="005136D0">
            <w:pPr>
              <w:pStyle w:val="N3"/>
              <w:tabs>
                <w:tab w:val="clear" w:pos="170"/>
              </w:tabs>
              <w:suppressAutoHyphens/>
              <w:spacing w:line="240" w:lineRule="atLeast"/>
              <w:ind w:left="0" w:firstLine="0"/>
              <w:jc w:val="center"/>
              <w:rPr>
                <w:rFonts w:ascii="Times New Roman" w:hAnsi="Times New Roman"/>
                <w:sz w:val="20"/>
                <w:lang w:val="ru-RU"/>
              </w:rPr>
            </w:pPr>
            <w:r w:rsidRPr="000C2960">
              <w:rPr>
                <w:rFonts w:ascii="Times New Roman" w:hAnsi="Times New Roman"/>
                <w:sz w:val="20"/>
                <w:lang w:val="ru-RU"/>
              </w:rPr>
              <w:t>Н.З.М. с 1 января 2023 года</w:t>
            </w:r>
          </w:p>
          <w:p w14:paraId="05550598" w14:textId="1C6D47A8" w:rsidR="00165CEA" w:rsidRPr="000C2960" w:rsidRDefault="00165CEA" w:rsidP="005136D0">
            <w:pPr>
              <w:pStyle w:val="N3"/>
              <w:tabs>
                <w:tab w:val="clear" w:pos="170"/>
              </w:tabs>
              <w:suppressAutoHyphens/>
              <w:spacing w:before="60" w:after="60" w:line="240" w:lineRule="atLeast"/>
              <w:ind w:left="0" w:firstLine="0"/>
              <w:jc w:val="center"/>
              <w:rPr>
                <w:rFonts w:ascii="Times New Roman" w:hAnsi="Times New Roman"/>
                <w:sz w:val="20"/>
                <w:lang w:val="ru-RU"/>
              </w:rPr>
            </w:pPr>
            <w:r w:rsidRPr="000C2960">
              <w:rPr>
                <w:rFonts w:ascii="Times New Roman" w:hAnsi="Times New Roman"/>
                <w:sz w:val="20"/>
                <w:lang w:val="ru-RU"/>
              </w:rPr>
              <w:t xml:space="preserve">Возобновление свидетельства о допущении </w:t>
            </w:r>
            <w:r w:rsidR="005136D0">
              <w:rPr>
                <w:rFonts w:ascii="Times New Roman" w:hAnsi="Times New Roman"/>
                <w:sz w:val="20"/>
                <w:lang w:val="ru-RU"/>
              </w:rPr>
              <w:br/>
            </w:r>
            <w:r w:rsidRPr="000C2960">
              <w:rPr>
                <w:rFonts w:ascii="Times New Roman" w:hAnsi="Times New Roman"/>
                <w:sz w:val="20"/>
                <w:lang w:val="ru-RU"/>
              </w:rPr>
              <w:t>после 31 декабря 2026 года</w:t>
            </w:r>
          </w:p>
        </w:tc>
      </w:tr>
    </w:tbl>
    <w:p w14:paraId="6CEEA26F" w14:textId="77777777" w:rsidR="00165CEA" w:rsidRPr="000C2960" w:rsidRDefault="00165CEA" w:rsidP="00165CEA">
      <w:pPr>
        <w:pStyle w:val="SingleTxtG"/>
        <w:spacing w:before="120"/>
      </w:pPr>
      <w:r w:rsidRPr="000C2960">
        <w:t>50.</w:t>
      </w:r>
      <w:r w:rsidRPr="000C2960">
        <w:tab/>
        <w:t>В измененном стандарте содержатся элементы, относящиеся к безопасности. Поэтому замена оборудования необходима для поддержания максимально возможного уровня безопасности. Для организации необходимой замены достаточно переходного периода от трех до восьми лет с момента принятия поправки.</w:t>
      </w:r>
    </w:p>
    <w:p w14:paraId="19DA6EE4" w14:textId="74FAC6E0" w:rsidR="00165CEA" w:rsidRPr="000C2960" w:rsidRDefault="00165CEA" w:rsidP="00165CEA">
      <w:pPr>
        <w:pStyle w:val="H23G"/>
      </w:pPr>
      <w:r w:rsidRPr="000C2960">
        <w:tab/>
        <w:t>i)</w:t>
      </w:r>
      <w:r w:rsidRPr="000C2960">
        <w:tab/>
        <w:t xml:space="preserve">В определении </w:t>
      </w:r>
      <w:r w:rsidR="00F22588">
        <w:t>«</w:t>
      </w:r>
      <w:r w:rsidRPr="000C2960">
        <w:t>Виды взрывозащиты</w:t>
      </w:r>
      <w:r w:rsidR="00F22588">
        <w:t>»</w:t>
      </w:r>
      <w:r w:rsidRPr="000C2960">
        <w:t xml:space="preserve">, в разделе </w:t>
      </w:r>
      <w:r w:rsidR="00F22588">
        <w:t>«</w:t>
      </w:r>
      <w:r w:rsidRPr="000C2960">
        <w:t>Электрооборудование</w:t>
      </w:r>
      <w:r w:rsidR="00F22588">
        <w:t>»</w:t>
      </w:r>
    </w:p>
    <w:p w14:paraId="6BDCF053" w14:textId="1931435A" w:rsidR="00165CEA" w:rsidRPr="000C2960" w:rsidRDefault="00165CEA" w:rsidP="00165CEA">
      <w:pPr>
        <w:pStyle w:val="H4G"/>
      </w:pPr>
      <w:r w:rsidRPr="000C2960">
        <w:tab/>
      </w:r>
      <w:r w:rsidRPr="000C2960">
        <w:tab/>
        <w:t xml:space="preserve">В разделе </w:t>
      </w:r>
      <w:r w:rsidR="00F22588">
        <w:t>«</w:t>
      </w:r>
      <w:r w:rsidRPr="000C2960">
        <w:t>Электрооборудование</w:t>
      </w:r>
      <w:r w:rsidR="00F22588">
        <w:t>»</w:t>
      </w:r>
      <w:r w:rsidRPr="000C2960">
        <w:t xml:space="preserve"> заменить </w:t>
      </w:r>
      <w:r w:rsidR="00F22588">
        <w:t>«</w:t>
      </w:r>
      <w:r w:rsidRPr="000C2960">
        <w:t>IEC 60079-0:2014</w:t>
      </w:r>
      <w:r w:rsidR="00F22588">
        <w:t>»</w:t>
      </w:r>
      <w:r w:rsidRPr="000C2960">
        <w:t xml:space="preserve"> </w:t>
      </w:r>
      <w:r w:rsidR="005136D0">
        <w:br/>
      </w:r>
      <w:r w:rsidRPr="000C2960">
        <w:t xml:space="preserve">на </w:t>
      </w:r>
      <w:r w:rsidR="00F22588">
        <w:t>«</w:t>
      </w:r>
      <w:r w:rsidRPr="000C2960">
        <w:t>IEC 60079-0:2017+COR1:2020</w:t>
      </w:r>
      <w:r w:rsidR="00F22588">
        <w:t>»</w:t>
      </w:r>
      <w:r w:rsidRPr="000C2960">
        <w:t>.</w:t>
      </w:r>
    </w:p>
    <w:p w14:paraId="15FC95A5" w14:textId="3D146DA3" w:rsidR="00165CEA" w:rsidRPr="000C2960" w:rsidRDefault="00165CEA" w:rsidP="00165CEA">
      <w:pPr>
        <w:pStyle w:val="SingleTxtG"/>
      </w:pPr>
      <w:r w:rsidRPr="000C2960">
        <w:t>51.</w:t>
      </w:r>
      <w:r w:rsidRPr="000C2960">
        <w:tab/>
        <w:t xml:space="preserve">Название стандарта: </w:t>
      </w:r>
      <w:r w:rsidR="00F22588">
        <w:t>«</w:t>
      </w:r>
      <w:r w:rsidRPr="000C2960">
        <w:t>Взрывоопасные среды</w:t>
      </w:r>
      <w:r w:rsidR="005136D0" w:rsidRPr="005136D0">
        <w:t xml:space="preserve"> </w:t>
      </w:r>
      <w:r w:rsidRPr="000C2960">
        <w:t>— Часть 0: Оборудование</w:t>
      </w:r>
      <w:r w:rsidR="005136D0" w:rsidRPr="005136D0">
        <w:t xml:space="preserve"> </w:t>
      </w:r>
      <w:r w:rsidRPr="000C2960">
        <w:t>— Общие технические требования</w:t>
      </w:r>
      <w:r w:rsidR="00F22588">
        <w:t>»</w:t>
      </w:r>
      <w:r w:rsidRPr="000C2960">
        <w:t>.</w:t>
      </w:r>
    </w:p>
    <w:p w14:paraId="1605873A" w14:textId="77777777" w:rsidR="00165CEA" w:rsidRPr="000C2960" w:rsidRDefault="00165CEA" w:rsidP="00165CEA">
      <w:pPr>
        <w:pStyle w:val="SingleTxtG"/>
      </w:pPr>
      <w:r w:rsidRPr="000C2960">
        <w:t>52.</w:t>
      </w:r>
      <w:r w:rsidRPr="000C2960">
        <w:tab/>
        <w:t>Указанный стандарт является устаревшим. В содержание внесены существенные изменения.</w:t>
      </w:r>
    </w:p>
    <w:p w14:paraId="6D217CF5" w14:textId="77777777" w:rsidR="00165CEA" w:rsidRPr="000C2960" w:rsidRDefault="00165CEA" w:rsidP="00165CEA">
      <w:pPr>
        <w:pStyle w:val="SingleTxtG"/>
      </w:pPr>
      <w:r w:rsidRPr="000C2960">
        <w:t>53.</w:t>
      </w:r>
      <w:r w:rsidRPr="000C2960">
        <w:tab/>
        <w:t>Приобрести элементы оборудования для постройки новых судов или сменные элементы оборудования для судов, находящихся в эксплуатации, которые соответствуют старой редакции стандарта, уже невозможно. Нет никаких известных причин делать вывод о том, что текущая версия не подходит для ВОПОГ.</w:t>
      </w:r>
    </w:p>
    <w:p w14:paraId="38C3A862" w14:textId="598A0E94" w:rsidR="00165CEA" w:rsidRPr="000C2960" w:rsidRDefault="00165CEA" w:rsidP="00165CEA">
      <w:pPr>
        <w:pStyle w:val="SingleTxtG"/>
      </w:pPr>
      <w:r w:rsidRPr="000C2960">
        <w:t>54.</w:t>
      </w:r>
      <w:r w:rsidRPr="000C2960">
        <w:tab/>
        <w:t xml:space="preserve">Включить в </w:t>
      </w:r>
      <w:r w:rsidR="00F22588">
        <w:t>«</w:t>
      </w:r>
      <w:r w:rsidRPr="000C2960">
        <w:t>1.6.7.2.2.2 Таблица общих переходных положений</w:t>
      </w:r>
      <w:r w:rsidR="005136D0" w:rsidRPr="005136D0">
        <w:t xml:space="preserve"> </w:t>
      </w:r>
      <w:r w:rsidRPr="000C2960">
        <w:t>— танкеры</w:t>
      </w:r>
      <w:r w:rsidR="00F22588">
        <w:t>»</w:t>
      </w:r>
      <w:r w:rsidRPr="000C2960">
        <w:t xml:space="preserve"> следующее переходное положение:</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165CEA" w:rsidRPr="000C2960" w14:paraId="05E85950" w14:textId="77777777" w:rsidTr="005136D0">
        <w:trPr>
          <w:cantSplit/>
        </w:trPr>
        <w:tc>
          <w:tcPr>
            <w:tcW w:w="1207" w:type="dxa"/>
            <w:tcBorders>
              <w:top w:val="single" w:sz="6" w:space="0" w:color="auto"/>
              <w:left w:val="single" w:sz="6" w:space="0" w:color="auto"/>
              <w:bottom w:val="single" w:sz="6" w:space="0" w:color="auto"/>
              <w:right w:val="single" w:sz="6" w:space="0" w:color="auto"/>
            </w:tcBorders>
          </w:tcPr>
          <w:p w14:paraId="451F884D" w14:textId="77777777" w:rsidR="00165CEA" w:rsidRPr="000C2960" w:rsidRDefault="00165CEA" w:rsidP="005136D0">
            <w:pPr>
              <w:pStyle w:val="N3"/>
              <w:tabs>
                <w:tab w:val="clear" w:pos="170"/>
              </w:tabs>
              <w:suppressAutoHyphens/>
              <w:spacing w:before="60" w:after="60" w:line="240" w:lineRule="atLeast"/>
              <w:rPr>
                <w:rFonts w:ascii="Times New Roman" w:hAnsi="Times New Roman"/>
                <w:sz w:val="20"/>
                <w:lang w:val="ru-RU"/>
              </w:rPr>
            </w:pPr>
            <w:r w:rsidRPr="000C2960">
              <w:rPr>
                <w:rFonts w:ascii="Times New Roman" w:hAnsi="Times New Roman"/>
                <w:sz w:val="20"/>
                <w:lang w:val="ru-RU"/>
              </w:rPr>
              <w:lastRenderedPageBreak/>
              <w:t>1.2.1</w:t>
            </w:r>
          </w:p>
        </w:tc>
        <w:tc>
          <w:tcPr>
            <w:tcW w:w="2552" w:type="dxa"/>
            <w:tcBorders>
              <w:top w:val="single" w:sz="6" w:space="0" w:color="auto"/>
              <w:left w:val="single" w:sz="6" w:space="0" w:color="auto"/>
              <w:bottom w:val="single" w:sz="6" w:space="0" w:color="auto"/>
              <w:right w:val="single" w:sz="6" w:space="0" w:color="auto"/>
            </w:tcBorders>
          </w:tcPr>
          <w:p w14:paraId="73302211" w14:textId="29796F1E" w:rsidR="00165CEA" w:rsidRPr="000C2960" w:rsidRDefault="00165CEA" w:rsidP="00C330AF">
            <w:pPr>
              <w:tabs>
                <w:tab w:val="left" w:pos="567"/>
              </w:tabs>
              <w:spacing w:after="120"/>
            </w:pPr>
            <w:r w:rsidRPr="000C2960">
              <w:t>Виды взрывозащиты, электрооборудование</w:t>
            </w:r>
            <w:r w:rsidR="00057686">
              <w:br/>
            </w:r>
            <w:r w:rsidRPr="000C2960">
              <w:t>CEI 60079-0:2017+</w:t>
            </w:r>
            <w:r w:rsidR="00057686">
              <w:br/>
            </w:r>
            <w:r w:rsidRPr="000C2960">
              <w:t>COR1:2020</w:t>
            </w:r>
          </w:p>
        </w:tc>
        <w:tc>
          <w:tcPr>
            <w:tcW w:w="5355" w:type="dxa"/>
            <w:tcBorders>
              <w:top w:val="single" w:sz="6" w:space="0" w:color="auto"/>
              <w:left w:val="single" w:sz="6" w:space="0" w:color="auto"/>
              <w:bottom w:val="single" w:sz="6" w:space="0" w:color="auto"/>
              <w:right w:val="single" w:sz="6" w:space="0" w:color="auto"/>
            </w:tcBorders>
          </w:tcPr>
          <w:p w14:paraId="1897DFF0" w14:textId="77777777" w:rsidR="00165CEA" w:rsidRPr="000C2960" w:rsidRDefault="00165CEA" w:rsidP="005136D0">
            <w:pPr>
              <w:pStyle w:val="N3"/>
              <w:suppressAutoHyphens/>
              <w:spacing w:line="240" w:lineRule="atLeast"/>
              <w:jc w:val="center"/>
              <w:rPr>
                <w:rFonts w:ascii="Times New Roman" w:hAnsi="Times New Roman"/>
                <w:sz w:val="20"/>
                <w:lang w:val="ru-RU"/>
              </w:rPr>
            </w:pPr>
            <w:r w:rsidRPr="000C2960">
              <w:rPr>
                <w:rFonts w:ascii="Times New Roman" w:hAnsi="Times New Roman"/>
                <w:sz w:val="20"/>
                <w:lang w:val="ru-RU"/>
              </w:rPr>
              <w:t>Н.З.М. с 1 января 2023 года</w:t>
            </w:r>
          </w:p>
          <w:p w14:paraId="1576B41C" w14:textId="205E3A28" w:rsidR="00165CEA" w:rsidRPr="000C2960" w:rsidRDefault="00165CEA" w:rsidP="005136D0">
            <w:pPr>
              <w:pStyle w:val="N3"/>
              <w:tabs>
                <w:tab w:val="clear" w:pos="170"/>
              </w:tabs>
              <w:suppressAutoHyphens/>
              <w:spacing w:before="60" w:after="60" w:line="240" w:lineRule="atLeast"/>
              <w:ind w:left="0" w:firstLine="0"/>
              <w:jc w:val="center"/>
              <w:rPr>
                <w:rFonts w:ascii="Times New Roman" w:hAnsi="Times New Roman"/>
                <w:sz w:val="20"/>
                <w:lang w:val="ru-RU"/>
              </w:rPr>
            </w:pPr>
            <w:r w:rsidRPr="000C2960">
              <w:rPr>
                <w:rFonts w:ascii="Times New Roman" w:hAnsi="Times New Roman"/>
                <w:sz w:val="20"/>
                <w:lang w:val="ru-RU"/>
              </w:rPr>
              <w:t xml:space="preserve">Возобновление свидетельства о допущении </w:t>
            </w:r>
            <w:r w:rsidR="005136D0">
              <w:rPr>
                <w:rFonts w:ascii="Times New Roman" w:hAnsi="Times New Roman"/>
                <w:sz w:val="20"/>
                <w:lang w:val="ru-RU"/>
              </w:rPr>
              <w:br/>
            </w:r>
            <w:r w:rsidRPr="000C2960">
              <w:rPr>
                <w:rFonts w:ascii="Times New Roman" w:hAnsi="Times New Roman"/>
                <w:sz w:val="20"/>
                <w:lang w:val="ru-RU"/>
              </w:rPr>
              <w:t>после 31 декабря 2026 года</w:t>
            </w:r>
          </w:p>
        </w:tc>
      </w:tr>
    </w:tbl>
    <w:p w14:paraId="3DB6FBF3" w14:textId="77777777" w:rsidR="00165CEA" w:rsidRPr="000C2960" w:rsidRDefault="00165CEA" w:rsidP="00165CEA">
      <w:pPr>
        <w:pStyle w:val="SingleTxtG"/>
        <w:spacing w:before="120"/>
      </w:pPr>
      <w:r w:rsidRPr="000C2960">
        <w:t>55.</w:t>
      </w:r>
      <w:r w:rsidRPr="000C2960">
        <w:tab/>
        <w:t>В измененном стандарте содержатся элементы, относящиеся к безопасности. Поэтому его применение необходимо для электрооборудования с целью поддержания максимально возможного уровня безопасности. Для организации необходимой замены достаточно переходного периода от трех до восьми лет с момента принятия поправки.</w:t>
      </w:r>
    </w:p>
    <w:p w14:paraId="2FEC615C" w14:textId="7D67D711" w:rsidR="00165CEA" w:rsidRPr="000C2960" w:rsidRDefault="00165CEA" w:rsidP="00165CEA">
      <w:pPr>
        <w:pStyle w:val="H23G"/>
      </w:pPr>
      <w:r w:rsidRPr="000C2960">
        <w:tab/>
        <w:t>j)</w:t>
      </w:r>
      <w:r w:rsidRPr="000C2960">
        <w:tab/>
      </w:r>
      <w:bookmarkStart w:id="11" w:name="_Hlk84254893"/>
      <w:r w:rsidRPr="000C2960">
        <w:t xml:space="preserve">В определении </w:t>
      </w:r>
      <w:r w:rsidR="00F22588">
        <w:t>«</w:t>
      </w:r>
      <w:r w:rsidRPr="000C2960">
        <w:t>Виды взрывозащиты</w:t>
      </w:r>
      <w:r w:rsidR="00F22588">
        <w:t>»</w:t>
      </w:r>
      <w:r w:rsidRPr="000C2960">
        <w:t xml:space="preserve">, в разделе </w:t>
      </w:r>
      <w:r w:rsidR="00F22588">
        <w:t>«</w:t>
      </w:r>
      <w:r w:rsidRPr="000C2960">
        <w:t>Неэлектрическое оборудование</w:t>
      </w:r>
      <w:r w:rsidR="00F22588">
        <w:t>»</w:t>
      </w:r>
    </w:p>
    <w:bookmarkEnd w:id="11"/>
    <w:p w14:paraId="1A5FD639" w14:textId="2CC9A4BA" w:rsidR="00165CEA" w:rsidRPr="000C2960" w:rsidRDefault="00165CEA" w:rsidP="00165CEA">
      <w:pPr>
        <w:pStyle w:val="H4G"/>
      </w:pPr>
      <w:r w:rsidRPr="000C2960">
        <w:tab/>
      </w:r>
      <w:r w:rsidRPr="000C2960">
        <w:tab/>
        <w:t>i)</w:t>
      </w:r>
      <w:r w:rsidRPr="000C2960">
        <w:tab/>
        <w:t xml:space="preserve">Для </w:t>
      </w:r>
      <w:proofErr w:type="spellStart"/>
      <w:r w:rsidRPr="000C2960">
        <w:t>EEx</w:t>
      </w:r>
      <w:proofErr w:type="spellEnd"/>
      <w:r w:rsidRPr="000C2960">
        <w:t xml:space="preserve"> (</w:t>
      </w:r>
      <w:proofErr w:type="spellStart"/>
      <w:r w:rsidRPr="000C2960">
        <w:t>fr</w:t>
      </w:r>
      <w:proofErr w:type="spellEnd"/>
      <w:r w:rsidRPr="000C2960">
        <w:t xml:space="preserve">) заменить </w:t>
      </w:r>
      <w:r w:rsidR="00F22588">
        <w:t>«</w:t>
      </w:r>
      <w:r w:rsidRPr="000C2960">
        <w:t>EN 13463-2:2005</w:t>
      </w:r>
      <w:r w:rsidR="00F22588">
        <w:t>»</w:t>
      </w:r>
      <w:r w:rsidRPr="000C2960">
        <w:t xml:space="preserve"> на </w:t>
      </w:r>
      <w:r w:rsidR="00F22588">
        <w:t>«</w:t>
      </w:r>
      <w:r w:rsidRPr="000C2960">
        <w:t xml:space="preserve">[IEC 60079-1:2014] </w:t>
      </w:r>
      <w:r w:rsidR="005136D0">
        <w:br/>
      </w:r>
      <w:r w:rsidRPr="000C2960">
        <w:t>[ISO 80079-36]</w:t>
      </w:r>
      <w:r w:rsidR="00F22588">
        <w:t>»</w:t>
      </w:r>
      <w:r w:rsidRPr="000C2960">
        <w:t>.</w:t>
      </w:r>
    </w:p>
    <w:p w14:paraId="69AA0D57" w14:textId="66EC1C06" w:rsidR="00165CEA" w:rsidRPr="000C2960" w:rsidRDefault="00165CEA" w:rsidP="00165CEA">
      <w:pPr>
        <w:pStyle w:val="SingleTxtG"/>
      </w:pPr>
      <w:r w:rsidRPr="000C2960">
        <w:t>56.</w:t>
      </w:r>
      <w:r w:rsidRPr="000C2960">
        <w:tab/>
        <w:t>Ранее упомянутая серия стандартов была отозвана. Для оценки стандарт EN</w:t>
      </w:r>
      <w:r w:rsidR="005136D0">
        <w:rPr>
          <w:lang w:val="en-US"/>
        </w:rPr>
        <w:t> </w:t>
      </w:r>
      <w:r w:rsidRPr="000C2960">
        <w:t>13463-2 был заменен стандартами IEC 60079-1 и EN ISO 80079-36.</w:t>
      </w:r>
    </w:p>
    <w:p w14:paraId="3BCEAB22" w14:textId="78F1431B" w:rsidR="00165CEA" w:rsidRPr="000C2960" w:rsidRDefault="00165CEA" w:rsidP="00165CEA">
      <w:pPr>
        <w:pStyle w:val="SingleTxtG"/>
      </w:pPr>
      <w:r w:rsidRPr="000C2960">
        <w:t>57.</w:t>
      </w:r>
      <w:r w:rsidRPr="000C2960">
        <w:tab/>
        <w:t xml:space="preserve">SN EN 13463-2:2005-04: </w:t>
      </w:r>
      <w:r w:rsidR="00F22588">
        <w:t>«</w:t>
      </w:r>
      <w:r w:rsidRPr="000C2960">
        <w:t>Неэлектрическое оборудование для использования во взрывоопасных средах</w:t>
      </w:r>
      <w:r w:rsidR="005136D0" w:rsidRPr="005136D0">
        <w:t xml:space="preserve"> </w:t>
      </w:r>
      <w:r w:rsidRPr="000C2960">
        <w:t xml:space="preserve">— Часть 2: Защита с помощью оболочки с ограниченным пропуском газов </w:t>
      </w:r>
      <w:r w:rsidR="005136D0" w:rsidRPr="005136D0">
        <w:t>“</w:t>
      </w:r>
      <w:r w:rsidRPr="000C2960">
        <w:t>f</w:t>
      </w:r>
      <w:r w:rsidR="00057686">
        <w:rPr>
          <w:lang w:val="en-US"/>
        </w:rPr>
        <w:t>r</w:t>
      </w:r>
      <w:r w:rsidR="005136D0" w:rsidRPr="005136D0">
        <w:t>”</w:t>
      </w:r>
      <w:r w:rsidR="00F22588">
        <w:t>»</w:t>
      </w:r>
      <w:r w:rsidRPr="000C2960">
        <w:t>.</w:t>
      </w:r>
    </w:p>
    <w:p w14:paraId="0287F9BE" w14:textId="5F3BD82C" w:rsidR="00165CEA" w:rsidRPr="000C2960" w:rsidRDefault="00165CEA" w:rsidP="00165CEA">
      <w:pPr>
        <w:pStyle w:val="SingleTxtG"/>
      </w:pPr>
      <w:r w:rsidRPr="000C2960">
        <w:t>58.</w:t>
      </w:r>
      <w:r w:rsidRPr="000C2960">
        <w:tab/>
        <w:t xml:space="preserve">IEC 60079-1:2014: </w:t>
      </w:r>
      <w:r w:rsidR="00F22588">
        <w:t>«</w:t>
      </w:r>
      <w:r w:rsidRPr="000C2960">
        <w:t>Взрывоопасные среды</w:t>
      </w:r>
      <w:r w:rsidR="005136D0" w:rsidRPr="005136D0">
        <w:t xml:space="preserve"> </w:t>
      </w:r>
      <w:r w:rsidRPr="000C2960">
        <w:t xml:space="preserve">— Часть 1: Защита оборудования с помощью взрывонепроницаемых оболочек </w:t>
      </w:r>
      <w:r w:rsidR="005136D0" w:rsidRPr="005136D0">
        <w:t>“</w:t>
      </w:r>
      <w:r w:rsidRPr="000C2960">
        <w:t>d</w:t>
      </w:r>
      <w:r w:rsidR="005136D0" w:rsidRPr="005136D0">
        <w:t>”</w:t>
      </w:r>
      <w:r w:rsidR="00F22588">
        <w:t>»</w:t>
      </w:r>
      <w:r w:rsidRPr="000C2960">
        <w:t>.</w:t>
      </w:r>
    </w:p>
    <w:p w14:paraId="35849EF4" w14:textId="070E114F" w:rsidR="00165CEA" w:rsidRPr="000C2960" w:rsidRDefault="00165CEA" w:rsidP="00165CEA">
      <w:pPr>
        <w:pStyle w:val="SingleTxtG"/>
      </w:pPr>
      <w:r w:rsidRPr="000C2960">
        <w:t>59.</w:t>
      </w:r>
      <w:r w:rsidRPr="000C2960">
        <w:tab/>
        <w:t xml:space="preserve">ISO 80079-36:2016-02: </w:t>
      </w:r>
      <w:r w:rsidR="00F22588">
        <w:t>«</w:t>
      </w:r>
      <w:r w:rsidRPr="000C2960">
        <w:t>Взрывоопасные среды</w:t>
      </w:r>
      <w:r w:rsidR="005136D0" w:rsidRPr="005136D0">
        <w:t xml:space="preserve"> </w:t>
      </w:r>
      <w:r w:rsidRPr="000C2960">
        <w:t>— Часть 36: Неэлектрическое оборудование для использования во взрывоопасных средах</w:t>
      </w:r>
      <w:r w:rsidR="00057686" w:rsidRPr="00057686">
        <w:t xml:space="preserve"> </w:t>
      </w:r>
      <w:r w:rsidRPr="000C2960">
        <w:t>— Методология и технические требования</w:t>
      </w:r>
      <w:r w:rsidR="00F22588">
        <w:t>»</w:t>
      </w:r>
      <w:r w:rsidRPr="000C2960">
        <w:t>.</w:t>
      </w:r>
    </w:p>
    <w:p w14:paraId="3BD2C192" w14:textId="77777777" w:rsidR="00165CEA" w:rsidRPr="000C2960" w:rsidRDefault="00165CEA" w:rsidP="00165CEA">
      <w:pPr>
        <w:pStyle w:val="SingleTxtG"/>
      </w:pPr>
      <w:r w:rsidRPr="000C2960">
        <w:t>60.</w:t>
      </w:r>
      <w:r w:rsidRPr="000C2960">
        <w:tab/>
        <w:t>Германия предлагает Комитету по вопросам безопасности разработать соответствующий переходный механизм.</w:t>
      </w:r>
    </w:p>
    <w:p w14:paraId="1F58E119" w14:textId="15E0EA5A" w:rsidR="00165CEA" w:rsidRPr="000C2960" w:rsidRDefault="00165CEA" w:rsidP="00165CEA">
      <w:pPr>
        <w:pStyle w:val="H4G"/>
      </w:pPr>
      <w:r w:rsidRPr="000C2960">
        <w:tab/>
      </w:r>
      <w:r w:rsidRPr="000C2960">
        <w:tab/>
      </w:r>
      <w:proofErr w:type="spellStart"/>
      <w:r w:rsidRPr="000C2960">
        <w:t>ii</w:t>
      </w:r>
      <w:proofErr w:type="spellEnd"/>
      <w:r w:rsidRPr="000C2960">
        <w:t>)</w:t>
      </w:r>
      <w:r w:rsidRPr="000C2960">
        <w:tab/>
        <w:t xml:space="preserve">Для </w:t>
      </w:r>
      <w:proofErr w:type="spellStart"/>
      <w:r w:rsidRPr="000C2960">
        <w:t>EEx</w:t>
      </w:r>
      <w:proofErr w:type="spellEnd"/>
      <w:r w:rsidRPr="000C2960">
        <w:t xml:space="preserve"> (d) заменить </w:t>
      </w:r>
      <w:r w:rsidR="00F22588">
        <w:t>«</w:t>
      </w:r>
      <w:r w:rsidRPr="000C2960">
        <w:t>EN 13463-3:2005</w:t>
      </w:r>
      <w:r w:rsidR="00F22588">
        <w:t>»</w:t>
      </w:r>
      <w:r w:rsidRPr="000C2960">
        <w:t xml:space="preserve"> на </w:t>
      </w:r>
      <w:r w:rsidR="00F22588">
        <w:t>«</w:t>
      </w:r>
      <w:r w:rsidRPr="000C2960">
        <w:t xml:space="preserve">[IEC 60079-15:2017] </w:t>
      </w:r>
      <w:r w:rsidR="005136D0">
        <w:br/>
      </w:r>
      <w:r w:rsidRPr="000C2960">
        <w:t>[ISO 80079-36]</w:t>
      </w:r>
      <w:r w:rsidR="00F22588">
        <w:t>»</w:t>
      </w:r>
      <w:r w:rsidRPr="000C2960">
        <w:t>.</w:t>
      </w:r>
    </w:p>
    <w:p w14:paraId="2FC03481" w14:textId="77777777" w:rsidR="00165CEA" w:rsidRPr="000C2960" w:rsidRDefault="00165CEA" w:rsidP="00165CEA">
      <w:pPr>
        <w:pStyle w:val="SingleTxtG"/>
      </w:pPr>
      <w:r w:rsidRPr="000C2960">
        <w:t>61.</w:t>
      </w:r>
      <w:r w:rsidRPr="000C2960">
        <w:tab/>
        <w:t xml:space="preserve">Ранее упомянутая серия стандартов была отозвана. Что касается маркировки, то стандарт EN 13463-3 был заменен на EN ISO 80079-36 с маркировкой </w:t>
      </w:r>
      <w:proofErr w:type="spellStart"/>
      <w:r w:rsidRPr="000C2960">
        <w:t>Ex</w:t>
      </w:r>
      <w:proofErr w:type="spellEnd"/>
      <w:r w:rsidRPr="000C2960">
        <w:t xml:space="preserve"> h.</w:t>
      </w:r>
    </w:p>
    <w:p w14:paraId="7BAB0A15" w14:textId="5B1DCE91" w:rsidR="00165CEA" w:rsidRPr="000C2960" w:rsidRDefault="00165CEA" w:rsidP="00165CEA">
      <w:pPr>
        <w:pStyle w:val="SingleTxtG"/>
      </w:pPr>
      <w:r w:rsidRPr="000C2960">
        <w:t>62.</w:t>
      </w:r>
      <w:r w:rsidRPr="000C2960">
        <w:tab/>
        <w:t xml:space="preserve">SN EN 13463-3:2005-07: </w:t>
      </w:r>
      <w:r w:rsidR="00F22588">
        <w:t>«</w:t>
      </w:r>
      <w:r w:rsidRPr="000C2960">
        <w:t>Неэлектрическое оборудование для использования во взрывоопасных средах</w:t>
      </w:r>
      <w:r w:rsidR="005136D0" w:rsidRPr="005136D0">
        <w:t xml:space="preserve"> </w:t>
      </w:r>
      <w:r w:rsidRPr="000C2960">
        <w:t>— Часть 3: Защита с помощью взрывонепроницаемой оболочки</w:t>
      </w:r>
      <w:r w:rsidR="005136D0">
        <w:rPr>
          <w:lang w:val="en-US"/>
        </w:rPr>
        <w:t> </w:t>
      </w:r>
      <w:r w:rsidR="005136D0" w:rsidRPr="005136D0">
        <w:t>“</w:t>
      </w:r>
      <w:r w:rsidRPr="000C2960">
        <w:t>d</w:t>
      </w:r>
      <w:r w:rsidR="005136D0" w:rsidRPr="005136D0">
        <w:t>”</w:t>
      </w:r>
      <w:r w:rsidR="00F22588">
        <w:t>»</w:t>
      </w:r>
      <w:r w:rsidRPr="000C2960">
        <w:t>.</w:t>
      </w:r>
    </w:p>
    <w:p w14:paraId="6BAEC3EF" w14:textId="6B44F8A6" w:rsidR="00165CEA" w:rsidRPr="000C2960" w:rsidRDefault="00165CEA" w:rsidP="00165CEA">
      <w:pPr>
        <w:pStyle w:val="SingleTxtG"/>
      </w:pPr>
      <w:r w:rsidRPr="000C2960">
        <w:t>63.</w:t>
      </w:r>
      <w:r w:rsidRPr="000C2960">
        <w:tab/>
        <w:t xml:space="preserve">IEC 60079-15:2017: </w:t>
      </w:r>
      <w:r w:rsidR="00F22588">
        <w:t>«</w:t>
      </w:r>
      <w:r w:rsidRPr="000C2960">
        <w:t>Взрывоопасные среды</w:t>
      </w:r>
      <w:r w:rsidR="005136D0" w:rsidRPr="005136D0">
        <w:t xml:space="preserve"> </w:t>
      </w:r>
      <w:r w:rsidRPr="000C2960">
        <w:t xml:space="preserve">— Часть 15: Защита оборудования с помощью типа защиты </w:t>
      </w:r>
      <w:r w:rsidR="005136D0" w:rsidRPr="005136D0">
        <w:t>“</w:t>
      </w:r>
      <w:r w:rsidRPr="000C2960">
        <w:t>n</w:t>
      </w:r>
      <w:r w:rsidR="005136D0" w:rsidRPr="005136D0">
        <w:t>”</w:t>
      </w:r>
      <w:r w:rsidR="00F22588">
        <w:t>»</w:t>
      </w:r>
      <w:r w:rsidRPr="000C2960">
        <w:t>.</w:t>
      </w:r>
    </w:p>
    <w:p w14:paraId="2A9F8EDA" w14:textId="138E1AF6" w:rsidR="00165CEA" w:rsidRPr="000C2960" w:rsidRDefault="00165CEA" w:rsidP="00165CEA">
      <w:pPr>
        <w:pStyle w:val="SingleTxtG"/>
      </w:pPr>
      <w:r w:rsidRPr="000C2960">
        <w:t>64.</w:t>
      </w:r>
      <w:r w:rsidRPr="000C2960">
        <w:tab/>
        <w:t xml:space="preserve">ISO 80079-36:2016-02: </w:t>
      </w:r>
      <w:r w:rsidR="00F22588">
        <w:t>«</w:t>
      </w:r>
      <w:r w:rsidRPr="000C2960">
        <w:t>Взрывоопасные среды</w:t>
      </w:r>
      <w:r w:rsidR="005136D0" w:rsidRPr="005136D0">
        <w:t xml:space="preserve"> </w:t>
      </w:r>
      <w:r w:rsidRPr="000C2960">
        <w:t>— Часть 36: Неэлектрическое оборудование для использования во взрывоопасных средах</w:t>
      </w:r>
      <w:r w:rsidR="005136D0" w:rsidRPr="005136D0">
        <w:t xml:space="preserve"> </w:t>
      </w:r>
      <w:r w:rsidRPr="000C2960">
        <w:t>— Методология и технические требования</w:t>
      </w:r>
      <w:r w:rsidR="00F22588">
        <w:t>»</w:t>
      </w:r>
      <w:r w:rsidRPr="000C2960">
        <w:t>.</w:t>
      </w:r>
    </w:p>
    <w:p w14:paraId="463811BE" w14:textId="77777777" w:rsidR="00165CEA" w:rsidRPr="000C2960" w:rsidRDefault="00165CEA" w:rsidP="00165CEA">
      <w:pPr>
        <w:pStyle w:val="SingleTxtG"/>
      </w:pPr>
      <w:r w:rsidRPr="000C2960">
        <w:t>65.</w:t>
      </w:r>
      <w:r w:rsidRPr="000C2960">
        <w:tab/>
        <w:t>Приобрести компоненты для постройки новых судов или запасные части для судов, находящихся в эксплуатации, которые соответствуют старой редакции стандарта, уже невозможно. Нет никаких известных причин делать вывод о том, что текущая версия не подходит для ВОПОГ.</w:t>
      </w:r>
    </w:p>
    <w:p w14:paraId="700D89FA" w14:textId="77777777" w:rsidR="00165CEA" w:rsidRPr="000C2960" w:rsidRDefault="00165CEA" w:rsidP="00165CEA">
      <w:pPr>
        <w:pStyle w:val="SingleTxtG"/>
      </w:pPr>
      <w:r w:rsidRPr="000C2960">
        <w:t>66.</w:t>
      </w:r>
      <w:r w:rsidRPr="000C2960">
        <w:tab/>
        <w:t>Германия предлагает Комитету по вопросам безопасности разработать соответствующий переходный механизм.</w:t>
      </w:r>
    </w:p>
    <w:p w14:paraId="5273217F" w14:textId="5F32B925" w:rsidR="00165CEA" w:rsidRPr="000C2960" w:rsidRDefault="00165CEA" w:rsidP="00165CEA">
      <w:pPr>
        <w:pStyle w:val="H4G"/>
      </w:pPr>
      <w:r w:rsidRPr="000C2960">
        <w:lastRenderedPageBreak/>
        <w:tab/>
      </w:r>
      <w:r w:rsidRPr="000C2960">
        <w:tab/>
      </w:r>
      <w:proofErr w:type="spellStart"/>
      <w:r w:rsidRPr="000C2960">
        <w:t>iii</w:t>
      </w:r>
      <w:proofErr w:type="spellEnd"/>
      <w:r w:rsidRPr="000C2960">
        <w:t>)</w:t>
      </w:r>
      <w:r w:rsidRPr="000C2960">
        <w:tab/>
        <w:t xml:space="preserve">Заменить </w:t>
      </w:r>
      <w:r w:rsidR="00F22588">
        <w:t>«</w:t>
      </w:r>
      <w:proofErr w:type="spellStart"/>
      <w:r w:rsidRPr="000C2960">
        <w:t>EEx</w:t>
      </w:r>
      <w:proofErr w:type="spellEnd"/>
      <w:r w:rsidRPr="000C2960">
        <w:t xml:space="preserve"> (c)</w:t>
      </w:r>
      <w:r w:rsidR="00F22588">
        <w:t>»</w:t>
      </w:r>
      <w:r w:rsidRPr="000C2960">
        <w:t xml:space="preserve"> на </w:t>
      </w:r>
      <w:r w:rsidR="00F22588">
        <w:t>«</w:t>
      </w:r>
      <w:proofErr w:type="spellStart"/>
      <w:r w:rsidRPr="000C2960">
        <w:t>EEx</w:t>
      </w:r>
      <w:proofErr w:type="spellEnd"/>
      <w:r w:rsidRPr="000C2960">
        <w:t xml:space="preserve"> c</w:t>
      </w:r>
      <w:r w:rsidR="00F22588">
        <w:t>»</w:t>
      </w:r>
      <w:r w:rsidRPr="000C2960">
        <w:t>.</w:t>
      </w:r>
    </w:p>
    <w:p w14:paraId="25D8F1B6" w14:textId="5003EBFE" w:rsidR="00165CEA" w:rsidRPr="000C2960" w:rsidRDefault="00165CEA" w:rsidP="00165CEA">
      <w:pPr>
        <w:pStyle w:val="H4G"/>
      </w:pPr>
      <w:bookmarkStart w:id="12" w:name="_Hlk84255631"/>
      <w:r w:rsidRPr="000C2960">
        <w:tab/>
      </w:r>
      <w:r w:rsidRPr="000C2960">
        <w:tab/>
      </w:r>
      <w:proofErr w:type="spellStart"/>
      <w:r w:rsidRPr="000C2960">
        <w:t>iv</w:t>
      </w:r>
      <w:proofErr w:type="spellEnd"/>
      <w:r w:rsidRPr="000C2960">
        <w:t>)</w:t>
      </w:r>
      <w:r w:rsidRPr="000C2960">
        <w:tab/>
      </w:r>
      <w:bookmarkStart w:id="13" w:name="_Hlk84255481"/>
      <w:r w:rsidRPr="000C2960">
        <w:t xml:space="preserve">Заменить </w:t>
      </w:r>
      <w:r w:rsidR="00F22588">
        <w:t>«</w:t>
      </w:r>
      <w:proofErr w:type="spellStart"/>
      <w:r w:rsidRPr="000C2960">
        <w:t>EEx</w:t>
      </w:r>
      <w:proofErr w:type="spellEnd"/>
      <w:r w:rsidRPr="000C2960">
        <w:t xml:space="preserve"> (b)</w:t>
      </w:r>
      <w:r w:rsidR="00F22588">
        <w:t>»</w:t>
      </w:r>
      <w:r w:rsidRPr="000C2960">
        <w:t xml:space="preserve"> на </w:t>
      </w:r>
      <w:r w:rsidR="00F22588">
        <w:t>«</w:t>
      </w:r>
      <w:proofErr w:type="spellStart"/>
      <w:r w:rsidRPr="000C2960">
        <w:t>EEx</w:t>
      </w:r>
      <w:proofErr w:type="spellEnd"/>
      <w:r w:rsidRPr="000C2960">
        <w:t xml:space="preserve"> b</w:t>
      </w:r>
      <w:r w:rsidR="00F22588">
        <w:t>»</w:t>
      </w:r>
      <w:r w:rsidRPr="000C2960">
        <w:t xml:space="preserve"> и заменить </w:t>
      </w:r>
      <w:r w:rsidR="00F22588">
        <w:t>«</w:t>
      </w:r>
      <w:r w:rsidRPr="000C2960">
        <w:t>EN 13463-6:2005</w:t>
      </w:r>
      <w:r w:rsidR="00F22588">
        <w:t>»</w:t>
      </w:r>
      <w:r w:rsidRPr="000C2960">
        <w:t xml:space="preserve"> </w:t>
      </w:r>
      <w:r w:rsidR="005136D0">
        <w:br/>
      </w:r>
      <w:r w:rsidRPr="000C2960">
        <w:t xml:space="preserve">на </w:t>
      </w:r>
      <w:r w:rsidR="00F22588">
        <w:t>«</w:t>
      </w:r>
      <w:r w:rsidRPr="000C2960">
        <w:t>ISO 80079-37:2016</w:t>
      </w:r>
      <w:r w:rsidR="00F22588">
        <w:t>»</w:t>
      </w:r>
      <w:r w:rsidRPr="000C2960">
        <w:t>.</w:t>
      </w:r>
    </w:p>
    <w:bookmarkEnd w:id="12"/>
    <w:bookmarkEnd w:id="13"/>
    <w:p w14:paraId="0EBD8E2A" w14:textId="384F78C2" w:rsidR="00165CEA" w:rsidRPr="000C2960" w:rsidRDefault="00165CEA" w:rsidP="00165CEA">
      <w:pPr>
        <w:pStyle w:val="SingleTxtG"/>
      </w:pPr>
      <w:r w:rsidRPr="000C2960">
        <w:t>67.</w:t>
      </w:r>
      <w:r w:rsidRPr="000C2960">
        <w:tab/>
        <w:t xml:space="preserve">EN 13463-5:2011: </w:t>
      </w:r>
      <w:r w:rsidR="00F22588">
        <w:t>«</w:t>
      </w:r>
      <w:r w:rsidRPr="000C2960">
        <w:t xml:space="preserve">Неэлектрическое оборудование для использования во взрывоопасных средах— Часть 6: Защита c помощью контроля источника воспламенения </w:t>
      </w:r>
      <w:r w:rsidR="005136D0" w:rsidRPr="005136D0">
        <w:t>“</w:t>
      </w:r>
      <w:r w:rsidRPr="000C2960">
        <w:t>b</w:t>
      </w:r>
      <w:r w:rsidR="005136D0" w:rsidRPr="005136D0">
        <w:t>”</w:t>
      </w:r>
      <w:r w:rsidR="00F22588">
        <w:t>»</w:t>
      </w:r>
      <w:r w:rsidRPr="000C2960">
        <w:t>.</w:t>
      </w:r>
    </w:p>
    <w:p w14:paraId="190399D5" w14:textId="7A8D7A77" w:rsidR="00165CEA" w:rsidRPr="000C2960" w:rsidRDefault="00165CEA" w:rsidP="00165CEA">
      <w:pPr>
        <w:pStyle w:val="SingleTxtG"/>
      </w:pPr>
      <w:r w:rsidRPr="000C2960">
        <w:t>68.</w:t>
      </w:r>
      <w:r w:rsidRPr="000C2960">
        <w:tab/>
        <w:t xml:space="preserve">ISO 80079-37:2016: </w:t>
      </w:r>
      <w:r w:rsidR="00F22588">
        <w:t>«</w:t>
      </w:r>
      <w:r w:rsidRPr="000C2960">
        <w:t>Взрывоопасные среды</w:t>
      </w:r>
      <w:r w:rsidR="00956763" w:rsidRPr="00956763">
        <w:t xml:space="preserve"> </w:t>
      </w:r>
      <w:r w:rsidRPr="000C2960">
        <w:t>— Часть 37: Неэлектрическое оборудование для использования во взрывоопасных средах</w:t>
      </w:r>
      <w:r w:rsidR="00956763" w:rsidRPr="00956763">
        <w:t xml:space="preserve"> </w:t>
      </w:r>
      <w:r w:rsidRPr="000C2960">
        <w:t xml:space="preserve">— </w:t>
      </w:r>
      <w:bookmarkStart w:id="14" w:name="_Hlk88128953"/>
      <w:r w:rsidRPr="000C2960">
        <w:t xml:space="preserve">Тип неэлектрической защиты с помощью конструкционной безопасности </w:t>
      </w:r>
      <w:r w:rsidR="005136D0" w:rsidRPr="005136D0">
        <w:t>“</w:t>
      </w:r>
      <w:r w:rsidRPr="000C2960">
        <w:t>c</w:t>
      </w:r>
      <w:r w:rsidR="005136D0" w:rsidRPr="005136D0">
        <w:t>”</w:t>
      </w:r>
      <w:r w:rsidRPr="000C2960">
        <w:t xml:space="preserve">, контроля источника воспламенения </w:t>
      </w:r>
      <w:r w:rsidR="005136D0" w:rsidRPr="005136D0">
        <w:t>“</w:t>
      </w:r>
      <w:r w:rsidRPr="000C2960">
        <w:t>b</w:t>
      </w:r>
      <w:r w:rsidR="005136D0" w:rsidRPr="005136D0">
        <w:t>”</w:t>
      </w:r>
      <w:r w:rsidRPr="000C2960">
        <w:t xml:space="preserve">, погружения в жидкость </w:t>
      </w:r>
      <w:r w:rsidR="005136D0" w:rsidRPr="005136D0">
        <w:t>“</w:t>
      </w:r>
      <w:r w:rsidRPr="000C2960">
        <w:t>k</w:t>
      </w:r>
      <w:r w:rsidR="005136D0" w:rsidRPr="005136D0">
        <w:t>”</w:t>
      </w:r>
      <w:r w:rsidR="00F22588">
        <w:t>»</w:t>
      </w:r>
      <w:r w:rsidRPr="000C2960">
        <w:t>.</w:t>
      </w:r>
      <w:bookmarkEnd w:id="14"/>
    </w:p>
    <w:p w14:paraId="3A31392D" w14:textId="77777777" w:rsidR="00165CEA" w:rsidRPr="000C2960" w:rsidRDefault="00165CEA" w:rsidP="00165CEA">
      <w:pPr>
        <w:pStyle w:val="SingleTxtG"/>
      </w:pPr>
      <w:r w:rsidRPr="000C2960">
        <w:t>69.</w:t>
      </w:r>
      <w:r w:rsidRPr="000C2960">
        <w:tab/>
        <w:t>Германия предлагает Комитету по вопросам безопасности разработать соответствующий переходный механизм.</w:t>
      </w:r>
    </w:p>
    <w:p w14:paraId="0D6B410D" w14:textId="1AD7B38F" w:rsidR="00165CEA" w:rsidRPr="000C2960" w:rsidRDefault="00165CEA" w:rsidP="00165CEA">
      <w:pPr>
        <w:pStyle w:val="H4G"/>
      </w:pPr>
      <w:r w:rsidRPr="000C2960">
        <w:tab/>
      </w:r>
      <w:r w:rsidRPr="000C2960">
        <w:tab/>
        <w:t>v)</w:t>
      </w:r>
      <w:r w:rsidRPr="000C2960">
        <w:tab/>
        <w:t xml:space="preserve">Заменить </w:t>
      </w:r>
      <w:r w:rsidR="00F22588">
        <w:t>«</w:t>
      </w:r>
      <w:proofErr w:type="spellStart"/>
      <w:r w:rsidRPr="000C2960">
        <w:t>EEx</w:t>
      </w:r>
      <w:proofErr w:type="spellEnd"/>
      <w:r w:rsidRPr="000C2960">
        <w:t xml:space="preserve"> (k)</w:t>
      </w:r>
      <w:r w:rsidR="00F22588">
        <w:t>»</w:t>
      </w:r>
      <w:r w:rsidRPr="000C2960">
        <w:t xml:space="preserve"> на </w:t>
      </w:r>
      <w:r w:rsidR="00F22588">
        <w:t>«</w:t>
      </w:r>
      <w:proofErr w:type="spellStart"/>
      <w:r w:rsidRPr="000C2960">
        <w:t>EEx</w:t>
      </w:r>
      <w:proofErr w:type="spellEnd"/>
      <w:r w:rsidRPr="000C2960">
        <w:t xml:space="preserve"> k</w:t>
      </w:r>
      <w:r w:rsidR="00F22588">
        <w:t>»</w:t>
      </w:r>
      <w:r w:rsidRPr="000C2960">
        <w:t xml:space="preserve"> и заменить </w:t>
      </w:r>
      <w:r w:rsidR="00F22588">
        <w:t>«</w:t>
      </w:r>
      <w:r w:rsidRPr="000C2960">
        <w:t>EN 13463-8:2003</w:t>
      </w:r>
      <w:r w:rsidR="00F22588">
        <w:t>»</w:t>
      </w:r>
      <w:r w:rsidRPr="000C2960">
        <w:t xml:space="preserve"> </w:t>
      </w:r>
      <w:r w:rsidR="005136D0">
        <w:br/>
      </w:r>
      <w:r w:rsidRPr="000C2960">
        <w:t xml:space="preserve">на </w:t>
      </w:r>
      <w:r w:rsidR="00F22588">
        <w:t>«</w:t>
      </w:r>
      <w:r w:rsidRPr="000C2960">
        <w:t>ISO 80079-37:2016</w:t>
      </w:r>
      <w:r w:rsidR="00F22588">
        <w:t>»</w:t>
      </w:r>
      <w:r w:rsidRPr="000C2960">
        <w:t>.</w:t>
      </w:r>
    </w:p>
    <w:p w14:paraId="66AB510F" w14:textId="0E3C80C1" w:rsidR="00165CEA" w:rsidRPr="000C2960" w:rsidRDefault="00165CEA" w:rsidP="00165CEA">
      <w:pPr>
        <w:pStyle w:val="SingleTxtG"/>
      </w:pPr>
      <w:r w:rsidRPr="000C2960">
        <w:t>70.</w:t>
      </w:r>
      <w:r w:rsidRPr="000C2960">
        <w:tab/>
        <w:t xml:space="preserve">EN 13463-8:2003: </w:t>
      </w:r>
      <w:r w:rsidR="00F22588">
        <w:t>«</w:t>
      </w:r>
      <w:r w:rsidRPr="000C2960">
        <w:t>Неэлектрическое оборудование для использования во взрывоопасных средах</w:t>
      </w:r>
      <w:r w:rsidR="005136D0" w:rsidRPr="005136D0">
        <w:t xml:space="preserve"> </w:t>
      </w:r>
      <w:r w:rsidRPr="000C2960">
        <w:t xml:space="preserve">— Часть 8: Защита путем погружения в жидкость </w:t>
      </w:r>
      <w:r w:rsidR="005136D0" w:rsidRPr="005136D0">
        <w:t>“</w:t>
      </w:r>
      <w:r w:rsidRPr="000C2960">
        <w:t>k</w:t>
      </w:r>
      <w:r w:rsidR="005136D0" w:rsidRPr="005136D0">
        <w:t>”</w:t>
      </w:r>
      <w:r w:rsidR="00F22588">
        <w:t>»</w:t>
      </w:r>
      <w:r w:rsidRPr="000C2960">
        <w:t>.</w:t>
      </w:r>
    </w:p>
    <w:p w14:paraId="55519546" w14:textId="39C26E55" w:rsidR="00165CEA" w:rsidRPr="000C2960" w:rsidRDefault="00165CEA" w:rsidP="00165CEA">
      <w:pPr>
        <w:pStyle w:val="SingleTxtG"/>
      </w:pPr>
      <w:r w:rsidRPr="000C2960">
        <w:t>71.</w:t>
      </w:r>
      <w:r w:rsidRPr="000C2960">
        <w:tab/>
        <w:t xml:space="preserve">ISO 80079-37:2016: </w:t>
      </w:r>
      <w:r w:rsidR="00F22588">
        <w:t>«</w:t>
      </w:r>
      <w:r w:rsidRPr="000C2960">
        <w:t>Взрывоопасные среды</w:t>
      </w:r>
      <w:r w:rsidR="005136D0" w:rsidRPr="005136D0">
        <w:t xml:space="preserve"> </w:t>
      </w:r>
      <w:r w:rsidRPr="000C2960">
        <w:t>— Часть 37: Неэлектрическое оборудование для использования во взрывоопасных средах</w:t>
      </w:r>
      <w:r w:rsidR="00956763" w:rsidRPr="00956763">
        <w:t xml:space="preserve"> </w:t>
      </w:r>
      <w:r w:rsidRPr="000C2960">
        <w:t xml:space="preserve">— Тип неэлектрической защиты с помощью конструкционной безопасности </w:t>
      </w:r>
      <w:r w:rsidR="005136D0" w:rsidRPr="005136D0">
        <w:t>“</w:t>
      </w:r>
      <w:r w:rsidRPr="000C2960">
        <w:t>c</w:t>
      </w:r>
      <w:r w:rsidR="005136D0" w:rsidRPr="005136D0">
        <w:t>”</w:t>
      </w:r>
      <w:r w:rsidRPr="000C2960">
        <w:t xml:space="preserve">, контроля источника воспламенения </w:t>
      </w:r>
      <w:r w:rsidR="005136D0" w:rsidRPr="005136D0">
        <w:t>“</w:t>
      </w:r>
      <w:r w:rsidRPr="000C2960">
        <w:t>b</w:t>
      </w:r>
      <w:r w:rsidR="005136D0" w:rsidRPr="005136D0">
        <w:t>”</w:t>
      </w:r>
      <w:r w:rsidRPr="000C2960">
        <w:t xml:space="preserve">, погружения в жидкость </w:t>
      </w:r>
      <w:r w:rsidR="005136D0" w:rsidRPr="005136D0">
        <w:t>“</w:t>
      </w:r>
      <w:r w:rsidR="005136D0" w:rsidRPr="000C2960">
        <w:t>k</w:t>
      </w:r>
      <w:r w:rsidR="005136D0" w:rsidRPr="005136D0">
        <w:t>”</w:t>
      </w:r>
      <w:r w:rsidR="00F22588">
        <w:t>»</w:t>
      </w:r>
      <w:r w:rsidRPr="000C2960">
        <w:t>.</w:t>
      </w:r>
    </w:p>
    <w:p w14:paraId="35D87CB1" w14:textId="77777777" w:rsidR="00165CEA" w:rsidRPr="000C2960" w:rsidRDefault="00165CEA" w:rsidP="00165CEA">
      <w:pPr>
        <w:pStyle w:val="SingleTxtG"/>
      </w:pPr>
      <w:r w:rsidRPr="000C2960">
        <w:t>72.</w:t>
      </w:r>
      <w:r w:rsidRPr="000C2960">
        <w:tab/>
        <w:t>Ранее упомянутая серия стандартов была отменена и заменена серией 80079, содержание которой было существенно изменено.</w:t>
      </w:r>
    </w:p>
    <w:p w14:paraId="4D34591C" w14:textId="77777777" w:rsidR="00165CEA" w:rsidRPr="000C2960" w:rsidRDefault="00165CEA" w:rsidP="00165CEA">
      <w:pPr>
        <w:pStyle w:val="SingleTxtG"/>
      </w:pPr>
      <w:r w:rsidRPr="000C2960">
        <w:t>73.</w:t>
      </w:r>
      <w:r w:rsidRPr="000C2960">
        <w:tab/>
        <w:t>Приобрести компоненты для постройки новых судов или запасные части для судов, находящихся в эксплуатации, которые соответствуют старой редакции стандарта, уже невозможно. Нет никаких известных причин делать вывод о том, что текущая версия не подходит для ВОПОГ.</w:t>
      </w:r>
    </w:p>
    <w:p w14:paraId="6C4B5399" w14:textId="77777777" w:rsidR="00165CEA" w:rsidRPr="000C2960" w:rsidRDefault="00165CEA" w:rsidP="00165CEA">
      <w:pPr>
        <w:pStyle w:val="SingleTxtG"/>
      </w:pPr>
      <w:r w:rsidRPr="000C2960">
        <w:t>74.</w:t>
      </w:r>
      <w:r w:rsidRPr="000C2960">
        <w:tab/>
        <w:t>Улучшение буквенных кодов соответствует действующему стандарту IEC.</w:t>
      </w:r>
    </w:p>
    <w:p w14:paraId="20D2F8EA" w14:textId="77777777" w:rsidR="00165CEA" w:rsidRPr="000C2960" w:rsidRDefault="00165CEA" w:rsidP="00165CEA">
      <w:pPr>
        <w:pStyle w:val="SingleTxtG"/>
        <w:rPr>
          <w:bCs/>
        </w:rPr>
      </w:pPr>
      <w:r w:rsidRPr="000C2960">
        <w:t>75.</w:t>
      </w:r>
      <w:r w:rsidRPr="000C2960">
        <w:tab/>
        <w:t xml:space="preserve">Германия предлагает Комитету по вопросам безопасности разработать </w:t>
      </w:r>
      <w:r w:rsidRPr="000C2960">
        <w:rPr>
          <w:bCs/>
        </w:rPr>
        <w:t>соответствующий переходный механизм.</w:t>
      </w:r>
    </w:p>
    <w:p w14:paraId="58A3E4E0" w14:textId="289E667C" w:rsidR="00165CEA" w:rsidRPr="000C2960" w:rsidRDefault="00165CEA" w:rsidP="00165CEA">
      <w:pPr>
        <w:pStyle w:val="H23G"/>
      </w:pPr>
      <w:r w:rsidRPr="000C2960">
        <w:tab/>
        <w:t>2.</w:t>
      </w:r>
      <w:r w:rsidRPr="000C2960">
        <w:tab/>
      </w:r>
      <w:r w:rsidRPr="000C2960">
        <w:tab/>
        <w:t xml:space="preserve">В пункте 3.2.4.2 ВОПОГ </w:t>
      </w:r>
      <w:r w:rsidR="00F22588">
        <w:t>«</w:t>
      </w:r>
      <w:r w:rsidRPr="000C2960">
        <w:t>Образец заявок</w:t>
      </w:r>
      <w:r w:rsidR="00F22588">
        <w:t>»</w:t>
      </w:r>
      <w:r w:rsidRPr="000C2960">
        <w:t xml:space="preserve"> на специальные разрешения в</w:t>
      </w:r>
      <w:r w:rsidR="005136D0">
        <w:rPr>
          <w:lang w:val="en-US"/>
        </w:rPr>
        <w:t> </w:t>
      </w:r>
      <w:r w:rsidRPr="000C2960">
        <w:t>соответствии с разделом 1.5.2</w:t>
      </w:r>
      <w:r w:rsidR="00F22588">
        <w:t>»</w:t>
      </w:r>
    </w:p>
    <w:p w14:paraId="2290443D" w14:textId="73946125" w:rsidR="00165CEA" w:rsidRPr="000C2960" w:rsidRDefault="00165CEA" w:rsidP="00165CEA">
      <w:pPr>
        <w:pStyle w:val="H23G"/>
      </w:pPr>
      <w:r w:rsidRPr="000C2960">
        <w:tab/>
        <w:t>a)</w:t>
      </w:r>
      <w:r w:rsidRPr="000C2960">
        <w:tab/>
        <w:t xml:space="preserve">В разделе 2.12 </w:t>
      </w:r>
      <w:r w:rsidR="00F22588">
        <w:t>«</w:t>
      </w:r>
      <w:r w:rsidRPr="000C2960">
        <w:t xml:space="preserve">Время </w:t>
      </w:r>
      <w:bookmarkStart w:id="15" w:name="_Hlk88129336"/>
      <w:r w:rsidRPr="000C2960">
        <w:t>истечения</w:t>
      </w:r>
      <w:bookmarkEnd w:id="15"/>
      <w:r w:rsidR="00F22588">
        <w:t>»</w:t>
      </w:r>
    </w:p>
    <w:p w14:paraId="139689FE" w14:textId="7A7799CF" w:rsidR="00165CEA" w:rsidRPr="000C2960" w:rsidRDefault="00165CEA" w:rsidP="00165CEA">
      <w:pPr>
        <w:pStyle w:val="H4G"/>
      </w:pPr>
      <w:r w:rsidRPr="000C2960">
        <w:tab/>
      </w:r>
      <w:r w:rsidRPr="000C2960">
        <w:tab/>
        <w:t xml:space="preserve">Заменить </w:t>
      </w:r>
      <w:r w:rsidR="00F22588">
        <w:t>«</w:t>
      </w:r>
      <w:r w:rsidRPr="000C2960">
        <w:t>ISO 2431-1996</w:t>
      </w:r>
      <w:r w:rsidR="00F22588">
        <w:t>»</w:t>
      </w:r>
      <w:r w:rsidRPr="000C2960">
        <w:t xml:space="preserve"> на </w:t>
      </w:r>
      <w:r w:rsidR="00F22588">
        <w:t>«</w:t>
      </w:r>
      <w:r w:rsidRPr="000C2960">
        <w:t>ISO 2431:2019</w:t>
      </w:r>
      <w:r w:rsidR="00F22588">
        <w:t>»</w:t>
      </w:r>
      <w:r w:rsidRPr="000C2960">
        <w:t>.</w:t>
      </w:r>
    </w:p>
    <w:p w14:paraId="113880BC" w14:textId="0DD0D6B4" w:rsidR="00165CEA" w:rsidRPr="000C2960" w:rsidRDefault="00165CEA" w:rsidP="00165CEA">
      <w:pPr>
        <w:pStyle w:val="SingleTxtG"/>
      </w:pPr>
      <w:r w:rsidRPr="000C2960">
        <w:t>76.</w:t>
      </w:r>
      <w:r w:rsidRPr="000C2960">
        <w:tab/>
        <w:t xml:space="preserve">Название стандарта: </w:t>
      </w:r>
      <w:r w:rsidR="00F22588">
        <w:t>«</w:t>
      </w:r>
      <w:r w:rsidRPr="000C2960">
        <w:t>Краски и лаки</w:t>
      </w:r>
      <w:r w:rsidR="005136D0" w:rsidRPr="005136D0">
        <w:t xml:space="preserve"> </w:t>
      </w:r>
      <w:r w:rsidRPr="000C2960">
        <w:t>— Определение времени истечения с помощью проточных чашечных вискозиметров</w:t>
      </w:r>
      <w:r w:rsidR="00F22588">
        <w:t>»</w:t>
      </w:r>
      <w:r w:rsidRPr="000C2960">
        <w:t>.</w:t>
      </w:r>
    </w:p>
    <w:p w14:paraId="3FAF6D43" w14:textId="77777777" w:rsidR="00165CEA" w:rsidRPr="000C2960" w:rsidRDefault="00165CEA" w:rsidP="00165CEA">
      <w:pPr>
        <w:pStyle w:val="SingleTxtG"/>
      </w:pPr>
      <w:r w:rsidRPr="000C2960">
        <w:t>77.</w:t>
      </w:r>
      <w:r w:rsidRPr="000C2960">
        <w:tab/>
        <w:t>Это изменение необходимо, поскольку за прошедшее время уже были опубликованы две новые версии стандарта.</w:t>
      </w:r>
    </w:p>
    <w:p w14:paraId="47FF6953" w14:textId="77777777" w:rsidR="00165CEA" w:rsidRPr="000C2960" w:rsidRDefault="00165CEA" w:rsidP="00165CEA">
      <w:pPr>
        <w:pStyle w:val="SingleTxtG"/>
      </w:pPr>
      <w:r w:rsidRPr="000C2960">
        <w:t>78.</w:t>
      </w:r>
      <w:r w:rsidRPr="000C2960">
        <w:tab/>
        <w:t>В содержание внесены изменения, включая общую ссылку на стандарт ISO 4618 по терминологии, ссылку на измерения при температурах и влажности, отличных от указанных в стандарте, и информацию о проведении измерений в лабораторном вытяжном шкафу.</w:t>
      </w:r>
    </w:p>
    <w:p w14:paraId="2C7861A8" w14:textId="77777777" w:rsidR="00165CEA" w:rsidRPr="000C2960" w:rsidRDefault="00165CEA" w:rsidP="00165CEA">
      <w:pPr>
        <w:pStyle w:val="SingleTxtG"/>
      </w:pPr>
      <w:r w:rsidRPr="000C2960">
        <w:t>79.</w:t>
      </w:r>
      <w:r w:rsidRPr="000C2960">
        <w:tab/>
        <w:t>Маловероятно, что лаборатории по-прежнему будут проводить испытания в соответствии со старым стандартом. Нет никаких известных причин делать вывод о том, что текущее издание не подходит для ВОПОГ.</w:t>
      </w:r>
    </w:p>
    <w:p w14:paraId="21472EF8" w14:textId="77777777" w:rsidR="00165CEA" w:rsidRPr="000C2960" w:rsidRDefault="00165CEA" w:rsidP="00165CEA">
      <w:pPr>
        <w:pStyle w:val="SingleTxtG"/>
      </w:pPr>
      <w:r w:rsidRPr="000C2960">
        <w:rPr>
          <w:bCs/>
        </w:rPr>
        <w:t>80.</w:t>
      </w:r>
      <w:r w:rsidRPr="000C2960">
        <w:rPr>
          <w:b/>
        </w:rPr>
        <w:tab/>
      </w:r>
      <w:r w:rsidRPr="000C2960">
        <w:rPr>
          <w:bCs/>
        </w:rPr>
        <w:t xml:space="preserve">Никаких переходных положений не требуется, поскольку это </w:t>
      </w:r>
      <w:r w:rsidRPr="000C2960">
        <w:t>изменение метода испытания связано с приемлемыми ограничениями и требования к конструкции и эксплуатации судов не изменяются.</w:t>
      </w:r>
    </w:p>
    <w:p w14:paraId="42E197C4" w14:textId="464C9706" w:rsidR="00165CEA" w:rsidRPr="000C2960" w:rsidRDefault="00165CEA" w:rsidP="00165CEA">
      <w:pPr>
        <w:pStyle w:val="H23G"/>
      </w:pPr>
      <w:r w:rsidRPr="000C2960">
        <w:lastRenderedPageBreak/>
        <w:tab/>
        <w:t>b)</w:t>
      </w:r>
      <w:r w:rsidRPr="000C2960">
        <w:tab/>
        <w:t xml:space="preserve">В разделе 3.2 </w:t>
      </w:r>
      <w:r w:rsidR="00F22588">
        <w:t>«</w:t>
      </w:r>
      <w:r w:rsidRPr="000C2960">
        <w:t>Температура вспышки</w:t>
      </w:r>
      <w:r w:rsidR="00F22588">
        <w:t>»</w:t>
      </w:r>
    </w:p>
    <w:p w14:paraId="63881278" w14:textId="7A239019" w:rsidR="00165CEA" w:rsidRPr="000C2960" w:rsidRDefault="00165CEA" w:rsidP="00165CEA">
      <w:pPr>
        <w:pStyle w:val="H4G"/>
      </w:pPr>
      <w:r w:rsidRPr="000C2960">
        <w:tab/>
      </w:r>
      <w:r w:rsidRPr="000C2960">
        <w:tab/>
        <w:t>i)</w:t>
      </w:r>
      <w:r w:rsidRPr="000C2960">
        <w:tab/>
        <w:t xml:space="preserve">Заменить </w:t>
      </w:r>
      <w:r w:rsidR="00F22588">
        <w:t>«</w:t>
      </w:r>
      <w:r w:rsidRPr="000C2960">
        <w:t>DIN 51755-1:1974</w:t>
      </w:r>
      <w:r w:rsidR="00F22588">
        <w:t>»</w:t>
      </w:r>
      <w:r w:rsidRPr="000C2960">
        <w:t xml:space="preserve"> на </w:t>
      </w:r>
      <w:r w:rsidR="00F22588">
        <w:t>«</w:t>
      </w:r>
      <w:r w:rsidRPr="000C2960">
        <w:t>DIN 51755:1974-03</w:t>
      </w:r>
      <w:r w:rsidR="00F22588">
        <w:t>»</w:t>
      </w:r>
      <w:r w:rsidRPr="000C2960">
        <w:t>.</w:t>
      </w:r>
    </w:p>
    <w:p w14:paraId="76395E61" w14:textId="6F859527" w:rsidR="00165CEA" w:rsidRPr="000C2960" w:rsidRDefault="00165CEA" w:rsidP="00165CEA">
      <w:pPr>
        <w:pStyle w:val="SingleTxtG"/>
      </w:pPr>
      <w:r w:rsidRPr="000C2960">
        <w:t>81.</w:t>
      </w:r>
      <w:r w:rsidRPr="000C2960">
        <w:tab/>
        <w:t xml:space="preserve">Название стандарта: </w:t>
      </w:r>
      <w:r w:rsidR="00F22588">
        <w:t>«</w:t>
      </w:r>
      <w:r w:rsidRPr="000C2960">
        <w:t xml:space="preserve">Испытания минеральных масел и других видов жидкого топлива; определение температуры вспышки в закрытом тигле по методу Абеля — </w:t>
      </w:r>
      <w:proofErr w:type="spellStart"/>
      <w:r w:rsidRPr="000C2960">
        <w:t>Пенски</w:t>
      </w:r>
      <w:proofErr w:type="spellEnd"/>
      <w:r w:rsidR="00F22588">
        <w:t>»</w:t>
      </w:r>
      <w:r w:rsidRPr="000C2960">
        <w:t>.</w:t>
      </w:r>
    </w:p>
    <w:p w14:paraId="11E6B8CF" w14:textId="77777777" w:rsidR="00165CEA" w:rsidRPr="000C2960" w:rsidRDefault="00165CEA" w:rsidP="00165CEA">
      <w:pPr>
        <w:pStyle w:val="SingleTxtG"/>
      </w:pPr>
      <w:r w:rsidRPr="000C2960">
        <w:t>82.</w:t>
      </w:r>
      <w:r w:rsidRPr="000C2960">
        <w:tab/>
        <w:t>Это редакционная поправка, касающаяся названия стандарта.</w:t>
      </w:r>
    </w:p>
    <w:p w14:paraId="5B4CA38E" w14:textId="77777777" w:rsidR="00165CEA" w:rsidRPr="000C2960" w:rsidRDefault="00165CEA" w:rsidP="00165CEA">
      <w:pPr>
        <w:pStyle w:val="SingleTxtG"/>
      </w:pPr>
      <w:r w:rsidRPr="000C2960">
        <w:t>83.</w:t>
      </w:r>
      <w:r w:rsidRPr="000C2960">
        <w:tab/>
        <w:t>ВОПОГ почти исключительно ссылается на имеющиеся на международном уровне стандарты (ISO, EN), которые широко используются и могут применяться всеми договаривающимися сторонами.</w:t>
      </w:r>
    </w:p>
    <w:p w14:paraId="262B6DEE" w14:textId="77777777" w:rsidR="00165CEA" w:rsidRPr="000C2960" w:rsidRDefault="00165CEA" w:rsidP="00165CEA">
      <w:pPr>
        <w:pStyle w:val="SingleTxtG"/>
      </w:pPr>
      <w:r w:rsidRPr="000C2960">
        <w:t>84.</w:t>
      </w:r>
      <w:r w:rsidRPr="000C2960">
        <w:tab/>
        <w:t>В данном случае применяется немецкий стандарт DIN. К сожалению, немецкой делегации неизвестен международный стандарт, охватывающий эту область применения. Неофициальной рабочей группе по веществам можно было бы предложить проверить возможность его замены международным стандартом.</w:t>
      </w:r>
    </w:p>
    <w:p w14:paraId="6B251A27" w14:textId="77777777" w:rsidR="00165CEA" w:rsidRPr="000C2960" w:rsidRDefault="00165CEA" w:rsidP="00165CEA">
      <w:pPr>
        <w:pStyle w:val="SingleTxtG"/>
      </w:pPr>
      <w:r w:rsidRPr="000C2960">
        <w:rPr>
          <w:bCs/>
        </w:rPr>
        <w:t>85.</w:t>
      </w:r>
      <w:r w:rsidRPr="000C2960">
        <w:rPr>
          <w:b/>
        </w:rPr>
        <w:tab/>
      </w:r>
      <w:r w:rsidRPr="000C2960">
        <w:rPr>
          <w:bCs/>
        </w:rPr>
        <w:t xml:space="preserve">Никаких переходных положений не требуется, поскольку это </w:t>
      </w:r>
      <w:r w:rsidRPr="000C2960">
        <w:t>изменение метода испытания связано с приемлемыми ограничениями и требования к конструкции и эксплуатации судов не изменяются.</w:t>
      </w:r>
    </w:p>
    <w:p w14:paraId="09692A14" w14:textId="1FC96D7E" w:rsidR="00165CEA" w:rsidRPr="000C2960" w:rsidRDefault="00165CEA" w:rsidP="00165CEA">
      <w:pPr>
        <w:pStyle w:val="H4G"/>
      </w:pPr>
      <w:r w:rsidRPr="000C2960">
        <w:tab/>
      </w:r>
      <w:r w:rsidRPr="000C2960">
        <w:tab/>
      </w:r>
      <w:proofErr w:type="spellStart"/>
      <w:r w:rsidRPr="000C2960">
        <w:t>ii</w:t>
      </w:r>
      <w:proofErr w:type="spellEnd"/>
      <w:r w:rsidRPr="000C2960">
        <w:t>)</w:t>
      </w:r>
      <w:r w:rsidRPr="000C2960">
        <w:tab/>
        <w:t xml:space="preserve">Нам не удалось проверить, действует ли еще французский стандарт </w:t>
      </w:r>
      <w:r w:rsidR="005136D0">
        <w:br/>
      </w:r>
      <w:r w:rsidR="00F22588">
        <w:t>«</w:t>
      </w:r>
      <w:r w:rsidRPr="000C2960">
        <w:t>NF M T60-103:1968</w:t>
      </w:r>
      <w:r w:rsidR="00F22588">
        <w:t>»</w:t>
      </w:r>
      <w:r w:rsidRPr="000C2960">
        <w:t>.</w:t>
      </w:r>
    </w:p>
    <w:p w14:paraId="228007ED" w14:textId="4CBC3DE3" w:rsidR="00165CEA" w:rsidRPr="000C2960" w:rsidRDefault="00165CEA" w:rsidP="00165CEA">
      <w:pPr>
        <w:pStyle w:val="H4G"/>
      </w:pPr>
      <w:r w:rsidRPr="000C2960">
        <w:tab/>
      </w:r>
      <w:r w:rsidRPr="000C2960">
        <w:tab/>
      </w:r>
      <w:proofErr w:type="spellStart"/>
      <w:r w:rsidRPr="000C2960">
        <w:t>iii</w:t>
      </w:r>
      <w:proofErr w:type="spellEnd"/>
      <w:r w:rsidRPr="000C2960">
        <w:t>)</w:t>
      </w:r>
      <w:r w:rsidRPr="000C2960">
        <w:tab/>
        <w:t xml:space="preserve">Заменить </w:t>
      </w:r>
      <w:r w:rsidR="00F22588">
        <w:t>«</w:t>
      </w:r>
      <w:r w:rsidRPr="000C2960">
        <w:t>EN ISO 3679:2004</w:t>
      </w:r>
      <w:r w:rsidR="00F22588">
        <w:t>»</w:t>
      </w:r>
      <w:r w:rsidRPr="000C2960">
        <w:t xml:space="preserve"> на </w:t>
      </w:r>
      <w:r w:rsidR="00F22588">
        <w:t>«</w:t>
      </w:r>
      <w:r w:rsidRPr="000C2960">
        <w:t>ISO 3679:2015</w:t>
      </w:r>
      <w:r w:rsidR="00F22588">
        <w:t>»</w:t>
      </w:r>
      <w:r w:rsidRPr="000C2960">
        <w:t>.</w:t>
      </w:r>
    </w:p>
    <w:p w14:paraId="24BCCD97" w14:textId="2421D55B" w:rsidR="00165CEA" w:rsidRPr="000C2960" w:rsidRDefault="00165CEA" w:rsidP="00165CEA">
      <w:pPr>
        <w:pStyle w:val="SingleTxtG"/>
      </w:pPr>
      <w:r w:rsidRPr="000C2960">
        <w:t>86.</w:t>
      </w:r>
      <w:r w:rsidRPr="000C2960">
        <w:tab/>
        <w:t xml:space="preserve">Название стандарта: </w:t>
      </w:r>
      <w:r w:rsidR="00F22588">
        <w:t>«</w:t>
      </w:r>
      <w:r w:rsidRPr="000C2960">
        <w:t>Определение вспышки/отсутствия вспышки и температуры вспышки</w:t>
      </w:r>
      <w:r w:rsidR="005136D0" w:rsidRPr="005136D0">
        <w:t xml:space="preserve"> </w:t>
      </w:r>
      <w:r w:rsidRPr="000C2960">
        <w:t>— Ускоренный метод определения в закрытом тигле в равновесных условиях</w:t>
      </w:r>
      <w:r w:rsidR="00F22588">
        <w:t>»</w:t>
      </w:r>
      <w:r w:rsidRPr="000C2960">
        <w:t>.</w:t>
      </w:r>
    </w:p>
    <w:p w14:paraId="7A27E00F" w14:textId="172354C6" w:rsidR="00165CEA" w:rsidRPr="000C2960" w:rsidRDefault="00165CEA" w:rsidP="00165CEA">
      <w:pPr>
        <w:pStyle w:val="SingleTxtG"/>
      </w:pPr>
      <w:r w:rsidRPr="000C2960">
        <w:t>87.</w:t>
      </w:r>
      <w:r w:rsidRPr="000C2960">
        <w:tab/>
        <w:t xml:space="preserve">По сравнению со стандартом EN ISO 3679:2004 были внесены следующие поправки: изменение названия; пересмотр требований к приборам для измерения температуры; включение процедуры ISO 3680 в процедуру </w:t>
      </w:r>
      <w:r w:rsidR="00F22588">
        <w:t>«</w:t>
      </w:r>
      <w:r w:rsidRPr="000C2960">
        <w:t>Да/Нет</w:t>
      </w:r>
      <w:r w:rsidR="00F22588">
        <w:t>»</w:t>
      </w:r>
      <w:r w:rsidRPr="000C2960">
        <w:t xml:space="preserve"> в качестве отдельной процедуры; новые значения точности, охватывающие газовую и электрическую системы зажигания.</w:t>
      </w:r>
    </w:p>
    <w:p w14:paraId="66CBA738" w14:textId="77777777" w:rsidR="00165CEA" w:rsidRPr="000C2960" w:rsidRDefault="00165CEA" w:rsidP="00165CEA">
      <w:pPr>
        <w:pStyle w:val="SingleTxtG"/>
      </w:pPr>
      <w:r w:rsidRPr="000C2960">
        <w:t>88.</w:t>
      </w:r>
      <w:r w:rsidRPr="000C2960">
        <w:tab/>
        <w:t>Маловероятно, что лаборатории по-прежнему будут проводить испытания в соответствии со старым стандартом. Нет никаких известных причин делать вывод о том, что текущее издание не подходит для ВОПОГ.</w:t>
      </w:r>
    </w:p>
    <w:p w14:paraId="2DDAEE48" w14:textId="77777777" w:rsidR="00165CEA" w:rsidRPr="000C2960" w:rsidRDefault="00165CEA" w:rsidP="00165CEA">
      <w:pPr>
        <w:pStyle w:val="SingleTxtG"/>
        <w:rPr>
          <w:bCs/>
        </w:rPr>
      </w:pPr>
      <w:r w:rsidRPr="000C2960">
        <w:rPr>
          <w:bCs/>
        </w:rPr>
        <w:t>89.</w:t>
      </w:r>
      <w:r w:rsidRPr="000C2960">
        <w:rPr>
          <w:bCs/>
        </w:rPr>
        <w:tab/>
        <w:t>Никаких переходных положений не требуется, поскольку это изменение метода испытания связано с приемлемыми ограничениями и требования к конструкции и эксплуатации судов не изменяются.</w:t>
      </w:r>
    </w:p>
    <w:p w14:paraId="42F3F8F4" w14:textId="4AF81F50" w:rsidR="00165CEA" w:rsidRPr="000C2960" w:rsidRDefault="00165CEA" w:rsidP="00165CEA">
      <w:pPr>
        <w:pStyle w:val="H4G"/>
      </w:pPr>
      <w:r w:rsidRPr="000C2960">
        <w:tab/>
      </w:r>
      <w:r w:rsidRPr="000C2960">
        <w:tab/>
      </w:r>
      <w:proofErr w:type="spellStart"/>
      <w:r w:rsidRPr="000C2960">
        <w:t>iv</w:t>
      </w:r>
      <w:proofErr w:type="spellEnd"/>
      <w:r w:rsidRPr="000C2960">
        <w:t>)</w:t>
      </w:r>
      <w:r w:rsidRPr="000C2960">
        <w:tab/>
        <w:t xml:space="preserve">Заменить </w:t>
      </w:r>
      <w:r w:rsidR="00F22588">
        <w:t>«</w:t>
      </w:r>
      <w:r w:rsidRPr="000C2960">
        <w:t>EN ISO 2592:2002</w:t>
      </w:r>
      <w:r w:rsidR="00F22588">
        <w:t>»</w:t>
      </w:r>
      <w:r w:rsidRPr="000C2960">
        <w:t xml:space="preserve"> на </w:t>
      </w:r>
      <w:r w:rsidR="00F22588">
        <w:t>«</w:t>
      </w:r>
      <w:r w:rsidRPr="000C2960">
        <w:t>ISO 2592:2017</w:t>
      </w:r>
      <w:r w:rsidR="00F22588">
        <w:t>»</w:t>
      </w:r>
      <w:r w:rsidRPr="000C2960">
        <w:t>.</w:t>
      </w:r>
    </w:p>
    <w:p w14:paraId="24A27658" w14:textId="35B32ABC" w:rsidR="00165CEA" w:rsidRPr="000C2960" w:rsidRDefault="00165CEA" w:rsidP="00165CEA">
      <w:pPr>
        <w:pStyle w:val="SingleTxtG"/>
      </w:pPr>
      <w:r w:rsidRPr="000C2960">
        <w:t>90.</w:t>
      </w:r>
      <w:r w:rsidRPr="000C2960">
        <w:tab/>
        <w:t xml:space="preserve">Название стандарта: </w:t>
      </w:r>
      <w:r w:rsidR="00F22588">
        <w:t>«</w:t>
      </w:r>
      <w:r w:rsidRPr="000C2960">
        <w:t>Нефть и сопутствующие продукты</w:t>
      </w:r>
      <w:r w:rsidR="005136D0" w:rsidRPr="005136D0">
        <w:t xml:space="preserve"> </w:t>
      </w:r>
      <w:r w:rsidRPr="000C2960">
        <w:t>— Определение температуры вспышки и воспламенения</w:t>
      </w:r>
      <w:r w:rsidR="00956763" w:rsidRPr="00956763">
        <w:t xml:space="preserve"> </w:t>
      </w:r>
      <w:r w:rsidRPr="000C2960">
        <w:t>— Метод с использованием открытого тигля Кливленда</w:t>
      </w:r>
      <w:r w:rsidR="00F22588">
        <w:t>»</w:t>
      </w:r>
      <w:r w:rsidRPr="000C2960">
        <w:t>.</w:t>
      </w:r>
    </w:p>
    <w:p w14:paraId="07A2CF4F" w14:textId="08999765" w:rsidR="00165CEA" w:rsidRPr="000C2960" w:rsidRDefault="00165CEA" w:rsidP="00165CEA">
      <w:pPr>
        <w:pStyle w:val="SingleTxtG"/>
      </w:pPr>
      <w:r w:rsidRPr="000C2960">
        <w:t>91.</w:t>
      </w:r>
      <w:r w:rsidRPr="000C2960">
        <w:tab/>
        <w:t>По сравнению со стандартом ISO 2592:2002-09 были внесены следующие изменения: включение в приложение D альтернативного метода обращения с пленкообразующими продуктами; пересмотр требований к установке для измерения температуры в приложении B; изменение с 17</w:t>
      </w:r>
      <w:r w:rsidR="00956763">
        <w:rPr>
          <w:lang w:val="en-US"/>
        </w:rPr>
        <w:t> </w:t>
      </w:r>
      <w:r w:rsidRPr="000C2960">
        <w:t>°C на 18</w:t>
      </w:r>
      <w:r w:rsidR="00956763">
        <w:rPr>
          <w:lang w:val="en-US"/>
        </w:rPr>
        <w:t> </w:t>
      </w:r>
      <w:r w:rsidRPr="000C2960">
        <w:t>°C для сопоставимости температуры вспышки по аналогии с ASTM D92 на основе текущих значений точности; добавление метода определения приблизительной температуры вспышки для образца с неизвестной температурой вспышки по аналогии с ASTM D92.</w:t>
      </w:r>
    </w:p>
    <w:p w14:paraId="0BF7CC2A" w14:textId="77777777" w:rsidR="00165CEA" w:rsidRPr="000C2960" w:rsidRDefault="00165CEA" w:rsidP="00165CEA">
      <w:pPr>
        <w:pStyle w:val="SingleTxtG"/>
      </w:pPr>
      <w:r w:rsidRPr="000C2960">
        <w:t>92.</w:t>
      </w:r>
      <w:r w:rsidRPr="000C2960">
        <w:tab/>
        <w:t>Маловероятно, что лаборатории по-прежнему будут проводить испытания в соответствии со старым стандартом. Нет никаких известных причин делать вывод о том, что текущее издание не подходит для ВОПОГ.</w:t>
      </w:r>
    </w:p>
    <w:p w14:paraId="3C601F28" w14:textId="77777777" w:rsidR="00165CEA" w:rsidRPr="000C2960" w:rsidRDefault="00165CEA" w:rsidP="00165CEA">
      <w:pPr>
        <w:pStyle w:val="SingleTxtG"/>
        <w:rPr>
          <w:bCs/>
        </w:rPr>
      </w:pPr>
      <w:r w:rsidRPr="000C2960">
        <w:rPr>
          <w:bCs/>
        </w:rPr>
        <w:lastRenderedPageBreak/>
        <w:t>93.</w:t>
      </w:r>
      <w:r w:rsidRPr="000C2960">
        <w:rPr>
          <w:bCs/>
        </w:rPr>
        <w:tab/>
        <w:t>Никаких переходных положений не требуется, поскольку это изменение метода испытания связано с приемлемыми ограничениями и требования к конструкции и эксплуатации судов не изменяются.</w:t>
      </w:r>
    </w:p>
    <w:p w14:paraId="4E980857" w14:textId="5D6E8A16" w:rsidR="00165CEA" w:rsidRPr="000C2960" w:rsidRDefault="00165CEA" w:rsidP="00165CEA">
      <w:pPr>
        <w:pStyle w:val="H4G"/>
      </w:pPr>
      <w:r w:rsidRPr="000C2960">
        <w:tab/>
      </w:r>
      <w:r w:rsidRPr="000C2960">
        <w:tab/>
        <w:t>v)</w:t>
      </w:r>
      <w:r w:rsidRPr="000C2960">
        <w:tab/>
        <w:t xml:space="preserve">Не удалось проверить, действует ли еще французский стандарт </w:t>
      </w:r>
      <w:r w:rsidR="00F22588">
        <w:t>«</w:t>
      </w:r>
      <w:r w:rsidRPr="000C2960">
        <w:t xml:space="preserve">Устройство </w:t>
      </w:r>
      <w:proofErr w:type="spellStart"/>
      <w:r w:rsidRPr="000C2960">
        <w:t>Люшера</w:t>
      </w:r>
      <w:proofErr w:type="spellEnd"/>
      <w:r w:rsidRPr="000C2960">
        <w:t>: французский стандарт NF T60-103:1968</w:t>
      </w:r>
      <w:r w:rsidR="00F22588">
        <w:t>»</w:t>
      </w:r>
      <w:r w:rsidRPr="005136D0">
        <w:rPr>
          <w:rStyle w:val="aa"/>
          <w:i w:val="0"/>
          <w:iCs/>
        </w:rPr>
        <w:footnoteReference w:id="3"/>
      </w:r>
      <w:r w:rsidRPr="000C2960">
        <w:t>.</w:t>
      </w:r>
    </w:p>
    <w:p w14:paraId="3984BE08" w14:textId="70A73E26" w:rsidR="00165CEA" w:rsidRPr="000C2960" w:rsidRDefault="00165CEA" w:rsidP="00165CEA">
      <w:pPr>
        <w:pStyle w:val="H23G"/>
      </w:pPr>
      <w:r w:rsidRPr="000C2960">
        <w:tab/>
        <w:t>c)</w:t>
      </w:r>
      <w:r w:rsidRPr="000C2960">
        <w:tab/>
        <w:t xml:space="preserve">В разделе 3.3 </w:t>
      </w:r>
      <w:r w:rsidR="00F22588">
        <w:t>«</w:t>
      </w:r>
      <w:r w:rsidRPr="000C2960">
        <w:t>Пределы взрываемости</w:t>
      </w:r>
      <w:r w:rsidR="00F22588">
        <w:t>»</w:t>
      </w:r>
      <w:r w:rsidRPr="000C2960">
        <w:t xml:space="preserve"> (пределы воспламенения)</w:t>
      </w:r>
    </w:p>
    <w:p w14:paraId="347B1D3C" w14:textId="122E1B33" w:rsidR="00165CEA" w:rsidRPr="000C2960" w:rsidRDefault="00165CEA" w:rsidP="00165CEA">
      <w:pPr>
        <w:pStyle w:val="H4G"/>
      </w:pPr>
      <w:r w:rsidRPr="000C2960">
        <w:tab/>
      </w:r>
      <w:r w:rsidRPr="000C2960">
        <w:tab/>
        <w:t xml:space="preserve">Заменить </w:t>
      </w:r>
      <w:r w:rsidR="00F22588">
        <w:t>«</w:t>
      </w:r>
      <w:r w:rsidRPr="000C2960">
        <w:t>EN 1839:2012</w:t>
      </w:r>
      <w:r w:rsidR="00F22588">
        <w:t>»</w:t>
      </w:r>
      <w:r w:rsidRPr="000C2960">
        <w:t xml:space="preserve"> на </w:t>
      </w:r>
      <w:r w:rsidR="00F22588">
        <w:t>«</w:t>
      </w:r>
      <w:r w:rsidRPr="000C2960">
        <w:t>EN 1839:2017</w:t>
      </w:r>
      <w:r w:rsidR="00F22588">
        <w:t>»</w:t>
      </w:r>
      <w:r w:rsidRPr="000C2960">
        <w:t>.</w:t>
      </w:r>
    </w:p>
    <w:p w14:paraId="721D68F3" w14:textId="20094E21" w:rsidR="00165CEA" w:rsidRPr="000C2960" w:rsidRDefault="00165CEA" w:rsidP="00165CEA">
      <w:pPr>
        <w:pStyle w:val="SingleTxtG"/>
      </w:pPr>
      <w:r w:rsidRPr="000C2960">
        <w:t>94.</w:t>
      </w:r>
      <w:r w:rsidRPr="000C2960">
        <w:tab/>
        <w:t xml:space="preserve">Название стандарта: </w:t>
      </w:r>
      <w:r w:rsidR="00F22588">
        <w:t>«</w:t>
      </w:r>
      <w:r w:rsidRPr="000C2960">
        <w:t>Определение пределов взрываемости газов и паров и определение ограничения концентрации кислорода (ОКК) для воспламеняющихся газов и паров</w:t>
      </w:r>
      <w:r w:rsidR="00F22588">
        <w:t>»</w:t>
      </w:r>
      <w:r w:rsidRPr="000C2960">
        <w:t>.</w:t>
      </w:r>
    </w:p>
    <w:p w14:paraId="6D503087" w14:textId="77777777" w:rsidR="00165CEA" w:rsidRPr="000C2960" w:rsidRDefault="00165CEA" w:rsidP="00165CEA">
      <w:pPr>
        <w:pStyle w:val="SingleTxtG"/>
      </w:pPr>
      <w:r w:rsidRPr="000C2960">
        <w:t>95.</w:t>
      </w:r>
      <w:r w:rsidRPr="000C2960">
        <w:tab/>
        <w:t>Указанная версия стандарта устарела. Основным изменением является добавление положений DIN EN 14756:2007-02, т. е. включение метода определения ограничения концентрации кислорода для воспламеняющихся газов и паров.</w:t>
      </w:r>
    </w:p>
    <w:p w14:paraId="3862ADCB" w14:textId="77777777" w:rsidR="00165CEA" w:rsidRPr="000C2960" w:rsidRDefault="00165CEA" w:rsidP="00165CEA">
      <w:pPr>
        <w:pStyle w:val="SingleTxtG"/>
      </w:pPr>
      <w:r w:rsidRPr="000C2960">
        <w:t>96.</w:t>
      </w:r>
      <w:r w:rsidRPr="000C2960">
        <w:tab/>
        <w:t>Маловероятно, что лаборатории по-прежнему будут проводить испытания в соответствии со старым стандартом. Нет никаких известных причин делать вывод о том, что текущее издание не подходит для ВОПОГ.</w:t>
      </w:r>
    </w:p>
    <w:p w14:paraId="3CB21D3D" w14:textId="77777777" w:rsidR="00165CEA" w:rsidRPr="000C2960" w:rsidRDefault="00165CEA" w:rsidP="00165CEA">
      <w:pPr>
        <w:pStyle w:val="SingleTxtG"/>
      </w:pPr>
      <w:r w:rsidRPr="000C2960">
        <w:rPr>
          <w:bCs/>
        </w:rPr>
        <w:t>97.</w:t>
      </w:r>
      <w:r w:rsidRPr="000C2960">
        <w:rPr>
          <w:bCs/>
        </w:rPr>
        <w:tab/>
        <w:t xml:space="preserve">Никаких переходных положений не требуется, поскольку это изменение метода испытания связано с </w:t>
      </w:r>
      <w:r w:rsidRPr="000C2960">
        <w:t xml:space="preserve">приемлемыми </w:t>
      </w:r>
      <w:r w:rsidRPr="000C2960">
        <w:rPr>
          <w:bCs/>
        </w:rPr>
        <w:t xml:space="preserve">ограничениями </w:t>
      </w:r>
      <w:r w:rsidRPr="000C2960">
        <w:t>и требования к конструкции и эксплуатации судов не изменяются.</w:t>
      </w:r>
    </w:p>
    <w:p w14:paraId="1818747F" w14:textId="77777777" w:rsidR="00165CEA" w:rsidRPr="000C2960" w:rsidRDefault="00165CEA" w:rsidP="00165CEA">
      <w:pPr>
        <w:pStyle w:val="H23G"/>
      </w:pPr>
      <w:r w:rsidRPr="000C2960">
        <w:tab/>
        <w:t>3.</w:t>
      </w:r>
      <w:r w:rsidRPr="000C2960">
        <w:tab/>
        <w:t>В подразделе 8.1.6.2 (Проверка и осмотр оборудования)</w:t>
      </w:r>
    </w:p>
    <w:p w14:paraId="7D39DC9D" w14:textId="77777777" w:rsidR="00165CEA" w:rsidRPr="000C2960" w:rsidRDefault="00165CEA" w:rsidP="00165CEA">
      <w:pPr>
        <w:pStyle w:val="H23G"/>
      </w:pPr>
      <w:r w:rsidRPr="000C2960">
        <w:tab/>
      </w:r>
      <w:r w:rsidRPr="000C2960">
        <w:tab/>
        <w:t>a)</w:t>
      </w:r>
      <w:r w:rsidRPr="000C2960">
        <w:tab/>
        <w:t>В первом предложении</w:t>
      </w:r>
    </w:p>
    <w:p w14:paraId="2FD160E2" w14:textId="3F973CB5" w:rsidR="00165CEA" w:rsidRPr="000C2960" w:rsidRDefault="00165CEA" w:rsidP="00165CEA">
      <w:pPr>
        <w:pStyle w:val="H4G"/>
      </w:pPr>
      <w:r w:rsidRPr="000C2960">
        <w:tab/>
      </w:r>
      <w:r w:rsidRPr="000C2960">
        <w:tab/>
        <w:t>i)</w:t>
      </w:r>
      <w:r w:rsidRPr="000C2960">
        <w:tab/>
        <w:t xml:space="preserve">Заменить </w:t>
      </w:r>
      <w:r w:rsidR="00F22588">
        <w:t>«</w:t>
      </w:r>
      <w:r w:rsidRPr="000C2960">
        <w:t>EN ISO 10380:2003-10</w:t>
      </w:r>
      <w:r w:rsidR="00F22588">
        <w:t>»</w:t>
      </w:r>
      <w:r w:rsidRPr="000C2960">
        <w:t xml:space="preserve"> на </w:t>
      </w:r>
      <w:r w:rsidR="00F22588">
        <w:t>«</w:t>
      </w:r>
      <w:r w:rsidRPr="000C2960">
        <w:t>ISO 10380:2012</w:t>
      </w:r>
      <w:r w:rsidR="00F22588">
        <w:t>»</w:t>
      </w:r>
      <w:r w:rsidRPr="000C2960">
        <w:t>.</w:t>
      </w:r>
    </w:p>
    <w:p w14:paraId="0E7E7CAC" w14:textId="26E96904" w:rsidR="00165CEA" w:rsidRPr="000C2960" w:rsidRDefault="00165CEA" w:rsidP="00165CEA">
      <w:pPr>
        <w:pStyle w:val="SingleTxtG"/>
      </w:pPr>
      <w:r w:rsidRPr="000C2960">
        <w:t>98.</w:t>
      </w:r>
      <w:r w:rsidRPr="000C2960">
        <w:tab/>
        <w:t xml:space="preserve">Название стандарта: </w:t>
      </w:r>
      <w:r w:rsidR="00F22588">
        <w:t>«</w:t>
      </w:r>
      <w:r w:rsidRPr="000C2960">
        <w:t>Трубопроводы</w:t>
      </w:r>
      <w:r w:rsidR="005136D0" w:rsidRPr="005136D0">
        <w:t xml:space="preserve"> </w:t>
      </w:r>
      <w:r w:rsidRPr="000C2960">
        <w:t>— Гофрированные металлические шланги и шланги в сборе</w:t>
      </w:r>
      <w:r w:rsidR="00F22588">
        <w:t>»</w:t>
      </w:r>
      <w:r w:rsidRPr="000C2960">
        <w:t>.</w:t>
      </w:r>
    </w:p>
    <w:p w14:paraId="2581794D" w14:textId="77777777" w:rsidR="00165CEA" w:rsidRPr="000C2960" w:rsidRDefault="00165CEA" w:rsidP="00BF4681">
      <w:pPr>
        <w:pStyle w:val="SingleTxtG"/>
      </w:pPr>
      <w:r w:rsidRPr="000C2960">
        <w:t>99.</w:t>
      </w:r>
      <w:r w:rsidRPr="000C2960">
        <w:tab/>
        <w:t>Указанная версия стандарта устарела. Были внесены следующие изменения:</w:t>
      </w:r>
    </w:p>
    <w:p w14:paraId="731735E4" w14:textId="77777777" w:rsidR="00165CEA" w:rsidRPr="000C2960" w:rsidRDefault="00165CEA" w:rsidP="00165CEA">
      <w:pPr>
        <w:pStyle w:val="SingleTxtG"/>
        <w:ind w:firstLine="567"/>
      </w:pPr>
      <w:r w:rsidRPr="000C2960">
        <w:t>a)</w:t>
      </w:r>
      <w:r w:rsidRPr="000C2960">
        <w:tab/>
        <w:t>обновление и добавление нормативных ссылок;</w:t>
      </w:r>
    </w:p>
    <w:p w14:paraId="5C7B7180" w14:textId="77777777" w:rsidR="00165CEA" w:rsidRPr="000C2960" w:rsidRDefault="00165CEA" w:rsidP="00165CEA">
      <w:pPr>
        <w:pStyle w:val="SingleTxtG"/>
        <w:ind w:firstLine="567"/>
      </w:pPr>
      <w:r w:rsidRPr="000C2960">
        <w:t>b)</w:t>
      </w:r>
      <w:r w:rsidRPr="000C2960">
        <w:tab/>
        <w:t>переработка формулировки стандарта, включая рисунки и таблицы;</w:t>
      </w:r>
    </w:p>
    <w:p w14:paraId="06BE1724" w14:textId="77777777" w:rsidR="00165CEA" w:rsidRPr="000C2960" w:rsidRDefault="00165CEA" w:rsidP="00165CEA">
      <w:pPr>
        <w:pStyle w:val="SingleTxtG"/>
        <w:ind w:firstLine="567"/>
      </w:pPr>
      <w:r w:rsidRPr="000C2960">
        <w:t>c)</w:t>
      </w:r>
      <w:r w:rsidRPr="000C2960">
        <w:tab/>
        <w:t>обновление требований к испытаниям и характеристикам для отражения текущей промышленной практики;</w:t>
      </w:r>
    </w:p>
    <w:p w14:paraId="458A792C" w14:textId="77777777" w:rsidR="00165CEA" w:rsidRPr="000C2960" w:rsidRDefault="00165CEA" w:rsidP="00165CEA">
      <w:pPr>
        <w:pStyle w:val="SingleTxtG"/>
        <w:ind w:firstLine="567"/>
      </w:pPr>
      <w:r w:rsidRPr="000C2960">
        <w:t>d)</w:t>
      </w:r>
      <w:r w:rsidRPr="000C2960">
        <w:tab/>
        <w:t>внедрение системы оценки соответствия и системы выдачи свидетельств;</w:t>
      </w:r>
    </w:p>
    <w:p w14:paraId="6C57768E" w14:textId="77777777" w:rsidR="00165CEA" w:rsidRPr="000C2960" w:rsidRDefault="00165CEA" w:rsidP="00165CEA">
      <w:pPr>
        <w:pStyle w:val="SingleTxtG"/>
        <w:ind w:firstLine="567"/>
      </w:pPr>
      <w:r w:rsidRPr="000C2960">
        <w:t>e)</w:t>
      </w:r>
      <w:r w:rsidRPr="000C2960">
        <w:tab/>
        <w:t>редакционный пересмотр стандарта.</w:t>
      </w:r>
    </w:p>
    <w:p w14:paraId="726C232A" w14:textId="77777777" w:rsidR="00165CEA" w:rsidRPr="000C2960" w:rsidRDefault="00165CEA" w:rsidP="00165CEA">
      <w:pPr>
        <w:pStyle w:val="SingleTxtG"/>
      </w:pPr>
      <w:r w:rsidRPr="000C2960">
        <w:t>100.</w:t>
      </w:r>
      <w:r w:rsidRPr="000C2960">
        <w:tab/>
        <w:t>Приобрести шланги для постройки новых судов или запасные части для судов, находящихся в эксплуатации, которые соответствуют старой редакции стандарта, уже невозможно. Нет никаких известных причин делать вывод о том, что текущая версия не подходит для ВОПОГ.</w:t>
      </w:r>
    </w:p>
    <w:p w14:paraId="398DEC95" w14:textId="20D5F4F6" w:rsidR="00165CEA" w:rsidRPr="000C2960" w:rsidRDefault="00165CEA" w:rsidP="00165CEA">
      <w:pPr>
        <w:pStyle w:val="SingleTxtG"/>
        <w:rPr>
          <w:bCs/>
        </w:rPr>
      </w:pPr>
      <w:r w:rsidRPr="000C2960">
        <w:t>101.</w:t>
      </w:r>
      <w:r w:rsidRPr="000C2960">
        <w:tab/>
        <w:t xml:space="preserve">Включить в </w:t>
      </w:r>
      <w:r w:rsidR="00F22588">
        <w:t>«</w:t>
      </w:r>
      <w:r w:rsidRPr="000C2960">
        <w:t>1.6.7.2.2.2 Таблица общих переходных положений</w:t>
      </w:r>
      <w:r w:rsidR="005136D0" w:rsidRPr="005136D0">
        <w:t xml:space="preserve"> </w:t>
      </w:r>
      <w:r w:rsidRPr="000C2960">
        <w:t>— танкеры</w:t>
      </w:r>
      <w:r w:rsidR="00F22588">
        <w:t>»</w:t>
      </w:r>
      <w:r w:rsidRPr="000C2960">
        <w:t xml:space="preserve"> следующее переходное положение</w:t>
      </w:r>
      <w:r w:rsidRPr="000C2960">
        <w:rPr>
          <w:bCs/>
        </w:rPr>
        <w:t>:</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165CEA" w:rsidRPr="000C2960" w14:paraId="03D36AF0" w14:textId="77777777" w:rsidTr="005136D0">
        <w:trPr>
          <w:cantSplit/>
        </w:trPr>
        <w:tc>
          <w:tcPr>
            <w:tcW w:w="1207" w:type="dxa"/>
            <w:tcBorders>
              <w:top w:val="single" w:sz="6" w:space="0" w:color="auto"/>
              <w:left w:val="single" w:sz="6" w:space="0" w:color="auto"/>
              <w:bottom w:val="single" w:sz="6" w:space="0" w:color="auto"/>
              <w:right w:val="single" w:sz="6" w:space="0" w:color="auto"/>
            </w:tcBorders>
          </w:tcPr>
          <w:p w14:paraId="14B9E061" w14:textId="77777777" w:rsidR="00165CEA" w:rsidRPr="000C2960" w:rsidRDefault="00165CEA" w:rsidP="005136D0">
            <w:pPr>
              <w:pStyle w:val="N3"/>
              <w:tabs>
                <w:tab w:val="clear" w:pos="170"/>
              </w:tabs>
              <w:suppressAutoHyphens/>
              <w:spacing w:before="60" w:after="60" w:line="240" w:lineRule="atLeast"/>
              <w:rPr>
                <w:rFonts w:ascii="Times New Roman" w:hAnsi="Times New Roman"/>
                <w:sz w:val="20"/>
                <w:lang w:val="ru-RU"/>
              </w:rPr>
            </w:pPr>
            <w:r w:rsidRPr="000C2960">
              <w:rPr>
                <w:rFonts w:ascii="Times New Roman" w:hAnsi="Times New Roman"/>
                <w:sz w:val="20"/>
                <w:lang w:val="ru-RU"/>
              </w:rPr>
              <w:lastRenderedPageBreak/>
              <w:t>8.1.6.2</w:t>
            </w:r>
          </w:p>
        </w:tc>
        <w:tc>
          <w:tcPr>
            <w:tcW w:w="2552" w:type="dxa"/>
            <w:tcBorders>
              <w:top w:val="single" w:sz="6" w:space="0" w:color="auto"/>
              <w:left w:val="single" w:sz="6" w:space="0" w:color="auto"/>
              <w:bottom w:val="single" w:sz="6" w:space="0" w:color="auto"/>
              <w:right w:val="single" w:sz="6" w:space="0" w:color="auto"/>
            </w:tcBorders>
          </w:tcPr>
          <w:p w14:paraId="39E1B152" w14:textId="77777777" w:rsidR="00165CEA" w:rsidRPr="000C2960" w:rsidRDefault="00165CEA" w:rsidP="005136D0">
            <w:pPr>
              <w:tabs>
                <w:tab w:val="left" w:pos="567"/>
              </w:tabs>
            </w:pPr>
            <w:r w:rsidRPr="000C2960">
              <w:t>EN ISO 10380:2012</w:t>
            </w:r>
          </w:p>
        </w:tc>
        <w:tc>
          <w:tcPr>
            <w:tcW w:w="5355" w:type="dxa"/>
            <w:tcBorders>
              <w:top w:val="single" w:sz="6" w:space="0" w:color="auto"/>
              <w:left w:val="single" w:sz="6" w:space="0" w:color="auto"/>
              <w:bottom w:val="single" w:sz="6" w:space="0" w:color="auto"/>
              <w:right w:val="single" w:sz="6" w:space="0" w:color="auto"/>
            </w:tcBorders>
          </w:tcPr>
          <w:p w14:paraId="225C6697" w14:textId="77777777" w:rsidR="00165CEA" w:rsidRPr="000C2960" w:rsidRDefault="00165CEA" w:rsidP="005136D0">
            <w:pPr>
              <w:pStyle w:val="N3"/>
              <w:suppressAutoHyphens/>
              <w:spacing w:line="240" w:lineRule="atLeast"/>
              <w:jc w:val="center"/>
              <w:rPr>
                <w:rFonts w:ascii="Times New Roman" w:hAnsi="Times New Roman"/>
                <w:sz w:val="20"/>
                <w:lang w:val="ru-RU"/>
              </w:rPr>
            </w:pPr>
            <w:r w:rsidRPr="000C2960">
              <w:rPr>
                <w:rFonts w:ascii="Times New Roman" w:hAnsi="Times New Roman"/>
                <w:sz w:val="20"/>
                <w:lang w:val="ru-RU"/>
              </w:rPr>
              <w:t>Н.З.М. с 1 января 2023 года</w:t>
            </w:r>
          </w:p>
          <w:p w14:paraId="4DD8737D" w14:textId="7778A094" w:rsidR="00165CEA" w:rsidRPr="000C2960" w:rsidRDefault="00165CEA" w:rsidP="005136D0">
            <w:pPr>
              <w:pStyle w:val="N3"/>
              <w:tabs>
                <w:tab w:val="clear" w:pos="170"/>
              </w:tabs>
              <w:suppressAutoHyphens/>
              <w:spacing w:before="60" w:after="120" w:line="240" w:lineRule="atLeast"/>
              <w:ind w:left="0" w:firstLine="0"/>
              <w:jc w:val="center"/>
              <w:rPr>
                <w:rFonts w:ascii="Times New Roman" w:hAnsi="Times New Roman"/>
                <w:sz w:val="20"/>
                <w:lang w:val="ru-RU"/>
              </w:rPr>
            </w:pPr>
            <w:r w:rsidRPr="000C2960">
              <w:rPr>
                <w:rFonts w:ascii="Times New Roman" w:hAnsi="Times New Roman"/>
                <w:sz w:val="20"/>
                <w:lang w:val="ru-RU"/>
              </w:rPr>
              <w:t xml:space="preserve">Возобновление свидетельства о допущении </w:t>
            </w:r>
            <w:r w:rsidR="005136D0">
              <w:rPr>
                <w:rFonts w:ascii="Times New Roman" w:hAnsi="Times New Roman"/>
                <w:sz w:val="20"/>
                <w:lang w:val="ru-RU"/>
              </w:rPr>
              <w:br/>
            </w:r>
            <w:r w:rsidRPr="000C2960">
              <w:rPr>
                <w:rFonts w:ascii="Times New Roman" w:hAnsi="Times New Roman"/>
                <w:sz w:val="20"/>
                <w:lang w:val="ru-RU"/>
              </w:rPr>
              <w:t>после 31 декабря 2026 года</w:t>
            </w:r>
          </w:p>
        </w:tc>
      </w:tr>
    </w:tbl>
    <w:p w14:paraId="60BA3B93" w14:textId="77777777" w:rsidR="00165CEA" w:rsidRPr="000C2960" w:rsidRDefault="00165CEA" w:rsidP="00165CEA">
      <w:pPr>
        <w:pStyle w:val="SingleTxtG"/>
        <w:spacing w:before="120"/>
      </w:pPr>
      <w:r w:rsidRPr="000C2960">
        <w:t>102.</w:t>
      </w:r>
      <w:r w:rsidRPr="000C2960">
        <w:tab/>
        <w:t>В измененной версии стандарта содержатся элементы, относящиеся к безопасности. Поэтому замена шлангов и шлангов в сборе необходима для поддержания максимально возможного уровня безопасности. Для организации необходимой замены достаточно переходного периода от трех до восьми лет с момента принятия поправки.</w:t>
      </w:r>
    </w:p>
    <w:p w14:paraId="638C4DB1" w14:textId="13FEE9DB" w:rsidR="00165CEA" w:rsidRPr="000C2960" w:rsidRDefault="00165CEA" w:rsidP="00165CEA">
      <w:pPr>
        <w:pStyle w:val="H4G"/>
      </w:pPr>
      <w:r w:rsidRPr="000C2960">
        <w:rPr>
          <w:i w:val="0"/>
        </w:rPr>
        <w:tab/>
      </w:r>
      <w:r w:rsidRPr="000C2960">
        <w:rPr>
          <w:i w:val="0"/>
        </w:rPr>
        <w:tab/>
      </w:r>
      <w:proofErr w:type="spellStart"/>
      <w:r w:rsidRPr="000C2960">
        <w:rPr>
          <w:i w:val="0"/>
        </w:rPr>
        <w:t>ii</w:t>
      </w:r>
      <w:proofErr w:type="spellEnd"/>
      <w:r w:rsidRPr="000C2960">
        <w:t>)</w:t>
      </w:r>
      <w:r w:rsidRPr="000C2960">
        <w:tab/>
        <w:t xml:space="preserve">Заменить </w:t>
      </w:r>
      <w:r w:rsidR="00F22588">
        <w:t>«</w:t>
      </w:r>
      <w:r w:rsidRPr="000C2960">
        <w:t>EN 13765:2010-08</w:t>
      </w:r>
      <w:r w:rsidR="00F22588">
        <w:t>»</w:t>
      </w:r>
      <w:r w:rsidRPr="000C2960">
        <w:t xml:space="preserve"> на </w:t>
      </w:r>
      <w:r w:rsidR="00F22588">
        <w:t>«</w:t>
      </w:r>
      <w:r w:rsidRPr="000C2960">
        <w:t>ISO 13765:2018</w:t>
      </w:r>
      <w:r w:rsidR="00F22588">
        <w:t>»</w:t>
      </w:r>
      <w:r w:rsidRPr="000C2960">
        <w:t>.</w:t>
      </w:r>
    </w:p>
    <w:p w14:paraId="188D7098" w14:textId="6CFB5AA4" w:rsidR="00165CEA" w:rsidRPr="000C2960" w:rsidRDefault="00165CEA" w:rsidP="00165CEA">
      <w:pPr>
        <w:pStyle w:val="SingleTxtG"/>
      </w:pPr>
      <w:r w:rsidRPr="000C2960">
        <w:t>103.</w:t>
      </w:r>
      <w:r w:rsidRPr="000C2960">
        <w:tab/>
      </w:r>
      <w:r w:rsidRPr="005136D0">
        <w:rPr>
          <w:spacing w:val="-4"/>
        </w:rPr>
        <w:t xml:space="preserve">Название стандарта: </w:t>
      </w:r>
      <w:r w:rsidR="00F22588" w:rsidRPr="005136D0">
        <w:rPr>
          <w:spacing w:val="-4"/>
        </w:rPr>
        <w:t>«</w:t>
      </w:r>
      <w:r w:rsidRPr="005136D0">
        <w:rPr>
          <w:spacing w:val="-4"/>
        </w:rPr>
        <w:t>Термопластические многослойные (</w:t>
      </w:r>
      <w:proofErr w:type="spellStart"/>
      <w:r w:rsidRPr="005136D0">
        <w:rPr>
          <w:spacing w:val="-4"/>
        </w:rPr>
        <w:t>невулканизированные</w:t>
      </w:r>
      <w:proofErr w:type="spellEnd"/>
      <w:r w:rsidRPr="005136D0">
        <w:rPr>
          <w:spacing w:val="-4"/>
        </w:rPr>
        <w:t xml:space="preserve">) </w:t>
      </w:r>
      <w:r w:rsidRPr="000C2960">
        <w:t xml:space="preserve">шланги и </w:t>
      </w:r>
      <w:bookmarkStart w:id="16" w:name="_Hlk88134309"/>
      <w:r w:rsidRPr="000C2960">
        <w:t xml:space="preserve">шланги в сборе </w:t>
      </w:r>
      <w:bookmarkEnd w:id="16"/>
      <w:r w:rsidRPr="000C2960">
        <w:t>для разгрузки углеводородов, растворителей и химических веществ</w:t>
      </w:r>
      <w:r w:rsidR="005136D0" w:rsidRPr="005136D0">
        <w:t xml:space="preserve"> </w:t>
      </w:r>
      <w:r w:rsidRPr="000C2960">
        <w:t>— Технические условия</w:t>
      </w:r>
      <w:r w:rsidR="00F22588">
        <w:t>»</w:t>
      </w:r>
      <w:r w:rsidRPr="000C2960">
        <w:t>.</w:t>
      </w:r>
    </w:p>
    <w:p w14:paraId="05254346" w14:textId="77777777" w:rsidR="00165CEA" w:rsidRPr="000C2960" w:rsidRDefault="00165CEA" w:rsidP="00165CEA">
      <w:pPr>
        <w:pStyle w:val="SingleTxtG"/>
      </w:pPr>
      <w:r w:rsidRPr="000C2960">
        <w:t>104.</w:t>
      </w:r>
      <w:r w:rsidRPr="000C2960">
        <w:tab/>
        <w:t>Указанная версия стандарта устарела, в то же время существует и более раннее издание, опубликованное в 2015 году. В содержание издания 2018 года были внесены важные изменения:</w:t>
      </w:r>
    </w:p>
    <w:p w14:paraId="019295EC" w14:textId="77777777" w:rsidR="00165CEA" w:rsidRPr="000C2960" w:rsidRDefault="00165CEA" w:rsidP="00165CEA">
      <w:pPr>
        <w:pStyle w:val="SingleTxtG"/>
        <w:ind w:firstLine="567"/>
      </w:pPr>
      <w:r w:rsidRPr="000C2960">
        <w:t>a)</w:t>
      </w:r>
      <w:r w:rsidRPr="000C2960">
        <w:tab/>
        <w:t>обновлены нормативные ссылки (раздел 2);</w:t>
      </w:r>
    </w:p>
    <w:p w14:paraId="6F8E28C4" w14:textId="77777777" w:rsidR="00165CEA" w:rsidRPr="000C2960" w:rsidRDefault="00165CEA" w:rsidP="00165CEA">
      <w:pPr>
        <w:pStyle w:val="SingleTxtG"/>
        <w:ind w:firstLine="567"/>
      </w:pPr>
      <w:r w:rsidRPr="000C2960">
        <w:t>b)</w:t>
      </w:r>
      <w:r w:rsidRPr="000C2960">
        <w:tab/>
        <w:t>теперь указано, что более низкие минимальные и/или максимальные значения температуры возможны после консультации с производителем (раздел 4);</w:t>
      </w:r>
    </w:p>
    <w:p w14:paraId="3BBEE396" w14:textId="77777777" w:rsidR="00165CEA" w:rsidRPr="000C2960" w:rsidRDefault="00165CEA" w:rsidP="00165CEA">
      <w:pPr>
        <w:pStyle w:val="SingleTxtG"/>
        <w:ind w:firstLine="567"/>
      </w:pPr>
      <w:r w:rsidRPr="000C2960">
        <w:t>c)</w:t>
      </w:r>
      <w:r w:rsidRPr="000C2960">
        <w:tab/>
        <w:t>изменено требование о непрерывности электрического соединения между концевыми фитингами (раздел 7);</w:t>
      </w:r>
    </w:p>
    <w:p w14:paraId="252DC497" w14:textId="77777777" w:rsidR="00165CEA" w:rsidRPr="000C2960" w:rsidRDefault="00165CEA" w:rsidP="00165CEA">
      <w:pPr>
        <w:pStyle w:val="SingleTxtG"/>
        <w:ind w:firstLine="567"/>
      </w:pPr>
      <w:r w:rsidRPr="000C2960">
        <w:t>d)</w:t>
      </w:r>
      <w:r w:rsidRPr="000C2960">
        <w:tab/>
        <w:t>обновлена маркировка шлангов и шлангов в сборе (раздел 10);</w:t>
      </w:r>
    </w:p>
    <w:p w14:paraId="67DB9930" w14:textId="77777777" w:rsidR="00165CEA" w:rsidRPr="000C2960" w:rsidRDefault="00165CEA" w:rsidP="00165CEA">
      <w:pPr>
        <w:pStyle w:val="SingleTxtG"/>
        <w:ind w:firstLine="567"/>
      </w:pPr>
      <w:r w:rsidRPr="000C2960">
        <w:t>e)</w:t>
      </w:r>
      <w:r w:rsidRPr="000C2960">
        <w:tab/>
        <w:t>добавлены предельные отклонения для испытательной нагрузки во время испытания на сопротивление пиковому давлению (приложение D);</w:t>
      </w:r>
    </w:p>
    <w:p w14:paraId="6E90B973" w14:textId="77777777" w:rsidR="00165CEA" w:rsidRPr="000C2960" w:rsidRDefault="00165CEA" w:rsidP="00165CEA">
      <w:pPr>
        <w:pStyle w:val="SingleTxtG"/>
        <w:ind w:firstLine="567"/>
      </w:pPr>
      <w:r w:rsidRPr="000C2960">
        <w:t>f)</w:t>
      </w:r>
      <w:r w:rsidRPr="000C2960">
        <w:tab/>
        <w:t>добавлены требования, касающиеся последовательности гидростатических испытаний (приложение H);</w:t>
      </w:r>
    </w:p>
    <w:p w14:paraId="41276A03" w14:textId="3B09ECEC" w:rsidR="00165CEA" w:rsidRPr="000C2960" w:rsidRDefault="00165CEA" w:rsidP="00165CEA">
      <w:pPr>
        <w:pStyle w:val="SingleTxtG"/>
        <w:ind w:firstLine="567"/>
      </w:pPr>
      <w:r w:rsidRPr="000C2960">
        <w:t>g)</w:t>
      </w:r>
      <w:r w:rsidRPr="000C2960">
        <w:tab/>
        <w:t>обновлены требования к типовым и обычным испытаниям (приложение</w:t>
      </w:r>
      <w:r w:rsidR="00BF4681">
        <w:rPr>
          <w:lang w:val="en-US"/>
        </w:rPr>
        <w:t> </w:t>
      </w:r>
      <w:r w:rsidRPr="000C2960">
        <w:t>K) и испытаниям партий (приложение L) шлангов и шлангов в сборе;</w:t>
      </w:r>
    </w:p>
    <w:p w14:paraId="201ACB09" w14:textId="77777777" w:rsidR="00165CEA" w:rsidRPr="000C2960" w:rsidRDefault="00165CEA" w:rsidP="00165CEA">
      <w:pPr>
        <w:pStyle w:val="SingleTxtG"/>
        <w:ind w:firstLine="567"/>
      </w:pPr>
      <w:r w:rsidRPr="000C2960">
        <w:t>h)</w:t>
      </w:r>
      <w:r w:rsidRPr="000C2960">
        <w:tab/>
        <w:t>добавлены библиографические ссылки.</w:t>
      </w:r>
    </w:p>
    <w:p w14:paraId="3EEBD8DC" w14:textId="77777777" w:rsidR="00165CEA" w:rsidRPr="000C2960" w:rsidRDefault="00165CEA" w:rsidP="00165CEA">
      <w:pPr>
        <w:pStyle w:val="SingleTxtG"/>
      </w:pPr>
      <w:r w:rsidRPr="000C2960">
        <w:t>105.</w:t>
      </w:r>
      <w:r w:rsidRPr="000C2960">
        <w:tab/>
        <w:t>Приобрести шланги для постройки новых судов или запасные шланги для судов, находящихся в эксплуатации, которые соответствуют старой редакции стандарта, уже невозможно. Нет никаких известных причин делать вывод о том, что текущая версия не подходит для ВОПОГ.</w:t>
      </w:r>
    </w:p>
    <w:p w14:paraId="78EB396C" w14:textId="460CAAFC" w:rsidR="00165CEA" w:rsidRPr="000C2960" w:rsidRDefault="00165CEA" w:rsidP="00165CEA">
      <w:pPr>
        <w:pStyle w:val="SingleTxtG"/>
      </w:pPr>
      <w:r w:rsidRPr="000C2960">
        <w:t>106.</w:t>
      </w:r>
      <w:r w:rsidRPr="000C2960">
        <w:tab/>
        <w:t xml:space="preserve">Включить в </w:t>
      </w:r>
      <w:r w:rsidR="00F22588">
        <w:t>«</w:t>
      </w:r>
      <w:r w:rsidRPr="000C2960">
        <w:t>1.6.7.2.2.2 Таблица общих переходных положений</w:t>
      </w:r>
      <w:r w:rsidR="005136D0" w:rsidRPr="005136D0">
        <w:t xml:space="preserve"> </w:t>
      </w:r>
      <w:r w:rsidRPr="000C2960">
        <w:t>— танкеры</w:t>
      </w:r>
      <w:r w:rsidR="00F22588">
        <w:t>»</w:t>
      </w:r>
      <w:r w:rsidRPr="000C2960">
        <w:t xml:space="preserve"> следующее переходное положение</w:t>
      </w:r>
      <w:r w:rsidRPr="000C2960">
        <w:rPr>
          <w:bCs/>
        </w:rPr>
        <w:t>:</w:t>
      </w:r>
    </w:p>
    <w:tbl>
      <w:tblPr>
        <w:tblW w:w="9114" w:type="dxa"/>
        <w:tblInd w:w="170" w:type="dxa"/>
        <w:tblLayout w:type="fixed"/>
        <w:tblCellMar>
          <w:left w:w="70" w:type="dxa"/>
          <w:right w:w="70" w:type="dxa"/>
        </w:tblCellMar>
        <w:tblLook w:val="0000" w:firstRow="0" w:lastRow="0" w:firstColumn="0" w:lastColumn="0" w:noHBand="0" w:noVBand="0"/>
      </w:tblPr>
      <w:tblGrid>
        <w:gridCol w:w="1207"/>
        <w:gridCol w:w="2552"/>
        <w:gridCol w:w="5355"/>
      </w:tblGrid>
      <w:tr w:rsidR="00165CEA" w:rsidRPr="000C2960" w14:paraId="0618C2B1" w14:textId="77777777" w:rsidTr="005136D0">
        <w:trPr>
          <w:cantSplit/>
        </w:trPr>
        <w:tc>
          <w:tcPr>
            <w:tcW w:w="1207" w:type="dxa"/>
            <w:tcBorders>
              <w:top w:val="single" w:sz="6" w:space="0" w:color="auto"/>
              <w:left w:val="single" w:sz="6" w:space="0" w:color="auto"/>
              <w:bottom w:val="single" w:sz="6" w:space="0" w:color="auto"/>
              <w:right w:val="single" w:sz="6" w:space="0" w:color="auto"/>
            </w:tcBorders>
          </w:tcPr>
          <w:p w14:paraId="7306EBB4" w14:textId="77777777" w:rsidR="00165CEA" w:rsidRPr="000C2960" w:rsidRDefault="00165CEA" w:rsidP="005136D0">
            <w:pPr>
              <w:pStyle w:val="N3"/>
              <w:tabs>
                <w:tab w:val="clear" w:pos="170"/>
              </w:tabs>
              <w:suppressAutoHyphens/>
              <w:spacing w:before="60" w:after="60" w:line="240" w:lineRule="atLeast"/>
              <w:rPr>
                <w:rFonts w:ascii="Times New Roman" w:hAnsi="Times New Roman"/>
                <w:sz w:val="20"/>
                <w:lang w:val="ru-RU"/>
              </w:rPr>
            </w:pPr>
            <w:r w:rsidRPr="000C2960">
              <w:rPr>
                <w:rFonts w:ascii="Times New Roman" w:hAnsi="Times New Roman"/>
                <w:sz w:val="20"/>
                <w:lang w:val="ru-RU"/>
              </w:rPr>
              <w:t>8.1.6.2</w:t>
            </w:r>
          </w:p>
        </w:tc>
        <w:tc>
          <w:tcPr>
            <w:tcW w:w="2552" w:type="dxa"/>
            <w:tcBorders>
              <w:top w:val="single" w:sz="6" w:space="0" w:color="auto"/>
              <w:left w:val="single" w:sz="6" w:space="0" w:color="auto"/>
              <w:bottom w:val="single" w:sz="6" w:space="0" w:color="auto"/>
              <w:right w:val="single" w:sz="6" w:space="0" w:color="auto"/>
            </w:tcBorders>
          </w:tcPr>
          <w:p w14:paraId="6B8D41D0" w14:textId="77777777" w:rsidR="00165CEA" w:rsidRPr="000C2960" w:rsidRDefault="00165CEA" w:rsidP="005136D0">
            <w:pPr>
              <w:tabs>
                <w:tab w:val="left" w:pos="567"/>
              </w:tabs>
            </w:pPr>
            <w:r w:rsidRPr="000C2960">
              <w:t>EN ISO 13765:2018</w:t>
            </w:r>
          </w:p>
        </w:tc>
        <w:tc>
          <w:tcPr>
            <w:tcW w:w="5355" w:type="dxa"/>
            <w:tcBorders>
              <w:top w:val="single" w:sz="6" w:space="0" w:color="auto"/>
              <w:left w:val="single" w:sz="6" w:space="0" w:color="auto"/>
              <w:bottom w:val="single" w:sz="6" w:space="0" w:color="auto"/>
              <w:right w:val="single" w:sz="6" w:space="0" w:color="auto"/>
            </w:tcBorders>
          </w:tcPr>
          <w:p w14:paraId="2522B848" w14:textId="77777777" w:rsidR="00165CEA" w:rsidRPr="000C2960" w:rsidRDefault="00165CEA" w:rsidP="005136D0">
            <w:pPr>
              <w:pStyle w:val="N3"/>
              <w:tabs>
                <w:tab w:val="clear" w:pos="170"/>
              </w:tabs>
              <w:suppressAutoHyphens/>
              <w:spacing w:line="240" w:lineRule="atLeast"/>
              <w:ind w:left="0" w:firstLine="0"/>
              <w:jc w:val="center"/>
              <w:rPr>
                <w:rFonts w:ascii="Times New Roman" w:hAnsi="Times New Roman"/>
                <w:sz w:val="20"/>
                <w:lang w:val="ru-RU"/>
              </w:rPr>
            </w:pPr>
            <w:r w:rsidRPr="000C2960">
              <w:rPr>
                <w:rFonts w:ascii="Times New Roman" w:hAnsi="Times New Roman"/>
                <w:sz w:val="20"/>
                <w:lang w:val="ru-RU"/>
              </w:rPr>
              <w:t>Н.З.М. с 1 января 2023 года</w:t>
            </w:r>
          </w:p>
          <w:p w14:paraId="40047567" w14:textId="7A50A5FF" w:rsidR="00165CEA" w:rsidRPr="000C2960" w:rsidRDefault="00165CEA" w:rsidP="005136D0">
            <w:pPr>
              <w:pStyle w:val="N3"/>
              <w:tabs>
                <w:tab w:val="clear" w:pos="170"/>
              </w:tabs>
              <w:suppressAutoHyphens/>
              <w:spacing w:before="60" w:after="60" w:line="240" w:lineRule="atLeast"/>
              <w:ind w:left="0" w:firstLine="0"/>
              <w:jc w:val="center"/>
              <w:rPr>
                <w:rFonts w:ascii="Times New Roman" w:hAnsi="Times New Roman"/>
                <w:sz w:val="20"/>
                <w:lang w:val="ru-RU"/>
              </w:rPr>
            </w:pPr>
            <w:r w:rsidRPr="000C2960">
              <w:rPr>
                <w:rFonts w:ascii="Times New Roman" w:hAnsi="Times New Roman"/>
                <w:sz w:val="20"/>
                <w:lang w:val="ru-RU"/>
              </w:rPr>
              <w:t xml:space="preserve">Возобновление свидетельства о допущении </w:t>
            </w:r>
            <w:r w:rsidR="005136D0">
              <w:rPr>
                <w:rFonts w:ascii="Times New Roman" w:hAnsi="Times New Roman"/>
                <w:sz w:val="20"/>
                <w:lang w:val="ru-RU"/>
              </w:rPr>
              <w:br/>
            </w:r>
            <w:r w:rsidRPr="000C2960">
              <w:rPr>
                <w:rFonts w:ascii="Times New Roman" w:hAnsi="Times New Roman"/>
                <w:sz w:val="20"/>
                <w:lang w:val="ru-RU"/>
              </w:rPr>
              <w:t>после 31 декабря 2026 года</w:t>
            </w:r>
          </w:p>
        </w:tc>
      </w:tr>
    </w:tbl>
    <w:p w14:paraId="7EF1C4B5" w14:textId="77777777" w:rsidR="00165CEA" w:rsidRPr="000C2960" w:rsidRDefault="00165CEA" w:rsidP="00165CEA">
      <w:pPr>
        <w:pStyle w:val="SingleTxtG"/>
        <w:spacing w:before="120"/>
      </w:pPr>
      <w:r w:rsidRPr="000C2960">
        <w:t>107.</w:t>
      </w:r>
      <w:r w:rsidRPr="000C2960">
        <w:tab/>
        <w:t>В измененной версии стандарта содержатся элементы, относящиеся к безопасности. Поэтому замена шлангов и шлангов в сборе необходима для поддержания максимально возможного уровня безопасности. Для организации необходимой замены достаточно переходного периода от трех до восьми лет с момента принятия поправки.</w:t>
      </w:r>
    </w:p>
    <w:p w14:paraId="1C144DBD" w14:textId="77777777" w:rsidR="00165CEA" w:rsidRPr="000C2960" w:rsidRDefault="00165CEA" w:rsidP="00165CEA">
      <w:pPr>
        <w:pStyle w:val="H23G"/>
      </w:pPr>
      <w:r w:rsidRPr="000C2960">
        <w:lastRenderedPageBreak/>
        <w:tab/>
      </w:r>
      <w:r w:rsidRPr="000C2960">
        <w:tab/>
        <w:t>b)</w:t>
      </w:r>
      <w:r w:rsidRPr="000C2960">
        <w:tab/>
        <w:t>Во втором предложении</w:t>
      </w:r>
    </w:p>
    <w:p w14:paraId="51F71A69" w14:textId="77A1BD33" w:rsidR="00165CEA" w:rsidRPr="000C2960" w:rsidRDefault="00165CEA" w:rsidP="00165CEA">
      <w:pPr>
        <w:pStyle w:val="H4G"/>
      </w:pPr>
      <w:r w:rsidRPr="000C2960">
        <w:tab/>
      </w:r>
      <w:r w:rsidRPr="000C2960">
        <w:tab/>
        <w:t>i)</w:t>
      </w:r>
      <w:r w:rsidRPr="000C2960">
        <w:tab/>
        <w:t xml:space="preserve">Заменить </w:t>
      </w:r>
      <w:r w:rsidR="00F22588">
        <w:t>«</w:t>
      </w:r>
      <w:r w:rsidRPr="000C2960">
        <w:t>или таблицей K.1 стандарта EN 13765: 2010-08</w:t>
      </w:r>
      <w:r w:rsidR="00F22588">
        <w:t>»</w:t>
      </w:r>
      <w:r w:rsidRPr="000C2960">
        <w:t xml:space="preserve"> на </w:t>
      </w:r>
      <w:r w:rsidR="00CD76D9">
        <w:br/>
      </w:r>
      <w:r w:rsidRPr="000C2960">
        <w:t>или разделом 8 и приложением K стандарта EN 13765:2018 (обычные испытания)</w:t>
      </w:r>
      <w:r w:rsidR="00F22588">
        <w:t>»</w:t>
      </w:r>
      <w:r w:rsidRPr="000C2960">
        <w:t>.</w:t>
      </w:r>
    </w:p>
    <w:p w14:paraId="0FBD0451" w14:textId="77777777" w:rsidR="00165CEA" w:rsidRPr="000C2960" w:rsidRDefault="00165CEA" w:rsidP="00165CEA">
      <w:pPr>
        <w:pStyle w:val="SingleTxtG"/>
      </w:pPr>
      <w:r w:rsidRPr="000C2960">
        <w:t>108.</w:t>
      </w:r>
      <w:r w:rsidRPr="000C2960">
        <w:tab/>
        <w:t>По сравнению со стандартом EN 13765:2010+A1:2015 были обновлены требования к типовым и текущим испытаниям (приложение K) шлангов и шлангов в сборе.</w:t>
      </w:r>
    </w:p>
    <w:p w14:paraId="615B468E" w14:textId="77777777" w:rsidR="00165CEA" w:rsidRPr="000C2960" w:rsidRDefault="00165CEA" w:rsidP="00165CEA">
      <w:pPr>
        <w:pStyle w:val="SingleTxtG"/>
      </w:pPr>
      <w:r w:rsidRPr="000C2960">
        <w:t>109.</w:t>
      </w:r>
      <w:r w:rsidRPr="000C2960">
        <w:tab/>
        <w:t>Эта поправка уточняет требование к испытаниям, содержащееся в разделе 8 стандарта, и отражает текущий уровень безопасности.</w:t>
      </w:r>
    </w:p>
    <w:p w14:paraId="05AE9918" w14:textId="77777777" w:rsidR="00165CEA" w:rsidRPr="000C2960" w:rsidRDefault="00165CEA" w:rsidP="00165CEA">
      <w:pPr>
        <w:pStyle w:val="SingleTxtG"/>
      </w:pPr>
      <w:r w:rsidRPr="000C2960">
        <w:rPr>
          <w:bCs/>
        </w:rPr>
        <w:t>110.</w:t>
      </w:r>
      <w:r w:rsidRPr="000C2960">
        <w:rPr>
          <w:bCs/>
        </w:rPr>
        <w:tab/>
        <w:t xml:space="preserve">Никаких переходных мероприятий не требуется, поскольку </w:t>
      </w:r>
      <w:r w:rsidRPr="000C2960">
        <w:t>нет необходимости заменять шланги и шланги в сборе.</w:t>
      </w:r>
    </w:p>
    <w:p w14:paraId="1633E997" w14:textId="0A313ACA" w:rsidR="00165CEA" w:rsidRPr="000C2960" w:rsidRDefault="00165CEA" w:rsidP="00165CEA">
      <w:pPr>
        <w:pStyle w:val="H4G"/>
      </w:pPr>
      <w:r w:rsidRPr="000C2960">
        <w:tab/>
      </w:r>
      <w:r w:rsidRPr="000C2960">
        <w:tab/>
      </w:r>
      <w:proofErr w:type="spellStart"/>
      <w:r w:rsidRPr="000C2960">
        <w:t>ii</w:t>
      </w:r>
      <w:proofErr w:type="spellEnd"/>
      <w:r w:rsidRPr="000C2960">
        <w:t>)</w:t>
      </w:r>
      <w:r w:rsidRPr="000C2960">
        <w:tab/>
        <w:t xml:space="preserve">Исключить </w:t>
      </w:r>
      <w:r w:rsidR="00F22588">
        <w:t>«</w:t>
      </w:r>
      <w:r w:rsidRPr="000C2960">
        <w:t>или пунктом 7 стандарта EN ISO 10380:2003-10</w:t>
      </w:r>
      <w:r w:rsidR="00F22588">
        <w:t>»</w:t>
      </w:r>
      <w:r w:rsidRPr="000C2960">
        <w:t>.</w:t>
      </w:r>
    </w:p>
    <w:p w14:paraId="6094FE5A" w14:textId="77777777" w:rsidR="00165CEA" w:rsidRPr="000C2960" w:rsidRDefault="00165CEA" w:rsidP="00165CEA">
      <w:pPr>
        <w:pStyle w:val="SingleTxtG"/>
      </w:pPr>
      <w:r w:rsidRPr="000C2960">
        <w:t>111.</w:t>
      </w:r>
      <w:r w:rsidRPr="000C2960">
        <w:tab/>
        <w:t>Предлагается исключить ссылку на этот стандарт, поскольку действующие редакции стандарта больше не требуют регулярной проверки шлангов.</w:t>
      </w:r>
    </w:p>
    <w:p w14:paraId="4EEE9AE3" w14:textId="77777777" w:rsidR="00165CEA" w:rsidRPr="000C2960" w:rsidRDefault="00165CEA" w:rsidP="00165CEA">
      <w:pPr>
        <w:pStyle w:val="SingleTxtG"/>
      </w:pPr>
      <w:r w:rsidRPr="000C2960">
        <w:t>112.</w:t>
      </w:r>
      <w:r w:rsidRPr="000C2960">
        <w:tab/>
        <w:t>Никакого переходного положения не требуется, поскольку речь идет только об отмене обязательства по проверке.</w:t>
      </w:r>
    </w:p>
    <w:p w14:paraId="32B8C84A" w14:textId="77777777" w:rsidR="00165CEA" w:rsidRPr="000C2960" w:rsidRDefault="00165CEA" w:rsidP="00165CEA">
      <w:pPr>
        <w:pStyle w:val="H23G"/>
      </w:pPr>
      <w:r w:rsidRPr="000C2960">
        <w:tab/>
        <w:t>4.</w:t>
      </w:r>
      <w:r w:rsidRPr="000C2960">
        <w:tab/>
        <w:t>В подразделе 8.2.2.8.2 ВОПОГ (мнение эксперта)</w:t>
      </w:r>
    </w:p>
    <w:p w14:paraId="75E87FD8" w14:textId="12E433E2" w:rsidR="00165CEA" w:rsidRPr="000C2960" w:rsidRDefault="00165CEA" w:rsidP="00165CEA">
      <w:pPr>
        <w:pStyle w:val="H4G"/>
      </w:pPr>
      <w:r w:rsidRPr="000C2960">
        <w:tab/>
      </w:r>
      <w:r w:rsidRPr="000C2960">
        <w:tab/>
        <w:t xml:space="preserve">Ссылка на ISO/IEC 7810:2003 должна быть заменена ссылкой на </w:t>
      </w:r>
      <w:r w:rsidR="00CD76D9">
        <w:br/>
      </w:r>
      <w:r w:rsidR="00F22588">
        <w:t>«</w:t>
      </w:r>
      <w:r w:rsidRPr="000C2960">
        <w:t>ISO/IEC 7810:2019</w:t>
      </w:r>
      <w:r w:rsidR="00F22588">
        <w:t>»</w:t>
      </w:r>
      <w:r w:rsidRPr="000C2960">
        <w:t>.</w:t>
      </w:r>
    </w:p>
    <w:p w14:paraId="737D6DD0" w14:textId="5B032F03" w:rsidR="00165CEA" w:rsidRPr="000C2960" w:rsidRDefault="00165CEA" w:rsidP="00165CEA">
      <w:pPr>
        <w:pStyle w:val="SingleTxtG"/>
      </w:pPr>
      <w:r w:rsidRPr="000C2960">
        <w:t>113.</w:t>
      </w:r>
      <w:r w:rsidRPr="000C2960">
        <w:tab/>
        <w:t xml:space="preserve">Название стандарта: </w:t>
      </w:r>
      <w:r w:rsidR="00F22588">
        <w:t>«</w:t>
      </w:r>
      <w:r w:rsidRPr="000C2960">
        <w:t>Идентификационные карточки</w:t>
      </w:r>
      <w:r w:rsidR="005136D0" w:rsidRPr="005136D0">
        <w:t xml:space="preserve"> </w:t>
      </w:r>
      <w:r w:rsidRPr="000C2960">
        <w:t>— Физические характеристики</w:t>
      </w:r>
      <w:r w:rsidR="00F22588">
        <w:t>»</w:t>
      </w:r>
      <w:r w:rsidRPr="000C2960">
        <w:t>.</w:t>
      </w:r>
    </w:p>
    <w:p w14:paraId="2DEAB794" w14:textId="26E60758" w:rsidR="00165CEA" w:rsidRPr="000C2960" w:rsidRDefault="00165CEA" w:rsidP="00165CEA">
      <w:pPr>
        <w:pStyle w:val="SingleTxtG"/>
      </w:pPr>
      <w:r w:rsidRPr="000C2960">
        <w:t>114.</w:t>
      </w:r>
      <w:r w:rsidRPr="000C2960">
        <w:tab/>
        <w:t xml:space="preserve">Указанная версия стандарта устарела. По сравнению с предыдущим изданием следующее изменение было отмечено, в частности, в отношении формата идентификационных карточек: </w:t>
      </w:r>
      <w:r w:rsidR="00F22588">
        <w:t>«</w:t>
      </w:r>
      <w:r w:rsidRPr="000C2960">
        <w:t>(5.2) изменен порог допуска для общего размера возвращенной карточки размера ID-1</w:t>
      </w:r>
      <w:r w:rsidR="00F22588">
        <w:t>»</w:t>
      </w:r>
      <w:r w:rsidRPr="000C2960">
        <w:t xml:space="preserve"> (</w:t>
      </w:r>
      <w:r w:rsidR="00F22588">
        <w:t>«</w:t>
      </w:r>
      <w:r w:rsidRPr="000C2960">
        <w:t>(5.2) изменился общий допуск на размер возвращенной карточки размера ID-1</w:t>
      </w:r>
      <w:r w:rsidR="00F22588">
        <w:t>»</w:t>
      </w:r>
      <w:r w:rsidRPr="000C2960">
        <w:t>).</w:t>
      </w:r>
    </w:p>
    <w:p w14:paraId="20917BB7" w14:textId="68EDD24E" w:rsidR="00165CEA" w:rsidRPr="00165CEA" w:rsidRDefault="00165CEA" w:rsidP="00165CEA">
      <w:pPr>
        <w:pStyle w:val="SingleTxtG"/>
        <w:rPr>
          <w:lang w:val="en-US"/>
        </w:rPr>
      </w:pPr>
      <w:r w:rsidRPr="00165CEA">
        <w:rPr>
          <w:lang w:val="en-US"/>
        </w:rPr>
        <w:t xml:space="preserve">(URL: </w:t>
      </w:r>
      <w:hyperlink r:id="rId8" w:history="1">
        <w:r w:rsidRPr="005136D0">
          <w:rPr>
            <w:rStyle w:val="af1"/>
            <w:lang w:val="en-US"/>
          </w:rPr>
          <w:t>https://cdn.standards.iteh.ai/samples/70483/16f04de1cda3494f9e12567b7d1aa541/ISO-IEC-7810-2019.pdf</w:t>
        </w:r>
      </w:hyperlink>
      <w:r w:rsidRPr="00165CEA">
        <w:rPr>
          <w:lang w:val="en-US"/>
        </w:rPr>
        <w:t>)</w:t>
      </w:r>
    </w:p>
    <w:p w14:paraId="0843D1E2" w14:textId="77777777" w:rsidR="00165CEA" w:rsidRPr="000C2960" w:rsidRDefault="00165CEA" w:rsidP="00165CEA">
      <w:pPr>
        <w:pStyle w:val="SingleTxtG"/>
      </w:pPr>
      <w:r w:rsidRPr="000C2960">
        <w:t>115.</w:t>
      </w:r>
      <w:r w:rsidRPr="000C2960">
        <w:tab/>
        <w:t>Вероятно, что незаполненные карточки, соответствующие старому стандарту, скоро перестанут поступать в продажу, так что при отсутствии этого изменения в формате подтверждающих документов возникнут расхождения. Однако замена уже выданных подтверждающих документов не требуется по соображениям безопасности.</w:t>
      </w:r>
    </w:p>
    <w:p w14:paraId="2CD779A2" w14:textId="7537C19D" w:rsidR="00165CEA" w:rsidRPr="000C2960" w:rsidRDefault="00165CEA" w:rsidP="00165CEA">
      <w:pPr>
        <w:pStyle w:val="SingleTxtG"/>
      </w:pPr>
      <w:r w:rsidRPr="000C2960">
        <w:t>116.</w:t>
      </w:r>
      <w:r w:rsidRPr="000C2960">
        <w:tab/>
        <w:t xml:space="preserve">В раздел ВОПОГ 1.6.8 </w:t>
      </w:r>
      <w:r w:rsidR="00F22588">
        <w:t>«</w:t>
      </w:r>
      <w:r w:rsidRPr="000C2960">
        <w:t>Переходные положения, касающиеся подготовки экипажа</w:t>
      </w:r>
      <w:r w:rsidR="00F22588">
        <w:t>»</w:t>
      </w:r>
      <w:r w:rsidRPr="000C2960">
        <w:t xml:space="preserve"> включить следующее новое переходное положение:</w:t>
      </w:r>
    </w:p>
    <w:p w14:paraId="61620DF9" w14:textId="411EAF29" w:rsidR="00165CEA" w:rsidRPr="000C2960" w:rsidRDefault="00F22588" w:rsidP="00165CEA">
      <w:pPr>
        <w:pStyle w:val="SingleTxtG"/>
        <w:ind w:left="1701"/>
      </w:pPr>
      <w:r>
        <w:t>«</w:t>
      </w:r>
      <w:r w:rsidR="00165CEA" w:rsidRPr="000C2960">
        <w:t>1.6.8.3</w:t>
      </w:r>
      <w:r w:rsidR="00165CEA" w:rsidRPr="000C2960">
        <w:rPr>
          <w:b/>
          <w:bCs/>
        </w:rPr>
        <w:tab/>
      </w:r>
      <w:r w:rsidR="00165CEA" w:rsidRPr="000C2960">
        <w:t>Свидетельства о владении специальными знаниями в области ВОПОГ, предусмотренные в пункте 8.2.2.8, выданные до [1 января 2023 года] [1 июля 2023 года] и соответствующие формату, установленному в стандарте ISO/IEC</w:t>
      </w:r>
      <w:r w:rsidR="00CD76D9">
        <w:rPr>
          <w:lang w:val="en-US"/>
        </w:rPr>
        <w:t> </w:t>
      </w:r>
      <w:r w:rsidR="00165CEA" w:rsidRPr="000C2960">
        <w:t>7810:2003, остаются действительными до указанной в них даты истечения срока действия</w:t>
      </w:r>
      <w:r>
        <w:t>»</w:t>
      </w:r>
      <w:r w:rsidR="00165CEA" w:rsidRPr="000C2960">
        <w:t>.</w:t>
      </w:r>
    </w:p>
    <w:p w14:paraId="09BEE64C" w14:textId="77777777" w:rsidR="00165CEA" w:rsidRPr="000C2960" w:rsidRDefault="00165CEA" w:rsidP="00165CEA">
      <w:pPr>
        <w:pStyle w:val="H23G"/>
      </w:pPr>
      <w:r w:rsidRPr="000C2960">
        <w:tab/>
        <w:t>5.</w:t>
      </w:r>
      <w:r w:rsidRPr="000C2960">
        <w:tab/>
        <w:t>В пункте 9.1.0.53.4 a) (Тип и расположение электрических и неэлектрических установок и оборудования, предназначенных для использования в защищенной зоне)</w:t>
      </w:r>
    </w:p>
    <w:p w14:paraId="7B95A71B" w14:textId="7B1EF210" w:rsidR="00165CEA" w:rsidRPr="000C2960" w:rsidRDefault="00165CEA" w:rsidP="00165CEA">
      <w:pPr>
        <w:pStyle w:val="H4G"/>
      </w:pPr>
      <w:r w:rsidRPr="000C2960">
        <w:tab/>
      </w:r>
      <w:r w:rsidRPr="000C2960">
        <w:tab/>
        <w:t xml:space="preserve">Заменить </w:t>
      </w:r>
      <w:r w:rsidR="00F22588">
        <w:t>«</w:t>
      </w:r>
      <w:r w:rsidRPr="000C2960">
        <w:t>EN 15869-03: 2010</w:t>
      </w:r>
      <w:r w:rsidR="00F22588">
        <w:t>»</w:t>
      </w:r>
      <w:r w:rsidRPr="000C2960">
        <w:t xml:space="preserve"> на </w:t>
      </w:r>
      <w:r w:rsidR="00F22588">
        <w:t>«</w:t>
      </w:r>
      <w:r w:rsidRPr="000C2960">
        <w:t>EN 15869-1:2019</w:t>
      </w:r>
      <w:r w:rsidR="00F22588">
        <w:t>»</w:t>
      </w:r>
      <w:r w:rsidRPr="000C2960">
        <w:t>.</w:t>
      </w:r>
    </w:p>
    <w:p w14:paraId="3738AB2C" w14:textId="1D4A1E79" w:rsidR="00165CEA" w:rsidRPr="000C2960" w:rsidRDefault="00165CEA" w:rsidP="00165CEA">
      <w:pPr>
        <w:pStyle w:val="SingleTxtG"/>
      </w:pPr>
      <w:r w:rsidRPr="000C2960">
        <w:t>117.</w:t>
      </w:r>
      <w:r w:rsidRPr="000C2960">
        <w:tab/>
        <w:t xml:space="preserve">Название стандарта: </w:t>
      </w:r>
      <w:r w:rsidR="00F22588">
        <w:t>«</w:t>
      </w:r>
      <w:r w:rsidRPr="000C2960">
        <w:t>Суда внутреннего плавания</w:t>
      </w:r>
      <w:r w:rsidR="005136D0" w:rsidRPr="005136D0">
        <w:t xml:space="preserve"> </w:t>
      </w:r>
      <w:r w:rsidRPr="000C2960">
        <w:t>— Подключение к береговой электросети, трехфазный ток 400 В, 125 A максимум, 50 Гц</w:t>
      </w:r>
      <w:r w:rsidR="005136D0" w:rsidRPr="005136D0">
        <w:t xml:space="preserve"> </w:t>
      </w:r>
      <w:r w:rsidRPr="000C2960">
        <w:t>— Часть 1: Общие технические требования</w:t>
      </w:r>
      <w:r w:rsidR="00F22588">
        <w:t>»</w:t>
      </w:r>
      <w:r w:rsidRPr="000C2960">
        <w:t>.</w:t>
      </w:r>
    </w:p>
    <w:p w14:paraId="140B9446" w14:textId="77777777" w:rsidR="00165CEA" w:rsidRPr="000C2960" w:rsidRDefault="00165CEA" w:rsidP="00165CEA">
      <w:pPr>
        <w:pStyle w:val="SingleTxtG"/>
      </w:pPr>
      <w:r w:rsidRPr="000C2960">
        <w:lastRenderedPageBreak/>
        <w:t>118.</w:t>
      </w:r>
      <w:r w:rsidRPr="000C2960">
        <w:tab/>
        <w:t>Указанная версия стандарта устарела. В содержание внесены существенные изменения:</w:t>
      </w:r>
    </w:p>
    <w:p w14:paraId="1B43FA61" w14:textId="77777777" w:rsidR="00165CEA" w:rsidRPr="000C2960" w:rsidRDefault="00165CEA" w:rsidP="00165CEA">
      <w:pPr>
        <w:pStyle w:val="SingleTxtG"/>
        <w:ind w:firstLine="567"/>
      </w:pPr>
      <w:r w:rsidRPr="000C2960">
        <w:t>a)</w:t>
      </w:r>
      <w:r w:rsidRPr="000C2960">
        <w:tab/>
        <w:t>название изменено;</w:t>
      </w:r>
    </w:p>
    <w:p w14:paraId="19E91084" w14:textId="77777777" w:rsidR="00165CEA" w:rsidRPr="000C2960" w:rsidRDefault="00165CEA" w:rsidP="00165CEA">
      <w:pPr>
        <w:pStyle w:val="SingleTxtG"/>
        <w:ind w:firstLine="567"/>
      </w:pPr>
      <w:r w:rsidRPr="000C2960">
        <w:t>b)</w:t>
      </w:r>
      <w:r w:rsidRPr="000C2960">
        <w:tab/>
        <w:t>максимальный рабочий ток увеличен с 65 A до 125 A;</w:t>
      </w:r>
    </w:p>
    <w:p w14:paraId="1D2B510D" w14:textId="77777777" w:rsidR="00165CEA" w:rsidRPr="000C2960" w:rsidRDefault="00165CEA" w:rsidP="00165CEA">
      <w:pPr>
        <w:pStyle w:val="SingleTxtG"/>
        <w:ind w:firstLine="567"/>
      </w:pPr>
      <w:r w:rsidRPr="000C2960">
        <w:t>c)</w:t>
      </w:r>
      <w:r w:rsidRPr="000C2960">
        <w:tab/>
        <w:t>сфера применения была дополнена и уточнена;</w:t>
      </w:r>
    </w:p>
    <w:p w14:paraId="21D122EF" w14:textId="77777777" w:rsidR="00165CEA" w:rsidRPr="000C2960" w:rsidRDefault="00165CEA" w:rsidP="00165CEA">
      <w:pPr>
        <w:pStyle w:val="SingleTxtG"/>
        <w:ind w:firstLine="567"/>
      </w:pPr>
      <w:r w:rsidRPr="000C2960">
        <w:t>d)</w:t>
      </w:r>
      <w:r w:rsidRPr="000C2960">
        <w:tab/>
        <w:t>нормативные ссылки были дополнены;</w:t>
      </w:r>
    </w:p>
    <w:p w14:paraId="6F36020A" w14:textId="77777777" w:rsidR="00165CEA" w:rsidRPr="000C2960" w:rsidRDefault="00165CEA" w:rsidP="00165CEA">
      <w:pPr>
        <w:pStyle w:val="SingleTxtG"/>
        <w:ind w:firstLine="567"/>
      </w:pPr>
      <w:r w:rsidRPr="000C2960">
        <w:t>e)</w:t>
      </w:r>
      <w:r w:rsidRPr="000C2960">
        <w:tab/>
        <w:t>раздел 3 был дополнен, а определения терминов приведены в соответствие с теми, которые используются в стандарте EN 16840;</w:t>
      </w:r>
    </w:p>
    <w:p w14:paraId="05F923F6" w14:textId="77777777" w:rsidR="00165CEA" w:rsidRPr="000C2960" w:rsidRDefault="00165CEA" w:rsidP="00165CEA">
      <w:pPr>
        <w:pStyle w:val="SingleTxtG"/>
        <w:ind w:firstLine="567"/>
      </w:pPr>
      <w:r w:rsidRPr="000C2960">
        <w:t>f)</w:t>
      </w:r>
      <w:r w:rsidRPr="000C2960">
        <w:tab/>
        <w:t>все требования, относящиеся к частям электроустановки, подключенным к береговой электросети, перенесены из частей 2 и 3 в часть 1 и объединены;</w:t>
      </w:r>
    </w:p>
    <w:p w14:paraId="41E53E41" w14:textId="77777777" w:rsidR="00165CEA" w:rsidRPr="000C2960" w:rsidRDefault="00165CEA" w:rsidP="00165CEA">
      <w:pPr>
        <w:pStyle w:val="SingleTxtG"/>
        <w:ind w:firstLine="567"/>
      </w:pPr>
      <w:r w:rsidRPr="000C2960">
        <w:t>g)</w:t>
      </w:r>
      <w:r w:rsidRPr="000C2960">
        <w:tab/>
        <w:t>рисунок 1 (общая схема) адаптирован к соответствующему рисунку в стандарте EN 16840;</w:t>
      </w:r>
    </w:p>
    <w:p w14:paraId="12920BB3" w14:textId="77777777" w:rsidR="00165CEA" w:rsidRPr="000C2960" w:rsidRDefault="00165CEA" w:rsidP="00165CEA">
      <w:pPr>
        <w:pStyle w:val="SingleTxtG"/>
        <w:ind w:firstLine="567"/>
      </w:pPr>
      <w:r w:rsidRPr="000C2960">
        <w:t>h)</w:t>
      </w:r>
      <w:r w:rsidRPr="000C2960">
        <w:tab/>
        <w:t>раздел A.5 был добавлен к приложению A;</w:t>
      </w:r>
    </w:p>
    <w:p w14:paraId="07D77B77" w14:textId="77777777" w:rsidR="00165CEA" w:rsidRPr="000C2960" w:rsidRDefault="00165CEA" w:rsidP="00165CEA">
      <w:pPr>
        <w:pStyle w:val="SingleTxtG"/>
        <w:ind w:firstLine="567"/>
      </w:pPr>
      <w:r w:rsidRPr="000C2960">
        <w:t>i)</w:t>
      </w:r>
      <w:r w:rsidRPr="000C2960">
        <w:tab/>
        <w:t>ссылки, упомянутые в различных частях серии стандартов EN 15869, были собраны и вставлены в часть 1;</w:t>
      </w:r>
    </w:p>
    <w:p w14:paraId="70A848DD" w14:textId="77777777" w:rsidR="00165CEA" w:rsidRPr="000C2960" w:rsidRDefault="00165CEA" w:rsidP="00165CEA">
      <w:pPr>
        <w:pStyle w:val="SingleTxtG"/>
        <w:ind w:firstLine="567"/>
      </w:pPr>
      <w:r w:rsidRPr="000C2960">
        <w:t>j)</w:t>
      </w:r>
      <w:r w:rsidRPr="000C2960">
        <w:tab/>
        <w:t>внесены различные другие редакционные изменения.</w:t>
      </w:r>
    </w:p>
    <w:p w14:paraId="03002ED0" w14:textId="77777777" w:rsidR="00165CEA" w:rsidRPr="000C2960" w:rsidRDefault="00165CEA" w:rsidP="00165CEA">
      <w:pPr>
        <w:pStyle w:val="SingleTxtG"/>
      </w:pPr>
      <w:r w:rsidRPr="000C2960">
        <w:t>119.</w:t>
      </w:r>
      <w:r w:rsidRPr="000C2960">
        <w:tab/>
        <w:t>Приобрести компоненты для постройки новых судов или запасные части для судов, находящихся в эксплуатации, которые соответствуют старой редакции стандарта, уже невозможно. Нет никаких известных причин делать вывод о том, что текущая версия не подходит для ВОПОГ.</w:t>
      </w:r>
    </w:p>
    <w:p w14:paraId="3910A406" w14:textId="24E9E49B" w:rsidR="00165CEA" w:rsidRPr="000C2960" w:rsidRDefault="00165CEA" w:rsidP="00165CEA">
      <w:pPr>
        <w:pStyle w:val="SingleTxtG"/>
        <w:rPr>
          <w:bCs/>
        </w:rPr>
      </w:pPr>
      <w:r w:rsidRPr="000C2960">
        <w:t>120.</w:t>
      </w:r>
      <w:r w:rsidRPr="000C2960">
        <w:tab/>
        <w:t xml:space="preserve">Включить в </w:t>
      </w:r>
      <w:r w:rsidR="00F22588">
        <w:t>«</w:t>
      </w:r>
      <w:r w:rsidRPr="000C2960">
        <w:t>1.6.7.2.2.2 Таблица общих переходных положений</w:t>
      </w:r>
      <w:r w:rsidR="005136D0" w:rsidRPr="005136D0">
        <w:t xml:space="preserve"> </w:t>
      </w:r>
      <w:r w:rsidRPr="000C2960">
        <w:t>— танкеры</w:t>
      </w:r>
      <w:r w:rsidR="00F22588">
        <w:t>»</w:t>
      </w:r>
      <w:r w:rsidRPr="000C2960">
        <w:t xml:space="preserve"> следующее переходное положение</w:t>
      </w:r>
      <w:r w:rsidRPr="000C2960">
        <w:rPr>
          <w:bCs/>
        </w:rPr>
        <w:t>:</w:t>
      </w:r>
    </w:p>
    <w:tbl>
      <w:tblPr>
        <w:tblW w:w="9142" w:type="dxa"/>
        <w:tblLayout w:type="fixed"/>
        <w:tblCellMar>
          <w:left w:w="70" w:type="dxa"/>
          <w:right w:w="70" w:type="dxa"/>
        </w:tblCellMar>
        <w:tblLook w:val="0000" w:firstRow="0" w:lastRow="0" w:firstColumn="0" w:lastColumn="0" w:noHBand="0" w:noVBand="0"/>
      </w:tblPr>
      <w:tblGrid>
        <w:gridCol w:w="1418"/>
        <w:gridCol w:w="2268"/>
        <w:gridCol w:w="5456"/>
      </w:tblGrid>
      <w:tr w:rsidR="00165CEA" w:rsidRPr="000C2960" w14:paraId="3A609AAC" w14:textId="77777777" w:rsidTr="005136D0">
        <w:trPr>
          <w:cantSplit/>
        </w:trPr>
        <w:tc>
          <w:tcPr>
            <w:tcW w:w="1418" w:type="dxa"/>
            <w:tcBorders>
              <w:top w:val="single" w:sz="6" w:space="0" w:color="auto"/>
              <w:left w:val="single" w:sz="6" w:space="0" w:color="auto"/>
              <w:bottom w:val="single" w:sz="6" w:space="0" w:color="auto"/>
              <w:right w:val="single" w:sz="6" w:space="0" w:color="auto"/>
            </w:tcBorders>
          </w:tcPr>
          <w:p w14:paraId="4E715871" w14:textId="77777777" w:rsidR="00165CEA" w:rsidRPr="000C2960" w:rsidRDefault="00165CEA" w:rsidP="005136D0">
            <w:pPr>
              <w:pStyle w:val="N3"/>
              <w:tabs>
                <w:tab w:val="clear" w:pos="170"/>
              </w:tabs>
              <w:suppressAutoHyphens/>
              <w:spacing w:before="60" w:after="60" w:line="240" w:lineRule="atLeast"/>
              <w:rPr>
                <w:rFonts w:ascii="Times New Roman" w:hAnsi="Times New Roman"/>
                <w:sz w:val="20"/>
                <w:lang w:val="ru-RU"/>
              </w:rPr>
            </w:pPr>
            <w:r w:rsidRPr="000C2960">
              <w:rPr>
                <w:rFonts w:ascii="Times New Roman" w:hAnsi="Times New Roman"/>
                <w:sz w:val="20"/>
                <w:lang w:val="ru-RU"/>
              </w:rPr>
              <w:t>9.1.0.53.4 a)</w:t>
            </w:r>
          </w:p>
        </w:tc>
        <w:tc>
          <w:tcPr>
            <w:tcW w:w="2268" w:type="dxa"/>
            <w:tcBorders>
              <w:top w:val="single" w:sz="6" w:space="0" w:color="auto"/>
              <w:left w:val="single" w:sz="6" w:space="0" w:color="auto"/>
              <w:bottom w:val="single" w:sz="6" w:space="0" w:color="auto"/>
              <w:right w:val="single" w:sz="6" w:space="0" w:color="auto"/>
            </w:tcBorders>
          </w:tcPr>
          <w:p w14:paraId="6D5AC4DC" w14:textId="77777777" w:rsidR="00165CEA" w:rsidRPr="000C2960" w:rsidRDefault="00165CEA" w:rsidP="005136D0">
            <w:pPr>
              <w:pStyle w:val="N3"/>
              <w:tabs>
                <w:tab w:val="clear" w:pos="170"/>
              </w:tabs>
              <w:suppressAutoHyphens/>
              <w:spacing w:before="60" w:after="60" w:line="240" w:lineRule="atLeast"/>
              <w:rPr>
                <w:rFonts w:ascii="Times New Roman" w:hAnsi="Times New Roman"/>
                <w:sz w:val="20"/>
                <w:lang w:val="ru-RU"/>
              </w:rPr>
            </w:pPr>
            <w:r w:rsidRPr="000C2960">
              <w:rPr>
                <w:rFonts w:ascii="Times New Roman" w:hAnsi="Times New Roman"/>
                <w:sz w:val="20"/>
                <w:lang w:val="ru-RU"/>
              </w:rPr>
              <w:t>EN 15869-1:2019</w:t>
            </w:r>
          </w:p>
        </w:tc>
        <w:tc>
          <w:tcPr>
            <w:tcW w:w="5456" w:type="dxa"/>
            <w:tcBorders>
              <w:top w:val="single" w:sz="6" w:space="0" w:color="auto"/>
              <w:left w:val="single" w:sz="6" w:space="0" w:color="auto"/>
              <w:bottom w:val="single" w:sz="6" w:space="0" w:color="auto"/>
              <w:right w:val="single" w:sz="6" w:space="0" w:color="auto"/>
            </w:tcBorders>
          </w:tcPr>
          <w:p w14:paraId="4E3F15A5" w14:textId="77777777" w:rsidR="00165CEA" w:rsidRPr="000C2960" w:rsidRDefault="00165CEA" w:rsidP="005136D0">
            <w:pPr>
              <w:pStyle w:val="N3"/>
              <w:suppressAutoHyphens/>
              <w:spacing w:line="240" w:lineRule="atLeast"/>
              <w:jc w:val="center"/>
              <w:rPr>
                <w:rFonts w:ascii="Times New Roman" w:hAnsi="Times New Roman"/>
                <w:sz w:val="20"/>
                <w:lang w:val="ru-RU"/>
              </w:rPr>
            </w:pPr>
            <w:r w:rsidRPr="000C2960">
              <w:rPr>
                <w:rFonts w:ascii="Times New Roman" w:hAnsi="Times New Roman"/>
                <w:sz w:val="20"/>
                <w:lang w:val="ru-RU"/>
              </w:rPr>
              <w:t>Н.З.М. с 1 января 2023 года</w:t>
            </w:r>
          </w:p>
          <w:p w14:paraId="652E402B" w14:textId="784DEA74" w:rsidR="00165CEA" w:rsidRPr="000C2960" w:rsidRDefault="00165CEA" w:rsidP="005136D0">
            <w:pPr>
              <w:pStyle w:val="N3"/>
              <w:tabs>
                <w:tab w:val="clear" w:pos="170"/>
              </w:tabs>
              <w:suppressAutoHyphens/>
              <w:spacing w:before="60" w:after="60" w:line="240" w:lineRule="atLeast"/>
              <w:ind w:left="0" w:firstLine="0"/>
              <w:jc w:val="center"/>
              <w:rPr>
                <w:rFonts w:ascii="Times New Roman" w:hAnsi="Times New Roman"/>
                <w:sz w:val="20"/>
                <w:lang w:val="ru-RU"/>
              </w:rPr>
            </w:pPr>
            <w:r w:rsidRPr="000C2960">
              <w:rPr>
                <w:rFonts w:ascii="Times New Roman" w:hAnsi="Times New Roman"/>
                <w:sz w:val="20"/>
                <w:lang w:val="ru-RU"/>
              </w:rPr>
              <w:t xml:space="preserve">Возобновление свидетельства о допущении </w:t>
            </w:r>
            <w:r w:rsidR="005136D0">
              <w:rPr>
                <w:rFonts w:ascii="Times New Roman" w:hAnsi="Times New Roman"/>
                <w:sz w:val="20"/>
                <w:lang w:val="ru-RU"/>
              </w:rPr>
              <w:br/>
            </w:r>
            <w:r w:rsidRPr="000C2960">
              <w:rPr>
                <w:rFonts w:ascii="Times New Roman" w:hAnsi="Times New Roman"/>
                <w:sz w:val="20"/>
                <w:lang w:val="ru-RU"/>
              </w:rPr>
              <w:t>после 31 декабря 2026 года</w:t>
            </w:r>
          </w:p>
        </w:tc>
      </w:tr>
    </w:tbl>
    <w:p w14:paraId="271A854A" w14:textId="77777777" w:rsidR="00165CEA" w:rsidRPr="000C2960" w:rsidRDefault="00165CEA" w:rsidP="00165CEA">
      <w:pPr>
        <w:pStyle w:val="SingleTxtG"/>
        <w:spacing w:before="120"/>
      </w:pPr>
      <w:r w:rsidRPr="000C2960">
        <w:t>121.</w:t>
      </w:r>
      <w:r w:rsidRPr="000C2960">
        <w:tab/>
        <w:t>В измененной версии стандарта содержатся элементы, относящиеся к безопасности. Поэтому необходимо приступить к замене арматуры, соединяющей с береговой электросетью, для поддержания максимально возможного уровня безопасности. Для организации необходимой замены достаточно переходного периода от трех до восьми лет с момента принятия поправки.</w:t>
      </w:r>
    </w:p>
    <w:p w14:paraId="3F782254" w14:textId="77777777" w:rsidR="00165CEA" w:rsidRPr="000C2960" w:rsidRDefault="00165CEA" w:rsidP="00165CEA">
      <w:pPr>
        <w:pStyle w:val="H23G"/>
      </w:pPr>
      <w:r w:rsidRPr="000C2960">
        <w:tab/>
        <w:t>6.</w:t>
      </w:r>
      <w:r w:rsidRPr="000C2960">
        <w:tab/>
        <w:t>В пункте 8.1.2.2 h) (Документы, которые должны находиться на борту сухогрузных судов), первый и второй отступы:</w:t>
      </w:r>
    </w:p>
    <w:p w14:paraId="7EC9BE10" w14:textId="2964C1DA" w:rsidR="00165CEA" w:rsidRPr="000C2960" w:rsidRDefault="00165CEA" w:rsidP="00165CEA">
      <w:pPr>
        <w:pStyle w:val="H4G"/>
      </w:pPr>
      <w:r w:rsidRPr="000C2960">
        <w:tab/>
      </w:r>
      <w:r w:rsidRPr="000C2960">
        <w:tab/>
        <w:t xml:space="preserve">Заменить </w:t>
      </w:r>
      <w:r w:rsidR="00F22588">
        <w:t>«</w:t>
      </w:r>
      <w:r w:rsidRPr="000C2960">
        <w:t>IEC 60079-0</w:t>
      </w:r>
      <w:r w:rsidR="00F22588">
        <w:t>»</w:t>
      </w:r>
      <w:r w:rsidRPr="000C2960">
        <w:t xml:space="preserve"> на </w:t>
      </w:r>
      <w:r w:rsidR="00F22588">
        <w:t>«</w:t>
      </w:r>
      <w:r w:rsidRPr="000C2960">
        <w:t>IEC 60079-0:2011, модифицированный + Cor.:2012 + Cor.:2013</w:t>
      </w:r>
      <w:r w:rsidR="00F22588">
        <w:t>»</w:t>
      </w:r>
      <w:r w:rsidRPr="000C2960">
        <w:t>.</w:t>
      </w:r>
    </w:p>
    <w:p w14:paraId="1C8D6BF1" w14:textId="77777777" w:rsidR="00165CEA" w:rsidRPr="000C2960" w:rsidRDefault="00165CEA" w:rsidP="00165CEA">
      <w:pPr>
        <w:pStyle w:val="H23G"/>
      </w:pPr>
      <w:r w:rsidRPr="000C2960">
        <w:tab/>
        <w:t>7.</w:t>
      </w:r>
      <w:r w:rsidRPr="000C2960">
        <w:tab/>
        <w:t>В 8.1.2.3 u) (Документы, подлежащие перевозке на борту наливных судов), первый и второй отступы:</w:t>
      </w:r>
    </w:p>
    <w:p w14:paraId="7872C767" w14:textId="40096352" w:rsidR="00165CEA" w:rsidRPr="000C2960" w:rsidRDefault="00165CEA" w:rsidP="00165CEA">
      <w:pPr>
        <w:pStyle w:val="H4G"/>
      </w:pPr>
      <w:r w:rsidRPr="000C2960">
        <w:tab/>
      </w:r>
      <w:r w:rsidRPr="000C2960">
        <w:tab/>
        <w:t xml:space="preserve">Заменить </w:t>
      </w:r>
      <w:r w:rsidR="00F22588">
        <w:t>«</w:t>
      </w:r>
      <w:r w:rsidRPr="000C2960">
        <w:t>IEC 60079-0</w:t>
      </w:r>
      <w:r w:rsidR="00F22588">
        <w:t>»</w:t>
      </w:r>
      <w:r w:rsidRPr="000C2960">
        <w:t xml:space="preserve"> на </w:t>
      </w:r>
      <w:r w:rsidR="00F22588">
        <w:t>«</w:t>
      </w:r>
      <w:r w:rsidRPr="000C2960">
        <w:t>IEC 60079-0:2011, модифицированный + Cor.:2012 + Cor.:2013</w:t>
      </w:r>
      <w:r w:rsidR="00F22588">
        <w:t>»</w:t>
      </w:r>
      <w:r w:rsidRPr="000C2960">
        <w:t>.</w:t>
      </w:r>
    </w:p>
    <w:p w14:paraId="6658A5DD" w14:textId="77777777" w:rsidR="00165CEA" w:rsidRPr="000C2960" w:rsidRDefault="00165CEA" w:rsidP="00165CEA">
      <w:pPr>
        <w:pStyle w:val="SingleTxtG"/>
      </w:pPr>
      <w:r w:rsidRPr="000C2960">
        <w:t>122.</w:t>
      </w:r>
      <w:r w:rsidRPr="000C2960">
        <w:tab/>
        <w:t>Динамическая ссылка слишком неопределенна для тех, кто применяет Правила, поскольку не указано, какое издание стандарта должно быть применено. Кроме того, законодатель должен сохранять за собой всю полноту регулирующей компетенции и не делегировать ее частным органам по стандартизации. Он должен сам определить (после оценки безопасности) конкретное содержание стандарта, который он хочет сделать применимым в ВОПОГ для всех лиц, применяющих эти Правила.</w:t>
      </w:r>
    </w:p>
    <w:p w14:paraId="71DFFB67" w14:textId="77777777" w:rsidR="00165CEA" w:rsidRPr="000C2960" w:rsidRDefault="00165CEA" w:rsidP="00CD76D9">
      <w:pPr>
        <w:pStyle w:val="H1G"/>
      </w:pPr>
      <w:r w:rsidRPr="000C2960">
        <w:lastRenderedPageBreak/>
        <w:tab/>
        <w:t>B.</w:t>
      </w:r>
      <w:r w:rsidRPr="000C2960">
        <w:tab/>
        <w:t>Источники</w:t>
      </w:r>
    </w:p>
    <w:p w14:paraId="38BCA2BE" w14:textId="3FEE5912" w:rsidR="00165CEA" w:rsidRPr="000C2960" w:rsidRDefault="00242875" w:rsidP="00165CEA">
      <w:pPr>
        <w:pStyle w:val="SingleTxtG"/>
      </w:pPr>
      <w:r w:rsidRPr="000C2960">
        <w:t>12</w:t>
      </w:r>
      <w:r w:rsidRPr="00242875">
        <w:t>3</w:t>
      </w:r>
      <w:r w:rsidRPr="000C2960">
        <w:t>.</w:t>
      </w:r>
      <w:r w:rsidR="00165CEA" w:rsidRPr="000C2960">
        <w:tab/>
        <w:t xml:space="preserve">Информация об изменениях в редакции стандартов DIN, EN и ISO взята с сайта </w:t>
      </w:r>
      <w:hyperlink r:id="rId9" w:history="1">
        <w:r w:rsidR="00165CEA" w:rsidRPr="00A25E6E">
          <w:rPr>
            <w:rStyle w:val="af1"/>
          </w:rPr>
          <w:t>www.beuth.de</w:t>
        </w:r>
      </w:hyperlink>
      <w:r w:rsidR="00165CEA" w:rsidRPr="000C2960">
        <w:t xml:space="preserve"> (издательство с эксклюзивными правами на продажу стандартов в Германии).</w:t>
      </w:r>
    </w:p>
    <w:p w14:paraId="37BC2479" w14:textId="7B252A44" w:rsidR="00165CEA" w:rsidRPr="000C2960" w:rsidRDefault="00165CEA" w:rsidP="00165CEA">
      <w:pPr>
        <w:pStyle w:val="SingleTxtG"/>
      </w:pPr>
      <w:r w:rsidRPr="000C2960">
        <w:t>124.</w:t>
      </w:r>
      <w:r w:rsidRPr="000C2960">
        <w:tab/>
        <w:t xml:space="preserve">Стандарты IEC и их текущий статус описаны на сайте </w:t>
      </w:r>
      <w:hyperlink r:id="rId10" w:history="1">
        <w:r w:rsidRPr="005136D0">
          <w:rPr>
            <w:rStyle w:val="af1"/>
          </w:rPr>
          <w:t>https://webstore.iec.ch/home</w:t>
        </w:r>
      </w:hyperlink>
      <w:r w:rsidRPr="000C2960">
        <w:t>.</w:t>
      </w:r>
    </w:p>
    <w:p w14:paraId="47CFFA71" w14:textId="77777777" w:rsidR="00165CEA" w:rsidRPr="000C2960" w:rsidRDefault="00165CEA" w:rsidP="00CD76D9">
      <w:pPr>
        <w:pStyle w:val="HChG"/>
      </w:pPr>
      <w:r w:rsidRPr="000C2960">
        <w:tab/>
        <w:t>II.</w:t>
      </w:r>
      <w:r w:rsidRPr="000C2960">
        <w:tab/>
        <w:t>Безопасность</w:t>
      </w:r>
    </w:p>
    <w:p w14:paraId="10C79BA4" w14:textId="549939B2" w:rsidR="00165CEA" w:rsidRPr="000C2960" w:rsidRDefault="009F1A2D" w:rsidP="00165CEA">
      <w:pPr>
        <w:pStyle w:val="SingleTxtG"/>
      </w:pPr>
      <w:r w:rsidRPr="000C2960">
        <w:t>12</w:t>
      </w:r>
      <w:r w:rsidRPr="009F1A2D">
        <w:t>5</w:t>
      </w:r>
      <w:r w:rsidRPr="000C2960">
        <w:t>.</w:t>
      </w:r>
      <w:r w:rsidR="00165CEA" w:rsidRPr="000C2960">
        <w:tab/>
        <w:t>Включение последних версий стандартов обеспечивает самый высокий уровень безопасности, доступный в настоящее время.</w:t>
      </w:r>
    </w:p>
    <w:p w14:paraId="54AAAD35" w14:textId="77777777" w:rsidR="00165CEA" w:rsidRPr="000C2960" w:rsidRDefault="00165CEA" w:rsidP="00CD76D9">
      <w:pPr>
        <w:pStyle w:val="HChG"/>
      </w:pPr>
      <w:r w:rsidRPr="000C2960">
        <w:tab/>
        <w:t>III.</w:t>
      </w:r>
      <w:r w:rsidRPr="000C2960">
        <w:tab/>
        <w:t>Осуществление</w:t>
      </w:r>
    </w:p>
    <w:p w14:paraId="32C3A0CC" w14:textId="3054732C" w:rsidR="00165CEA" w:rsidRPr="000C2960" w:rsidRDefault="009F1A2D" w:rsidP="00165CEA">
      <w:pPr>
        <w:pStyle w:val="SingleTxtG"/>
      </w:pPr>
      <w:r w:rsidRPr="000C2960">
        <w:t>12</w:t>
      </w:r>
      <w:r w:rsidRPr="009F1A2D">
        <w:t>6</w:t>
      </w:r>
      <w:r w:rsidRPr="000C2960">
        <w:t>.</w:t>
      </w:r>
      <w:r w:rsidR="00165CEA" w:rsidRPr="000C2960">
        <w:tab/>
        <w:t>Переходные периоды должны обеспечивать поддержание прежнего уровня безопасности. Владельцам и операторам судов предоставляется разумный срок для внесения корректировок</w:t>
      </w:r>
      <w:r w:rsidR="00A25E6E" w:rsidRPr="00A25E6E">
        <w:t xml:space="preserve"> </w:t>
      </w:r>
      <w:r w:rsidR="00165CEA" w:rsidRPr="000C2960">
        <w:t>— не позднее следующего общего осмотра судна на верфи. Не ожидается непропорционально больших инвестиционных затрат или ограничений на эксплуатацию судов.</w:t>
      </w:r>
    </w:p>
    <w:p w14:paraId="1C0FE91D" w14:textId="556C5FB6" w:rsidR="00E12C5F" w:rsidRPr="00165CEA" w:rsidRDefault="00165CEA" w:rsidP="00165CEA">
      <w:pPr>
        <w:spacing w:before="240"/>
        <w:jc w:val="center"/>
        <w:rPr>
          <w:u w:val="single"/>
        </w:rPr>
      </w:pPr>
      <w:r w:rsidRPr="000C2960">
        <w:rPr>
          <w:u w:val="single"/>
        </w:rPr>
        <w:tab/>
      </w:r>
      <w:r w:rsidRPr="000C2960">
        <w:rPr>
          <w:u w:val="single"/>
        </w:rPr>
        <w:tab/>
      </w:r>
      <w:r w:rsidRPr="000C2960">
        <w:rPr>
          <w:u w:val="single"/>
        </w:rPr>
        <w:tab/>
      </w:r>
    </w:p>
    <w:sectPr w:rsidR="00E12C5F" w:rsidRPr="00165CEA" w:rsidSect="00165CE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D23BB" w14:textId="77777777" w:rsidR="005136D0" w:rsidRPr="00A312BC" w:rsidRDefault="005136D0" w:rsidP="00A312BC"/>
  </w:endnote>
  <w:endnote w:type="continuationSeparator" w:id="0">
    <w:p w14:paraId="4D47D552" w14:textId="77777777" w:rsidR="005136D0" w:rsidRPr="00A312BC" w:rsidRDefault="005136D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79D25" w14:textId="0D1F22CE" w:rsidR="005136D0" w:rsidRPr="00165CEA" w:rsidRDefault="005136D0">
    <w:pPr>
      <w:pStyle w:val="a8"/>
    </w:pPr>
    <w:r w:rsidRPr="00165CEA">
      <w:rPr>
        <w:b/>
        <w:sz w:val="18"/>
      </w:rPr>
      <w:fldChar w:fldCharType="begin"/>
    </w:r>
    <w:r w:rsidRPr="00165CEA">
      <w:rPr>
        <w:b/>
        <w:sz w:val="18"/>
      </w:rPr>
      <w:instrText xml:space="preserve"> PAGE  \* MERGEFORMAT </w:instrText>
    </w:r>
    <w:r w:rsidRPr="00165CEA">
      <w:rPr>
        <w:b/>
        <w:sz w:val="18"/>
      </w:rPr>
      <w:fldChar w:fldCharType="separate"/>
    </w:r>
    <w:r w:rsidRPr="00165CEA">
      <w:rPr>
        <w:b/>
        <w:noProof/>
        <w:sz w:val="18"/>
      </w:rPr>
      <w:t>2</w:t>
    </w:r>
    <w:r w:rsidRPr="00165CEA">
      <w:rPr>
        <w:b/>
        <w:sz w:val="18"/>
      </w:rPr>
      <w:fldChar w:fldCharType="end"/>
    </w:r>
    <w:r>
      <w:rPr>
        <w:b/>
        <w:sz w:val="18"/>
      </w:rPr>
      <w:tab/>
    </w:r>
    <w:r>
      <w:t>GE.21-16373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D1E8F" w14:textId="36D66EBE" w:rsidR="005136D0" w:rsidRPr="00165CEA" w:rsidRDefault="005136D0" w:rsidP="00165CEA">
    <w:pPr>
      <w:pStyle w:val="a8"/>
      <w:tabs>
        <w:tab w:val="clear" w:pos="9639"/>
        <w:tab w:val="right" w:pos="9638"/>
      </w:tabs>
      <w:rPr>
        <w:b/>
        <w:sz w:val="18"/>
      </w:rPr>
    </w:pPr>
    <w:r>
      <w:t>GE.21-16373</w:t>
    </w:r>
    <w:r>
      <w:tab/>
    </w:r>
    <w:r w:rsidRPr="00165CEA">
      <w:rPr>
        <w:b/>
        <w:sz w:val="18"/>
      </w:rPr>
      <w:fldChar w:fldCharType="begin"/>
    </w:r>
    <w:r w:rsidRPr="00165CEA">
      <w:rPr>
        <w:b/>
        <w:sz w:val="18"/>
      </w:rPr>
      <w:instrText xml:space="preserve"> PAGE  \* MERGEFORMAT </w:instrText>
    </w:r>
    <w:r w:rsidRPr="00165CEA">
      <w:rPr>
        <w:b/>
        <w:sz w:val="18"/>
      </w:rPr>
      <w:fldChar w:fldCharType="separate"/>
    </w:r>
    <w:r w:rsidRPr="00165CEA">
      <w:rPr>
        <w:b/>
        <w:noProof/>
        <w:sz w:val="18"/>
      </w:rPr>
      <w:t>3</w:t>
    </w:r>
    <w:r w:rsidRPr="00165C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997C" w14:textId="0401EC35" w:rsidR="005136D0" w:rsidRPr="00165CEA" w:rsidRDefault="005136D0" w:rsidP="00165CEA">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554ECF4D" wp14:editId="0D0E20E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16373  (</w:t>
    </w:r>
    <w:proofErr w:type="gramEnd"/>
    <w:r>
      <w:t>R)</w:t>
    </w:r>
    <w:r>
      <w:rPr>
        <w:noProof/>
      </w:rPr>
      <w:drawing>
        <wp:anchor distT="0" distB="0" distL="114300" distR="114300" simplePos="0" relativeHeight="251659264" behindDoc="0" locked="0" layoutInCell="1" allowOverlap="1" wp14:anchorId="28A2DD9A" wp14:editId="23A3D66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181121  191121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3EC4E" w14:textId="77777777" w:rsidR="005136D0" w:rsidRPr="001075E9" w:rsidRDefault="005136D0" w:rsidP="001075E9">
      <w:pPr>
        <w:tabs>
          <w:tab w:val="right" w:pos="2155"/>
        </w:tabs>
        <w:spacing w:after="80" w:line="240" w:lineRule="auto"/>
        <w:ind w:left="680"/>
        <w:rPr>
          <w:u w:val="single"/>
        </w:rPr>
      </w:pPr>
      <w:r>
        <w:rPr>
          <w:u w:val="single"/>
        </w:rPr>
        <w:tab/>
      </w:r>
    </w:p>
  </w:footnote>
  <w:footnote w:type="continuationSeparator" w:id="0">
    <w:p w14:paraId="4D2168CF" w14:textId="77777777" w:rsidR="005136D0" w:rsidRDefault="005136D0" w:rsidP="00407B78">
      <w:pPr>
        <w:tabs>
          <w:tab w:val="right" w:pos="2155"/>
        </w:tabs>
        <w:spacing w:after="80"/>
        <w:ind w:left="680"/>
        <w:rPr>
          <w:u w:val="single"/>
        </w:rPr>
      </w:pPr>
      <w:r>
        <w:rPr>
          <w:u w:val="single"/>
        </w:rPr>
        <w:tab/>
      </w:r>
    </w:p>
  </w:footnote>
  <w:footnote w:id="1">
    <w:p w14:paraId="1363E888" w14:textId="3734A516" w:rsidR="005136D0" w:rsidRPr="00E70731" w:rsidRDefault="005136D0" w:rsidP="00165CEA">
      <w:pPr>
        <w:pStyle w:val="ad"/>
      </w:pPr>
      <w:r>
        <w:tab/>
      </w:r>
      <w:r w:rsidRPr="00165CEA">
        <w:rPr>
          <w:rStyle w:val="aa"/>
          <w:sz w:val="20"/>
          <w:vertAlign w:val="baseline"/>
        </w:rPr>
        <w:t>*</w:t>
      </w:r>
      <w:r>
        <w:tab/>
      </w:r>
      <w:r w:rsidRPr="00E70731">
        <w:t>Распространено на немецком языке Центральной комиссией судоходства по Рейну под</w:t>
      </w:r>
      <w:r>
        <w:rPr>
          <w:lang w:val="en-US"/>
        </w:rPr>
        <w:t> </w:t>
      </w:r>
      <w:r w:rsidRPr="00E70731">
        <w:t xml:space="preserve">условным обозначением </w:t>
      </w:r>
      <w:r w:rsidRPr="007D6375">
        <w:t>ЦКСР</w:t>
      </w:r>
      <w:r w:rsidRPr="00E70731">
        <w:t>-ZKR/ADN/WP.15/AC.2/2022/4.</w:t>
      </w:r>
    </w:p>
  </w:footnote>
  <w:footnote w:id="2">
    <w:p w14:paraId="7ADC6725" w14:textId="77777777" w:rsidR="005136D0" w:rsidRPr="007E6342" w:rsidRDefault="005136D0" w:rsidP="00165CEA">
      <w:pPr>
        <w:pStyle w:val="ad"/>
      </w:pPr>
      <w:r>
        <w:tab/>
      </w:r>
      <w:r w:rsidRPr="00165CEA">
        <w:rPr>
          <w:rStyle w:val="aa"/>
          <w:sz w:val="20"/>
          <w:vertAlign w:val="baseline"/>
        </w:rPr>
        <w:t>**</w:t>
      </w:r>
      <w:r>
        <w:tab/>
      </w:r>
      <w:r w:rsidRPr="007E6342">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w:t>
      </w:r>
    </w:p>
  </w:footnote>
  <w:footnote w:id="3">
    <w:p w14:paraId="746DEA0E" w14:textId="77777777" w:rsidR="005136D0" w:rsidRPr="00A2361F" w:rsidRDefault="005136D0" w:rsidP="00165CEA">
      <w:pPr>
        <w:pStyle w:val="ad"/>
      </w:pPr>
      <w:r w:rsidRPr="00E70731">
        <w:tab/>
      </w:r>
      <w:r w:rsidRPr="00E75F50">
        <w:rPr>
          <w:rStyle w:val="aa"/>
        </w:rPr>
        <w:footnoteRef/>
      </w:r>
      <w:r w:rsidRPr="00A2361F">
        <w:tab/>
        <w:t xml:space="preserve">Примечание секретариата </w:t>
      </w:r>
      <w:r w:rsidRPr="007D6375">
        <w:t>ЦКСР</w:t>
      </w:r>
      <w:r w:rsidRPr="00A2361F">
        <w:t xml:space="preserve">: согласно сайту </w:t>
      </w:r>
      <w:r w:rsidRPr="00E75F50">
        <w:t>AFNOR</w:t>
      </w:r>
      <w:r w:rsidRPr="00A2361F">
        <w:t xml:space="preserve"> стандарт </w:t>
      </w:r>
      <w:r w:rsidRPr="00E75F50">
        <w:t>T</w:t>
      </w:r>
      <w:r w:rsidRPr="00A2361F">
        <w:t xml:space="preserve">60-103:1968 все еще </w:t>
      </w:r>
      <w:r>
        <w:t>действует</w:t>
      </w:r>
      <w:r w:rsidRPr="00A2361F">
        <w:t xml:space="preserve">. Его официальное название: </w:t>
      </w:r>
      <w:r w:rsidRPr="007D6375">
        <w:t>«</w:t>
      </w:r>
      <w:proofErr w:type="spellStart"/>
      <w:r w:rsidRPr="007D6375">
        <w:t>Produits</w:t>
      </w:r>
      <w:proofErr w:type="spellEnd"/>
      <w:r w:rsidRPr="007D6375">
        <w:t xml:space="preserve"> </w:t>
      </w:r>
      <w:proofErr w:type="spellStart"/>
      <w:r w:rsidRPr="007D6375">
        <w:t>pétroliers</w:t>
      </w:r>
      <w:proofErr w:type="spellEnd"/>
      <w:r w:rsidRPr="007D6375">
        <w:t xml:space="preserve">; </w:t>
      </w:r>
      <w:proofErr w:type="spellStart"/>
      <w:r w:rsidRPr="007D6375">
        <w:t>Point</w:t>
      </w:r>
      <w:proofErr w:type="spellEnd"/>
      <w:r w:rsidRPr="007D6375">
        <w:t xml:space="preserve"> </w:t>
      </w:r>
      <w:proofErr w:type="spellStart"/>
      <w:r w:rsidRPr="007D6375">
        <w:t>d'éclair</w:t>
      </w:r>
      <w:proofErr w:type="spellEnd"/>
      <w:r w:rsidRPr="007D6375">
        <w:t xml:space="preserve"> </w:t>
      </w:r>
      <w:proofErr w:type="spellStart"/>
      <w:r w:rsidRPr="007D6375">
        <w:t>en</w:t>
      </w:r>
      <w:proofErr w:type="spellEnd"/>
      <w:r w:rsidRPr="007D6375">
        <w:t xml:space="preserve"> </w:t>
      </w:r>
      <w:proofErr w:type="spellStart"/>
      <w:r w:rsidRPr="007D6375">
        <w:t>vase</w:t>
      </w:r>
      <w:proofErr w:type="spellEnd"/>
      <w:r w:rsidRPr="007D6375">
        <w:t xml:space="preserve"> </w:t>
      </w:r>
      <w:proofErr w:type="spellStart"/>
      <w:r w:rsidRPr="007D6375">
        <w:t>clos</w:t>
      </w:r>
      <w:proofErr w:type="spellEnd"/>
      <w:r w:rsidRPr="007D6375">
        <w:t xml:space="preserve"> </w:t>
      </w:r>
      <w:proofErr w:type="spellStart"/>
      <w:r w:rsidRPr="007D6375">
        <w:t>des</w:t>
      </w:r>
      <w:proofErr w:type="spellEnd"/>
      <w:r w:rsidRPr="007D6375">
        <w:t xml:space="preserve"> </w:t>
      </w:r>
      <w:proofErr w:type="spellStart"/>
      <w:r w:rsidRPr="007D6375">
        <w:t>lubrifiants</w:t>
      </w:r>
      <w:proofErr w:type="spellEnd"/>
      <w:r w:rsidRPr="007D6375">
        <w:t xml:space="preserve"> </w:t>
      </w:r>
      <w:proofErr w:type="spellStart"/>
      <w:r w:rsidRPr="007D6375">
        <w:t>et</w:t>
      </w:r>
      <w:proofErr w:type="spellEnd"/>
      <w:r w:rsidRPr="007D6375">
        <w:t xml:space="preserve"> </w:t>
      </w:r>
      <w:proofErr w:type="spellStart"/>
      <w:r w:rsidRPr="007D6375">
        <w:t>des</w:t>
      </w:r>
      <w:proofErr w:type="spellEnd"/>
      <w:r w:rsidRPr="007D6375">
        <w:t xml:space="preserve"> </w:t>
      </w:r>
      <w:proofErr w:type="spellStart"/>
      <w:r w:rsidRPr="007D6375">
        <w:t>huiles</w:t>
      </w:r>
      <w:proofErr w:type="spellEnd"/>
      <w:r w:rsidRPr="007D6375">
        <w:t xml:space="preserve"> </w:t>
      </w:r>
      <w:proofErr w:type="spellStart"/>
      <w:r w:rsidRPr="007D6375">
        <w:t>combustibles</w:t>
      </w:r>
      <w:proofErr w:type="spellEnd"/>
      <w:r w:rsidRPr="007D6375">
        <w:t>»/«</w:t>
      </w:r>
      <w:proofErr w:type="spellStart"/>
      <w:r w:rsidRPr="007D6375">
        <w:t>Petroleum</w:t>
      </w:r>
      <w:proofErr w:type="spellEnd"/>
      <w:r w:rsidRPr="007D6375">
        <w:t xml:space="preserve"> </w:t>
      </w:r>
      <w:proofErr w:type="spellStart"/>
      <w:r w:rsidRPr="007D6375">
        <w:t>products</w:t>
      </w:r>
      <w:proofErr w:type="spellEnd"/>
      <w:r w:rsidRPr="007D6375">
        <w:t xml:space="preserve">; </w:t>
      </w:r>
      <w:proofErr w:type="spellStart"/>
      <w:r w:rsidRPr="007D6375">
        <w:t>Closed</w:t>
      </w:r>
      <w:proofErr w:type="spellEnd"/>
      <w:r w:rsidRPr="007D6375">
        <w:t xml:space="preserve"> </w:t>
      </w:r>
      <w:proofErr w:type="spellStart"/>
      <w:r w:rsidRPr="007D6375">
        <w:t>cup</w:t>
      </w:r>
      <w:proofErr w:type="spellEnd"/>
      <w:r w:rsidRPr="007D6375">
        <w:t xml:space="preserve"> </w:t>
      </w:r>
      <w:proofErr w:type="spellStart"/>
      <w:r w:rsidRPr="007D6375">
        <w:t>flashpoint</w:t>
      </w:r>
      <w:proofErr w:type="spellEnd"/>
      <w:r w:rsidRPr="007D6375">
        <w:t xml:space="preserve"> of </w:t>
      </w:r>
      <w:proofErr w:type="spellStart"/>
      <w:r w:rsidRPr="007D6375">
        <w:t>lubricants</w:t>
      </w:r>
      <w:proofErr w:type="spellEnd"/>
      <w:r w:rsidRPr="007D6375">
        <w:t xml:space="preserve"> and </w:t>
      </w:r>
      <w:proofErr w:type="spellStart"/>
      <w:r w:rsidRPr="007D6375">
        <w:t>fuel</w:t>
      </w:r>
      <w:proofErr w:type="spellEnd"/>
      <w:r w:rsidRPr="007D6375">
        <w:t xml:space="preserve"> </w:t>
      </w:r>
      <w:proofErr w:type="spellStart"/>
      <w:r w:rsidRPr="007D6375">
        <w:t>oils</w:t>
      </w:r>
      <w:proofErr w:type="spellEnd"/>
      <w:r w:rsidRPr="007D6375">
        <w:t>»</w:t>
      </w:r>
      <w:r>
        <w:t xml:space="preserve"> (</w:t>
      </w:r>
      <w:r w:rsidRPr="00A2361F">
        <w:t xml:space="preserve">Нефтепродукты; температура вспышки смазочных материалов и </w:t>
      </w:r>
      <w:r>
        <w:t>видов жидкого топлива</w:t>
      </w:r>
      <w:r w:rsidRPr="00A2361F">
        <w:t xml:space="preserve"> в закрыто</w:t>
      </w:r>
      <w:r>
        <w:t>м тигле)</w:t>
      </w:r>
      <w:r w:rsidRPr="00A2361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8D5D" w14:textId="5CB9C8BE" w:rsidR="005136D0" w:rsidRPr="00165CEA" w:rsidRDefault="00277FD4">
    <w:pPr>
      <w:pStyle w:val="a5"/>
    </w:pPr>
    <w:fldSimple w:instr=" TITLE  \* MERGEFORMAT ">
      <w:r w:rsidR="00E16214">
        <w:t>ECE/TRANS/WP.15/AC.2/2022/4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58DA0" w14:textId="4A2A9EB9" w:rsidR="005136D0" w:rsidRPr="00165CEA" w:rsidRDefault="00277FD4" w:rsidP="00165CEA">
    <w:pPr>
      <w:pStyle w:val="a5"/>
      <w:jc w:val="right"/>
    </w:pPr>
    <w:fldSimple w:instr=" TITLE  \* MERGEFORMAT ">
      <w:r w:rsidR="00E16214">
        <w:t>ECE/TRANS/WP.15/AC.2/2022/4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8308A" w14:textId="77777777" w:rsidR="005136D0" w:rsidRDefault="005136D0" w:rsidP="00165CE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0193B84"/>
    <w:multiLevelType w:val="hybridMultilevel"/>
    <w:tmpl w:val="F550BCDE"/>
    <w:lvl w:ilvl="0" w:tplc="49BAC72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36B7577"/>
    <w:multiLevelType w:val="hybridMultilevel"/>
    <w:tmpl w:val="5156D226"/>
    <w:lvl w:ilvl="0" w:tplc="B5CC082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28601A1E"/>
    <w:multiLevelType w:val="hybridMultilevel"/>
    <w:tmpl w:val="20DE3798"/>
    <w:lvl w:ilvl="0" w:tplc="B422F88E">
      <w:start w:val="1"/>
      <w:numFmt w:val="low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1444771"/>
    <w:multiLevelType w:val="hybridMultilevel"/>
    <w:tmpl w:val="43E2BA22"/>
    <w:lvl w:ilvl="0" w:tplc="4AC24FF8">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65986"/>
    <w:multiLevelType w:val="hybridMultilevel"/>
    <w:tmpl w:val="07EC57B4"/>
    <w:lvl w:ilvl="0" w:tplc="F6384C6A">
      <w:start w:val="1"/>
      <w:numFmt w:val="low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BB134FD"/>
    <w:multiLevelType w:val="hybridMultilevel"/>
    <w:tmpl w:val="07EC57B4"/>
    <w:lvl w:ilvl="0" w:tplc="F6384C6A">
      <w:start w:val="1"/>
      <w:numFmt w:val="low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0" w15:restartNumberingAfterBreak="0">
    <w:nsid w:val="43084F3B"/>
    <w:multiLevelType w:val="hybridMultilevel"/>
    <w:tmpl w:val="FE628FBA"/>
    <w:lvl w:ilvl="0" w:tplc="35F431E8">
      <w:start w:val="2"/>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DEA2EA5"/>
    <w:multiLevelType w:val="hybridMultilevel"/>
    <w:tmpl w:val="27E622B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5839EB"/>
    <w:multiLevelType w:val="hybridMultilevel"/>
    <w:tmpl w:val="C4E88CF2"/>
    <w:lvl w:ilvl="0" w:tplc="49A6E278">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E572753"/>
    <w:multiLevelType w:val="hybridMultilevel"/>
    <w:tmpl w:val="CC04542C"/>
    <w:lvl w:ilvl="0" w:tplc="B7B09014">
      <w:start w:val="2"/>
      <w:numFmt w:val="low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740873"/>
    <w:multiLevelType w:val="hybridMultilevel"/>
    <w:tmpl w:val="22406FB2"/>
    <w:lvl w:ilvl="0" w:tplc="817003B2">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7"/>
  </w:num>
  <w:num w:numId="3">
    <w:abstractNumId w:val="12"/>
  </w:num>
  <w:num w:numId="4">
    <w:abstractNumId w:val="29"/>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21"/>
  </w:num>
  <w:num w:numId="18">
    <w:abstractNumId w:val="23"/>
  </w:num>
  <w:num w:numId="19">
    <w:abstractNumId w:val="25"/>
  </w:num>
  <w:num w:numId="20">
    <w:abstractNumId w:val="21"/>
  </w:num>
  <w:num w:numId="21">
    <w:abstractNumId w:val="23"/>
  </w:num>
  <w:num w:numId="22">
    <w:abstractNumId w:val="27"/>
  </w:num>
  <w:num w:numId="23">
    <w:abstractNumId w:val="18"/>
  </w:num>
  <w:num w:numId="24">
    <w:abstractNumId w:val="10"/>
  </w:num>
  <w:num w:numId="25">
    <w:abstractNumId w:val="19"/>
  </w:num>
  <w:num w:numId="26">
    <w:abstractNumId w:val="16"/>
  </w:num>
  <w:num w:numId="27">
    <w:abstractNumId w:val="24"/>
  </w:num>
  <w:num w:numId="28">
    <w:abstractNumId w:val="13"/>
  </w:num>
  <w:num w:numId="29">
    <w:abstractNumId w:val="14"/>
  </w:num>
  <w:num w:numId="30">
    <w:abstractNumId w:val="26"/>
  </w:num>
  <w:num w:numId="31">
    <w:abstractNumId w:val="11"/>
  </w:num>
  <w:num w:numId="32">
    <w:abstractNumId w:val="15"/>
  </w:num>
  <w:num w:numId="33">
    <w:abstractNumId w:val="20"/>
  </w:num>
  <w:num w:numId="34">
    <w:abstractNumId w:val="30"/>
  </w:num>
  <w:num w:numId="35">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4D"/>
    <w:rsid w:val="00033EE1"/>
    <w:rsid w:val="00042B72"/>
    <w:rsid w:val="000558BD"/>
    <w:rsid w:val="00057686"/>
    <w:rsid w:val="000B57E7"/>
    <w:rsid w:val="000B6373"/>
    <w:rsid w:val="000E4E5B"/>
    <w:rsid w:val="000F09DF"/>
    <w:rsid w:val="000F61B2"/>
    <w:rsid w:val="001075E9"/>
    <w:rsid w:val="001208BB"/>
    <w:rsid w:val="0014152F"/>
    <w:rsid w:val="00165CEA"/>
    <w:rsid w:val="00180183"/>
    <w:rsid w:val="0018024D"/>
    <w:rsid w:val="0018649F"/>
    <w:rsid w:val="00196389"/>
    <w:rsid w:val="001B32AA"/>
    <w:rsid w:val="001B3EF6"/>
    <w:rsid w:val="001C7A89"/>
    <w:rsid w:val="001F57EF"/>
    <w:rsid w:val="00237893"/>
    <w:rsid w:val="00242875"/>
    <w:rsid w:val="00242FDF"/>
    <w:rsid w:val="00255343"/>
    <w:rsid w:val="0027151D"/>
    <w:rsid w:val="00277FD4"/>
    <w:rsid w:val="002A2EFC"/>
    <w:rsid w:val="002B0106"/>
    <w:rsid w:val="002B74B1"/>
    <w:rsid w:val="002C0E18"/>
    <w:rsid w:val="002D5AAC"/>
    <w:rsid w:val="002E5067"/>
    <w:rsid w:val="002E51DF"/>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36D0"/>
    <w:rsid w:val="00517901"/>
    <w:rsid w:val="00526683"/>
    <w:rsid w:val="00526DB8"/>
    <w:rsid w:val="005639C1"/>
    <w:rsid w:val="005709E0"/>
    <w:rsid w:val="00572E19"/>
    <w:rsid w:val="00580D4D"/>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94A3C"/>
    <w:rsid w:val="00806737"/>
    <w:rsid w:val="00825F8D"/>
    <w:rsid w:val="00834B71"/>
    <w:rsid w:val="0086445C"/>
    <w:rsid w:val="00894693"/>
    <w:rsid w:val="008A08D7"/>
    <w:rsid w:val="008A37C8"/>
    <w:rsid w:val="008B6909"/>
    <w:rsid w:val="008D53B6"/>
    <w:rsid w:val="008F7609"/>
    <w:rsid w:val="00906890"/>
    <w:rsid w:val="00911BE4"/>
    <w:rsid w:val="00951972"/>
    <w:rsid w:val="00956763"/>
    <w:rsid w:val="009608F3"/>
    <w:rsid w:val="009A24AC"/>
    <w:rsid w:val="009C59D7"/>
    <w:rsid w:val="009C6FE6"/>
    <w:rsid w:val="009D7E7D"/>
    <w:rsid w:val="009F1A2D"/>
    <w:rsid w:val="009F1F92"/>
    <w:rsid w:val="00A14DA8"/>
    <w:rsid w:val="00A25E6E"/>
    <w:rsid w:val="00A312BC"/>
    <w:rsid w:val="00A36EB5"/>
    <w:rsid w:val="00A84021"/>
    <w:rsid w:val="00A84D35"/>
    <w:rsid w:val="00A917B3"/>
    <w:rsid w:val="00AB4AD6"/>
    <w:rsid w:val="00AB4B51"/>
    <w:rsid w:val="00B10CC7"/>
    <w:rsid w:val="00B17CF9"/>
    <w:rsid w:val="00B36DF7"/>
    <w:rsid w:val="00B539E7"/>
    <w:rsid w:val="00B62458"/>
    <w:rsid w:val="00BC18B2"/>
    <w:rsid w:val="00BD33EE"/>
    <w:rsid w:val="00BE1CC7"/>
    <w:rsid w:val="00BF4681"/>
    <w:rsid w:val="00C106D6"/>
    <w:rsid w:val="00C119AE"/>
    <w:rsid w:val="00C330AF"/>
    <w:rsid w:val="00C60F0C"/>
    <w:rsid w:val="00C71E84"/>
    <w:rsid w:val="00C805C9"/>
    <w:rsid w:val="00C92939"/>
    <w:rsid w:val="00CA1679"/>
    <w:rsid w:val="00CB151C"/>
    <w:rsid w:val="00CD76D9"/>
    <w:rsid w:val="00CE5A1A"/>
    <w:rsid w:val="00CF55F6"/>
    <w:rsid w:val="00D33D63"/>
    <w:rsid w:val="00D514C1"/>
    <w:rsid w:val="00D5253A"/>
    <w:rsid w:val="00D873A8"/>
    <w:rsid w:val="00D90028"/>
    <w:rsid w:val="00D90138"/>
    <w:rsid w:val="00D9145B"/>
    <w:rsid w:val="00DD78D1"/>
    <w:rsid w:val="00DE32CD"/>
    <w:rsid w:val="00DF5767"/>
    <w:rsid w:val="00DF71B9"/>
    <w:rsid w:val="00E12C5F"/>
    <w:rsid w:val="00E16214"/>
    <w:rsid w:val="00E73F76"/>
    <w:rsid w:val="00EA2C9F"/>
    <w:rsid w:val="00EA420E"/>
    <w:rsid w:val="00ED0BDA"/>
    <w:rsid w:val="00EE142A"/>
    <w:rsid w:val="00EF1360"/>
    <w:rsid w:val="00EF3220"/>
    <w:rsid w:val="00F22588"/>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3F013"/>
  <w15:docId w15:val="{897526D5-A209-4FE1-A9C9-2AF427C4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a"/>
    <w:qFormat/>
    <w:rsid w:val="00165CEA"/>
    <w:pPr>
      <w:numPr>
        <w:numId w:val="24"/>
      </w:numPr>
      <w:tabs>
        <w:tab w:val="clear" w:pos="1701"/>
      </w:tabs>
      <w:kinsoku w:val="0"/>
      <w:overflowPunct w:val="0"/>
      <w:autoSpaceDE w:val="0"/>
      <w:autoSpaceDN w:val="0"/>
      <w:adjustRightInd w:val="0"/>
      <w:snapToGrid w:val="0"/>
      <w:spacing w:after="120"/>
      <w:ind w:right="1134"/>
      <w:jc w:val="both"/>
    </w:pPr>
    <w:rPr>
      <w:rFonts w:eastAsia="Times New Roman" w:cs="Times New Roman"/>
      <w:szCs w:val="20"/>
      <w:lang w:val="fr-CH" w:eastAsia="zh-CN"/>
    </w:rPr>
  </w:style>
  <w:style w:type="character" w:customStyle="1" w:styleId="20">
    <w:name w:val="Заголовок 2 Знак"/>
    <w:basedOn w:val="a0"/>
    <w:link w:val="2"/>
    <w:semiHidden/>
    <w:rsid w:val="00165CEA"/>
    <w:rPr>
      <w:rFonts w:eastAsiaTheme="minorHAnsi" w:cs="Arial"/>
      <w:bCs/>
      <w:iCs/>
      <w:szCs w:val="28"/>
      <w:lang w:val="ru-RU" w:eastAsia="en-US"/>
    </w:rPr>
  </w:style>
  <w:style w:type="character" w:customStyle="1" w:styleId="30">
    <w:name w:val="Заголовок 3 Знак"/>
    <w:basedOn w:val="a0"/>
    <w:link w:val="3"/>
    <w:semiHidden/>
    <w:rsid w:val="00165CEA"/>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165CEA"/>
    <w:rPr>
      <w:rFonts w:eastAsiaTheme="minorHAnsi" w:cstheme="minorBidi"/>
      <w:b/>
      <w:bCs/>
      <w:sz w:val="28"/>
      <w:szCs w:val="28"/>
      <w:lang w:val="ru-RU" w:eastAsia="en-US"/>
    </w:rPr>
  </w:style>
  <w:style w:type="character" w:customStyle="1" w:styleId="50">
    <w:name w:val="Заголовок 5 Знак"/>
    <w:basedOn w:val="a0"/>
    <w:link w:val="5"/>
    <w:semiHidden/>
    <w:rsid w:val="00165CEA"/>
    <w:rPr>
      <w:rFonts w:eastAsiaTheme="minorHAnsi" w:cstheme="minorBidi"/>
      <w:b/>
      <w:bCs/>
      <w:i/>
      <w:iCs/>
      <w:sz w:val="26"/>
      <w:szCs w:val="26"/>
      <w:lang w:val="ru-RU" w:eastAsia="en-US"/>
    </w:rPr>
  </w:style>
  <w:style w:type="character" w:customStyle="1" w:styleId="60">
    <w:name w:val="Заголовок 6 Знак"/>
    <w:basedOn w:val="a0"/>
    <w:link w:val="6"/>
    <w:semiHidden/>
    <w:rsid w:val="00165CEA"/>
    <w:rPr>
      <w:rFonts w:eastAsiaTheme="minorHAnsi" w:cstheme="minorBidi"/>
      <w:b/>
      <w:bCs/>
      <w:sz w:val="22"/>
      <w:szCs w:val="22"/>
      <w:lang w:val="ru-RU" w:eastAsia="en-US"/>
    </w:rPr>
  </w:style>
  <w:style w:type="character" w:customStyle="1" w:styleId="70">
    <w:name w:val="Заголовок 7 Знак"/>
    <w:basedOn w:val="a0"/>
    <w:link w:val="7"/>
    <w:semiHidden/>
    <w:rsid w:val="00165CEA"/>
    <w:rPr>
      <w:rFonts w:eastAsiaTheme="minorHAnsi" w:cstheme="minorBidi"/>
      <w:sz w:val="24"/>
      <w:szCs w:val="24"/>
      <w:lang w:val="ru-RU" w:eastAsia="en-US"/>
    </w:rPr>
  </w:style>
  <w:style w:type="character" w:customStyle="1" w:styleId="80">
    <w:name w:val="Заголовок 8 Знак"/>
    <w:basedOn w:val="a0"/>
    <w:link w:val="8"/>
    <w:semiHidden/>
    <w:rsid w:val="00165CEA"/>
    <w:rPr>
      <w:rFonts w:eastAsiaTheme="minorHAnsi" w:cstheme="minorBidi"/>
      <w:i/>
      <w:iCs/>
      <w:sz w:val="24"/>
      <w:szCs w:val="24"/>
      <w:lang w:val="ru-RU" w:eastAsia="en-US"/>
    </w:rPr>
  </w:style>
  <w:style w:type="character" w:customStyle="1" w:styleId="90">
    <w:name w:val="Заголовок 9 Знак"/>
    <w:basedOn w:val="a0"/>
    <w:link w:val="9"/>
    <w:semiHidden/>
    <w:rsid w:val="00165CEA"/>
    <w:rPr>
      <w:rFonts w:ascii="Arial" w:eastAsiaTheme="minorHAnsi" w:hAnsi="Arial" w:cs="Arial"/>
      <w:sz w:val="22"/>
      <w:szCs w:val="22"/>
      <w:lang w:val="ru-RU" w:eastAsia="en-US"/>
    </w:rPr>
  </w:style>
  <w:style w:type="character" w:customStyle="1" w:styleId="SingleTxtGChar">
    <w:name w:val="_ Single Txt_G Char"/>
    <w:link w:val="SingleTxtG"/>
    <w:rsid w:val="00165CEA"/>
    <w:rPr>
      <w:lang w:val="ru-RU" w:eastAsia="en-US"/>
    </w:rPr>
  </w:style>
  <w:style w:type="character" w:customStyle="1" w:styleId="HChGChar">
    <w:name w:val="_ H _Ch_G Char"/>
    <w:link w:val="HChG"/>
    <w:rsid w:val="00165CEA"/>
    <w:rPr>
      <w:b/>
      <w:sz w:val="28"/>
      <w:lang w:val="ru-RU" w:eastAsia="ru-RU"/>
    </w:rPr>
  </w:style>
  <w:style w:type="paragraph" w:customStyle="1" w:styleId="N3">
    <w:name w:val="N3"/>
    <w:basedOn w:val="a"/>
    <w:rsid w:val="00165CEA"/>
    <w:pPr>
      <w:tabs>
        <w:tab w:val="left" w:pos="170"/>
      </w:tabs>
      <w:suppressAutoHyphens w:val="0"/>
      <w:overflowPunct w:val="0"/>
      <w:autoSpaceDE w:val="0"/>
      <w:autoSpaceDN w:val="0"/>
      <w:adjustRightInd w:val="0"/>
      <w:spacing w:line="240" w:lineRule="auto"/>
      <w:ind w:left="1134" w:hanging="1134"/>
      <w:jc w:val="both"/>
      <w:textAlignment w:val="baseline"/>
    </w:pPr>
    <w:rPr>
      <w:rFonts w:ascii="Tms Rmn" w:eastAsia="Times New Roman" w:hAnsi="Tms Rmn" w:cs="Times New Roman"/>
      <w:sz w:val="22"/>
      <w:szCs w:val="20"/>
      <w:lang w:val="fr-FR" w:eastAsia="fr-FR"/>
    </w:rPr>
  </w:style>
  <w:style w:type="paragraph" w:styleId="af3">
    <w:name w:val="List Paragraph"/>
    <w:basedOn w:val="a"/>
    <w:uiPriority w:val="34"/>
    <w:qFormat/>
    <w:rsid w:val="00165CEA"/>
    <w:pPr>
      <w:widowControl w:val="0"/>
      <w:suppressAutoHyphens w:val="0"/>
      <w:overflowPunct w:val="0"/>
      <w:autoSpaceDE w:val="0"/>
      <w:autoSpaceDN w:val="0"/>
      <w:adjustRightInd w:val="0"/>
      <w:spacing w:line="240" w:lineRule="auto"/>
      <w:ind w:left="720" w:hanging="1134"/>
      <w:contextualSpacing/>
      <w:jc w:val="both"/>
      <w:textAlignment w:val="baseline"/>
    </w:pPr>
    <w:rPr>
      <w:rFonts w:eastAsia="Times New Roman" w:cs="Times New Roman"/>
      <w:szCs w:val="20"/>
      <w:lang w:val="de-DE" w:eastAsia="fr-FR"/>
    </w:rPr>
  </w:style>
  <w:style w:type="character" w:styleId="af4">
    <w:name w:val="annotation reference"/>
    <w:basedOn w:val="a0"/>
    <w:uiPriority w:val="99"/>
    <w:semiHidden/>
    <w:unhideWhenUsed/>
    <w:rsid w:val="00165CEA"/>
    <w:rPr>
      <w:sz w:val="16"/>
      <w:szCs w:val="16"/>
    </w:rPr>
  </w:style>
  <w:style w:type="paragraph" w:styleId="af5">
    <w:name w:val="annotation text"/>
    <w:basedOn w:val="a"/>
    <w:link w:val="af6"/>
    <w:uiPriority w:val="99"/>
    <w:semiHidden/>
    <w:unhideWhenUsed/>
    <w:rsid w:val="00165CEA"/>
    <w:pPr>
      <w:kinsoku w:val="0"/>
      <w:overflowPunct w:val="0"/>
      <w:autoSpaceDE w:val="0"/>
      <w:autoSpaceDN w:val="0"/>
      <w:adjustRightInd w:val="0"/>
      <w:snapToGrid w:val="0"/>
      <w:spacing w:line="240" w:lineRule="auto"/>
    </w:pPr>
    <w:rPr>
      <w:rFonts w:eastAsia="Times New Roman" w:cs="Times New Roman"/>
      <w:szCs w:val="20"/>
      <w:lang w:val="fr-CH" w:eastAsia="zh-CN"/>
    </w:rPr>
  </w:style>
  <w:style w:type="character" w:customStyle="1" w:styleId="af6">
    <w:name w:val="Текст примечания Знак"/>
    <w:basedOn w:val="a0"/>
    <w:link w:val="af5"/>
    <w:uiPriority w:val="99"/>
    <w:semiHidden/>
    <w:rsid w:val="00165CEA"/>
    <w:rPr>
      <w:lang w:val="fr-CH" w:eastAsia="zh-CN"/>
    </w:rPr>
  </w:style>
  <w:style w:type="paragraph" w:styleId="af7">
    <w:name w:val="annotation subject"/>
    <w:basedOn w:val="af5"/>
    <w:next w:val="af5"/>
    <w:link w:val="af8"/>
    <w:uiPriority w:val="99"/>
    <w:semiHidden/>
    <w:unhideWhenUsed/>
    <w:rsid w:val="00165CEA"/>
    <w:rPr>
      <w:b/>
      <w:bCs/>
    </w:rPr>
  </w:style>
  <w:style w:type="character" w:customStyle="1" w:styleId="af8">
    <w:name w:val="Тема примечания Знак"/>
    <w:basedOn w:val="af6"/>
    <w:link w:val="af7"/>
    <w:uiPriority w:val="99"/>
    <w:semiHidden/>
    <w:rsid w:val="00165CEA"/>
    <w:rPr>
      <w:b/>
      <w:bCs/>
      <w:lang w:val="fr-CH" w:eastAsia="zh-CN"/>
    </w:rPr>
  </w:style>
  <w:style w:type="character" w:styleId="af9">
    <w:name w:val="Unresolved Mention"/>
    <w:basedOn w:val="a0"/>
    <w:uiPriority w:val="99"/>
    <w:semiHidden/>
    <w:unhideWhenUsed/>
    <w:rsid w:val="00513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dn.standards.iteh.ai/samples/70483/16f04de1cda3494f9e12567b7d1aa541/ISO-IEC-7810-201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ebstore.iec.ch/home"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beuth.de/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91A4C-10EE-4E06-B9DC-D44879847714}"/>
</file>

<file path=customXml/itemProps2.xml><?xml version="1.0" encoding="utf-8"?>
<ds:datastoreItem xmlns:ds="http://schemas.openxmlformats.org/officeDocument/2006/customXml" ds:itemID="{538C02B5-1EDC-4C61-878D-46ABE7A90137}"/>
</file>

<file path=customXml/itemProps3.xml><?xml version="1.0" encoding="utf-8"?>
<ds:datastoreItem xmlns:ds="http://schemas.openxmlformats.org/officeDocument/2006/customXml" ds:itemID="{E89CB1B1-9620-4553-82AA-51DD6329B2E5}"/>
</file>

<file path=docProps/app.xml><?xml version="1.0" encoding="utf-8"?>
<Properties xmlns="http://schemas.openxmlformats.org/officeDocument/2006/extended-properties" xmlns:vt="http://schemas.openxmlformats.org/officeDocument/2006/docPropsVTypes">
  <Template>ECE.dotm</Template>
  <TotalTime>1</TotalTime>
  <Pages>15</Pages>
  <Words>4611</Words>
  <Characters>31038</Characters>
  <Application>Microsoft Office Word</Application>
  <DocSecurity>0</DocSecurity>
  <Lines>689</Lines>
  <Paragraphs>352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ECE/TRANS/WP.15/AC.2/2022/4</vt:lpstr>
      <vt:lpstr>A/</vt:lpstr>
      <vt:lpstr>A/</vt:lpstr>
    </vt:vector>
  </TitlesOfParts>
  <Company>DCM</Company>
  <LinksUpToDate>false</LinksUpToDate>
  <CharactersWithSpaces>35297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ECE/TRANS/WP.15/AC.2/2022/4</dc:title>
  <dc:subject/>
  <dc:creator>Shuvalova NATALIA</dc:creator>
  <cp:keywords/>
  <cp:lastModifiedBy>Tatiana Chvets</cp:lastModifiedBy>
  <cp:revision>3</cp:revision>
  <cp:lastPrinted>2021-11-19T16:04:00Z</cp:lastPrinted>
  <dcterms:created xsi:type="dcterms:W3CDTF">2021-11-19T16:04:00Z</dcterms:created>
  <dcterms:modified xsi:type="dcterms:W3CDTF">2021-11-19T16:05:00Z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