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484102" w14:paraId="5459E0E0" w14:textId="77777777" w:rsidTr="00387CD4">
        <w:trPr>
          <w:trHeight w:hRule="exact" w:val="851"/>
        </w:trPr>
        <w:tc>
          <w:tcPr>
            <w:tcW w:w="142" w:type="dxa"/>
            <w:tcBorders>
              <w:bottom w:val="single" w:sz="4" w:space="0" w:color="auto"/>
            </w:tcBorders>
          </w:tcPr>
          <w:p w14:paraId="1CE128C1" w14:textId="77777777" w:rsidR="002D5AAC" w:rsidRDefault="002D5AAC" w:rsidP="00484102">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04E535A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8490536" w14:textId="7F5F97BF" w:rsidR="002D5AAC" w:rsidRPr="00484102" w:rsidRDefault="00484102" w:rsidP="00484102">
            <w:pPr>
              <w:jc w:val="right"/>
              <w:rPr>
                <w:lang w:val="en-US"/>
              </w:rPr>
            </w:pPr>
            <w:r w:rsidRPr="00484102">
              <w:rPr>
                <w:sz w:val="40"/>
                <w:lang w:val="en-US"/>
              </w:rPr>
              <w:t>ECE</w:t>
            </w:r>
            <w:r w:rsidRPr="00484102">
              <w:rPr>
                <w:lang w:val="en-US"/>
              </w:rPr>
              <w:t>/TRANS/WP.15/AC.2/2022/2/Rev.1</w:t>
            </w:r>
          </w:p>
        </w:tc>
      </w:tr>
      <w:tr w:rsidR="002D5AAC" w:rsidRPr="00484102" w14:paraId="1F0EB308" w14:textId="77777777" w:rsidTr="00387CD4">
        <w:trPr>
          <w:trHeight w:hRule="exact" w:val="2835"/>
        </w:trPr>
        <w:tc>
          <w:tcPr>
            <w:tcW w:w="1280" w:type="dxa"/>
            <w:gridSpan w:val="2"/>
            <w:tcBorders>
              <w:top w:val="single" w:sz="4" w:space="0" w:color="auto"/>
              <w:bottom w:val="single" w:sz="12" w:space="0" w:color="auto"/>
            </w:tcBorders>
          </w:tcPr>
          <w:p w14:paraId="1714DFAC" w14:textId="77777777" w:rsidR="002D5AAC" w:rsidRDefault="002E5067" w:rsidP="00387CD4">
            <w:pPr>
              <w:spacing w:before="120"/>
              <w:jc w:val="center"/>
            </w:pPr>
            <w:r>
              <w:rPr>
                <w:noProof/>
                <w:lang w:val="fr-CH" w:eastAsia="fr-CH"/>
              </w:rPr>
              <w:drawing>
                <wp:inline distT="0" distB="0" distL="0" distR="0" wp14:anchorId="7AAB7AC8" wp14:editId="1F9239E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D58B5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2585D21" w14:textId="00F61509" w:rsidR="002D5AAC" w:rsidRDefault="00484102" w:rsidP="00387CD4">
            <w:pPr>
              <w:spacing w:before="240"/>
              <w:rPr>
                <w:lang w:val="en-US"/>
              </w:rPr>
            </w:pPr>
            <w:r>
              <w:rPr>
                <w:lang w:val="en-US"/>
              </w:rPr>
              <w:t>Distr.: General</w:t>
            </w:r>
          </w:p>
          <w:p w14:paraId="25EDD78E" w14:textId="77777777" w:rsidR="00484102" w:rsidRDefault="00484102" w:rsidP="00484102">
            <w:pPr>
              <w:spacing w:line="240" w:lineRule="exact"/>
              <w:rPr>
                <w:lang w:val="en-US"/>
              </w:rPr>
            </w:pPr>
            <w:r>
              <w:rPr>
                <w:lang w:val="en-US"/>
              </w:rPr>
              <w:t>26 November 2021</w:t>
            </w:r>
          </w:p>
          <w:p w14:paraId="3A6E80D3" w14:textId="77777777" w:rsidR="00484102" w:rsidRDefault="00484102" w:rsidP="00484102">
            <w:pPr>
              <w:spacing w:line="240" w:lineRule="exact"/>
              <w:rPr>
                <w:lang w:val="en-US"/>
              </w:rPr>
            </w:pPr>
            <w:r>
              <w:rPr>
                <w:lang w:val="en-US"/>
              </w:rPr>
              <w:t>Russian</w:t>
            </w:r>
          </w:p>
          <w:p w14:paraId="194FA236" w14:textId="06155115" w:rsidR="00484102" w:rsidRPr="008D53B6" w:rsidRDefault="00484102" w:rsidP="00484102">
            <w:pPr>
              <w:spacing w:line="240" w:lineRule="exact"/>
              <w:rPr>
                <w:lang w:val="en-US"/>
              </w:rPr>
            </w:pPr>
            <w:r>
              <w:rPr>
                <w:lang w:val="en-US"/>
              </w:rPr>
              <w:t>Original: French</w:t>
            </w:r>
          </w:p>
        </w:tc>
      </w:tr>
    </w:tbl>
    <w:p w14:paraId="11F7035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D49651C" w14:textId="77777777" w:rsidR="00484102" w:rsidRPr="00DF18A2" w:rsidRDefault="00484102" w:rsidP="00484102">
      <w:pPr>
        <w:spacing w:before="120"/>
        <w:rPr>
          <w:b/>
          <w:sz w:val="28"/>
          <w:szCs w:val="28"/>
        </w:rPr>
      </w:pPr>
      <w:r w:rsidRPr="00DF18A2">
        <w:rPr>
          <w:sz w:val="28"/>
          <w:szCs w:val="28"/>
        </w:rPr>
        <w:t>Комитет по внутреннему транспорту</w:t>
      </w:r>
    </w:p>
    <w:p w14:paraId="33B8DB35" w14:textId="77777777" w:rsidR="00484102" w:rsidRPr="00DF18A2" w:rsidRDefault="00484102" w:rsidP="00484102">
      <w:pPr>
        <w:spacing w:before="120"/>
        <w:rPr>
          <w:b/>
          <w:sz w:val="24"/>
          <w:szCs w:val="24"/>
        </w:rPr>
      </w:pPr>
      <w:r w:rsidRPr="00DF18A2">
        <w:rPr>
          <w:b/>
          <w:bCs/>
          <w:sz w:val="24"/>
          <w:szCs w:val="24"/>
        </w:rPr>
        <w:t>Рабочая группа по перевозкам</w:t>
      </w:r>
      <w:r>
        <w:rPr>
          <w:b/>
          <w:bCs/>
          <w:sz w:val="24"/>
          <w:szCs w:val="24"/>
        </w:rPr>
        <w:t xml:space="preserve"> </w:t>
      </w:r>
      <w:r w:rsidRPr="00DF18A2">
        <w:rPr>
          <w:b/>
          <w:bCs/>
          <w:sz w:val="24"/>
          <w:szCs w:val="24"/>
        </w:rPr>
        <w:t>опасных грузов</w:t>
      </w:r>
    </w:p>
    <w:p w14:paraId="55BE59CB" w14:textId="77777777" w:rsidR="00484102" w:rsidRPr="00DF18A2" w:rsidRDefault="00484102" w:rsidP="00484102">
      <w:pPr>
        <w:spacing w:before="120"/>
        <w:rPr>
          <w:b/>
        </w:rPr>
      </w:pPr>
      <w:r>
        <w:rPr>
          <w:b/>
          <w:bCs/>
        </w:rPr>
        <w:t>Совместное совещание экспертов по Правилам,</w:t>
      </w:r>
      <w:r>
        <w:rPr>
          <w:b/>
          <w:bCs/>
        </w:rPr>
        <w:br/>
        <w:t>прилагаемым к Европейскому соглашению</w:t>
      </w:r>
      <w:r>
        <w:rPr>
          <w:b/>
          <w:bCs/>
        </w:rPr>
        <w:br/>
        <w:t>о международной перевозке опасных грузов</w:t>
      </w:r>
      <w:r>
        <w:rPr>
          <w:b/>
          <w:bCs/>
        </w:rPr>
        <w:br/>
        <w:t>по внутренним водным путям (ВОПОГ)</w:t>
      </w:r>
      <w:r>
        <w:rPr>
          <w:b/>
          <w:bCs/>
        </w:rPr>
        <w:br/>
        <w:t>(Комитет по вопросам безопасности ВОПОГ)</w:t>
      </w:r>
      <w:bookmarkStart w:id="0" w:name="_Hlk57122394"/>
      <w:bookmarkEnd w:id="0"/>
    </w:p>
    <w:p w14:paraId="02879CE9" w14:textId="77777777" w:rsidR="00484102" w:rsidRPr="00DF18A2" w:rsidRDefault="00484102" w:rsidP="00484102">
      <w:pPr>
        <w:spacing w:before="120"/>
      </w:pPr>
      <w:r>
        <w:rPr>
          <w:b/>
          <w:bCs/>
        </w:rPr>
        <w:t>Тридцать девятая сессия</w:t>
      </w:r>
      <w:r>
        <w:rPr>
          <w:b/>
          <w:bCs/>
        </w:rPr>
        <w:br/>
      </w:r>
      <w:r>
        <w:t>Женева, 24–28 января 2022 года</w:t>
      </w:r>
      <w:r>
        <w:br/>
        <w:t>Пункт 5 b) предварительной повестки дня</w:t>
      </w:r>
    </w:p>
    <w:p w14:paraId="279B5A28" w14:textId="10BAE56C" w:rsidR="00484102" w:rsidRPr="00DF18A2" w:rsidRDefault="00484102" w:rsidP="00484102">
      <w:pPr>
        <w:rPr>
          <w:b/>
          <w:bCs/>
        </w:rPr>
      </w:pPr>
      <w:r>
        <w:rPr>
          <w:b/>
          <w:bCs/>
        </w:rPr>
        <w:t>Предложения о внесении поправок в Правила,</w:t>
      </w:r>
      <w:r>
        <w:rPr>
          <w:b/>
          <w:bCs/>
        </w:rPr>
        <w:br/>
        <w:t>прилагаемые к ВОПОГ:</w:t>
      </w:r>
      <w:r w:rsidRPr="00484102">
        <w:rPr>
          <w:b/>
          <w:bCs/>
        </w:rPr>
        <w:t xml:space="preserve"> </w:t>
      </w:r>
      <w:r>
        <w:rPr>
          <w:b/>
          <w:bCs/>
        </w:rPr>
        <w:t>другие предложения</w:t>
      </w:r>
    </w:p>
    <w:p w14:paraId="0DDE7D43" w14:textId="77777777" w:rsidR="00484102" w:rsidRPr="00DF18A2" w:rsidRDefault="00484102" w:rsidP="00484102">
      <w:pPr>
        <w:pStyle w:val="HChG"/>
      </w:pPr>
      <w:r>
        <w:tab/>
      </w:r>
      <w:r>
        <w:tab/>
      </w:r>
      <w:r>
        <w:rPr>
          <w:bCs/>
        </w:rPr>
        <w:t>Несогласованность текстов на различных языках</w:t>
      </w:r>
      <w:r>
        <w:rPr>
          <w:bCs/>
        </w:rPr>
        <w:br/>
        <w:t>в пунктах 9.1.0.40.2.5 c) и 9.3.X.40.2.5 c) ВОПОГ, касающихся устройств включения</w:t>
      </w:r>
    </w:p>
    <w:p w14:paraId="2B783DD2" w14:textId="77777777" w:rsidR="00484102" w:rsidRPr="00DF18A2" w:rsidRDefault="00484102" w:rsidP="00484102">
      <w:pPr>
        <w:pStyle w:val="H1G"/>
        <w:rPr>
          <w:rFonts w:eastAsia="Calibri"/>
        </w:rPr>
      </w:pPr>
      <w:r>
        <w:tab/>
      </w:r>
      <w:r>
        <w:tab/>
      </w:r>
      <w:r>
        <w:rPr>
          <w:bCs/>
        </w:rPr>
        <w:t>Представлено Центральной комиссией судоходства</w:t>
      </w:r>
      <w:r>
        <w:rPr>
          <w:bCs/>
        </w:rPr>
        <w:br/>
        <w:t>по Рейну (ЦКСР)</w:t>
      </w:r>
      <w:r w:rsidRPr="00A33DF4">
        <w:rPr>
          <w:rFonts w:eastAsia="Calibri"/>
          <w:b w:val="0"/>
          <w:bCs/>
          <w:position w:val="4"/>
          <w:sz w:val="20"/>
        </w:rPr>
        <w:footnoteReference w:customMarkFollows="1" w:id="1"/>
        <w:t>*</w:t>
      </w:r>
      <w:r w:rsidRPr="00484102">
        <w:rPr>
          <w:rFonts w:eastAsia="Calibri"/>
          <w:position w:val="4"/>
          <w:sz w:val="28"/>
          <w:szCs w:val="28"/>
        </w:rPr>
        <w:t xml:space="preserve"> </w:t>
      </w:r>
      <w:r w:rsidRPr="00A33DF4">
        <w:rPr>
          <w:rFonts w:eastAsia="Calibri"/>
          <w:b w:val="0"/>
          <w:bCs/>
          <w:position w:val="4"/>
          <w:sz w:val="20"/>
        </w:rPr>
        <w:footnoteReference w:customMarkFollows="1" w:id="2"/>
        <w:t>**</w:t>
      </w:r>
    </w:p>
    <w:p w14:paraId="3EE869E5" w14:textId="77777777" w:rsidR="00484102" w:rsidRPr="00DF18A2" w:rsidRDefault="00484102" w:rsidP="00484102">
      <w:pPr>
        <w:pStyle w:val="HChG"/>
      </w:pPr>
      <w:r>
        <w:tab/>
      </w:r>
      <w:r>
        <w:tab/>
      </w:r>
      <w:r>
        <w:rPr>
          <w:bCs/>
        </w:rPr>
        <w:t>Введение</w:t>
      </w:r>
      <w:bookmarkStart w:id="1" w:name="_Hlk83902369"/>
      <w:bookmarkEnd w:id="1"/>
    </w:p>
    <w:p w14:paraId="75335067" w14:textId="77777777" w:rsidR="00484102" w:rsidRPr="00DF18A2" w:rsidRDefault="00484102" w:rsidP="00484102">
      <w:pPr>
        <w:pStyle w:val="SingleTxtG"/>
        <w:rPr>
          <w:rFonts w:eastAsia="SimSun"/>
        </w:rPr>
      </w:pPr>
      <w:r>
        <w:t>1.</w:t>
      </w:r>
      <w:r>
        <w:tab/>
        <w:t>Секретариат ЦКСР отметил расхождение между текстом на немецком языке,</w:t>
      </w:r>
      <w:r>
        <w:br/>
        <w:t>с одной стороны, и текстами на французском и английском языках, с другой стороны, в пунктах 9.1.0.40.2.5 c) и 9.3.X.40.2.5 c) ВОПОГ, касающихся устройств включения. Это расхождение уже присутствовало в издании ВОПОГ 2009 года.</w:t>
      </w:r>
    </w:p>
    <w:p w14:paraId="4CA073EE" w14:textId="77777777" w:rsidR="00484102" w:rsidRPr="00DF18A2" w:rsidRDefault="00484102" w:rsidP="00484102">
      <w:pPr>
        <w:pStyle w:val="SingleTxtG"/>
        <w:rPr>
          <w:rFonts w:eastAsia="SimSun"/>
        </w:rPr>
      </w:pPr>
      <w:r>
        <w:t>2.</w:t>
      </w:r>
      <w:r>
        <w:tab/>
        <w:t>Секретариат ЦКСР пришел к выводу, что ни немецкий, ни французский и английский тексты не являются полными и поэтому их необходимо дополнить.</w:t>
      </w:r>
    </w:p>
    <w:p w14:paraId="428C5CAF" w14:textId="77777777" w:rsidR="00484102" w:rsidRPr="00DF18A2" w:rsidRDefault="00484102" w:rsidP="00484102">
      <w:pPr>
        <w:pStyle w:val="HChG"/>
        <w:keepNext w:val="0"/>
        <w:pageBreakBefore/>
      </w:pPr>
      <w:r>
        <w:lastRenderedPageBreak/>
        <w:tab/>
      </w:r>
      <w:r>
        <w:tab/>
      </w:r>
      <w:r>
        <w:rPr>
          <w:bCs/>
        </w:rPr>
        <w:t>Содержание пунктов 9.1.0.40.2.5 c) и 9.3.X.40.2.5 c)</w:t>
      </w:r>
      <w:r>
        <w:rPr>
          <w:bCs/>
        </w:rPr>
        <w:br/>
        <w:t>в издании ВОПОГ 2021 года</w:t>
      </w:r>
    </w:p>
    <w:p w14:paraId="1DCC7CA5" w14:textId="77777777" w:rsidR="00484102" w:rsidRPr="00DF18A2" w:rsidRDefault="00484102" w:rsidP="00484102">
      <w:pPr>
        <w:pStyle w:val="SingleTxtG"/>
      </w:pPr>
      <w:r>
        <w:t>3.</w:t>
      </w:r>
      <w:r>
        <w:tab/>
        <w:t>В таблице ниже приведен текст пунктов 9.1.0.40.2.5 c) и 9.3.X.40.2.5 c) ВОПОГ:</w:t>
      </w:r>
    </w:p>
    <w:tbl>
      <w:tblPr>
        <w:tblStyle w:val="Tabel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91"/>
        <w:gridCol w:w="2443"/>
        <w:gridCol w:w="2536"/>
      </w:tblGrid>
      <w:tr w:rsidR="00484102" w:rsidRPr="00522766" w14:paraId="588CD995" w14:textId="77777777" w:rsidTr="0013324C">
        <w:trPr>
          <w:tblHeader/>
        </w:trPr>
        <w:tc>
          <w:tcPr>
            <w:tcW w:w="2391" w:type="dxa"/>
            <w:tcBorders>
              <w:top w:val="single" w:sz="4" w:space="0" w:color="auto"/>
              <w:bottom w:val="single" w:sz="12" w:space="0" w:color="auto"/>
            </w:tcBorders>
            <w:shd w:val="clear" w:color="auto" w:fill="auto"/>
            <w:vAlign w:val="bottom"/>
          </w:tcPr>
          <w:p w14:paraId="48D67BF7" w14:textId="77777777" w:rsidR="00484102" w:rsidRPr="00A33DF4" w:rsidRDefault="00484102" w:rsidP="0013324C">
            <w:pPr>
              <w:spacing w:before="80" w:after="80" w:line="200" w:lineRule="exact"/>
              <w:ind w:right="113"/>
              <w:rPr>
                <w:i/>
                <w:sz w:val="16"/>
                <w:szCs w:val="16"/>
              </w:rPr>
            </w:pPr>
            <w:r>
              <w:rPr>
                <w:i/>
                <w:iCs/>
                <w:sz w:val="16"/>
                <w:szCs w:val="16"/>
              </w:rPr>
              <w:t>Вариант н</w:t>
            </w:r>
            <w:r w:rsidRPr="00A33DF4">
              <w:rPr>
                <w:i/>
                <w:iCs/>
                <w:sz w:val="16"/>
                <w:szCs w:val="16"/>
              </w:rPr>
              <w:t>а английском языке</w:t>
            </w:r>
          </w:p>
        </w:tc>
        <w:tc>
          <w:tcPr>
            <w:tcW w:w="2443" w:type="dxa"/>
            <w:tcBorders>
              <w:top w:val="single" w:sz="4" w:space="0" w:color="auto"/>
              <w:bottom w:val="single" w:sz="12" w:space="0" w:color="auto"/>
            </w:tcBorders>
            <w:shd w:val="clear" w:color="auto" w:fill="auto"/>
            <w:vAlign w:val="bottom"/>
          </w:tcPr>
          <w:p w14:paraId="675E8B25" w14:textId="77777777" w:rsidR="00484102" w:rsidRPr="00A33DF4" w:rsidRDefault="00484102" w:rsidP="0013324C">
            <w:pPr>
              <w:spacing w:before="80" w:after="80" w:line="200" w:lineRule="exact"/>
              <w:ind w:right="113"/>
              <w:rPr>
                <w:i/>
                <w:sz w:val="16"/>
                <w:szCs w:val="16"/>
              </w:rPr>
            </w:pPr>
            <w:r>
              <w:rPr>
                <w:i/>
                <w:iCs/>
                <w:sz w:val="16"/>
                <w:szCs w:val="16"/>
              </w:rPr>
              <w:t>Вариант н</w:t>
            </w:r>
            <w:r w:rsidRPr="00A33DF4">
              <w:rPr>
                <w:i/>
                <w:iCs/>
                <w:sz w:val="16"/>
                <w:szCs w:val="16"/>
              </w:rPr>
              <w:t>а французском языке</w:t>
            </w:r>
          </w:p>
        </w:tc>
        <w:tc>
          <w:tcPr>
            <w:tcW w:w="2536" w:type="dxa"/>
            <w:tcBorders>
              <w:top w:val="single" w:sz="4" w:space="0" w:color="auto"/>
              <w:bottom w:val="single" w:sz="12" w:space="0" w:color="auto"/>
            </w:tcBorders>
            <w:shd w:val="clear" w:color="auto" w:fill="auto"/>
            <w:vAlign w:val="bottom"/>
          </w:tcPr>
          <w:p w14:paraId="310CF12B" w14:textId="77777777" w:rsidR="00484102" w:rsidRPr="00A33DF4" w:rsidRDefault="00484102" w:rsidP="0013324C">
            <w:pPr>
              <w:spacing w:before="80" w:after="80" w:line="200" w:lineRule="exact"/>
              <w:ind w:right="113"/>
              <w:rPr>
                <w:i/>
                <w:sz w:val="16"/>
                <w:szCs w:val="16"/>
              </w:rPr>
            </w:pPr>
            <w:r>
              <w:rPr>
                <w:i/>
                <w:iCs/>
                <w:sz w:val="16"/>
                <w:szCs w:val="16"/>
              </w:rPr>
              <w:t>Вариант н</w:t>
            </w:r>
            <w:r w:rsidRPr="00A33DF4">
              <w:rPr>
                <w:i/>
                <w:iCs/>
                <w:sz w:val="16"/>
                <w:szCs w:val="16"/>
              </w:rPr>
              <w:t>а немецком языке</w:t>
            </w:r>
          </w:p>
        </w:tc>
      </w:tr>
      <w:tr w:rsidR="00484102" w:rsidRPr="00522766" w14:paraId="53951F91" w14:textId="77777777" w:rsidTr="0013324C">
        <w:trPr>
          <w:trHeight w:hRule="exact" w:val="113"/>
        </w:trPr>
        <w:tc>
          <w:tcPr>
            <w:tcW w:w="2391" w:type="dxa"/>
            <w:tcBorders>
              <w:top w:val="single" w:sz="12" w:space="0" w:color="auto"/>
            </w:tcBorders>
            <w:shd w:val="clear" w:color="auto" w:fill="auto"/>
          </w:tcPr>
          <w:p w14:paraId="2E84169A" w14:textId="77777777" w:rsidR="00484102" w:rsidRPr="00522766" w:rsidRDefault="00484102" w:rsidP="0013324C">
            <w:pPr>
              <w:spacing w:before="40" w:after="120"/>
              <w:ind w:right="113"/>
              <w:rPr>
                <w:lang w:val="fr-FR"/>
              </w:rPr>
            </w:pPr>
          </w:p>
        </w:tc>
        <w:tc>
          <w:tcPr>
            <w:tcW w:w="2443" w:type="dxa"/>
            <w:tcBorders>
              <w:top w:val="single" w:sz="12" w:space="0" w:color="auto"/>
            </w:tcBorders>
            <w:shd w:val="clear" w:color="auto" w:fill="auto"/>
          </w:tcPr>
          <w:p w14:paraId="1C63D3E2" w14:textId="77777777" w:rsidR="00484102" w:rsidRPr="00522766" w:rsidRDefault="00484102" w:rsidP="0013324C">
            <w:pPr>
              <w:spacing w:before="40" w:after="120"/>
              <w:ind w:right="113"/>
              <w:rPr>
                <w:lang w:val="fr-FR"/>
              </w:rPr>
            </w:pPr>
          </w:p>
        </w:tc>
        <w:tc>
          <w:tcPr>
            <w:tcW w:w="2536" w:type="dxa"/>
            <w:tcBorders>
              <w:top w:val="single" w:sz="12" w:space="0" w:color="auto"/>
            </w:tcBorders>
            <w:shd w:val="clear" w:color="auto" w:fill="auto"/>
          </w:tcPr>
          <w:p w14:paraId="3CC458F2" w14:textId="77777777" w:rsidR="00484102" w:rsidRPr="00522766" w:rsidRDefault="00484102" w:rsidP="0013324C">
            <w:pPr>
              <w:spacing w:before="40" w:after="120"/>
              <w:ind w:right="113"/>
              <w:rPr>
                <w:lang w:val="fr-FR"/>
              </w:rPr>
            </w:pPr>
          </w:p>
        </w:tc>
      </w:tr>
      <w:tr w:rsidR="00484102" w:rsidRPr="00522766" w14:paraId="0E997B81" w14:textId="77777777" w:rsidTr="0013324C">
        <w:tc>
          <w:tcPr>
            <w:tcW w:w="2391" w:type="dxa"/>
            <w:tcBorders>
              <w:bottom w:val="single" w:sz="12" w:space="0" w:color="auto"/>
            </w:tcBorders>
            <w:shd w:val="clear" w:color="auto" w:fill="auto"/>
          </w:tcPr>
          <w:p w14:paraId="1AE8EDD9" w14:textId="77777777" w:rsidR="00484102" w:rsidRPr="0001151C" w:rsidRDefault="00484102" w:rsidP="0013324C">
            <w:pPr>
              <w:spacing w:before="40" w:after="120"/>
              <w:ind w:right="113"/>
              <w:rPr>
                <w:lang w:val="en-US"/>
              </w:rPr>
            </w:pPr>
            <w:r w:rsidRPr="00DF18A2">
              <w:rPr>
                <w:lang w:val="en-US"/>
              </w:rPr>
              <w:t xml:space="preserve">Triggering devices shall be so installed that they can be activated in the event of a fire and </w:t>
            </w:r>
            <w:r w:rsidRPr="00DF18A2">
              <w:rPr>
                <w:b/>
                <w:bCs/>
                <w:lang w:val="en-US"/>
              </w:rPr>
              <w:t>so that the risk of their breakdown in the event of a fire or an explosion in the space to be protected is reduced as far as possible</w:t>
            </w:r>
            <w:r w:rsidRPr="00DF18A2">
              <w:rPr>
                <w:lang w:val="en-US"/>
              </w:rPr>
              <w:t>.</w:t>
            </w:r>
          </w:p>
          <w:p w14:paraId="74F94E15" w14:textId="77777777" w:rsidR="00484102" w:rsidRPr="00522766" w:rsidRDefault="00484102" w:rsidP="0013324C">
            <w:pPr>
              <w:spacing w:before="40" w:after="120"/>
              <w:ind w:right="113"/>
            </w:pPr>
            <w:r>
              <w:t>[...]</w:t>
            </w:r>
          </w:p>
          <w:p w14:paraId="1B357AEF" w14:textId="77777777" w:rsidR="00484102" w:rsidRPr="0001151C" w:rsidRDefault="00484102" w:rsidP="0013324C">
            <w:pPr>
              <w:spacing w:before="40" w:after="120"/>
              <w:ind w:right="113"/>
            </w:pPr>
          </w:p>
          <w:p w14:paraId="6DB9EDAD" w14:textId="77777777" w:rsidR="00484102" w:rsidRPr="0001151C" w:rsidRDefault="00484102" w:rsidP="0013324C">
            <w:pPr>
              <w:spacing w:before="40" w:after="120"/>
              <w:ind w:right="113"/>
            </w:pPr>
          </w:p>
          <w:p w14:paraId="10DFF14C" w14:textId="77777777" w:rsidR="00484102" w:rsidRDefault="00484102" w:rsidP="0013324C">
            <w:pPr>
              <w:spacing w:before="40" w:after="120"/>
              <w:ind w:right="113"/>
              <w:rPr>
                <w:i/>
                <w:iCs/>
              </w:rPr>
            </w:pPr>
            <w:bookmarkStart w:id="2" w:name="_Hlk89077544"/>
            <w:r>
              <w:rPr>
                <w:i/>
                <w:iCs/>
              </w:rPr>
              <w:t>Вариант н</w:t>
            </w:r>
            <w:r w:rsidRPr="00C23749">
              <w:rPr>
                <w:i/>
                <w:iCs/>
              </w:rPr>
              <w:t>а русском языке</w:t>
            </w:r>
            <w:bookmarkEnd w:id="2"/>
          </w:p>
          <w:p w14:paraId="7A38B65D" w14:textId="77777777" w:rsidR="00484102" w:rsidRDefault="00484102" w:rsidP="0013324C">
            <w:pPr>
              <w:spacing w:before="40" w:after="120"/>
              <w:ind w:right="113"/>
              <w:rPr>
                <w:rFonts w:eastAsia="Calibri"/>
              </w:rPr>
            </w:pPr>
            <w:r w:rsidRPr="00E65254">
              <w:rPr>
                <w:rFonts w:eastAsia="Calibri"/>
              </w:rPr>
              <w:t xml:space="preserve">Устройства включения должны быть установлены таким образом, чтобы их можно было привести в действие в случае пожара и </w:t>
            </w:r>
            <w:r w:rsidRPr="008C7843">
              <w:rPr>
                <w:rFonts w:eastAsia="Calibri"/>
                <w:b/>
                <w:bCs/>
              </w:rPr>
              <w:t>чтобы была по возможности сведена к минимуму опасность повреждения этих устройств в случае пожара или взрыва в защищаемом помещении</w:t>
            </w:r>
            <w:r w:rsidRPr="00E65254">
              <w:rPr>
                <w:rFonts w:eastAsia="Calibri"/>
              </w:rPr>
              <w:t>.</w:t>
            </w:r>
          </w:p>
          <w:p w14:paraId="6CB9121B" w14:textId="77777777" w:rsidR="00484102" w:rsidRPr="00E65254" w:rsidRDefault="00484102" w:rsidP="0013324C">
            <w:pPr>
              <w:spacing w:before="40" w:after="120"/>
              <w:ind w:right="113"/>
              <w:rPr>
                <w:i/>
                <w:iCs/>
              </w:rPr>
            </w:pPr>
            <w:r>
              <w:t>[...]</w:t>
            </w:r>
          </w:p>
        </w:tc>
        <w:tc>
          <w:tcPr>
            <w:tcW w:w="2443" w:type="dxa"/>
            <w:tcBorders>
              <w:bottom w:val="single" w:sz="12" w:space="0" w:color="auto"/>
            </w:tcBorders>
            <w:shd w:val="clear" w:color="auto" w:fill="auto"/>
          </w:tcPr>
          <w:p w14:paraId="12F88D9F" w14:textId="77777777" w:rsidR="00484102" w:rsidRPr="00DF18A2" w:rsidRDefault="00484102" w:rsidP="0013324C">
            <w:pPr>
              <w:spacing w:before="40" w:after="120"/>
              <w:ind w:right="113"/>
              <w:rPr>
                <w:szCs w:val="24"/>
                <w:lang w:val="fr-CH"/>
              </w:rPr>
            </w:pPr>
            <w:r w:rsidRPr="00DF18A2">
              <w:rPr>
                <w:lang w:val="fr-CH"/>
              </w:rPr>
              <w:t xml:space="preserve">Les dispositifs de déclenchement doivent être installés de manière à pouvoir être actionnés en cas d'incendie et </w:t>
            </w:r>
            <w:r w:rsidRPr="00DF18A2">
              <w:rPr>
                <w:b/>
                <w:bCs/>
                <w:lang w:val="fr-CH"/>
              </w:rPr>
              <w:t>de manière à réduire autant que possible le risque de panne de ces dispositifs en cas d'incendie ou d'explosion dans le local à protéger</w:t>
            </w:r>
            <w:r w:rsidRPr="00DF18A2">
              <w:rPr>
                <w:lang w:val="fr-CH"/>
              </w:rPr>
              <w:t>.</w:t>
            </w:r>
          </w:p>
          <w:p w14:paraId="645DD152" w14:textId="77777777" w:rsidR="00484102" w:rsidRPr="00522766" w:rsidRDefault="00484102" w:rsidP="0013324C">
            <w:pPr>
              <w:spacing w:before="40" w:after="120"/>
              <w:ind w:right="113"/>
              <w:rPr>
                <w:szCs w:val="24"/>
              </w:rPr>
            </w:pPr>
            <w:r>
              <w:t>[...]</w:t>
            </w:r>
          </w:p>
        </w:tc>
        <w:tc>
          <w:tcPr>
            <w:tcW w:w="2536" w:type="dxa"/>
            <w:tcBorders>
              <w:bottom w:val="single" w:sz="12" w:space="0" w:color="auto"/>
            </w:tcBorders>
            <w:shd w:val="clear" w:color="auto" w:fill="auto"/>
          </w:tcPr>
          <w:p w14:paraId="7E341858" w14:textId="77777777" w:rsidR="00484102" w:rsidRPr="0001151C" w:rsidRDefault="00484102" w:rsidP="0013324C">
            <w:pPr>
              <w:spacing w:before="40" w:after="120"/>
              <w:ind w:right="113"/>
              <w:rPr>
                <w:lang w:val="de-CH"/>
              </w:rPr>
            </w:pPr>
            <w:r w:rsidRPr="0001151C">
              <w:rPr>
                <w:lang w:val="de-CH"/>
              </w:rPr>
              <w:t xml:space="preserve">Auslöseeinrichtungen müssen so installiert sein, dass deren Betätigung auch im Brandfall möglich ist und </w:t>
            </w:r>
            <w:r w:rsidRPr="0001151C">
              <w:rPr>
                <w:b/>
                <w:bCs/>
                <w:lang w:val="de-CH"/>
              </w:rPr>
              <w:t>im Falle einer Beschädigung durch Brand oder Explosion in dem zu schützenden Raum die dafür geforderte Menge Löschmittel zugeführt werden kann</w:t>
            </w:r>
            <w:r w:rsidRPr="0001151C">
              <w:rPr>
                <w:lang w:val="de-CH"/>
              </w:rPr>
              <w:t>.</w:t>
            </w:r>
          </w:p>
          <w:p w14:paraId="2F96D4D7" w14:textId="77777777" w:rsidR="00484102" w:rsidRPr="00522766" w:rsidRDefault="00484102" w:rsidP="0013324C">
            <w:pPr>
              <w:spacing w:before="40" w:after="120"/>
              <w:ind w:right="113"/>
              <w:rPr>
                <w:lang w:val="de-DE"/>
              </w:rPr>
            </w:pPr>
          </w:p>
          <w:p w14:paraId="48701319" w14:textId="77777777" w:rsidR="00484102" w:rsidRPr="00522766" w:rsidRDefault="00484102" w:rsidP="0013324C">
            <w:pPr>
              <w:spacing w:before="40" w:after="120"/>
              <w:ind w:right="113"/>
            </w:pPr>
            <w:r>
              <w:t>[...]</w:t>
            </w:r>
          </w:p>
        </w:tc>
      </w:tr>
    </w:tbl>
    <w:p w14:paraId="3123BA0A" w14:textId="77777777" w:rsidR="00484102" w:rsidRPr="00254A25" w:rsidRDefault="00484102" w:rsidP="00484102">
      <w:pPr>
        <w:pStyle w:val="SingleTxtG"/>
        <w:spacing w:before="120"/>
        <w:rPr>
          <w:rStyle w:val="SingleTxtGChar"/>
        </w:rPr>
      </w:pPr>
      <w:r>
        <w:t>4.</w:t>
      </w:r>
      <w:r>
        <w:tab/>
        <w:t>Первая половина предложения в пунктах 9.1.0.40.2.5 c) и 9.3.X.40.2.5 c) ВОПОГ является правильной в текстах на французском, немецком и английском языках.</w:t>
      </w:r>
      <w:r>
        <w:br/>
        <w:t>Во второй половине предложения в тексте на немецком языке (выделена жирным шрифтом в настоящем документе) речь идет о подаче требуемого количества огнетушащего состава в случае повреждения в результате пожара или взрыва.</w:t>
      </w:r>
      <w:r>
        <w:br/>
        <w:t>В вариантах на французском и английском языках вторая половина предложения содержит указание о том, что устройство включения должно быть установлено таким образом, чтобы была по возможности сведена к минимуму опасность его повреждения в случае пожара или взрыва в защищаемом помещении.</w:t>
      </w:r>
    </w:p>
    <w:p w14:paraId="42A4D19F" w14:textId="77777777" w:rsidR="00484102" w:rsidRPr="00DF18A2" w:rsidRDefault="00484102" w:rsidP="00484102">
      <w:pPr>
        <w:pStyle w:val="HChG"/>
      </w:pPr>
      <w:r>
        <w:tab/>
      </w:r>
      <w:r>
        <w:tab/>
      </w:r>
      <w:r>
        <w:rPr>
          <w:bCs/>
        </w:rPr>
        <w:t>Предложение</w:t>
      </w:r>
    </w:p>
    <w:p w14:paraId="480A9F3F" w14:textId="77777777" w:rsidR="00484102" w:rsidRPr="00DF18A2" w:rsidRDefault="00484102" w:rsidP="00484102">
      <w:pPr>
        <w:pStyle w:val="SingleTxtG"/>
      </w:pPr>
      <w:r>
        <w:t>5.</w:t>
      </w:r>
      <w:r>
        <w:tab/>
        <w:t xml:space="preserve">Как информация, </w:t>
      </w:r>
      <w:bookmarkStart w:id="3" w:name="_Hlk87523958"/>
      <w:r>
        <w:t>содержащаяся</w:t>
      </w:r>
      <w:bookmarkEnd w:id="3"/>
      <w:r>
        <w:t xml:space="preserve"> в половине предложения на немецком языке, так и информация,</w:t>
      </w:r>
      <w:r w:rsidRPr="00F66CFC">
        <w:t xml:space="preserve"> </w:t>
      </w:r>
      <w:r>
        <w:t>содержащаяся в половине предложения на французском или английском языке, представляется уместной. Поэтому секретариат ЦКСР предлагает дополнить варианты на всех языках.</w:t>
      </w:r>
    </w:p>
    <w:p w14:paraId="5A8C0F99" w14:textId="77777777" w:rsidR="00484102" w:rsidRPr="00DF18A2" w:rsidRDefault="00484102" w:rsidP="00484102">
      <w:pPr>
        <w:pStyle w:val="SingleTxtG"/>
      </w:pPr>
      <w:r>
        <w:t>6.</w:t>
      </w:r>
      <w:r>
        <w:tab/>
        <w:t>Предложение о дополнении первого предложения пунктов 9.1.0.40.2.5 c)</w:t>
      </w:r>
      <w:r>
        <w:br/>
        <w:t>и 9.3.X.40.2.5 c) гласит следующее:</w:t>
      </w:r>
    </w:p>
    <w:p w14:paraId="4A3F4702" w14:textId="3C9852E2" w:rsidR="00484102" w:rsidRDefault="00484102" w:rsidP="00484102">
      <w:pPr>
        <w:pStyle w:val="SingleTxtG"/>
        <w:ind w:left="1701"/>
        <w:rPr>
          <w:lang w:val="fr-CH"/>
        </w:rPr>
      </w:pPr>
      <w:r w:rsidRPr="0001151C">
        <w:rPr>
          <w:lang w:val="fr-CH"/>
        </w:rPr>
        <w:lastRenderedPageBreak/>
        <w:t xml:space="preserve">«Les dispositifs de déclenchement doivent être installés de manière à pouvoir être actionnés </w:t>
      </w:r>
      <w:r w:rsidRPr="0001151C">
        <w:rPr>
          <w:u w:val="single"/>
          <w:lang w:val="fr-CH"/>
        </w:rPr>
        <w:t xml:space="preserve">aussi </w:t>
      </w:r>
      <w:r w:rsidRPr="0001151C">
        <w:rPr>
          <w:lang w:val="fr-CH"/>
        </w:rPr>
        <w:t xml:space="preserve">en cas d'incendie et </w:t>
      </w:r>
      <w:r w:rsidRPr="0001151C">
        <w:rPr>
          <w:strike/>
          <w:lang w:val="fr-CH"/>
        </w:rPr>
        <w:t xml:space="preserve">de manière </w:t>
      </w:r>
      <w:r w:rsidRPr="0001151C">
        <w:rPr>
          <w:lang w:val="fr-CH"/>
        </w:rPr>
        <w:t xml:space="preserve">à réduire autant que possible le risque de panne de ces dispositifs en cas d'incendie ou d'explosion dans le local à protéger </w:t>
      </w:r>
      <w:r w:rsidRPr="0001151C">
        <w:rPr>
          <w:u w:val="single"/>
          <w:lang w:val="fr-CH"/>
        </w:rPr>
        <w:t>et de manière à ce que la quantité d'agent extincteur requise puisse néanmoins être fournie dans le local à protéger en cas d'incendie ou d'endommagement par un incendie ou une explosion</w:t>
      </w:r>
      <w:r w:rsidRPr="0001151C">
        <w:rPr>
          <w:lang w:val="fr-CH"/>
        </w:rPr>
        <w:t>. …».</w:t>
      </w:r>
    </w:p>
    <w:p w14:paraId="7893FD2D" w14:textId="77777777" w:rsidR="00484102" w:rsidRPr="005432FD" w:rsidRDefault="00484102" w:rsidP="00484102">
      <w:pPr>
        <w:pStyle w:val="SingleTxtG"/>
        <w:ind w:left="1701"/>
      </w:pPr>
      <w:r>
        <w:rPr>
          <w:i/>
          <w:iCs/>
        </w:rPr>
        <w:t>Вариант на</w:t>
      </w:r>
      <w:r w:rsidRPr="00C23749">
        <w:rPr>
          <w:i/>
          <w:iCs/>
        </w:rPr>
        <w:t xml:space="preserve"> русском языке</w:t>
      </w:r>
    </w:p>
    <w:p w14:paraId="6064A54D" w14:textId="3AB08337" w:rsidR="00484102" w:rsidRPr="00254A25" w:rsidRDefault="00484102" w:rsidP="00484102">
      <w:pPr>
        <w:pStyle w:val="SingleTxtG"/>
        <w:ind w:left="1701"/>
      </w:pPr>
      <w:r>
        <w:t>«</w:t>
      </w:r>
      <w:r w:rsidRPr="00641F1C">
        <w:rPr>
          <w:rFonts w:eastAsia="Calibri"/>
        </w:rPr>
        <w:t xml:space="preserve">Устройства включения должны быть установлены таким образом, чтобы их можно было привести в действие </w:t>
      </w:r>
      <w:r w:rsidRPr="00077D2B">
        <w:rPr>
          <w:rFonts w:eastAsia="Calibri"/>
          <w:u w:val="single"/>
        </w:rPr>
        <w:t>также</w:t>
      </w:r>
      <w:r>
        <w:rPr>
          <w:rFonts w:eastAsia="Calibri"/>
        </w:rPr>
        <w:t xml:space="preserve"> </w:t>
      </w:r>
      <w:r w:rsidRPr="00641F1C">
        <w:rPr>
          <w:rFonts w:eastAsia="Calibri"/>
        </w:rPr>
        <w:t>в случае пожара и чтобы была по возможности сведена к минимуму опасность повреждения этих устройств в случае пожара или взрыва в защищаемом помещении</w:t>
      </w:r>
      <w:r>
        <w:rPr>
          <w:rFonts w:eastAsia="Calibri"/>
        </w:rPr>
        <w:t>,</w:t>
      </w:r>
      <w:r w:rsidRPr="00641F1C">
        <w:t xml:space="preserve"> </w:t>
      </w:r>
      <w:r w:rsidRPr="00692C9A">
        <w:rPr>
          <w:u w:val="single"/>
        </w:rPr>
        <w:t xml:space="preserve">и таким образом, чтобы </w:t>
      </w:r>
      <w:r>
        <w:rPr>
          <w:u w:val="single"/>
        </w:rPr>
        <w:t>требуемое</w:t>
      </w:r>
      <w:r w:rsidRPr="00692C9A">
        <w:rPr>
          <w:u w:val="single"/>
        </w:rPr>
        <w:t xml:space="preserve"> количество огнетушащего </w:t>
      </w:r>
      <w:r>
        <w:rPr>
          <w:u w:val="single"/>
        </w:rPr>
        <w:t>состава</w:t>
      </w:r>
      <w:r w:rsidRPr="00692C9A">
        <w:rPr>
          <w:u w:val="single"/>
        </w:rPr>
        <w:t xml:space="preserve"> могло быть</w:t>
      </w:r>
      <w:r>
        <w:rPr>
          <w:u w:val="single"/>
        </w:rPr>
        <w:t xml:space="preserve">, тем не менее, </w:t>
      </w:r>
      <w:r w:rsidRPr="00692C9A">
        <w:rPr>
          <w:u w:val="single"/>
        </w:rPr>
        <w:t xml:space="preserve">подано в защищаемое помещение в случае пожара или </w:t>
      </w:r>
      <w:r>
        <w:rPr>
          <w:u w:val="single"/>
        </w:rPr>
        <w:t>повреждения</w:t>
      </w:r>
      <w:r w:rsidRPr="00692C9A">
        <w:rPr>
          <w:u w:val="single"/>
        </w:rPr>
        <w:t>, вызванного пожаром или взрывом</w:t>
      </w:r>
      <w:r>
        <w:t xml:space="preserve">. </w:t>
      </w:r>
      <w:r w:rsidRPr="007D03AC">
        <w:t>…</w:t>
      </w:r>
      <w:r>
        <w:t>».</w:t>
      </w:r>
    </w:p>
    <w:p w14:paraId="5309EBB0" w14:textId="5B17C35A" w:rsidR="00E12C5F" w:rsidRPr="008D53B6" w:rsidRDefault="00484102" w:rsidP="00484102">
      <w:pPr>
        <w:kinsoku w:val="0"/>
        <w:overflowPunct w:val="0"/>
        <w:autoSpaceDE w:val="0"/>
        <w:autoSpaceDN w:val="0"/>
        <w:adjustRightInd w:val="0"/>
        <w:snapToGrid w:val="0"/>
        <w:spacing w:before="240"/>
        <w:jc w:val="center"/>
      </w:pPr>
      <w:r w:rsidRPr="00BE3411">
        <w:rPr>
          <w:rFonts w:eastAsia="Times New Roman" w:cs="Times New Roman"/>
          <w:szCs w:val="20"/>
          <w:u w:val="single"/>
          <w:lang w:eastAsia="zh-CN"/>
        </w:rPr>
        <w:tab/>
      </w:r>
      <w:r w:rsidRPr="00BE3411">
        <w:rPr>
          <w:rFonts w:eastAsia="Times New Roman" w:cs="Times New Roman"/>
          <w:szCs w:val="20"/>
          <w:u w:val="single"/>
          <w:lang w:eastAsia="zh-CN"/>
        </w:rPr>
        <w:tab/>
      </w:r>
      <w:r w:rsidRPr="00BE3411">
        <w:rPr>
          <w:rFonts w:eastAsia="Times New Roman" w:cs="Times New Roman"/>
          <w:szCs w:val="20"/>
          <w:u w:val="single"/>
          <w:lang w:eastAsia="zh-CN"/>
        </w:rPr>
        <w:tab/>
      </w:r>
    </w:p>
    <w:sectPr w:rsidR="00E12C5F" w:rsidRPr="008D53B6" w:rsidSect="0048410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9790F" w14:textId="77777777" w:rsidR="005B6A28" w:rsidRPr="00A312BC" w:rsidRDefault="005B6A28" w:rsidP="00A312BC"/>
  </w:endnote>
  <w:endnote w:type="continuationSeparator" w:id="0">
    <w:p w14:paraId="7A949D2F" w14:textId="77777777" w:rsidR="005B6A28" w:rsidRPr="00A312BC" w:rsidRDefault="005B6A2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FF97" w14:textId="2E082937" w:rsidR="00484102" w:rsidRPr="00484102" w:rsidRDefault="00484102">
    <w:pPr>
      <w:pStyle w:val="a8"/>
    </w:pPr>
    <w:r w:rsidRPr="00484102">
      <w:rPr>
        <w:b/>
        <w:sz w:val="18"/>
      </w:rPr>
      <w:fldChar w:fldCharType="begin"/>
    </w:r>
    <w:r w:rsidRPr="00484102">
      <w:rPr>
        <w:b/>
        <w:sz w:val="18"/>
      </w:rPr>
      <w:instrText xml:space="preserve"> PAGE  \* MERGEFORMAT </w:instrText>
    </w:r>
    <w:r w:rsidRPr="00484102">
      <w:rPr>
        <w:b/>
        <w:sz w:val="18"/>
      </w:rPr>
      <w:fldChar w:fldCharType="separate"/>
    </w:r>
    <w:r w:rsidRPr="00484102">
      <w:rPr>
        <w:b/>
        <w:noProof/>
        <w:sz w:val="18"/>
      </w:rPr>
      <w:t>2</w:t>
    </w:r>
    <w:r w:rsidRPr="00484102">
      <w:rPr>
        <w:b/>
        <w:sz w:val="18"/>
      </w:rPr>
      <w:fldChar w:fldCharType="end"/>
    </w:r>
    <w:r>
      <w:rPr>
        <w:b/>
        <w:sz w:val="18"/>
      </w:rPr>
      <w:tab/>
    </w:r>
    <w:r>
      <w:t>GE.21-17406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0AF3" w14:textId="16B4200C" w:rsidR="00484102" w:rsidRPr="00484102" w:rsidRDefault="00484102" w:rsidP="00484102">
    <w:pPr>
      <w:pStyle w:val="a8"/>
      <w:tabs>
        <w:tab w:val="clear" w:pos="9639"/>
        <w:tab w:val="right" w:pos="9638"/>
      </w:tabs>
      <w:rPr>
        <w:b/>
        <w:sz w:val="18"/>
      </w:rPr>
    </w:pPr>
    <w:r>
      <w:t>GE.21-17406</w:t>
    </w:r>
    <w:r>
      <w:tab/>
    </w:r>
    <w:r w:rsidRPr="00484102">
      <w:rPr>
        <w:b/>
        <w:sz w:val="18"/>
      </w:rPr>
      <w:fldChar w:fldCharType="begin"/>
    </w:r>
    <w:r w:rsidRPr="00484102">
      <w:rPr>
        <w:b/>
        <w:sz w:val="18"/>
      </w:rPr>
      <w:instrText xml:space="preserve"> PAGE  \* MERGEFORMAT </w:instrText>
    </w:r>
    <w:r w:rsidRPr="00484102">
      <w:rPr>
        <w:b/>
        <w:sz w:val="18"/>
      </w:rPr>
      <w:fldChar w:fldCharType="separate"/>
    </w:r>
    <w:r w:rsidRPr="00484102">
      <w:rPr>
        <w:b/>
        <w:noProof/>
        <w:sz w:val="18"/>
      </w:rPr>
      <w:t>3</w:t>
    </w:r>
    <w:r w:rsidRPr="004841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2770" w14:textId="1D316A82" w:rsidR="00042B72" w:rsidRPr="00484102" w:rsidRDefault="00484102" w:rsidP="0048410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8BE8586" wp14:editId="2CF6B63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21-17406  (R)</w:t>
    </w:r>
    <w:r>
      <w:rPr>
        <w:noProof/>
      </w:rPr>
      <w:drawing>
        <wp:anchor distT="0" distB="0" distL="114300" distR="114300" simplePos="0" relativeHeight="251659264" behindDoc="0" locked="0" layoutInCell="1" allowOverlap="1" wp14:anchorId="2EB4D3C0" wp14:editId="36350A0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291121  011221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508E5" w14:textId="77777777" w:rsidR="005B6A28" w:rsidRPr="001075E9" w:rsidRDefault="005B6A28" w:rsidP="001075E9">
      <w:pPr>
        <w:tabs>
          <w:tab w:val="right" w:pos="2155"/>
        </w:tabs>
        <w:spacing w:after="80" w:line="240" w:lineRule="auto"/>
        <w:ind w:left="680"/>
        <w:rPr>
          <w:u w:val="single"/>
        </w:rPr>
      </w:pPr>
      <w:r>
        <w:rPr>
          <w:u w:val="single"/>
        </w:rPr>
        <w:tab/>
      </w:r>
    </w:p>
  </w:footnote>
  <w:footnote w:type="continuationSeparator" w:id="0">
    <w:p w14:paraId="46C02DF6" w14:textId="77777777" w:rsidR="005B6A28" w:rsidRDefault="005B6A28" w:rsidP="00407B78">
      <w:pPr>
        <w:tabs>
          <w:tab w:val="right" w:pos="2155"/>
        </w:tabs>
        <w:spacing w:after="80"/>
        <w:ind w:left="680"/>
        <w:rPr>
          <w:u w:val="single"/>
        </w:rPr>
      </w:pPr>
      <w:r>
        <w:rPr>
          <w:u w:val="single"/>
        </w:rPr>
        <w:tab/>
      </w:r>
    </w:p>
  </w:footnote>
  <w:footnote w:id="1">
    <w:p w14:paraId="2B84AABC" w14:textId="77777777" w:rsidR="00484102" w:rsidRPr="00DF18A2" w:rsidRDefault="00484102" w:rsidP="00484102">
      <w:pPr>
        <w:pStyle w:val="ad"/>
        <w:rPr>
          <w:sz w:val="16"/>
          <w:szCs w:val="16"/>
        </w:rPr>
      </w:pPr>
      <w:r>
        <w:tab/>
        <w:t>*</w:t>
      </w:r>
      <w:r>
        <w:tab/>
        <w:t>Распространено на немецком языке Центральной комиссией судоходства по Рейну</w:t>
      </w:r>
      <w:r>
        <w:br/>
        <w:t>под условным обозначением CCNR-ZKR/ADN/WP.15/AC.2/2022/2</w:t>
      </w:r>
      <w:r w:rsidRPr="00BB3A85">
        <w:t>/</w:t>
      </w:r>
      <w:r>
        <w:rPr>
          <w:lang w:val="en-US"/>
        </w:rPr>
        <w:t>Rev</w:t>
      </w:r>
      <w:r w:rsidRPr="00BB3A85">
        <w:t>.1</w:t>
      </w:r>
      <w:r>
        <w:t>.</w:t>
      </w:r>
    </w:p>
  </w:footnote>
  <w:footnote w:id="2">
    <w:p w14:paraId="1B96AD2A" w14:textId="77777777" w:rsidR="00484102" w:rsidRPr="00FC239B" w:rsidRDefault="00484102" w:rsidP="00484102">
      <w:pPr>
        <w:pStyle w:val="ad"/>
        <w:spacing w:after="240"/>
        <w:rPr>
          <w:sz w:val="16"/>
          <w:szCs w:val="16"/>
        </w:rPr>
      </w:pPr>
      <w:r>
        <w:tab/>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59EA0" w14:textId="02E142CB" w:rsidR="00484102" w:rsidRPr="00484102" w:rsidRDefault="00484102">
    <w:pPr>
      <w:pStyle w:val="a5"/>
    </w:pPr>
    <w:fldSimple w:instr=" TITLE  \* MERGEFORMAT ">
      <w:r w:rsidR="000E3EA3">
        <w:t>ECE/TRANS/WP.15/AC.2/2022/2/Rev.1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99A4" w14:textId="2E3E3967" w:rsidR="00484102" w:rsidRPr="00484102" w:rsidRDefault="00484102" w:rsidP="00484102">
    <w:pPr>
      <w:pStyle w:val="a5"/>
      <w:jc w:val="right"/>
    </w:pPr>
    <w:fldSimple w:instr=" TITLE  \* MERGEFORMAT ">
      <w:r w:rsidR="000E3EA3">
        <w:t>ECE/TRANS/WP.15/AC.2/2022/2/Rev.1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B43E" w14:textId="77777777" w:rsidR="00484102" w:rsidRDefault="00484102" w:rsidP="0048410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28"/>
    <w:rsid w:val="00033EE1"/>
    <w:rsid w:val="00042B72"/>
    <w:rsid w:val="000558BD"/>
    <w:rsid w:val="000B57E7"/>
    <w:rsid w:val="000B6373"/>
    <w:rsid w:val="000E3EA3"/>
    <w:rsid w:val="000E4E5B"/>
    <w:rsid w:val="000F09DF"/>
    <w:rsid w:val="000F61B2"/>
    <w:rsid w:val="001075E9"/>
    <w:rsid w:val="0014152F"/>
    <w:rsid w:val="00180183"/>
    <w:rsid w:val="0018024D"/>
    <w:rsid w:val="0018649F"/>
    <w:rsid w:val="00196389"/>
    <w:rsid w:val="001B3EF6"/>
    <w:rsid w:val="001C7A89"/>
    <w:rsid w:val="00255343"/>
    <w:rsid w:val="0027151D"/>
    <w:rsid w:val="002976FE"/>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4102"/>
    <w:rsid w:val="00485F8A"/>
    <w:rsid w:val="004E05B7"/>
    <w:rsid w:val="0050108D"/>
    <w:rsid w:val="00513081"/>
    <w:rsid w:val="00517901"/>
    <w:rsid w:val="00526683"/>
    <w:rsid w:val="00526DB8"/>
    <w:rsid w:val="005639C1"/>
    <w:rsid w:val="005709E0"/>
    <w:rsid w:val="00572E19"/>
    <w:rsid w:val="005961C8"/>
    <w:rsid w:val="005966F1"/>
    <w:rsid w:val="005B6A28"/>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74E04"/>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28F17D"/>
  <w15:docId w15:val="{F54BAE6E-378E-48D3-85BE-53463D4F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Fußnotentext Zchn1 Zchn,Fußnotentext Zchn Zchn Zchn, Car Car Car Zchn Zchn Zchn, Car Car Car Car Car Car Car Car Car Zchn Zchn Zchn, Car Car Car Zchn1 Zchn, Car Car Car Car Car Car Car Car Car Zchn1 Zchn,5_GR,Fußnotentext Zch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Fußnotentext Zchn1 Zchn Знак,Fußnotentext Zchn Zchn Zchn Знак, Car Car Car Zchn Zchn Zchn Знак, Car Car Car Car Car Car Car Car Car Zchn Zchn Zchn Знак, Car Car Car Zchn1 Zchn Знак,5_GR Знак,Fußnotentext Zch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484102"/>
    <w:rPr>
      <w:lang w:val="ru-RU" w:eastAsia="en-US"/>
    </w:rPr>
  </w:style>
  <w:style w:type="character" w:customStyle="1" w:styleId="HChGChar">
    <w:name w:val="_ H _Ch_G Char"/>
    <w:link w:val="HChG"/>
    <w:rsid w:val="00484102"/>
    <w:rPr>
      <w:b/>
      <w:sz w:val="28"/>
      <w:lang w:val="ru-RU" w:eastAsia="ru-RU"/>
    </w:rPr>
  </w:style>
  <w:style w:type="table" w:customStyle="1" w:styleId="Tabelraster1">
    <w:name w:val="Tabelraster1"/>
    <w:basedOn w:val="a1"/>
    <w:next w:val="ac"/>
    <w:rsid w:val="00484102"/>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4FA54A-9FC9-4330-9005-DE2E2D64A1D8}"/>
</file>

<file path=customXml/itemProps2.xml><?xml version="1.0" encoding="utf-8"?>
<ds:datastoreItem xmlns:ds="http://schemas.openxmlformats.org/officeDocument/2006/customXml" ds:itemID="{CE0646D7-CB4F-4DD5-9B9C-5FA273FBD12D}"/>
</file>

<file path=customXml/itemProps3.xml><?xml version="1.0" encoding="utf-8"?>
<ds:datastoreItem xmlns:ds="http://schemas.openxmlformats.org/officeDocument/2006/customXml" ds:itemID="{FAB998B7-B235-490E-8575-31ECCA209F27}"/>
</file>

<file path=docProps/app.xml><?xml version="1.0" encoding="utf-8"?>
<Properties xmlns="http://schemas.openxmlformats.org/officeDocument/2006/extended-properties" xmlns:vt="http://schemas.openxmlformats.org/officeDocument/2006/docPropsVTypes">
  <Template>ECE.dotm</Template>
  <TotalTime>1</TotalTime>
  <Pages>3</Pages>
  <Words>657</Words>
  <Characters>3907</Characters>
  <Application>Microsoft Office Word</Application>
  <DocSecurity>0</DocSecurity>
  <Lines>355</Lines>
  <Paragraphs>152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ECE/TRANS/WP.15/AC.2/2022/2/Rev.1</vt:lpstr>
      <vt:lpstr>A/</vt:lpstr>
      <vt:lpstr>A/</vt:lpstr>
    </vt:vector>
  </TitlesOfParts>
  <Company>DCM</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ECE/TRANS/WP.15/AC.2/2022/2/Rev.1</dc:title>
  <dc:subject/>
  <dc:creator>Olga OVTCHINNIKOVA</dc:creator>
  <cp:keywords/>
  <cp:lastModifiedBy>Olga Ovchinnikova</cp:lastModifiedBy>
  <cp:revision>3</cp:revision>
  <cp:lastPrinted>2021-12-01T09:02:00Z</cp:lastPrinted>
  <dcterms:created xsi:type="dcterms:W3CDTF">2021-12-01T09:02:00Z</dcterms:created>
  <dcterms:modified xsi:type="dcterms:W3CDTF">2021-12-01T09:03:00Z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