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8E0B12" w14:paraId="3F5BAEAA" w14:textId="77777777" w:rsidTr="005316B0">
        <w:trPr>
          <w:trHeight w:hRule="exact" w:val="851"/>
        </w:trPr>
        <w:tc>
          <w:tcPr>
            <w:tcW w:w="1276" w:type="dxa"/>
            <w:tcBorders>
              <w:bottom w:val="single" w:sz="4" w:space="0" w:color="auto"/>
            </w:tcBorders>
          </w:tcPr>
          <w:p w14:paraId="190AB91D" w14:textId="77777777" w:rsidR="001433FD" w:rsidRPr="00DB58B5" w:rsidRDefault="001433FD" w:rsidP="0001207F"/>
        </w:tc>
        <w:tc>
          <w:tcPr>
            <w:tcW w:w="2268" w:type="dxa"/>
            <w:tcBorders>
              <w:bottom w:val="single" w:sz="4" w:space="0" w:color="auto"/>
            </w:tcBorders>
            <w:vAlign w:val="bottom"/>
          </w:tcPr>
          <w:p w14:paraId="4B6C3BEA"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436A8F" w14:textId="712D20DE" w:rsidR="001433FD" w:rsidRPr="008E0B12" w:rsidRDefault="00A97394" w:rsidP="00A97394">
            <w:pPr>
              <w:jc w:val="right"/>
              <w:rPr>
                <w:lang w:val="en-US"/>
              </w:rPr>
            </w:pPr>
            <w:r w:rsidRPr="008E0B12">
              <w:rPr>
                <w:sz w:val="40"/>
                <w:lang w:val="en-US"/>
              </w:rPr>
              <w:t>ECE</w:t>
            </w:r>
            <w:r w:rsidRPr="008E0B12">
              <w:rPr>
                <w:lang w:val="en-US"/>
              </w:rPr>
              <w:t>/TRANS/WP.15/AC.2/2022/2/Rev.1</w:t>
            </w:r>
          </w:p>
        </w:tc>
      </w:tr>
      <w:tr w:rsidR="001433FD" w:rsidRPr="00DB58B5" w14:paraId="7A928AE2" w14:textId="77777777" w:rsidTr="007D3236">
        <w:trPr>
          <w:trHeight w:hRule="exact" w:val="2835"/>
        </w:trPr>
        <w:tc>
          <w:tcPr>
            <w:tcW w:w="1276" w:type="dxa"/>
            <w:tcBorders>
              <w:top w:val="single" w:sz="4" w:space="0" w:color="auto"/>
              <w:bottom w:val="single" w:sz="12" w:space="0" w:color="auto"/>
            </w:tcBorders>
          </w:tcPr>
          <w:p w14:paraId="3B488ADF" w14:textId="77777777" w:rsidR="001433FD" w:rsidRPr="00DB58B5" w:rsidRDefault="001433FD" w:rsidP="007D3236">
            <w:pPr>
              <w:spacing w:before="120"/>
              <w:jc w:val="center"/>
            </w:pPr>
            <w:r>
              <w:rPr>
                <w:noProof/>
                <w:lang w:eastAsia="fr-CH"/>
              </w:rPr>
              <w:drawing>
                <wp:inline distT="0" distB="0" distL="0" distR="0" wp14:anchorId="54651240" wp14:editId="447A0069">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04620E"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8329324" w14:textId="77777777" w:rsidR="0001207F" w:rsidRDefault="000622BE" w:rsidP="000622BE">
            <w:pPr>
              <w:spacing w:before="240" w:line="240" w:lineRule="exact"/>
            </w:pPr>
            <w:proofErr w:type="spellStart"/>
            <w:r>
              <w:t>Distr</w:t>
            </w:r>
            <w:proofErr w:type="spellEnd"/>
            <w:r>
              <w:t>. générale</w:t>
            </w:r>
          </w:p>
          <w:p w14:paraId="7743C708" w14:textId="03EC9877" w:rsidR="000622BE" w:rsidRDefault="004F436F" w:rsidP="000622BE">
            <w:pPr>
              <w:spacing w:line="240" w:lineRule="exact"/>
            </w:pPr>
            <w:r>
              <w:t>26</w:t>
            </w:r>
            <w:r w:rsidR="000622BE">
              <w:t xml:space="preserve"> novembre 2021</w:t>
            </w:r>
          </w:p>
          <w:p w14:paraId="7E3780E1" w14:textId="77777777" w:rsidR="000622BE" w:rsidRDefault="000622BE" w:rsidP="000622BE">
            <w:pPr>
              <w:spacing w:line="240" w:lineRule="exact"/>
            </w:pPr>
          </w:p>
          <w:p w14:paraId="3258250F" w14:textId="77777777" w:rsidR="000622BE" w:rsidRPr="00DB58B5" w:rsidRDefault="000622BE" w:rsidP="000622BE">
            <w:pPr>
              <w:spacing w:line="240" w:lineRule="exact"/>
            </w:pPr>
            <w:r>
              <w:t>Original : français</w:t>
            </w:r>
          </w:p>
        </w:tc>
      </w:tr>
    </w:tbl>
    <w:p w14:paraId="62E70985" w14:textId="01856142" w:rsidR="00564657" w:rsidRDefault="00564657" w:rsidP="000622BE">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53F11062" w14:textId="77777777" w:rsidR="00B313F3" w:rsidRDefault="00B313F3" w:rsidP="00B313F3">
      <w:pPr>
        <w:spacing w:before="120"/>
        <w:rPr>
          <w:b/>
          <w:sz w:val="24"/>
          <w:szCs w:val="24"/>
        </w:rPr>
      </w:pPr>
      <w:r w:rsidRPr="00685843">
        <w:rPr>
          <w:sz w:val="28"/>
          <w:szCs w:val="28"/>
        </w:rPr>
        <w:t>Comité des transports intérieurs</w:t>
      </w:r>
      <w:r w:rsidRPr="00673C2A">
        <w:rPr>
          <w:b/>
          <w:sz w:val="24"/>
          <w:szCs w:val="24"/>
        </w:rPr>
        <w:t xml:space="preserve"> </w:t>
      </w:r>
    </w:p>
    <w:p w14:paraId="620E7443" w14:textId="77777777" w:rsidR="00B313F3" w:rsidRPr="00B128F0" w:rsidRDefault="00B313F3" w:rsidP="00B313F3">
      <w:pPr>
        <w:spacing w:before="120"/>
        <w:rPr>
          <w:b/>
          <w:sz w:val="24"/>
          <w:szCs w:val="24"/>
        </w:rPr>
      </w:pPr>
      <w:r w:rsidRPr="00B128F0">
        <w:rPr>
          <w:b/>
          <w:sz w:val="24"/>
          <w:szCs w:val="24"/>
        </w:rPr>
        <w:t>Groupe de travail des transports de marchandises dangereuses</w:t>
      </w:r>
    </w:p>
    <w:p w14:paraId="5F8F276C" w14:textId="77777777" w:rsidR="00B313F3" w:rsidRDefault="00B313F3" w:rsidP="00B313F3">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11E84875" w14:textId="77777777" w:rsidR="00B313F3" w:rsidRPr="003D48C7" w:rsidRDefault="00B313F3" w:rsidP="00B313F3">
      <w:pPr>
        <w:spacing w:before="120"/>
        <w:rPr>
          <w:b/>
        </w:rPr>
      </w:pPr>
      <w:r w:rsidRPr="00484AB5">
        <w:rPr>
          <w:b/>
        </w:rPr>
        <w:t>Trente-</w:t>
      </w:r>
      <w:r>
        <w:rPr>
          <w:b/>
        </w:rPr>
        <w:t xml:space="preserve">neuvième </w:t>
      </w:r>
      <w:r w:rsidRPr="00484AB5">
        <w:rPr>
          <w:b/>
        </w:rPr>
        <w:t>session</w:t>
      </w:r>
    </w:p>
    <w:p w14:paraId="17306B66" w14:textId="77777777" w:rsidR="00B313F3" w:rsidRPr="003D48C7" w:rsidRDefault="00B313F3" w:rsidP="00B313F3">
      <w:r w:rsidRPr="003D48C7">
        <w:t>Genève, 2</w:t>
      </w:r>
      <w:r>
        <w:t>4-</w:t>
      </w:r>
      <w:r w:rsidRPr="003D48C7">
        <w:t>2</w:t>
      </w:r>
      <w:r>
        <w:t>8</w:t>
      </w:r>
      <w:r w:rsidRPr="003D48C7">
        <w:t xml:space="preserve"> </w:t>
      </w:r>
      <w:r>
        <w:t>janvier</w:t>
      </w:r>
      <w:r w:rsidRPr="003D48C7">
        <w:t xml:space="preserve"> 202</w:t>
      </w:r>
      <w:r>
        <w:t>2</w:t>
      </w:r>
    </w:p>
    <w:p w14:paraId="3794F90E" w14:textId="77777777" w:rsidR="00B313F3" w:rsidRPr="003D48C7" w:rsidRDefault="00B313F3" w:rsidP="00B313F3">
      <w:r w:rsidRPr="00501791">
        <w:t xml:space="preserve">Point </w:t>
      </w:r>
      <w:r>
        <w:t>5</w:t>
      </w:r>
      <w:r w:rsidRPr="00501791">
        <w:t xml:space="preserve"> b) de l’ordre du jour provisoire</w:t>
      </w:r>
    </w:p>
    <w:p w14:paraId="69234F1F" w14:textId="14F76153" w:rsidR="00B313F3" w:rsidRPr="00501791" w:rsidRDefault="00B313F3" w:rsidP="00B313F3">
      <w:pPr>
        <w:rPr>
          <w:b/>
          <w:bCs/>
        </w:rPr>
      </w:pPr>
      <w:r w:rsidRPr="00501791">
        <w:rPr>
          <w:b/>
          <w:bCs/>
          <w:lang w:val="fr-FR"/>
        </w:rPr>
        <w:t>Propositions d’amendements au Règlement annexé à l’ADN</w:t>
      </w:r>
      <w:r w:rsidR="00B615C0">
        <w:rPr>
          <w:b/>
          <w:bCs/>
          <w:lang w:val="fr-FR"/>
        </w:rPr>
        <w:t xml:space="preserve"> </w:t>
      </w:r>
      <w:r w:rsidRPr="00501791">
        <w:rPr>
          <w:b/>
          <w:bCs/>
          <w:lang w:val="fr-FR" w:eastAsia="en-US"/>
        </w:rPr>
        <w:t>:</w:t>
      </w:r>
      <w:r w:rsidRPr="00501791">
        <w:rPr>
          <w:b/>
          <w:bCs/>
          <w:lang w:eastAsia="en-US"/>
        </w:rPr>
        <w:br/>
      </w:r>
      <w:r w:rsidR="00B94E14">
        <w:rPr>
          <w:b/>
          <w:bCs/>
          <w:lang w:val="fr-FR"/>
        </w:rPr>
        <w:t>a</w:t>
      </w:r>
      <w:r w:rsidRPr="00501791">
        <w:rPr>
          <w:b/>
          <w:bCs/>
          <w:lang w:val="fr-FR"/>
        </w:rPr>
        <w:t>utres propositions</w:t>
      </w:r>
    </w:p>
    <w:p w14:paraId="2E3DD9D5" w14:textId="62E7A718" w:rsidR="00421B80" w:rsidRPr="00CF5907" w:rsidRDefault="00FE24DC" w:rsidP="00FE24DC">
      <w:pPr>
        <w:pStyle w:val="HChG"/>
        <w:rPr>
          <w:lang w:val="fr-FR"/>
        </w:rPr>
      </w:pPr>
      <w:r>
        <w:rPr>
          <w:lang w:val="fr-FR"/>
        </w:rPr>
        <w:tab/>
      </w:r>
      <w:r>
        <w:rPr>
          <w:lang w:val="fr-FR"/>
        </w:rPr>
        <w:tab/>
      </w:r>
      <w:r w:rsidR="00421B80" w:rsidRPr="00CF5907">
        <w:rPr>
          <w:lang w:val="fr-FR"/>
        </w:rPr>
        <w:t>Incohérence des versions linguistiques aux 9.1.0.40.2.5 c) et 9.3.X.40.2.5 c) de l’ADN concernant les dispositifs de déclenchement</w:t>
      </w:r>
    </w:p>
    <w:p w14:paraId="15DA90B4" w14:textId="40FCD481" w:rsidR="00421B80" w:rsidRPr="00CF5907" w:rsidRDefault="00421B80" w:rsidP="00FE24DC">
      <w:pPr>
        <w:pStyle w:val="H1G"/>
        <w:rPr>
          <w:rFonts w:eastAsia="Calibri"/>
          <w:lang w:val="fr-FR"/>
        </w:rPr>
      </w:pPr>
      <w:r w:rsidRPr="00CF5907">
        <w:rPr>
          <w:rFonts w:eastAsia="Calibri"/>
          <w:lang w:val="fr-FR"/>
        </w:rPr>
        <w:tab/>
      </w:r>
      <w:r w:rsidR="00FE24DC">
        <w:rPr>
          <w:rFonts w:eastAsia="Calibri"/>
          <w:lang w:val="fr-FR"/>
        </w:rPr>
        <w:tab/>
      </w:r>
      <w:r w:rsidRPr="00CF5907">
        <w:rPr>
          <w:rFonts w:eastAsia="Calibri"/>
          <w:lang w:val="fr-FR"/>
        </w:rPr>
        <w:t xml:space="preserve">Communication de la Commission centrale pour la navigation </w:t>
      </w:r>
      <w:r w:rsidRPr="00CF5907">
        <w:rPr>
          <w:rFonts w:eastAsia="Calibri"/>
          <w:lang w:val="fr-FR"/>
        </w:rPr>
        <w:br/>
        <w:t>du Rhin (CCNR</w:t>
      </w:r>
      <w:r w:rsidRPr="00F63433">
        <w:rPr>
          <w:rFonts w:eastAsia="Calibri"/>
          <w:sz w:val="20"/>
          <w:lang w:val="fr-FR"/>
        </w:rPr>
        <w:t>)</w:t>
      </w:r>
      <w:r w:rsidRPr="00F63433">
        <w:rPr>
          <w:rFonts w:eastAsia="Calibri"/>
          <w:sz w:val="20"/>
          <w:lang w:val="fr-FR"/>
        </w:rPr>
        <w:footnoteReference w:customMarkFollows="1" w:id="2"/>
        <w:t>*</w:t>
      </w:r>
      <w:r w:rsidRPr="00F63433">
        <w:rPr>
          <w:rFonts w:eastAsia="Calibri"/>
          <w:sz w:val="20"/>
          <w:vertAlign w:val="superscript"/>
          <w:lang w:val="fr-FR"/>
        </w:rPr>
        <w:t xml:space="preserve">, </w:t>
      </w:r>
      <w:r w:rsidRPr="00F63433">
        <w:rPr>
          <w:rFonts w:eastAsia="Calibri"/>
          <w:sz w:val="20"/>
          <w:lang w:val="fr-FR"/>
        </w:rPr>
        <w:footnoteReference w:customMarkFollows="1" w:id="3"/>
        <w:t>**</w:t>
      </w:r>
    </w:p>
    <w:p w14:paraId="7CEE1870" w14:textId="6255B16D" w:rsidR="00421B80" w:rsidRPr="00CF5907" w:rsidRDefault="00421B80" w:rsidP="00FE24DC">
      <w:pPr>
        <w:pStyle w:val="HChG"/>
        <w:rPr>
          <w:lang w:val="fr-FR"/>
        </w:rPr>
      </w:pPr>
      <w:r w:rsidRPr="00CF5907">
        <w:rPr>
          <w:lang w:val="fr-FR"/>
        </w:rPr>
        <w:tab/>
      </w:r>
      <w:bookmarkStart w:id="1" w:name="_Hlk83902369"/>
      <w:r w:rsidRPr="00CF5907">
        <w:rPr>
          <w:lang w:val="fr-FR"/>
        </w:rPr>
        <w:tab/>
      </w:r>
      <w:bookmarkEnd w:id="1"/>
      <w:r w:rsidRPr="00CF5907">
        <w:rPr>
          <w:lang w:val="fr-FR"/>
        </w:rPr>
        <w:t>Introduction</w:t>
      </w:r>
    </w:p>
    <w:p w14:paraId="552C72BA" w14:textId="77777777" w:rsidR="00421B80" w:rsidRPr="00CF5907" w:rsidRDefault="00421B80" w:rsidP="00FE24DC">
      <w:pPr>
        <w:pStyle w:val="SingleTxtG"/>
        <w:rPr>
          <w:rFonts w:eastAsia="SimSun"/>
          <w:lang w:val="fr-FR"/>
        </w:rPr>
      </w:pPr>
      <w:r w:rsidRPr="00CF5907">
        <w:rPr>
          <w:rFonts w:eastAsia="SimSun"/>
          <w:lang w:val="fr-FR"/>
        </w:rPr>
        <w:t>1.</w:t>
      </w:r>
      <w:r w:rsidRPr="00CF5907">
        <w:rPr>
          <w:rFonts w:eastAsia="SimSun"/>
          <w:lang w:val="fr-FR"/>
        </w:rPr>
        <w:tab/>
        <w:t>Le Secrétariat de la CCNR a constaté une différence entre la version allemande d'une part et les versions française et anglaise d'autre part dans les 9.1.0.40.2.5, lettre</w:t>
      </w:r>
      <w:r w:rsidRPr="00CF5907">
        <w:rPr>
          <w:lang w:val="fr-FR"/>
        </w:rPr>
        <w:t> </w:t>
      </w:r>
      <w:r w:rsidRPr="00CF5907">
        <w:rPr>
          <w:rFonts w:eastAsia="SimSun"/>
          <w:lang w:val="fr-FR"/>
        </w:rPr>
        <w:t>c) et 9.3.X.40.2.5, lettre c) de l'ADN concernant les dispositifs de déclenchement. Cette différence existait déjà dans l'ADN 2009.</w:t>
      </w:r>
    </w:p>
    <w:p w14:paraId="253A3518" w14:textId="77777777" w:rsidR="00421B80" w:rsidRPr="00CF5907" w:rsidRDefault="00421B80" w:rsidP="00FE24DC">
      <w:pPr>
        <w:pStyle w:val="SingleTxtG"/>
        <w:rPr>
          <w:rFonts w:eastAsia="SimSun"/>
          <w:lang w:val="fr-FR"/>
        </w:rPr>
      </w:pPr>
      <w:r w:rsidRPr="00CF5907">
        <w:rPr>
          <w:rFonts w:eastAsia="SimSun"/>
          <w:lang w:val="fr-FR"/>
        </w:rPr>
        <w:t>2.</w:t>
      </w:r>
      <w:r w:rsidRPr="00CF5907">
        <w:rPr>
          <w:rFonts w:eastAsia="SimSun"/>
          <w:lang w:val="fr-FR"/>
        </w:rPr>
        <w:tab/>
        <w:t>Le Secrétariat de la CCNR est parvenu à la conclusion que ni le texte allemand, ni les textes français et anglais ne sont complets et qu'ils doivent par conséquent être complétés.</w:t>
      </w:r>
    </w:p>
    <w:p w14:paraId="5497E002" w14:textId="23EC724C" w:rsidR="00AD2F0A" w:rsidRDefault="00FE24DC" w:rsidP="00187588">
      <w:pPr>
        <w:pStyle w:val="SingleTxtG"/>
        <w:rPr>
          <w:lang w:val="fr-FR"/>
        </w:rPr>
      </w:pPr>
      <w:r>
        <w:rPr>
          <w:lang w:val="fr-FR"/>
        </w:rPr>
        <w:tab/>
      </w:r>
      <w:r w:rsidR="00AD2F0A">
        <w:rPr>
          <w:lang w:val="fr-FR"/>
        </w:rPr>
        <w:br w:type="page"/>
      </w:r>
    </w:p>
    <w:p w14:paraId="1DDF7D84" w14:textId="31013B3F" w:rsidR="00421B80" w:rsidRPr="00CF5907" w:rsidRDefault="00187588" w:rsidP="00AD2F0A">
      <w:pPr>
        <w:pStyle w:val="HChG"/>
        <w:keepNext w:val="0"/>
        <w:rPr>
          <w:lang w:val="fr-FR"/>
        </w:rPr>
      </w:pPr>
      <w:r>
        <w:rPr>
          <w:lang w:val="fr-FR"/>
        </w:rPr>
        <w:lastRenderedPageBreak/>
        <w:tab/>
      </w:r>
      <w:r w:rsidR="00FE24DC">
        <w:rPr>
          <w:lang w:val="fr-FR"/>
        </w:rPr>
        <w:tab/>
      </w:r>
      <w:r w:rsidR="00421B80" w:rsidRPr="00CF5907">
        <w:rPr>
          <w:lang w:val="fr-FR"/>
        </w:rPr>
        <w:t>Teneur des 9.1.0.40.2.5 c) et 9.3.X.40.2.5 c) dans l’ADN 2021</w:t>
      </w:r>
    </w:p>
    <w:p w14:paraId="21DEE482" w14:textId="77777777" w:rsidR="00421B80" w:rsidRPr="00CF5907" w:rsidRDefault="00421B80" w:rsidP="00AD2F0A">
      <w:pPr>
        <w:pStyle w:val="SingleTxtG"/>
        <w:rPr>
          <w:lang w:val="fr-FR"/>
        </w:rPr>
      </w:pPr>
      <w:r w:rsidRPr="00CF5907">
        <w:rPr>
          <w:lang w:val="fr-FR"/>
        </w:rPr>
        <w:t>3.</w:t>
      </w:r>
      <w:r w:rsidRPr="00CF5907">
        <w:rPr>
          <w:lang w:val="fr-FR"/>
        </w:rPr>
        <w:tab/>
        <w:t>Le texte des 9.1.0.40.2.5 c) et 9.3.X.40.2.5 c) de l’ADN est reproduit dans le tableau ci-après :</w:t>
      </w:r>
    </w:p>
    <w:tbl>
      <w:tblPr>
        <w:tblStyle w:val="Tabel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1"/>
        <w:gridCol w:w="2443"/>
        <w:gridCol w:w="2536"/>
      </w:tblGrid>
      <w:tr w:rsidR="00421B80" w:rsidRPr="00522766" w14:paraId="109BA5B1" w14:textId="77777777" w:rsidTr="00522766">
        <w:trPr>
          <w:tblHeader/>
        </w:trPr>
        <w:tc>
          <w:tcPr>
            <w:tcW w:w="2391" w:type="dxa"/>
            <w:tcBorders>
              <w:top w:val="single" w:sz="4" w:space="0" w:color="auto"/>
              <w:bottom w:val="single" w:sz="12" w:space="0" w:color="auto"/>
            </w:tcBorders>
            <w:shd w:val="clear" w:color="auto" w:fill="auto"/>
            <w:vAlign w:val="bottom"/>
          </w:tcPr>
          <w:p w14:paraId="7EF10180" w14:textId="114380D2" w:rsidR="00421B80" w:rsidRPr="00522766" w:rsidRDefault="00902476" w:rsidP="00522766">
            <w:pPr>
              <w:spacing w:before="80" w:after="80" w:line="200" w:lineRule="exact"/>
              <w:ind w:right="113"/>
              <w:rPr>
                <w:i/>
                <w:sz w:val="16"/>
                <w:lang w:val="fr-FR"/>
              </w:rPr>
            </w:pPr>
            <w:r>
              <w:rPr>
                <w:i/>
                <w:sz w:val="16"/>
                <w:lang w:val="fr-FR"/>
              </w:rPr>
              <w:t>A</w:t>
            </w:r>
            <w:r w:rsidR="00E97E21">
              <w:rPr>
                <w:i/>
                <w:sz w:val="16"/>
                <w:lang w:val="fr-FR"/>
              </w:rPr>
              <w:t>nglais</w:t>
            </w:r>
          </w:p>
        </w:tc>
        <w:tc>
          <w:tcPr>
            <w:tcW w:w="2443" w:type="dxa"/>
            <w:tcBorders>
              <w:top w:val="single" w:sz="4" w:space="0" w:color="auto"/>
              <w:bottom w:val="single" w:sz="12" w:space="0" w:color="auto"/>
            </w:tcBorders>
            <w:shd w:val="clear" w:color="auto" w:fill="auto"/>
            <w:vAlign w:val="bottom"/>
          </w:tcPr>
          <w:p w14:paraId="7ED38721" w14:textId="65B1C264" w:rsidR="00421B80" w:rsidRPr="00522766" w:rsidRDefault="00902476" w:rsidP="00522766">
            <w:pPr>
              <w:spacing w:before="80" w:after="80" w:line="200" w:lineRule="exact"/>
              <w:ind w:right="113"/>
              <w:rPr>
                <w:i/>
                <w:sz w:val="16"/>
                <w:lang w:val="fr-FR"/>
              </w:rPr>
            </w:pPr>
            <w:r>
              <w:rPr>
                <w:i/>
                <w:sz w:val="16"/>
                <w:lang w:val="fr-FR"/>
              </w:rPr>
              <w:t>F</w:t>
            </w:r>
            <w:r w:rsidR="00E97E21">
              <w:rPr>
                <w:i/>
                <w:sz w:val="16"/>
                <w:lang w:val="fr-FR"/>
              </w:rPr>
              <w:t>ran</w:t>
            </w:r>
            <w:r w:rsidR="00A63FEE">
              <w:rPr>
                <w:i/>
                <w:sz w:val="16"/>
                <w:lang w:val="fr-CH"/>
              </w:rPr>
              <w:t>ç</w:t>
            </w:r>
            <w:r w:rsidR="00E97E21">
              <w:rPr>
                <w:i/>
                <w:sz w:val="16"/>
                <w:lang w:val="fr-FR"/>
              </w:rPr>
              <w:t>ais</w:t>
            </w:r>
          </w:p>
        </w:tc>
        <w:tc>
          <w:tcPr>
            <w:tcW w:w="2536" w:type="dxa"/>
            <w:tcBorders>
              <w:top w:val="single" w:sz="4" w:space="0" w:color="auto"/>
              <w:bottom w:val="single" w:sz="12" w:space="0" w:color="auto"/>
            </w:tcBorders>
            <w:shd w:val="clear" w:color="auto" w:fill="auto"/>
            <w:vAlign w:val="bottom"/>
          </w:tcPr>
          <w:p w14:paraId="13F3F21B" w14:textId="6F7B68D1" w:rsidR="00421B80" w:rsidRPr="00522766" w:rsidRDefault="00AD7840" w:rsidP="00522766">
            <w:pPr>
              <w:spacing w:before="80" w:after="80" w:line="200" w:lineRule="exact"/>
              <w:ind w:right="113"/>
              <w:rPr>
                <w:i/>
                <w:sz w:val="16"/>
                <w:lang w:val="fr-FR"/>
              </w:rPr>
            </w:pPr>
            <w:r>
              <w:rPr>
                <w:i/>
                <w:sz w:val="16"/>
                <w:lang w:val="fr-FR"/>
              </w:rPr>
              <w:t>A</w:t>
            </w:r>
            <w:r w:rsidR="00A63FEE">
              <w:rPr>
                <w:i/>
                <w:sz w:val="16"/>
                <w:lang w:val="fr-FR"/>
              </w:rPr>
              <w:t>llemand</w:t>
            </w:r>
          </w:p>
        </w:tc>
      </w:tr>
      <w:tr w:rsidR="00522766" w:rsidRPr="00522766" w14:paraId="65F434C5" w14:textId="77777777" w:rsidTr="00522766">
        <w:trPr>
          <w:trHeight w:hRule="exact" w:val="113"/>
        </w:trPr>
        <w:tc>
          <w:tcPr>
            <w:tcW w:w="2391" w:type="dxa"/>
            <w:tcBorders>
              <w:top w:val="single" w:sz="12" w:space="0" w:color="auto"/>
            </w:tcBorders>
            <w:shd w:val="clear" w:color="auto" w:fill="auto"/>
          </w:tcPr>
          <w:p w14:paraId="1732E28B" w14:textId="77777777" w:rsidR="00522766" w:rsidRPr="00522766" w:rsidRDefault="00522766" w:rsidP="00522766">
            <w:pPr>
              <w:spacing w:before="40" w:after="120"/>
              <w:ind w:right="113"/>
              <w:rPr>
                <w:lang w:val="fr-FR"/>
              </w:rPr>
            </w:pPr>
          </w:p>
        </w:tc>
        <w:tc>
          <w:tcPr>
            <w:tcW w:w="2443" w:type="dxa"/>
            <w:tcBorders>
              <w:top w:val="single" w:sz="12" w:space="0" w:color="auto"/>
            </w:tcBorders>
            <w:shd w:val="clear" w:color="auto" w:fill="auto"/>
          </w:tcPr>
          <w:p w14:paraId="1629A473" w14:textId="77777777" w:rsidR="00522766" w:rsidRPr="00522766" w:rsidRDefault="00522766" w:rsidP="00522766">
            <w:pPr>
              <w:spacing w:before="40" w:after="120"/>
              <w:ind w:right="113"/>
              <w:rPr>
                <w:lang w:val="fr-FR"/>
              </w:rPr>
            </w:pPr>
          </w:p>
        </w:tc>
        <w:tc>
          <w:tcPr>
            <w:tcW w:w="2536" w:type="dxa"/>
            <w:tcBorders>
              <w:top w:val="single" w:sz="12" w:space="0" w:color="auto"/>
            </w:tcBorders>
            <w:shd w:val="clear" w:color="auto" w:fill="auto"/>
          </w:tcPr>
          <w:p w14:paraId="56967ADC" w14:textId="77777777" w:rsidR="00522766" w:rsidRPr="00522766" w:rsidRDefault="00522766" w:rsidP="00522766">
            <w:pPr>
              <w:spacing w:before="40" w:after="120"/>
              <w:ind w:right="113"/>
              <w:rPr>
                <w:lang w:val="fr-FR"/>
              </w:rPr>
            </w:pPr>
          </w:p>
        </w:tc>
      </w:tr>
      <w:tr w:rsidR="00421B80" w:rsidRPr="00522766" w14:paraId="7B4FFE80" w14:textId="77777777" w:rsidTr="00522766">
        <w:tc>
          <w:tcPr>
            <w:tcW w:w="2391" w:type="dxa"/>
            <w:tcBorders>
              <w:bottom w:val="single" w:sz="12" w:space="0" w:color="auto"/>
            </w:tcBorders>
            <w:shd w:val="clear" w:color="auto" w:fill="auto"/>
          </w:tcPr>
          <w:p w14:paraId="3E302D66" w14:textId="77777777" w:rsidR="00421B80" w:rsidRPr="00522766" w:rsidRDefault="00421B80" w:rsidP="00522766">
            <w:pPr>
              <w:spacing w:before="40" w:after="120"/>
              <w:ind w:right="113"/>
              <w:rPr>
                <w:lang w:val="en-US"/>
              </w:rPr>
            </w:pPr>
            <w:r w:rsidRPr="00522766">
              <w:rPr>
                <w:lang w:val="en-US"/>
              </w:rPr>
              <w:t xml:space="preserve">Triggering devices shall be so installed that they can be activated in the event of a fire and </w:t>
            </w:r>
            <w:r w:rsidRPr="00FC37BD">
              <w:rPr>
                <w:b/>
                <w:bCs/>
                <w:lang w:val="en-US"/>
              </w:rPr>
              <w:t>so that the risk of their breakdown in the event of a fire or an explosion in the space to be protected is reduced as far as possible</w:t>
            </w:r>
            <w:r w:rsidRPr="00522766">
              <w:rPr>
                <w:lang w:val="en-US"/>
              </w:rPr>
              <w:t>.</w:t>
            </w:r>
          </w:p>
          <w:p w14:paraId="594A8170" w14:textId="77777777" w:rsidR="00421B80" w:rsidRPr="00522766" w:rsidRDefault="00421B80" w:rsidP="00522766">
            <w:pPr>
              <w:spacing w:before="40" w:after="120"/>
              <w:ind w:right="113"/>
              <w:rPr>
                <w:lang w:val="fr-FR"/>
              </w:rPr>
            </w:pPr>
            <w:r w:rsidRPr="00522766">
              <w:rPr>
                <w:lang w:val="fr-FR"/>
              </w:rPr>
              <w:t>[…]</w:t>
            </w:r>
          </w:p>
          <w:p w14:paraId="1A54884C" w14:textId="77777777" w:rsidR="00421B80" w:rsidRPr="00522766" w:rsidRDefault="00421B80" w:rsidP="00522766">
            <w:pPr>
              <w:spacing w:before="40" w:after="120"/>
              <w:ind w:right="113"/>
              <w:rPr>
                <w:lang w:val="fr-FR"/>
              </w:rPr>
            </w:pPr>
          </w:p>
        </w:tc>
        <w:tc>
          <w:tcPr>
            <w:tcW w:w="2443" w:type="dxa"/>
            <w:tcBorders>
              <w:bottom w:val="single" w:sz="12" w:space="0" w:color="auto"/>
            </w:tcBorders>
            <w:shd w:val="clear" w:color="auto" w:fill="auto"/>
          </w:tcPr>
          <w:p w14:paraId="37FD8096" w14:textId="77777777" w:rsidR="00421B80" w:rsidRPr="00522766" w:rsidRDefault="00421B80" w:rsidP="00522766">
            <w:pPr>
              <w:spacing w:before="40" w:after="120"/>
              <w:ind w:right="113"/>
              <w:rPr>
                <w:szCs w:val="24"/>
                <w:lang w:val="fr-FR"/>
              </w:rPr>
            </w:pPr>
            <w:r w:rsidRPr="00522766">
              <w:rPr>
                <w:szCs w:val="24"/>
                <w:lang w:val="fr-FR"/>
              </w:rPr>
              <w:t xml:space="preserve">Les dispositifs de déclenchement doivent être installés de manière à pouvoir être actionnés en cas d'incendie et </w:t>
            </w:r>
            <w:r w:rsidRPr="00FC37BD">
              <w:rPr>
                <w:b/>
                <w:bCs/>
                <w:szCs w:val="24"/>
                <w:lang w:val="fr-FR"/>
              </w:rPr>
              <w:t>de manière à réduire autant que possible le risque de panne de ces dispositifs en cas d'incendie ou d'explosion dans le local à protéger</w:t>
            </w:r>
            <w:r w:rsidRPr="00522766">
              <w:rPr>
                <w:szCs w:val="24"/>
                <w:lang w:val="fr-FR"/>
              </w:rPr>
              <w:t>.</w:t>
            </w:r>
          </w:p>
          <w:p w14:paraId="133ABE15" w14:textId="77777777" w:rsidR="00421B80" w:rsidRPr="00522766" w:rsidRDefault="00421B80" w:rsidP="00522766">
            <w:pPr>
              <w:spacing w:before="40" w:after="120"/>
              <w:ind w:right="113"/>
              <w:rPr>
                <w:szCs w:val="24"/>
                <w:lang w:val="fr-FR"/>
              </w:rPr>
            </w:pPr>
            <w:r w:rsidRPr="00522766">
              <w:rPr>
                <w:szCs w:val="24"/>
                <w:lang w:val="fr-FR"/>
              </w:rPr>
              <w:t>[…]</w:t>
            </w:r>
          </w:p>
        </w:tc>
        <w:tc>
          <w:tcPr>
            <w:tcW w:w="2536" w:type="dxa"/>
            <w:tcBorders>
              <w:bottom w:val="single" w:sz="12" w:space="0" w:color="auto"/>
            </w:tcBorders>
            <w:shd w:val="clear" w:color="auto" w:fill="auto"/>
          </w:tcPr>
          <w:p w14:paraId="4F9AD8F6" w14:textId="77777777" w:rsidR="00421B80" w:rsidRPr="00522766" w:rsidRDefault="00421B80" w:rsidP="00522766">
            <w:pPr>
              <w:spacing w:before="40" w:after="120"/>
              <w:ind w:right="113"/>
              <w:rPr>
                <w:szCs w:val="22"/>
                <w:lang w:val="de-DE"/>
              </w:rPr>
            </w:pPr>
            <w:r w:rsidRPr="00522766">
              <w:rPr>
                <w:szCs w:val="22"/>
                <w:lang w:val="de-DE"/>
              </w:rPr>
              <w:t xml:space="preserve">Auslöseeinrichtungen müssen so installiert sein, </w:t>
            </w:r>
            <w:proofErr w:type="spellStart"/>
            <w:r w:rsidRPr="00522766">
              <w:rPr>
                <w:szCs w:val="22"/>
                <w:lang w:val="de-DE"/>
              </w:rPr>
              <w:t>dass</w:t>
            </w:r>
            <w:proofErr w:type="spellEnd"/>
            <w:r w:rsidRPr="00522766">
              <w:rPr>
                <w:szCs w:val="22"/>
                <w:lang w:val="de-DE"/>
              </w:rPr>
              <w:t xml:space="preserve"> deren Betätigung auch im Brandfall möglich ist und </w:t>
            </w:r>
            <w:r w:rsidRPr="00FC37BD">
              <w:rPr>
                <w:b/>
                <w:bCs/>
                <w:szCs w:val="22"/>
                <w:lang w:val="de-DE"/>
              </w:rPr>
              <w:t>im Falle einer Beschädigung durch Brand oder Explosion in dem zu schützenden Raum die dafür geforderte Menge Löschmittel zugeführt werden kann</w:t>
            </w:r>
            <w:r w:rsidRPr="00522766">
              <w:rPr>
                <w:szCs w:val="22"/>
                <w:lang w:val="de-DE"/>
              </w:rPr>
              <w:t>.</w:t>
            </w:r>
          </w:p>
          <w:p w14:paraId="02822B17" w14:textId="77777777" w:rsidR="00421B80" w:rsidRPr="00522766" w:rsidRDefault="00421B80" w:rsidP="00522766">
            <w:pPr>
              <w:spacing w:before="40" w:after="120"/>
              <w:ind w:right="113"/>
              <w:rPr>
                <w:szCs w:val="22"/>
                <w:lang w:val="de-DE"/>
              </w:rPr>
            </w:pPr>
          </w:p>
          <w:p w14:paraId="56BBBD0A" w14:textId="77777777" w:rsidR="00421B80" w:rsidRPr="00522766" w:rsidRDefault="00421B80" w:rsidP="00522766">
            <w:pPr>
              <w:spacing w:before="40" w:after="120"/>
              <w:ind w:right="113"/>
              <w:rPr>
                <w:szCs w:val="22"/>
                <w:lang w:val="fr-FR"/>
              </w:rPr>
            </w:pPr>
            <w:r w:rsidRPr="00522766">
              <w:rPr>
                <w:szCs w:val="22"/>
                <w:lang w:val="fr-FR"/>
              </w:rPr>
              <w:t>[…]</w:t>
            </w:r>
          </w:p>
        </w:tc>
      </w:tr>
    </w:tbl>
    <w:p w14:paraId="1D9F5EF9" w14:textId="77777777" w:rsidR="00421B80" w:rsidRPr="00863084" w:rsidRDefault="00421B80" w:rsidP="00863084">
      <w:pPr>
        <w:pStyle w:val="SingleTxtG"/>
        <w:spacing w:before="120"/>
        <w:rPr>
          <w:rStyle w:val="SingleTxtGChar"/>
        </w:rPr>
      </w:pPr>
      <w:r w:rsidRPr="00CF5907">
        <w:rPr>
          <w:lang w:val="fr-FR"/>
        </w:rPr>
        <w:t>4</w:t>
      </w:r>
      <w:r w:rsidRPr="00863084">
        <w:rPr>
          <w:rStyle w:val="SingleTxtGChar"/>
        </w:rPr>
        <w:t>.</w:t>
      </w:r>
      <w:r w:rsidRPr="00863084">
        <w:rPr>
          <w:rStyle w:val="SingleTxtGChar"/>
        </w:rPr>
        <w:tab/>
        <w:t>La première moitié de phrase des 9.1.0.40.2.5, lettre c) et 9.3.X.40.2.5, lettre c) de l'ADN est correcte dans les versions française, allemande et anglaise. La deuxième moitié de la phrase, en gras dans le présent document, mentionne dans la version allemande la fourniture de la quantité requise d'agent extincteur en cas d’endommagement par un incendie ou une explosion. Dans les versions française et anglaise, cette deuxième moitié de la phrase contient l'indication que le dispositif de déclenchement doit être installé de manière à réduire autant que possible le risque de panne en cas d'incendie ou d'explosion dans le local à protéger.</w:t>
      </w:r>
    </w:p>
    <w:p w14:paraId="767C9A2C" w14:textId="76919A8C" w:rsidR="00421B80" w:rsidRPr="00CF5907" w:rsidRDefault="005A7406" w:rsidP="005A7406">
      <w:pPr>
        <w:pStyle w:val="HChG"/>
        <w:rPr>
          <w:lang w:val="fr-FR"/>
        </w:rPr>
      </w:pPr>
      <w:r>
        <w:rPr>
          <w:lang w:val="fr-FR"/>
        </w:rPr>
        <w:tab/>
      </w:r>
      <w:r w:rsidR="004F1C51">
        <w:rPr>
          <w:lang w:val="fr-FR"/>
        </w:rPr>
        <w:tab/>
      </w:r>
      <w:r w:rsidR="00421B80" w:rsidRPr="00CF5907">
        <w:rPr>
          <w:lang w:val="fr-FR"/>
        </w:rPr>
        <w:t>Proposition</w:t>
      </w:r>
    </w:p>
    <w:p w14:paraId="25338744" w14:textId="5BB693F3" w:rsidR="00421B80" w:rsidRPr="00CF5907" w:rsidRDefault="00421B80" w:rsidP="00745097">
      <w:pPr>
        <w:pStyle w:val="SingleTxtG"/>
        <w:rPr>
          <w:lang w:val="fr-FR"/>
        </w:rPr>
      </w:pPr>
      <w:r w:rsidRPr="00CF5907">
        <w:rPr>
          <w:lang w:val="fr-FR"/>
        </w:rPr>
        <w:t>5.</w:t>
      </w:r>
      <w:r w:rsidRPr="00CF5907">
        <w:rPr>
          <w:lang w:val="fr-FR"/>
        </w:rPr>
        <w:tab/>
        <w:t xml:space="preserve">Tant les informations de la demi-phrase allemande que celles de la demi-phrase française ou anglaise semblent pertinentes. Le Secrétariat </w:t>
      </w:r>
      <w:r w:rsidR="007D53FE">
        <w:rPr>
          <w:lang w:val="fr-FR"/>
        </w:rPr>
        <w:t xml:space="preserve">de la CCNR </w:t>
      </w:r>
      <w:r w:rsidRPr="00CF5907">
        <w:rPr>
          <w:lang w:val="fr-FR"/>
        </w:rPr>
        <w:t>propose par conséquent de compléter toutes les versions linguistiques.</w:t>
      </w:r>
    </w:p>
    <w:p w14:paraId="791436A0" w14:textId="35483876" w:rsidR="00421B80" w:rsidRDefault="003B6413" w:rsidP="00745097">
      <w:pPr>
        <w:pStyle w:val="SingleTxtG"/>
        <w:rPr>
          <w:lang w:val="fr-FR"/>
        </w:rPr>
      </w:pPr>
      <w:r>
        <w:rPr>
          <w:lang w:val="fr-FR"/>
        </w:rPr>
        <w:t>6</w:t>
      </w:r>
      <w:r w:rsidR="00421B80" w:rsidRPr="00CF5907">
        <w:rPr>
          <w:lang w:val="fr-FR"/>
        </w:rPr>
        <w:t>.</w:t>
      </w:r>
      <w:r w:rsidR="00421B80" w:rsidRPr="00CF5907">
        <w:rPr>
          <w:lang w:val="fr-FR"/>
        </w:rPr>
        <w:tab/>
        <w:t xml:space="preserve">La proposition visant à compléter la première phrase des 9.1.0.40.2.5 c) et 9.3.X.40.2.5 c) est rédigée comme suit : </w:t>
      </w:r>
    </w:p>
    <w:p w14:paraId="317795CF" w14:textId="77777777" w:rsidR="000F3E5E" w:rsidRPr="00CF5907" w:rsidRDefault="000F3E5E" w:rsidP="000F3E5E">
      <w:pPr>
        <w:pStyle w:val="SingleTxtG"/>
        <w:ind w:left="1701"/>
        <w:rPr>
          <w:lang w:val="fr-FR"/>
        </w:rPr>
      </w:pPr>
      <w:r w:rsidRPr="00CF5907">
        <w:rPr>
          <w:lang w:val="fr-FR"/>
        </w:rPr>
        <w:t xml:space="preserve">« Les dispositifs de déclenchement doivent être installés de manière à pouvoir être actionnés </w:t>
      </w:r>
      <w:r w:rsidRPr="00CF5907">
        <w:rPr>
          <w:u w:val="single"/>
          <w:lang w:val="fr-FR"/>
        </w:rPr>
        <w:t xml:space="preserve">aussi </w:t>
      </w:r>
      <w:r w:rsidRPr="00CF5907">
        <w:rPr>
          <w:lang w:val="fr-FR"/>
        </w:rPr>
        <w:t xml:space="preserve">en cas d'incendie et </w:t>
      </w:r>
      <w:r w:rsidRPr="00CF5907">
        <w:rPr>
          <w:strike/>
          <w:lang w:val="fr-FR"/>
        </w:rPr>
        <w:t xml:space="preserve">de manière </w:t>
      </w:r>
      <w:r w:rsidRPr="00CF5907">
        <w:rPr>
          <w:lang w:val="fr-FR"/>
        </w:rPr>
        <w:t xml:space="preserve">à réduire autant que possible le risque de panne de ces dispositifs en cas d'incendie ou d'explosion dans le local à protéger </w:t>
      </w:r>
      <w:r w:rsidRPr="00CF5907">
        <w:rPr>
          <w:u w:val="single"/>
          <w:lang w:val="fr-FR"/>
        </w:rPr>
        <w:t>et de manière à ce que la quantité d'agent extincteur requise puisse néanmoins être fournie dans le local à protéger en cas d'incendie ou d'endommagement par un incendie ou une explosion</w:t>
      </w:r>
      <w:r w:rsidRPr="00CF5907">
        <w:rPr>
          <w:lang w:val="fr-FR"/>
        </w:rPr>
        <w:t>. … ».</w:t>
      </w:r>
    </w:p>
    <w:p w14:paraId="74F0C637" w14:textId="18FDE598" w:rsidR="00B313F3" w:rsidRPr="008E0B12" w:rsidRDefault="005D1285" w:rsidP="005D1285">
      <w:pPr>
        <w:spacing w:before="240"/>
        <w:jc w:val="center"/>
        <w:rPr>
          <w:u w:val="single"/>
        </w:rPr>
      </w:pPr>
      <w:r w:rsidRPr="008E0B12">
        <w:rPr>
          <w:u w:val="single"/>
        </w:rPr>
        <w:tab/>
      </w:r>
      <w:r w:rsidRPr="008E0B12">
        <w:rPr>
          <w:u w:val="single"/>
        </w:rPr>
        <w:tab/>
      </w:r>
      <w:r w:rsidRPr="008E0B12">
        <w:rPr>
          <w:u w:val="single"/>
        </w:rPr>
        <w:tab/>
      </w:r>
    </w:p>
    <w:sectPr w:rsidR="00B313F3" w:rsidRPr="008E0B12" w:rsidSect="00030E3E">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56D0F" w14:textId="77777777" w:rsidR="001974AD" w:rsidRDefault="001974AD" w:rsidP="00F95C08">
      <w:pPr>
        <w:spacing w:line="240" w:lineRule="auto"/>
      </w:pPr>
    </w:p>
  </w:endnote>
  <w:endnote w:type="continuationSeparator" w:id="0">
    <w:p w14:paraId="43815441" w14:textId="77777777" w:rsidR="001974AD" w:rsidRPr="00AC3823" w:rsidRDefault="001974AD" w:rsidP="00AC3823">
      <w:pPr>
        <w:pStyle w:val="Pieddepage"/>
      </w:pPr>
    </w:p>
  </w:endnote>
  <w:endnote w:type="continuationNotice" w:id="1">
    <w:p w14:paraId="7534D856" w14:textId="77777777" w:rsidR="001974AD" w:rsidRDefault="001974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1B5E" w14:textId="77777777" w:rsidR="000622BE" w:rsidRPr="000622BE" w:rsidRDefault="000622BE" w:rsidP="000622BE">
    <w:pPr>
      <w:pStyle w:val="Pieddepage"/>
      <w:tabs>
        <w:tab w:val="right" w:pos="9638"/>
      </w:tabs>
      <w:rPr>
        <w:sz w:val="18"/>
      </w:rPr>
    </w:pPr>
    <w:r w:rsidRPr="000622BE">
      <w:rPr>
        <w:b/>
        <w:sz w:val="18"/>
      </w:rPr>
      <w:fldChar w:fldCharType="begin"/>
    </w:r>
    <w:r w:rsidRPr="000622BE">
      <w:rPr>
        <w:b/>
        <w:sz w:val="18"/>
      </w:rPr>
      <w:instrText xml:space="preserve"> PAGE  \* MERGEFORMAT </w:instrText>
    </w:r>
    <w:r w:rsidRPr="000622BE">
      <w:rPr>
        <w:b/>
        <w:sz w:val="18"/>
      </w:rPr>
      <w:fldChar w:fldCharType="separate"/>
    </w:r>
    <w:r w:rsidRPr="000622BE">
      <w:rPr>
        <w:b/>
        <w:noProof/>
        <w:sz w:val="18"/>
      </w:rPr>
      <w:t>2</w:t>
    </w:r>
    <w:r w:rsidRPr="000622B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C7F5" w14:textId="77777777" w:rsidR="000622BE" w:rsidRPr="000622BE" w:rsidRDefault="000622BE" w:rsidP="000622BE">
    <w:pPr>
      <w:pStyle w:val="Pieddepage"/>
      <w:tabs>
        <w:tab w:val="right" w:pos="9638"/>
      </w:tabs>
      <w:rPr>
        <w:b/>
        <w:sz w:val="18"/>
      </w:rPr>
    </w:pPr>
    <w:r>
      <w:tab/>
    </w:r>
    <w:r w:rsidRPr="000622BE">
      <w:rPr>
        <w:b/>
        <w:sz w:val="18"/>
      </w:rPr>
      <w:fldChar w:fldCharType="begin"/>
    </w:r>
    <w:r w:rsidRPr="000622BE">
      <w:rPr>
        <w:b/>
        <w:sz w:val="18"/>
      </w:rPr>
      <w:instrText xml:space="preserve"> PAGE  \* MERGEFORMAT </w:instrText>
    </w:r>
    <w:r w:rsidRPr="000622BE">
      <w:rPr>
        <w:b/>
        <w:sz w:val="18"/>
      </w:rPr>
      <w:fldChar w:fldCharType="separate"/>
    </w:r>
    <w:r w:rsidRPr="000622BE">
      <w:rPr>
        <w:b/>
        <w:noProof/>
        <w:sz w:val="18"/>
      </w:rPr>
      <w:t>3</w:t>
    </w:r>
    <w:r w:rsidRPr="000622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BB35" w14:textId="0BD892BD" w:rsidR="000D3EE9" w:rsidRPr="00A97394" w:rsidRDefault="00A97394" w:rsidP="00A97394">
    <w:pPr>
      <w:pStyle w:val="Pieddepage"/>
      <w:tabs>
        <w:tab w:val="left" w:pos="6520"/>
        <w:tab w:val="right" w:pos="9638"/>
      </w:tabs>
      <w:spacing w:before="120"/>
      <w:rPr>
        <w:sz w:val="20"/>
      </w:rPr>
    </w:pPr>
    <w:r>
      <w:rPr>
        <w:sz w:val="20"/>
      </w:rPr>
      <w:t>GE.21-17406  (F)</w:t>
    </w:r>
    <w:bookmarkStart w:id="2" w:name="_GoBack"/>
    <w:bookmarkEnd w:id="2"/>
    <w:r>
      <w:rPr>
        <w:sz w:val="20"/>
      </w:rPr>
      <w:tab/>
    </w:r>
    <w:r w:rsidRPr="00A97394">
      <w:rPr>
        <w:noProof/>
        <w:sz w:val="20"/>
        <w:lang w:eastAsia="fr-CH"/>
      </w:rPr>
      <w:drawing>
        <wp:inline distT="0" distB="0" distL="0" distR="0" wp14:anchorId="5C8FFCD4" wp14:editId="1AE340E3">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63D457E" wp14:editId="5D4CDDD6">
          <wp:extent cx="636270" cy="6362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178C2" w14:textId="77777777" w:rsidR="001974AD" w:rsidRPr="00AC3823" w:rsidRDefault="001974AD" w:rsidP="00AC3823">
      <w:pPr>
        <w:pStyle w:val="Pieddepage"/>
        <w:tabs>
          <w:tab w:val="right" w:pos="2155"/>
        </w:tabs>
        <w:spacing w:after="80" w:line="240" w:lineRule="atLeast"/>
        <w:ind w:left="680"/>
        <w:rPr>
          <w:u w:val="single"/>
        </w:rPr>
      </w:pPr>
      <w:r>
        <w:rPr>
          <w:u w:val="single"/>
        </w:rPr>
        <w:tab/>
      </w:r>
    </w:p>
  </w:footnote>
  <w:footnote w:type="continuationSeparator" w:id="0">
    <w:p w14:paraId="2F2253E4" w14:textId="77777777" w:rsidR="001974AD" w:rsidRPr="00AC3823" w:rsidRDefault="001974AD" w:rsidP="00AC3823">
      <w:pPr>
        <w:pStyle w:val="Pieddepage"/>
        <w:tabs>
          <w:tab w:val="right" w:pos="2155"/>
        </w:tabs>
        <w:spacing w:after="80" w:line="240" w:lineRule="atLeast"/>
        <w:ind w:left="680"/>
        <w:rPr>
          <w:u w:val="single"/>
        </w:rPr>
      </w:pPr>
      <w:r>
        <w:rPr>
          <w:u w:val="single"/>
        </w:rPr>
        <w:tab/>
      </w:r>
    </w:p>
  </w:footnote>
  <w:footnote w:type="continuationNotice" w:id="1">
    <w:p w14:paraId="38753A2E" w14:textId="77777777" w:rsidR="001974AD" w:rsidRPr="00AC3823" w:rsidRDefault="001974AD">
      <w:pPr>
        <w:spacing w:line="240" w:lineRule="auto"/>
        <w:rPr>
          <w:sz w:val="2"/>
          <w:szCs w:val="2"/>
        </w:rPr>
      </w:pPr>
    </w:p>
  </w:footnote>
  <w:footnote w:id="2">
    <w:p w14:paraId="78E940E8" w14:textId="2A7E1874" w:rsidR="00421B80" w:rsidRPr="00FC239B" w:rsidRDefault="00421B80" w:rsidP="00421B80">
      <w:pPr>
        <w:pStyle w:val="Notedebasdepage"/>
        <w:rPr>
          <w:sz w:val="16"/>
          <w:szCs w:val="16"/>
          <w:lang w:val="fr-FR"/>
        </w:rPr>
      </w:pPr>
      <w:r w:rsidRPr="00FC239B">
        <w:rPr>
          <w:rStyle w:val="Appelnotedebasdep"/>
          <w:szCs w:val="16"/>
          <w:lang w:val="fr-FR"/>
        </w:rPr>
        <w:tab/>
      </w:r>
      <w:r w:rsidRPr="00F63433">
        <w:rPr>
          <w:rStyle w:val="Appelnotedebasdep"/>
          <w:sz w:val="20"/>
          <w:vertAlign w:val="baseline"/>
          <w:lang w:val="fr-FR"/>
        </w:rPr>
        <w:t>*</w:t>
      </w:r>
      <w:r w:rsidRPr="00FC239B">
        <w:rPr>
          <w:rStyle w:val="Appelnotedebasdep"/>
          <w:szCs w:val="16"/>
          <w:lang w:val="fr-FR"/>
        </w:rPr>
        <w:tab/>
      </w:r>
      <w:r w:rsidRPr="00FC239B">
        <w:rPr>
          <w:sz w:val="16"/>
          <w:szCs w:val="16"/>
          <w:lang w:val="fr-FR"/>
        </w:rPr>
        <w:t>Diffusée en langue allemande par la Commission centrale pour la navigation du Rhin sous la cote CCNR-ZKR/ADN/WP.15/AC.2/2022/</w:t>
      </w:r>
      <w:r w:rsidR="00823271">
        <w:rPr>
          <w:sz w:val="16"/>
          <w:szCs w:val="16"/>
          <w:lang w:val="fr-FR"/>
        </w:rPr>
        <w:t>2</w:t>
      </w:r>
      <w:r w:rsidR="00E010E2">
        <w:rPr>
          <w:sz w:val="16"/>
          <w:szCs w:val="16"/>
          <w:lang w:val="fr-FR"/>
        </w:rPr>
        <w:t>/</w:t>
      </w:r>
      <w:r w:rsidR="00575B36">
        <w:rPr>
          <w:sz w:val="16"/>
          <w:szCs w:val="16"/>
          <w:lang w:val="fr-FR"/>
        </w:rPr>
        <w:t>Rev.1</w:t>
      </w:r>
    </w:p>
  </w:footnote>
  <w:footnote w:id="3">
    <w:p w14:paraId="276BFB58" w14:textId="77777777" w:rsidR="00421B80" w:rsidRPr="00FC239B" w:rsidRDefault="00421B80" w:rsidP="00421B80">
      <w:pPr>
        <w:pStyle w:val="Notedebasdepage"/>
        <w:rPr>
          <w:sz w:val="16"/>
          <w:szCs w:val="16"/>
          <w:lang w:val="fr-FR"/>
        </w:rPr>
      </w:pPr>
      <w:r w:rsidRPr="00FC239B">
        <w:rPr>
          <w:rStyle w:val="Appelnotedebasdep"/>
          <w:szCs w:val="16"/>
          <w:lang w:val="fr-FR"/>
        </w:rPr>
        <w:tab/>
      </w:r>
      <w:r w:rsidRPr="00F63433">
        <w:rPr>
          <w:rStyle w:val="Appelnotedebasdep"/>
          <w:sz w:val="20"/>
          <w:vertAlign w:val="baseline"/>
          <w:lang w:val="fr-FR"/>
        </w:rPr>
        <w:t>**</w:t>
      </w:r>
      <w:r w:rsidRPr="00FC239B">
        <w:rPr>
          <w:rStyle w:val="Appelnotedebasdep"/>
          <w:szCs w:val="16"/>
          <w:lang w:val="fr-FR"/>
        </w:rPr>
        <w:tab/>
      </w:r>
      <w:r w:rsidRPr="00FC239B">
        <w:rPr>
          <w:sz w:val="16"/>
          <w:szCs w:val="16"/>
          <w:lang w:val="fr-FR"/>
        </w:rPr>
        <w:t>Conformément au programme de travail du Comité des transports intérieurs pour 2021 tel qu’il figure dans le projet de budget-programme pour 2021 (A/75/6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CF7F5" w14:textId="4E5CA599" w:rsidR="000622BE" w:rsidRPr="000622BE" w:rsidRDefault="008E0B12">
    <w:pPr>
      <w:pStyle w:val="En-tte"/>
    </w:pPr>
    <w:r>
      <w:fldChar w:fldCharType="begin"/>
    </w:r>
    <w:r>
      <w:instrText xml:space="preserve"> TITLE  \* MERGEFORMAT </w:instrText>
    </w:r>
    <w:r>
      <w:fldChar w:fldCharType="separate"/>
    </w:r>
    <w:r>
      <w:t>ECE/TRANS/WP.15/AC.2/2022/2/Rev.1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1936" w14:textId="4DEA1C45" w:rsidR="000622BE" w:rsidRPr="000622BE" w:rsidRDefault="008E0B12" w:rsidP="000622BE">
    <w:pPr>
      <w:pStyle w:val="En-tte"/>
      <w:jc w:val="right"/>
    </w:pPr>
    <w:r>
      <w:fldChar w:fldCharType="begin"/>
    </w:r>
    <w:r>
      <w:instrText xml:space="preserve"> TITLE  \* MERGEFORMAT </w:instrText>
    </w:r>
    <w:r>
      <w:fldChar w:fldCharType="separate"/>
    </w:r>
    <w:r>
      <w:t>ECE/TRANS/WP.15/AC.2/2022/2/Rev.1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BE"/>
    <w:rsid w:val="00000B04"/>
    <w:rsid w:val="00010F58"/>
    <w:rsid w:val="0001207F"/>
    <w:rsid w:val="00017F94"/>
    <w:rsid w:val="00023842"/>
    <w:rsid w:val="0002540B"/>
    <w:rsid w:val="00030E3E"/>
    <w:rsid w:val="000334F9"/>
    <w:rsid w:val="000514AB"/>
    <w:rsid w:val="00056D63"/>
    <w:rsid w:val="000622BE"/>
    <w:rsid w:val="0007796D"/>
    <w:rsid w:val="00092474"/>
    <w:rsid w:val="000942EE"/>
    <w:rsid w:val="000A52BF"/>
    <w:rsid w:val="000B7790"/>
    <w:rsid w:val="000D3EE9"/>
    <w:rsid w:val="000D62F3"/>
    <w:rsid w:val="000F3E5E"/>
    <w:rsid w:val="00111F2F"/>
    <w:rsid w:val="00126325"/>
    <w:rsid w:val="001433FD"/>
    <w:rsid w:val="0014365E"/>
    <w:rsid w:val="001541D3"/>
    <w:rsid w:val="00176178"/>
    <w:rsid w:val="00187588"/>
    <w:rsid w:val="001974AD"/>
    <w:rsid w:val="00197EA6"/>
    <w:rsid w:val="001A064B"/>
    <w:rsid w:val="001D400F"/>
    <w:rsid w:val="001F525A"/>
    <w:rsid w:val="00214C6F"/>
    <w:rsid w:val="00223272"/>
    <w:rsid w:val="00240333"/>
    <w:rsid w:val="002451E8"/>
    <w:rsid w:val="0024779E"/>
    <w:rsid w:val="002832AC"/>
    <w:rsid w:val="002834A0"/>
    <w:rsid w:val="0029191B"/>
    <w:rsid w:val="002D7C93"/>
    <w:rsid w:val="002E1447"/>
    <w:rsid w:val="00343829"/>
    <w:rsid w:val="0037241C"/>
    <w:rsid w:val="00373F1F"/>
    <w:rsid w:val="003B6413"/>
    <w:rsid w:val="003C4498"/>
    <w:rsid w:val="003C7D0A"/>
    <w:rsid w:val="003E48BC"/>
    <w:rsid w:val="00421B80"/>
    <w:rsid w:val="00441C3B"/>
    <w:rsid w:val="00446B0A"/>
    <w:rsid w:val="00446FE5"/>
    <w:rsid w:val="00452396"/>
    <w:rsid w:val="004E468C"/>
    <w:rsid w:val="004F1C51"/>
    <w:rsid w:val="004F2920"/>
    <w:rsid w:val="004F436F"/>
    <w:rsid w:val="00513502"/>
    <w:rsid w:val="00514199"/>
    <w:rsid w:val="00522766"/>
    <w:rsid w:val="005316B0"/>
    <w:rsid w:val="00550013"/>
    <w:rsid w:val="005505B7"/>
    <w:rsid w:val="00564657"/>
    <w:rsid w:val="00573BE5"/>
    <w:rsid w:val="00575B36"/>
    <w:rsid w:val="00586ED3"/>
    <w:rsid w:val="00596AA9"/>
    <w:rsid w:val="005976F7"/>
    <w:rsid w:val="005A7406"/>
    <w:rsid w:val="005B18BA"/>
    <w:rsid w:val="005B1A79"/>
    <w:rsid w:val="005B5CF3"/>
    <w:rsid w:val="005B5E2D"/>
    <w:rsid w:val="005D1285"/>
    <w:rsid w:val="005E5CE4"/>
    <w:rsid w:val="005F77C5"/>
    <w:rsid w:val="00621160"/>
    <w:rsid w:val="0062705A"/>
    <w:rsid w:val="006E2F73"/>
    <w:rsid w:val="00703D0F"/>
    <w:rsid w:val="00706363"/>
    <w:rsid w:val="0071100F"/>
    <w:rsid w:val="0071601D"/>
    <w:rsid w:val="00745097"/>
    <w:rsid w:val="007A2F4E"/>
    <w:rsid w:val="007A62E6"/>
    <w:rsid w:val="007D53FE"/>
    <w:rsid w:val="0080684C"/>
    <w:rsid w:val="008204DA"/>
    <w:rsid w:val="00823271"/>
    <w:rsid w:val="008253ED"/>
    <w:rsid w:val="0083123A"/>
    <w:rsid w:val="00863084"/>
    <w:rsid w:val="00871C75"/>
    <w:rsid w:val="00871C95"/>
    <w:rsid w:val="008767E8"/>
    <w:rsid w:val="008776DC"/>
    <w:rsid w:val="008E0B12"/>
    <w:rsid w:val="00902476"/>
    <w:rsid w:val="00903289"/>
    <w:rsid w:val="00905560"/>
    <w:rsid w:val="00915979"/>
    <w:rsid w:val="00916752"/>
    <w:rsid w:val="00931B82"/>
    <w:rsid w:val="009328A7"/>
    <w:rsid w:val="009705C8"/>
    <w:rsid w:val="009C1CF4"/>
    <w:rsid w:val="009D61EF"/>
    <w:rsid w:val="009F02C9"/>
    <w:rsid w:val="00A30353"/>
    <w:rsid w:val="00A55703"/>
    <w:rsid w:val="00A62D91"/>
    <w:rsid w:val="00A63FEE"/>
    <w:rsid w:val="00A90D54"/>
    <w:rsid w:val="00A93BFE"/>
    <w:rsid w:val="00A97394"/>
    <w:rsid w:val="00AA113A"/>
    <w:rsid w:val="00AA2EA5"/>
    <w:rsid w:val="00AC3823"/>
    <w:rsid w:val="00AD2F0A"/>
    <w:rsid w:val="00AD7840"/>
    <w:rsid w:val="00AE323C"/>
    <w:rsid w:val="00B00181"/>
    <w:rsid w:val="00B00B0D"/>
    <w:rsid w:val="00B07F65"/>
    <w:rsid w:val="00B30069"/>
    <w:rsid w:val="00B313F3"/>
    <w:rsid w:val="00B50E25"/>
    <w:rsid w:val="00B615C0"/>
    <w:rsid w:val="00B64918"/>
    <w:rsid w:val="00B765F7"/>
    <w:rsid w:val="00B86D45"/>
    <w:rsid w:val="00B94CBD"/>
    <w:rsid w:val="00B94E14"/>
    <w:rsid w:val="00BA0CA9"/>
    <w:rsid w:val="00BA5112"/>
    <w:rsid w:val="00BA53FB"/>
    <w:rsid w:val="00BB1C5E"/>
    <w:rsid w:val="00C02897"/>
    <w:rsid w:val="00C0383D"/>
    <w:rsid w:val="00C60E35"/>
    <w:rsid w:val="00C7616F"/>
    <w:rsid w:val="00CB16B5"/>
    <w:rsid w:val="00CE0608"/>
    <w:rsid w:val="00D3439C"/>
    <w:rsid w:val="00D44CF3"/>
    <w:rsid w:val="00D70306"/>
    <w:rsid w:val="00DA5C01"/>
    <w:rsid w:val="00DA6C5E"/>
    <w:rsid w:val="00DB1831"/>
    <w:rsid w:val="00DD3BFD"/>
    <w:rsid w:val="00DF431C"/>
    <w:rsid w:val="00DF6678"/>
    <w:rsid w:val="00E010E2"/>
    <w:rsid w:val="00E270FB"/>
    <w:rsid w:val="00E444B1"/>
    <w:rsid w:val="00E83651"/>
    <w:rsid w:val="00E939CE"/>
    <w:rsid w:val="00E97E21"/>
    <w:rsid w:val="00EA1B47"/>
    <w:rsid w:val="00EA3543"/>
    <w:rsid w:val="00EF2E22"/>
    <w:rsid w:val="00F0592C"/>
    <w:rsid w:val="00F43289"/>
    <w:rsid w:val="00F63433"/>
    <w:rsid w:val="00F660DF"/>
    <w:rsid w:val="00F95C08"/>
    <w:rsid w:val="00FC37BD"/>
    <w:rsid w:val="00FE24DC"/>
    <w:rsid w:val="00FE69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E746D"/>
  <w15:docId w15:val="{824D1245-82E6-4984-969E-398DC029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ntext Zchn1 Zchn,Fußnotentext Zchn Zchn Zchn, Car Car Car Zchn Zchn Zchn, Car Car Car Car Car Car Car Car Car Zchn Zchn Zchn, Car Car Car Zchn1 Zchn, Car Car Car Car Car Car Car Car Car Zchn1 Zchn,5_GR,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ntext Zchn1 Zchn Car,Fußnotentext Zchn Zchn Zchn Car, Car Car Car Zchn Zchn Zchn Car, Car Car Car Car Car Car Car Car Car Zchn Zchn Zchn Car, Car Car Car Zchn1 Zchn Car,5_GR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table" w:customStyle="1" w:styleId="Tabelraster1">
    <w:name w:val="Tabelraster1"/>
    <w:basedOn w:val="TableauNormal"/>
    <w:next w:val="Grilledutableau"/>
    <w:rsid w:val="00421B80"/>
    <w:pPr>
      <w:suppressAutoHyphens/>
      <w:spacing w:after="0"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
    <w:name w:val="a_"/>
    <w:basedOn w:val="Retraitcorpsdetexte2"/>
    <w:rsid w:val="00421B80"/>
    <w:pPr>
      <w:tabs>
        <w:tab w:val="left" w:pos="426"/>
        <w:tab w:val="left" w:pos="709"/>
      </w:tabs>
      <w:suppressAutoHyphens w:val="0"/>
      <w:kinsoku/>
      <w:overflowPunct/>
      <w:autoSpaceDE/>
      <w:autoSpaceDN/>
      <w:adjustRightInd/>
      <w:snapToGrid/>
      <w:spacing w:after="0" w:line="240" w:lineRule="atLeast"/>
      <w:ind w:left="709" w:hanging="709"/>
      <w:jc w:val="both"/>
    </w:pPr>
    <w:rPr>
      <w:rFonts w:ascii="Arial" w:hAnsi="Arial" w:cs="Arial"/>
      <w:snapToGrid w:val="0"/>
      <w:lang w:val="de-DE" w:eastAsia="fr-FR"/>
    </w:rPr>
  </w:style>
  <w:style w:type="paragraph" w:styleId="Retraitcorpsdetexte2">
    <w:name w:val="Body Text Indent 2"/>
    <w:basedOn w:val="Normal"/>
    <w:link w:val="Retraitcorpsdetexte2Car"/>
    <w:uiPriority w:val="99"/>
    <w:semiHidden/>
    <w:unhideWhenUsed/>
    <w:rsid w:val="00421B8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421B80"/>
  </w:style>
  <w:style w:type="character" w:styleId="Marquedecommentaire">
    <w:name w:val="annotation reference"/>
    <w:basedOn w:val="Policepardfaut"/>
    <w:uiPriority w:val="99"/>
    <w:semiHidden/>
    <w:unhideWhenUsed/>
    <w:rsid w:val="000514AB"/>
    <w:rPr>
      <w:sz w:val="16"/>
      <w:szCs w:val="16"/>
    </w:rPr>
  </w:style>
  <w:style w:type="paragraph" w:styleId="Commentaire">
    <w:name w:val="annotation text"/>
    <w:basedOn w:val="Normal"/>
    <w:link w:val="CommentaireCar"/>
    <w:uiPriority w:val="99"/>
    <w:semiHidden/>
    <w:unhideWhenUsed/>
    <w:rsid w:val="000514AB"/>
    <w:pPr>
      <w:spacing w:line="240" w:lineRule="auto"/>
    </w:pPr>
  </w:style>
  <w:style w:type="character" w:customStyle="1" w:styleId="CommentaireCar">
    <w:name w:val="Commentaire Car"/>
    <w:basedOn w:val="Policepardfaut"/>
    <w:link w:val="Commentaire"/>
    <w:uiPriority w:val="99"/>
    <w:semiHidden/>
    <w:rsid w:val="000514AB"/>
  </w:style>
  <w:style w:type="paragraph" w:styleId="Objetducommentaire">
    <w:name w:val="annotation subject"/>
    <w:basedOn w:val="Commentaire"/>
    <w:next w:val="Commentaire"/>
    <w:link w:val="ObjetducommentaireCar"/>
    <w:uiPriority w:val="99"/>
    <w:semiHidden/>
    <w:unhideWhenUsed/>
    <w:rsid w:val="000514AB"/>
    <w:rPr>
      <w:b/>
      <w:bCs/>
    </w:rPr>
  </w:style>
  <w:style w:type="character" w:customStyle="1" w:styleId="ObjetducommentaireCar">
    <w:name w:val="Objet du commentaire Car"/>
    <w:basedOn w:val="CommentaireCar"/>
    <w:link w:val="Objetducommentaire"/>
    <w:uiPriority w:val="99"/>
    <w:semiHidden/>
    <w:rsid w:val="00051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302755">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Nadiya Dzyubynska</DisplayName>
        <AccountId>453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AAF74-F9DE-4B1D-80C3-BED4486C85DE}">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D19E9EBD-940C-4BFA-8E35-03AA545C0092}">
  <ds:schemaRefs>
    <ds:schemaRef ds:uri="http://schemas.microsoft.com/sharepoint/v3/contenttype/forms"/>
  </ds:schemaRefs>
</ds:datastoreItem>
</file>

<file path=customXml/itemProps3.xml><?xml version="1.0" encoding="utf-8"?>
<ds:datastoreItem xmlns:ds="http://schemas.openxmlformats.org/officeDocument/2006/customXml" ds:itemID="{9447F3F9-1810-4F1D-BDBA-FD2FD22F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3181</Characters>
  <Application>Microsoft Office Word</Application>
  <DocSecurity>0</DocSecurity>
  <Lines>99</Lines>
  <Paragraphs>41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ECE/TRANS/WP.15/AC.2/2022/2/Rev.1</dc:title>
  <dc:subject>FINAL</dc:subject>
  <dc:creator>Secretariat</dc:creator>
  <cp:keywords/>
  <dc:description/>
  <cp:lastModifiedBy>Maud Dariche</cp:lastModifiedBy>
  <cp:revision>3</cp:revision>
  <cp:lastPrinted>2021-11-29T07:40:00Z</cp:lastPrinted>
  <dcterms:created xsi:type="dcterms:W3CDTF">2021-11-29T07:39:00Z</dcterms:created>
  <dcterms:modified xsi:type="dcterms:W3CDTF">2021-11-29T07:42:00Z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