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3851A9E" w14:textId="77777777" w:rsidTr="000D1B89">
        <w:trPr>
          <w:cantSplit/>
          <w:trHeight w:hRule="exact" w:val="851"/>
        </w:trPr>
        <w:tc>
          <w:tcPr>
            <w:tcW w:w="1276" w:type="dxa"/>
            <w:tcBorders>
              <w:bottom w:val="single" w:sz="4" w:space="0" w:color="auto"/>
            </w:tcBorders>
            <w:vAlign w:val="bottom"/>
          </w:tcPr>
          <w:p w14:paraId="77879614" w14:textId="77777777" w:rsidR="00717266" w:rsidRDefault="00717266" w:rsidP="000D1B89">
            <w:pPr>
              <w:spacing w:after="80"/>
            </w:pPr>
          </w:p>
        </w:tc>
        <w:tc>
          <w:tcPr>
            <w:tcW w:w="2268" w:type="dxa"/>
            <w:tcBorders>
              <w:bottom w:val="single" w:sz="4" w:space="0" w:color="auto"/>
            </w:tcBorders>
            <w:vAlign w:val="bottom"/>
          </w:tcPr>
          <w:p w14:paraId="2795736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7A07AC" w14:textId="77777777" w:rsidR="00717266" w:rsidRPr="00D47EEA" w:rsidRDefault="00E51557" w:rsidP="00E51557">
            <w:pPr>
              <w:suppressAutoHyphens w:val="0"/>
              <w:spacing w:after="20"/>
              <w:jc w:val="right"/>
            </w:pPr>
            <w:r w:rsidRPr="00E51557">
              <w:rPr>
                <w:sz w:val="40"/>
              </w:rPr>
              <w:t>ECE</w:t>
            </w:r>
            <w:r>
              <w:t>/TRANS/WP.15/AC.2/2022/2/Rev.1</w:t>
            </w:r>
          </w:p>
        </w:tc>
      </w:tr>
      <w:tr w:rsidR="00717266" w14:paraId="4E13B65D" w14:textId="77777777" w:rsidTr="000D1B89">
        <w:trPr>
          <w:cantSplit/>
          <w:trHeight w:hRule="exact" w:val="2835"/>
        </w:trPr>
        <w:tc>
          <w:tcPr>
            <w:tcW w:w="1276" w:type="dxa"/>
            <w:tcBorders>
              <w:top w:val="single" w:sz="4" w:space="0" w:color="auto"/>
              <w:bottom w:val="single" w:sz="12" w:space="0" w:color="auto"/>
            </w:tcBorders>
          </w:tcPr>
          <w:p w14:paraId="245ADDAA" w14:textId="77777777" w:rsidR="00717266" w:rsidRDefault="00717266" w:rsidP="000D1B89">
            <w:pPr>
              <w:spacing w:before="120"/>
            </w:pPr>
            <w:r>
              <w:rPr>
                <w:noProof/>
                <w:lang w:val="fr-CH" w:eastAsia="fr-CH"/>
              </w:rPr>
              <w:drawing>
                <wp:inline distT="0" distB="0" distL="0" distR="0" wp14:anchorId="6D75AB69" wp14:editId="563DCA4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F69A6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8F0F02" w14:textId="77777777" w:rsidR="00717266" w:rsidRDefault="00E51557" w:rsidP="00E51557">
            <w:pPr>
              <w:spacing w:before="240"/>
            </w:pPr>
            <w:r>
              <w:t>Distr.: General</w:t>
            </w:r>
          </w:p>
          <w:p w14:paraId="2A3F772D" w14:textId="7CC60131" w:rsidR="00E51557" w:rsidRDefault="00307C70" w:rsidP="00E51557">
            <w:pPr>
              <w:suppressAutoHyphens w:val="0"/>
            </w:pPr>
            <w:r>
              <w:t>26</w:t>
            </w:r>
            <w:r w:rsidR="00E51557" w:rsidRPr="00E51557">
              <w:t xml:space="preserve"> November 2021</w:t>
            </w:r>
          </w:p>
          <w:p w14:paraId="5FCBBCB5" w14:textId="4F39974A" w:rsidR="00E51557" w:rsidRDefault="00E51557" w:rsidP="00E51557">
            <w:pPr>
              <w:suppressAutoHyphens w:val="0"/>
            </w:pPr>
            <w:r>
              <w:t>English</w:t>
            </w:r>
          </w:p>
          <w:p w14:paraId="261350E9" w14:textId="6F6DE14C" w:rsidR="00E51557" w:rsidRDefault="00E51557" w:rsidP="00E51557">
            <w:pPr>
              <w:suppressAutoHyphens w:val="0"/>
            </w:pPr>
            <w:r>
              <w:t>Original: French</w:t>
            </w:r>
          </w:p>
        </w:tc>
      </w:tr>
    </w:tbl>
    <w:p w14:paraId="4DA3009B" w14:textId="77777777" w:rsidR="00E51557" w:rsidRDefault="00E51557">
      <w:pPr>
        <w:spacing w:before="120"/>
        <w:rPr>
          <w:b/>
          <w:sz w:val="28"/>
          <w:szCs w:val="28"/>
        </w:rPr>
      </w:pPr>
      <w:r>
        <w:rPr>
          <w:b/>
          <w:sz w:val="28"/>
          <w:szCs w:val="28"/>
        </w:rPr>
        <w:t>Economic Commission for Europe</w:t>
      </w:r>
    </w:p>
    <w:p w14:paraId="015B1247" w14:textId="77777777" w:rsidR="00E51557" w:rsidRDefault="00E51557">
      <w:pPr>
        <w:spacing w:before="120"/>
        <w:rPr>
          <w:sz w:val="28"/>
          <w:szCs w:val="28"/>
        </w:rPr>
      </w:pPr>
      <w:r>
        <w:rPr>
          <w:sz w:val="28"/>
          <w:szCs w:val="28"/>
        </w:rPr>
        <w:t>Inland Transport Committee</w:t>
      </w:r>
    </w:p>
    <w:p w14:paraId="1DD8EAB6" w14:textId="39A870D6" w:rsidR="00E51557" w:rsidRDefault="00E51557">
      <w:pPr>
        <w:spacing w:before="120"/>
        <w:rPr>
          <w:b/>
          <w:sz w:val="24"/>
          <w:szCs w:val="24"/>
        </w:rPr>
      </w:pPr>
      <w:r>
        <w:rPr>
          <w:b/>
          <w:sz w:val="24"/>
          <w:szCs w:val="24"/>
        </w:rPr>
        <w:t xml:space="preserve">Working Party on the Transport of </w:t>
      </w:r>
      <w:r w:rsidR="00423405" w:rsidRPr="00423405">
        <w:rPr>
          <w:b/>
          <w:sz w:val="24"/>
          <w:szCs w:val="24"/>
        </w:rPr>
        <w:t>Dangerous Goods</w:t>
      </w:r>
    </w:p>
    <w:p w14:paraId="2168DEE8" w14:textId="57A692A6" w:rsidR="00423405" w:rsidRPr="003342B2" w:rsidRDefault="00423405" w:rsidP="00113AFF">
      <w:pPr>
        <w:rPr>
          <w:b/>
          <w:lang w:val="en-US"/>
        </w:rPr>
      </w:pPr>
      <w:r>
        <w:rPr>
          <w:b/>
          <w:bCs/>
        </w:rPr>
        <w:t>Joint Meeting of Experts on the Regulations annexed to the</w:t>
      </w:r>
      <w:r w:rsidR="00113AFF">
        <w:rPr>
          <w:b/>
          <w:bCs/>
        </w:rPr>
        <w:br/>
      </w:r>
      <w:r>
        <w:rPr>
          <w:b/>
          <w:bCs/>
        </w:rPr>
        <w:t>European Agreement concerning the International Carriage</w:t>
      </w:r>
      <w:r w:rsidR="00113AFF">
        <w:rPr>
          <w:b/>
          <w:bCs/>
        </w:rPr>
        <w:br/>
      </w:r>
      <w:r>
        <w:rPr>
          <w:b/>
          <w:bCs/>
        </w:rPr>
        <w:t>of Dangerous Goods by Inland Waterways (ADN)</w:t>
      </w:r>
      <w:r w:rsidR="00113AFF">
        <w:rPr>
          <w:b/>
          <w:bCs/>
        </w:rPr>
        <w:br/>
      </w:r>
      <w:r>
        <w:rPr>
          <w:b/>
          <w:bCs/>
        </w:rPr>
        <w:t>(ADN Safety Committee)</w:t>
      </w:r>
      <w:bookmarkStart w:id="0" w:name="_Hlk57122394"/>
      <w:bookmarkEnd w:id="0"/>
    </w:p>
    <w:p w14:paraId="4F3C1CDB" w14:textId="77777777" w:rsidR="00423405" w:rsidRPr="003342B2" w:rsidRDefault="00423405" w:rsidP="00423405">
      <w:pPr>
        <w:spacing w:before="120"/>
        <w:rPr>
          <w:b/>
          <w:lang w:val="en-US"/>
        </w:rPr>
      </w:pPr>
      <w:r>
        <w:rPr>
          <w:b/>
          <w:bCs/>
        </w:rPr>
        <w:t>Thirty-ninth session</w:t>
      </w:r>
    </w:p>
    <w:p w14:paraId="502BEEB3" w14:textId="77777777" w:rsidR="00423405" w:rsidRPr="003342B2" w:rsidRDefault="00423405" w:rsidP="00423405">
      <w:pPr>
        <w:rPr>
          <w:lang w:val="en-US"/>
        </w:rPr>
      </w:pPr>
      <w:r>
        <w:t>Geneva, 24–28 January 2022</w:t>
      </w:r>
    </w:p>
    <w:p w14:paraId="40712D82" w14:textId="77777777" w:rsidR="00423405" w:rsidRPr="003342B2" w:rsidRDefault="00423405" w:rsidP="00423405">
      <w:pPr>
        <w:rPr>
          <w:lang w:val="en-US"/>
        </w:rPr>
      </w:pPr>
      <w:r>
        <w:t>Item 5 (b) of the provisional agenda</w:t>
      </w:r>
    </w:p>
    <w:p w14:paraId="7A178FA6" w14:textId="4CC45C4B" w:rsidR="00423405" w:rsidRPr="003342B2" w:rsidRDefault="00423405" w:rsidP="00113AFF">
      <w:pPr>
        <w:rPr>
          <w:b/>
          <w:bCs/>
          <w:lang w:val="en-US"/>
        </w:rPr>
      </w:pPr>
      <w:r>
        <w:rPr>
          <w:b/>
          <w:bCs/>
        </w:rPr>
        <w:t>Proposals for amendments to the regulations annexed to the ADN:</w:t>
      </w:r>
      <w:r w:rsidR="00113AFF">
        <w:rPr>
          <w:b/>
          <w:bCs/>
        </w:rPr>
        <w:br/>
      </w:r>
      <w:r>
        <w:rPr>
          <w:b/>
          <w:bCs/>
        </w:rPr>
        <w:t>Other proposals</w:t>
      </w:r>
    </w:p>
    <w:p w14:paraId="74EED6BA" w14:textId="77777777" w:rsidR="00423405" w:rsidRPr="00EA54C4" w:rsidRDefault="00423405" w:rsidP="00423405">
      <w:pPr>
        <w:pStyle w:val="HChG"/>
      </w:pPr>
      <w:r w:rsidRPr="00EA54C4">
        <w:tab/>
      </w:r>
      <w:r w:rsidRPr="00EA54C4">
        <w:tab/>
        <w:t xml:space="preserve">Inconsistency </w:t>
      </w:r>
      <w:r>
        <w:t>between</w:t>
      </w:r>
      <w:r w:rsidRPr="00EA54C4">
        <w:t xml:space="preserve"> the language versions in 9.1.0.40.2.5 (c) and 9.3.X.40.2.5 (c) of ADN concerning triggering devices</w:t>
      </w:r>
    </w:p>
    <w:p w14:paraId="09B08E7E" w14:textId="77777777" w:rsidR="00423405" w:rsidRPr="00EA54C4" w:rsidRDefault="00423405" w:rsidP="00423405">
      <w:pPr>
        <w:pStyle w:val="H1G"/>
        <w:rPr>
          <w:rFonts w:eastAsia="Calibri"/>
        </w:rPr>
      </w:pPr>
      <w:r w:rsidRPr="00EA54C4">
        <w:tab/>
      </w:r>
      <w:r w:rsidRPr="00EA54C4">
        <w:tab/>
        <w:t>Transmitted by the Central Commission for the Navigation of the Rhine (CCNR)</w:t>
      </w:r>
      <w:r w:rsidRPr="00C40D63">
        <w:rPr>
          <w:rStyle w:val="FootnoteReference"/>
          <w:rFonts w:eastAsia="Calibri"/>
          <w:b w:val="0"/>
          <w:bCs/>
          <w:sz w:val="20"/>
          <w:vertAlign w:val="baseline"/>
        </w:rPr>
        <w:footnoteReference w:customMarkFollows="1" w:id="1"/>
        <w:t>*</w:t>
      </w:r>
      <w:r w:rsidRPr="00C40D63">
        <w:rPr>
          <w:rStyle w:val="FootnoteReference"/>
          <w:rFonts w:eastAsia="Calibri"/>
          <w:b w:val="0"/>
          <w:bCs/>
          <w:position w:val="8"/>
          <w:sz w:val="20"/>
          <w:vertAlign w:val="baseline"/>
        </w:rPr>
        <w:t>,</w:t>
      </w:r>
      <w:r w:rsidRPr="00C40D63">
        <w:rPr>
          <w:rStyle w:val="FootnoteReference"/>
          <w:rFonts w:eastAsia="Calibri"/>
          <w:b w:val="0"/>
          <w:bCs/>
          <w:sz w:val="20"/>
          <w:vertAlign w:val="baseline"/>
        </w:rPr>
        <w:t xml:space="preserve"> </w:t>
      </w:r>
      <w:r w:rsidRPr="00C40D63">
        <w:rPr>
          <w:rStyle w:val="FootnoteReference"/>
          <w:rFonts w:eastAsia="Calibri"/>
          <w:b w:val="0"/>
          <w:bCs/>
          <w:sz w:val="20"/>
          <w:vertAlign w:val="baseline"/>
        </w:rPr>
        <w:footnoteReference w:customMarkFollows="1" w:id="2"/>
        <w:t>**</w:t>
      </w:r>
    </w:p>
    <w:p w14:paraId="5557210F" w14:textId="77777777" w:rsidR="00423405" w:rsidRPr="00EA54C4" w:rsidRDefault="00423405" w:rsidP="00423405">
      <w:pPr>
        <w:pStyle w:val="HChG"/>
      </w:pPr>
      <w:r w:rsidRPr="00EA54C4">
        <w:tab/>
      </w:r>
      <w:r w:rsidRPr="00EA54C4">
        <w:tab/>
        <w:t>Introduction</w:t>
      </w:r>
      <w:bookmarkStart w:id="1" w:name="_Hlk83902369"/>
      <w:bookmarkEnd w:id="1"/>
    </w:p>
    <w:p w14:paraId="0A9C1984" w14:textId="77777777" w:rsidR="00423405" w:rsidRPr="00EA54C4" w:rsidRDefault="00423405" w:rsidP="00423405">
      <w:pPr>
        <w:pStyle w:val="SingleTxtG"/>
      </w:pPr>
      <w:r w:rsidRPr="00EA54C4">
        <w:t>1.</w:t>
      </w:r>
      <w:r w:rsidRPr="00EA54C4">
        <w:tab/>
        <w:t xml:space="preserve">The CCNR secretariat </w:t>
      </w:r>
      <w:r>
        <w:t xml:space="preserve">has </w:t>
      </w:r>
      <w:r w:rsidRPr="00EA54C4">
        <w:t>noted a difference between the German text and the French and English texts of 9.1.0.40.2.5 (c) and 9.3.X.40.2.5 (c) of ADN concerning triggering devices. This difference has existed since ADN 2009.</w:t>
      </w:r>
    </w:p>
    <w:p w14:paraId="218B80FF" w14:textId="77777777" w:rsidR="00423405" w:rsidRPr="00EA54C4" w:rsidRDefault="00423405" w:rsidP="00423405">
      <w:pPr>
        <w:pStyle w:val="SingleTxtG"/>
      </w:pPr>
      <w:r w:rsidRPr="00EA54C4">
        <w:t>2.</w:t>
      </w:r>
      <w:r w:rsidRPr="00EA54C4">
        <w:tab/>
        <w:t xml:space="preserve">The CCNR </w:t>
      </w:r>
      <w:r>
        <w:t>s</w:t>
      </w:r>
      <w:r w:rsidRPr="00EA54C4">
        <w:t xml:space="preserve">ecretariat has </w:t>
      </w:r>
      <w:proofErr w:type="gramStart"/>
      <w:r w:rsidRPr="00EA54C4">
        <w:t>come to the conclusion</w:t>
      </w:r>
      <w:proofErr w:type="gramEnd"/>
      <w:r w:rsidRPr="00EA54C4">
        <w:t xml:space="preserve"> that both versions of the text </w:t>
      </w:r>
      <w:r>
        <w:t>–</w:t>
      </w:r>
      <w:r w:rsidRPr="00EA54C4">
        <w:t xml:space="preserve"> the German version and the French and English version </w:t>
      </w:r>
      <w:r>
        <w:t>–</w:t>
      </w:r>
      <w:r w:rsidRPr="00EA54C4">
        <w:t xml:space="preserve"> are missing information and that they therefore all require amendment.</w:t>
      </w:r>
    </w:p>
    <w:p w14:paraId="7FE07845" w14:textId="77777777" w:rsidR="00423405" w:rsidRPr="00EA54C4" w:rsidRDefault="00423405" w:rsidP="00423405">
      <w:pPr>
        <w:pStyle w:val="SingleTxtG"/>
      </w:pPr>
      <w:r w:rsidRPr="00EA54C4">
        <w:br w:type="page"/>
      </w:r>
    </w:p>
    <w:p w14:paraId="6172F3C3" w14:textId="77777777" w:rsidR="00423405" w:rsidRPr="00EA54C4" w:rsidRDefault="00423405" w:rsidP="00423405">
      <w:pPr>
        <w:pStyle w:val="HChG"/>
      </w:pPr>
      <w:r w:rsidRPr="00EA54C4">
        <w:lastRenderedPageBreak/>
        <w:tab/>
      </w:r>
      <w:r w:rsidRPr="00EA54C4">
        <w:tab/>
        <w:t>Content of ADN 2021, 9.1.0.40.2.5 (c) and 9.3.X.40.2.5 (c)</w:t>
      </w:r>
    </w:p>
    <w:p w14:paraId="11FE740F" w14:textId="77777777" w:rsidR="00423405" w:rsidRPr="00EA54C4" w:rsidRDefault="00423405" w:rsidP="00423405">
      <w:pPr>
        <w:pStyle w:val="SingleTxtG"/>
        <w:spacing w:after="240"/>
      </w:pPr>
      <w:r w:rsidRPr="00EA54C4">
        <w:t>3.</w:t>
      </w:r>
      <w:r w:rsidRPr="00EA54C4">
        <w:tab/>
        <w:t>The text of 9.1.0.40.2.5 (c) and 9.3.X.40.2.5 (c) of ADN is reproduced in the table below:</w:t>
      </w:r>
    </w:p>
    <w:tbl>
      <w:tblPr>
        <w:tblStyle w:val="Tabelraster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1"/>
        <w:gridCol w:w="2443"/>
        <w:gridCol w:w="2536"/>
      </w:tblGrid>
      <w:tr w:rsidR="00423405" w:rsidRPr="00D664A7" w14:paraId="20F8A9A4" w14:textId="77777777" w:rsidTr="00B01590">
        <w:trPr>
          <w:tblHeader/>
        </w:trPr>
        <w:tc>
          <w:tcPr>
            <w:tcW w:w="2391" w:type="dxa"/>
            <w:tcBorders>
              <w:top w:val="single" w:sz="4" w:space="0" w:color="auto"/>
              <w:bottom w:val="single" w:sz="12" w:space="0" w:color="auto"/>
            </w:tcBorders>
            <w:shd w:val="clear" w:color="auto" w:fill="auto"/>
            <w:vAlign w:val="bottom"/>
          </w:tcPr>
          <w:p w14:paraId="69B70C5C" w14:textId="77777777" w:rsidR="00423405" w:rsidRPr="00D664A7" w:rsidRDefault="00423405" w:rsidP="00B01590">
            <w:pPr>
              <w:suppressAutoHyphens w:val="0"/>
              <w:spacing w:before="80" w:after="80" w:line="200" w:lineRule="exact"/>
              <w:ind w:right="113"/>
              <w:rPr>
                <w:i/>
                <w:sz w:val="16"/>
              </w:rPr>
            </w:pPr>
            <w:r w:rsidRPr="00D664A7">
              <w:rPr>
                <w:i/>
                <w:sz w:val="16"/>
              </w:rPr>
              <w:t>English</w:t>
            </w:r>
          </w:p>
        </w:tc>
        <w:tc>
          <w:tcPr>
            <w:tcW w:w="2443" w:type="dxa"/>
            <w:tcBorders>
              <w:top w:val="single" w:sz="4" w:space="0" w:color="auto"/>
              <w:bottom w:val="single" w:sz="12" w:space="0" w:color="auto"/>
            </w:tcBorders>
            <w:shd w:val="clear" w:color="auto" w:fill="auto"/>
            <w:vAlign w:val="bottom"/>
          </w:tcPr>
          <w:p w14:paraId="2E620601" w14:textId="77777777" w:rsidR="00423405" w:rsidRPr="00D664A7" w:rsidRDefault="00423405" w:rsidP="00B01590">
            <w:pPr>
              <w:suppressAutoHyphens w:val="0"/>
              <w:spacing w:before="80" w:after="80" w:line="200" w:lineRule="exact"/>
              <w:ind w:right="113"/>
              <w:rPr>
                <w:i/>
                <w:sz w:val="16"/>
              </w:rPr>
            </w:pPr>
            <w:r w:rsidRPr="00D664A7">
              <w:rPr>
                <w:i/>
                <w:sz w:val="16"/>
              </w:rPr>
              <w:t>French</w:t>
            </w:r>
          </w:p>
        </w:tc>
        <w:tc>
          <w:tcPr>
            <w:tcW w:w="2536" w:type="dxa"/>
            <w:tcBorders>
              <w:top w:val="single" w:sz="4" w:space="0" w:color="auto"/>
              <w:bottom w:val="single" w:sz="12" w:space="0" w:color="auto"/>
            </w:tcBorders>
            <w:shd w:val="clear" w:color="auto" w:fill="auto"/>
            <w:vAlign w:val="bottom"/>
          </w:tcPr>
          <w:p w14:paraId="018D3360" w14:textId="77777777" w:rsidR="00423405" w:rsidRPr="00D664A7" w:rsidRDefault="00423405" w:rsidP="00B01590">
            <w:pPr>
              <w:suppressAutoHyphens w:val="0"/>
              <w:spacing w:before="80" w:after="80" w:line="200" w:lineRule="exact"/>
              <w:ind w:right="113"/>
              <w:rPr>
                <w:i/>
                <w:sz w:val="16"/>
              </w:rPr>
            </w:pPr>
            <w:r w:rsidRPr="00D664A7">
              <w:rPr>
                <w:i/>
                <w:sz w:val="16"/>
              </w:rPr>
              <w:t>German</w:t>
            </w:r>
          </w:p>
        </w:tc>
      </w:tr>
      <w:tr w:rsidR="00423405" w:rsidRPr="00D664A7" w14:paraId="3922C1B7" w14:textId="77777777" w:rsidTr="00B01590">
        <w:trPr>
          <w:trHeight w:hRule="exact" w:val="113"/>
        </w:trPr>
        <w:tc>
          <w:tcPr>
            <w:tcW w:w="2391" w:type="dxa"/>
            <w:tcBorders>
              <w:top w:val="single" w:sz="12" w:space="0" w:color="auto"/>
            </w:tcBorders>
            <w:shd w:val="clear" w:color="auto" w:fill="auto"/>
          </w:tcPr>
          <w:p w14:paraId="7E90C228" w14:textId="77777777" w:rsidR="00423405" w:rsidRPr="00D664A7" w:rsidRDefault="00423405" w:rsidP="00B01590">
            <w:pPr>
              <w:suppressAutoHyphens w:val="0"/>
              <w:spacing w:before="40" w:after="120" w:line="220" w:lineRule="exact"/>
              <w:ind w:right="113"/>
            </w:pPr>
          </w:p>
        </w:tc>
        <w:tc>
          <w:tcPr>
            <w:tcW w:w="2443" w:type="dxa"/>
            <w:tcBorders>
              <w:top w:val="single" w:sz="12" w:space="0" w:color="auto"/>
            </w:tcBorders>
            <w:shd w:val="clear" w:color="auto" w:fill="auto"/>
          </w:tcPr>
          <w:p w14:paraId="12756C1C" w14:textId="77777777" w:rsidR="00423405" w:rsidRPr="00D664A7" w:rsidRDefault="00423405" w:rsidP="00B01590">
            <w:pPr>
              <w:suppressAutoHyphens w:val="0"/>
              <w:spacing w:before="40" w:after="120" w:line="220" w:lineRule="exact"/>
              <w:ind w:right="113"/>
            </w:pPr>
          </w:p>
        </w:tc>
        <w:tc>
          <w:tcPr>
            <w:tcW w:w="2536" w:type="dxa"/>
            <w:tcBorders>
              <w:top w:val="single" w:sz="12" w:space="0" w:color="auto"/>
            </w:tcBorders>
            <w:shd w:val="clear" w:color="auto" w:fill="auto"/>
          </w:tcPr>
          <w:p w14:paraId="3DC13BDF" w14:textId="77777777" w:rsidR="00423405" w:rsidRPr="00D664A7" w:rsidRDefault="00423405" w:rsidP="00B01590">
            <w:pPr>
              <w:suppressAutoHyphens w:val="0"/>
              <w:spacing w:before="40" w:after="120" w:line="220" w:lineRule="exact"/>
              <w:ind w:right="113"/>
            </w:pPr>
          </w:p>
        </w:tc>
      </w:tr>
      <w:tr w:rsidR="00423405" w:rsidRPr="00D664A7" w14:paraId="57E97B44" w14:textId="77777777" w:rsidTr="00B01590">
        <w:tc>
          <w:tcPr>
            <w:tcW w:w="2391" w:type="dxa"/>
            <w:shd w:val="clear" w:color="auto" w:fill="auto"/>
          </w:tcPr>
          <w:p w14:paraId="056E4BF2" w14:textId="77777777" w:rsidR="00423405" w:rsidRPr="00D664A7" w:rsidRDefault="00423405" w:rsidP="00B01590">
            <w:pPr>
              <w:suppressAutoHyphens w:val="0"/>
              <w:spacing w:before="40" w:after="120" w:line="220" w:lineRule="exact"/>
              <w:ind w:right="113"/>
            </w:pPr>
            <w:r w:rsidRPr="00D664A7">
              <w:t xml:space="preserve">Triggering devices shall be so installed that they can be activated in the event of a fire and </w:t>
            </w:r>
            <w:r w:rsidRPr="00D664A7">
              <w:rPr>
                <w:b/>
                <w:bCs/>
              </w:rPr>
              <w:t>so that the risk of their breakdown in the event of a fire or an explosion in the space to be protected is reduced as far as possible</w:t>
            </w:r>
            <w:r w:rsidRPr="00D664A7">
              <w:t>.</w:t>
            </w:r>
          </w:p>
          <w:p w14:paraId="73643ACF" w14:textId="77777777" w:rsidR="00423405" w:rsidRPr="00D664A7" w:rsidRDefault="00423405" w:rsidP="00B01590">
            <w:pPr>
              <w:suppressAutoHyphens w:val="0"/>
              <w:spacing w:before="40" w:after="120" w:line="220" w:lineRule="exact"/>
              <w:ind w:right="113"/>
            </w:pPr>
            <w:r w:rsidRPr="00D664A7">
              <w:t>[...]</w:t>
            </w:r>
          </w:p>
        </w:tc>
        <w:tc>
          <w:tcPr>
            <w:tcW w:w="2443" w:type="dxa"/>
            <w:shd w:val="clear" w:color="auto" w:fill="auto"/>
          </w:tcPr>
          <w:p w14:paraId="6731045E" w14:textId="77777777" w:rsidR="00423405" w:rsidRPr="00F64905" w:rsidRDefault="00423405" w:rsidP="00B01590">
            <w:pPr>
              <w:suppressAutoHyphens w:val="0"/>
              <w:spacing w:before="40" w:after="120" w:line="220" w:lineRule="exact"/>
              <w:ind w:right="113"/>
              <w:rPr>
                <w:lang w:val="fr-CH"/>
              </w:rPr>
            </w:pPr>
            <w:r w:rsidRPr="00F64905">
              <w:rPr>
                <w:lang w:val="fr-CH"/>
              </w:rPr>
              <w:t xml:space="preserve">Les dispositifs de déclenchement doivent être installés de manière à pouvoir être actionnés en cas d’incendie et </w:t>
            </w:r>
            <w:r w:rsidRPr="00F64905">
              <w:rPr>
                <w:b/>
                <w:bCs/>
                <w:lang w:val="fr-CH"/>
              </w:rPr>
              <w:t>de manière à réduire autant que possible le risque de panne de ces dispositifs en cas d’incendie ou d’explosion dans le local à protéger</w:t>
            </w:r>
            <w:r w:rsidRPr="00F64905">
              <w:rPr>
                <w:lang w:val="fr-CH"/>
              </w:rPr>
              <w:t>.</w:t>
            </w:r>
          </w:p>
          <w:p w14:paraId="5E817D03" w14:textId="77777777" w:rsidR="00423405" w:rsidRPr="00D664A7" w:rsidRDefault="00423405" w:rsidP="00B01590">
            <w:pPr>
              <w:suppressAutoHyphens w:val="0"/>
              <w:spacing w:before="40" w:after="120" w:line="220" w:lineRule="exact"/>
              <w:ind w:right="113"/>
            </w:pPr>
            <w:r w:rsidRPr="00D664A7">
              <w:t>[...]</w:t>
            </w:r>
          </w:p>
        </w:tc>
        <w:tc>
          <w:tcPr>
            <w:tcW w:w="2536" w:type="dxa"/>
            <w:shd w:val="clear" w:color="auto" w:fill="auto"/>
          </w:tcPr>
          <w:p w14:paraId="28A5C764" w14:textId="77777777" w:rsidR="00423405" w:rsidRPr="00D664A7" w:rsidRDefault="00423405" w:rsidP="00B01590">
            <w:pPr>
              <w:suppressAutoHyphens w:val="0"/>
              <w:spacing w:before="40" w:after="120" w:line="220" w:lineRule="exact"/>
              <w:ind w:right="113"/>
            </w:pPr>
            <w:r w:rsidRPr="00D664A7">
              <w:t xml:space="preserve">Auslöseeinrichtungen </w:t>
            </w:r>
            <w:proofErr w:type="spellStart"/>
            <w:r w:rsidRPr="00D664A7">
              <w:t>müssen</w:t>
            </w:r>
            <w:proofErr w:type="spellEnd"/>
            <w:r w:rsidRPr="00D664A7">
              <w:t xml:space="preserve"> so </w:t>
            </w:r>
            <w:proofErr w:type="spellStart"/>
            <w:r w:rsidRPr="00D664A7">
              <w:t>installiert</w:t>
            </w:r>
            <w:proofErr w:type="spellEnd"/>
            <w:r w:rsidRPr="00D664A7">
              <w:t xml:space="preserve"> sein, </w:t>
            </w:r>
            <w:proofErr w:type="spellStart"/>
            <w:r w:rsidRPr="00D664A7">
              <w:t>dass</w:t>
            </w:r>
            <w:proofErr w:type="spellEnd"/>
            <w:r w:rsidRPr="00D664A7">
              <w:t xml:space="preserve"> </w:t>
            </w:r>
            <w:proofErr w:type="spellStart"/>
            <w:r w:rsidRPr="00D664A7">
              <w:t>deren</w:t>
            </w:r>
            <w:proofErr w:type="spellEnd"/>
            <w:r w:rsidRPr="00D664A7">
              <w:t xml:space="preserve"> </w:t>
            </w:r>
            <w:proofErr w:type="spellStart"/>
            <w:r w:rsidRPr="00D664A7">
              <w:t>Betätigung</w:t>
            </w:r>
            <w:proofErr w:type="spellEnd"/>
            <w:r w:rsidRPr="00D664A7">
              <w:t xml:space="preserve"> </w:t>
            </w:r>
            <w:proofErr w:type="spellStart"/>
            <w:r w:rsidRPr="00D664A7">
              <w:t>auch</w:t>
            </w:r>
            <w:proofErr w:type="spellEnd"/>
            <w:r w:rsidRPr="00D664A7">
              <w:t xml:space="preserve"> </w:t>
            </w:r>
            <w:proofErr w:type="spellStart"/>
            <w:r w:rsidRPr="00D664A7">
              <w:t>im</w:t>
            </w:r>
            <w:proofErr w:type="spellEnd"/>
            <w:r w:rsidRPr="00D664A7">
              <w:t xml:space="preserve"> </w:t>
            </w:r>
            <w:proofErr w:type="spellStart"/>
            <w:r w:rsidRPr="00D664A7">
              <w:t>Brandfall</w:t>
            </w:r>
            <w:proofErr w:type="spellEnd"/>
            <w:r w:rsidRPr="00D664A7">
              <w:t xml:space="preserve"> </w:t>
            </w:r>
            <w:proofErr w:type="spellStart"/>
            <w:r w:rsidRPr="00D664A7">
              <w:t>möglich</w:t>
            </w:r>
            <w:proofErr w:type="spellEnd"/>
            <w:r w:rsidRPr="00D664A7">
              <w:t xml:space="preserve"> </w:t>
            </w:r>
            <w:proofErr w:type="spellStart"/>
            <w:r w:rsidRPr="00D664A7">
              <w:t>ist</w:t>
            </w:r>
            <w:proofErr w:type="spellEnd"/>
            <w:r w:rsidRPr="00D664A7">
              <w:t xml:space="preserve"> und </w:t>
            </w:r>
            <w:proofErr w:type="spellStart"/>
            <w:r w:rsidRPr="008400E7">
              <w:rPr>
                <w:b/>
                <w:bCs/>
              </w:rPr>
              <w:t>im</w:t>
            </w:r>
            <w:proofErr w:type="spellEnd"/>
            <w:r w:rsidRPr="008400E7">
              <w:rPr>
                <w:b/>
                <w:bCs/>
              </w:rPr>
              <w:t xml:space="preserve"> </w:t>
            </w:r>
            <w:proofErr w:type="spellStart"/>
            <w:r w:rsidRPr="008400E7">
              <w:rPr>
                <w:b/>
                <w:bCs/>
              </w:rPr>
              <w:t>Falle</w:t>
            </w:r>
            <w:proofErr w:type="spellEnd"/>
            <w:r w:rsidRPr="008400E7">
              <w:rPr>
                <w:b/>
                <w:bCs/>
              </w:rPr>
              <w:t xml:space="preserve"> </w:t>
            </w:r>
            <w:proofErr w:type="spellStart"/>
            <w:r w:rsidRPr="008400E7">
              <w:rPr>
                <w:b/>
                <w:bCs/>
              </w:rPr>
              <w:t>einer</w:t>
            </w:r>
            <w:proofErr w:type="spellEnd"/>
            <w:r w:rsidRPr="008400E7">
              <w:rPr>
                <w:b/>
                <w:bCs/>
              </w:rPr>
              <w:t xml:space="preserve"> </w:t>
            </w:r>
            <w:proofErr w:type="spellStart"/>
            <w:r w:rsidRPr="008400E7">
              <w:rPr>
                <w:b/>
                <w:bCs/>
              </w:rPr>
              <w:t>Beschädigung</w:t>
            </w:r>
            <w:proofErr w:type="spellEnd"/>
            <w:r w:rsidRPr="008400E7">
              <w:rPr>
                <w:b/>
                <w:bCs/>
              </w:rPr>
              <w:t xml:space="preserve"> </w:t>
            </w:r>
            <w:proofErr w:type="spellStart"/>
            <w:r w:rsidRPr="008400E7">
              <w:rPr>
                <w:b/>
                <w:bCs/>
              </w:rPr>
              <w:t>durch</w:t>
            </w:r>
            <w:proofErr w:type="spellEnd"/>
            <w:r w:rsidRPr="008400E7">
              <w:rPr>
                <w:b/>
                <w:bCs/>
              </w:rPr>
              <w:t xml:space="preserve"> Brand </w:t>
            </w:r>
            <w:proofErr w:type="spellStart"/>
            <w:r w:rsidRPr="008400E7">
              <w:rPr>
                <w:b/>
                <w:bCs/>
              </w:rPr>
              <w:t>oder</w:t>
            </w:r>
            <w:proofErr w:type="spellEnd"/>
            <w:r w:rsidRPr="008400E7">
              <w:rPr>
                <w:b/>
                <w:bCs/>
              </w:rPr>
              <w:t xml:space="preserve"> Explosion in </w:t>
            </w:r>
            <w:proofErr w:type="spellStart"/>
            <w:r w:rsidRPr="008400E7">
              <w:rPr>
                <w:b/>
                <w:bCs/>
              </w:rPr>
              <w:t>dem</w:t>
            </w:r>
            <w:proofErr w:type="spellEnd"/>
            <w:r w:rsidRPr="008400E7">
              <w:rPr>
                <w:b/>
                <w:bCs/>
              </w:rPr>
              <w:t xml:space="preserve"> </w:t>
            </w:r>
            <w:proofErr w:type="spellStart"/>
            <w:r w:rsidRPr="008400E7">
              <w:rPr>
                <w:b/>
                <w:bCs/>
              </w:rPr>
              <w:t>zu</w:t>
            </w:r>
            <w:proofErr w:type="spellEnd"/>
            <w:r w:rsidRPr="008400E7">
              <w:rPr>
                <w:b/>
                <w:bCs/>
              </w:rPr>
              <w:t xml:space="preserve"> </w:t>
            </w:r>
            <w:proofErr w:type="spellStart"/>
            <w:r w:rsidRPr="008400E7">
              <w:rPr>
                <w:b/>
                <w:bCs/>
              </w:rPr>
              <w:t>schützenden</w:t>
            </w:r>
            <w:proofErr w:type="spellEnd"/>
            <w:r w:rsidRPr="008400E7">
              <w:rPr>
                <w:b/>
                <w:bCs/>
              </w:rPr>
              <w:t xml:space="preserve"> </w:t>
            </w:r>
            <w:proofErr w:type="spellStart"/>
            <w:r w:rsidRPr="008400E7">
              <w:rPr>
                <w:b/>
                <w:bCs/>
              </w:rPr>
              <w:t>Raum</w:t>
            </w:r>
            <w:proofErr w:type="spellEnd"/>
            <w:r w:rsidRPr="008400E7">
              <w:rPr>
                <w:b/>
                <w:bCs/>
              </w:rPr>
              <w:t xml:space="preserve"> die </w:t>
            </w:r>
            <w:proofErr w:type="spellStart"/>
            <w:r w:rsidRPr="008400E7">
              <w:rPr>
                <w:b/>
                <w:bCs/>
              </w:rPr>
              <w:t>dafür</w:t>
            </w:r>
            <w:proofErr w:type="spellEnd"/>
            <w:r w:rsidRPr="008400E7">
              <w:rPr>
                <w:b/>
                <w:bCs/>
              </w:rPr>
              <w:t xml:space="preserve"> </w:t>
            </w:r>
            <w:proofErr w:type="spellStart"/>
            <w:r w:rsidRPr="008400E7">
              <w:rPr>
                <w:b/>
                <w:bCs/>
              </w:rPr>
              <w:t>geforderte</w:t>
            </w:r>
            <w:proofErr w:type="spellEnd"/>
            <w:r w:rsidRPr="008400E7">
              <w:rPr>
                <w:b/>
                <w:bCs/>
              </w:rPr>
              <w:t xml:space="preserve"> </w:t>
            </w:r>
            <w:proofErr w:type="spellStart"/>
            <w:r w:rsidRPr="008400E7">
              <w:rPr>
                <w:b/>
                <w:bCs/>
              </w:rPr>
              <w:t>Menge</w:t>
            </w:r>
            <w:proofErr w:type="spellEnd"/>
            <w:r w:rsidRPr="008400E7">
              <w:rPr>
                <w:b/>
                <w:bCs/>
              </w:rPr>
              <w:t xml:space="preserve"> </w:t>
            </w:r>
            <w:proofErr w:type="spellStart"/>
            <w:r w:rsidRPr="008400E7">
              <w:rPr>
                <w:b/>
                <w:bCs/>
              </w:rPr>
              <w:t>Löschmittel</w:t>
            </w:r>
            <w:proofErr w:type="spellEnd"/>
            <w:r w:rsidRPr="008400E7">
              <w:rPr>
                <w:b/>
                <w:bCs/>
              </w:rPr>
              <w:t xml:space="preserve"> </w:t>
            </w:r>
            <w:proofErr w:type="spellStart"/>
            <w:r w:rsidRPr="008400E7">
              <w:rPr>
                <w:b/>
                <w:bCs/>
              </w:rPr>
              <w:t>zugeführt</w:t>
            </w:r>
            <w:proofErr w:type="spellEnd"/>
            <w:r w:rsidRPr="008400E7">
              <w:rPr>
                <w:b/>
                <w:bCs/>
              </w:rPr>
              <w:t xml:space="preserve"> </w:t>
            </w:r>
            <w:proofErr w:type="spellStart"/>
            <w:r w:rsidRPr="008400E7">
              <w:rPr>
                <w:b/>
                <w:bCs/>
              </w:rPr>
              <w:t>werden</w:t>
            </w:r>
            <w:proofErr w:type="spellEnd"/>
            <w:r w:rsidRPr="008400E7">
              <w:rPr>
                <w:b/>
                <w:bCs/>
              </w:rPr>
              <w:t xml:space="preserve"> </w:t>
            </w:r>
            <w:proofErr w:type="spellStart"/>
            <w:r w:rsidRPr="008400E7">
              <w:rPr>
                <w:b/>
                <w:bCs/>
              </w:rPr>
              <w:t>kann</w:t>
            </w:r>
            <w:proofErr w:type="spellEnd"/>
            <w:r w:rsidRPr="00D664A7">
              <w:t>.</w:t>
            </w:r>
          </w:p>
          <w:p w14:paraId="7ADEFEFF" w14:textId="77777777" w:rsidR="00423405" w:rsidRPr="00D664A7" w:rsidRDefault="00423405" w:rsidP="00B01590">
            <w:pPr>
              <w:suppressAutoHyphens w:val="0"/>
              <w:spacing w:before="40" w:after="120" w:line="220" w:lineRule="exact"/>
              <w:ind w:right="113"/>
            </w:pPr>
            <w:r w:rsidRPr="00D664A7">
              <w:t>[...]</w:t>
            </w:r>
          </w:p>
        </w:tc>
      </w:tr>
    </w:tbl>
    <w:p w14:paraId="332AB8A5" w14:textId="77777777" w:rsidR="00423405" w:rsidRPr="00EA54C4" w:rsidRDefault="00423405" w:rsidP="00423405">
      <w:pPr>
        <w:pStyle w:val="SingleTxtG"/>
        <w:spacing w:before="120"/>
      </w:pPr>
      <w:r w:rsidRPr="00EA54C4">
        <w:t>4.</w:t>
      </w:r>
      <w:r w:rsidRPr="00EA54C4">
        <w:tab/>
        <w:t xml:space="preserve">The first half of the sentence in 9.1.0.40.2.5 (c) and 9.3.X.40.2.5 (c) is correct in the English, the </w:t>
      </w:r>
      <w:proofErr w:type="gramStart"/>
      <w:r w:rsidRPr="00EA54C4">
        <w:t>French</w:t>
      </w:r>
      <w:proofErr w:type="gramEnd"/>
      <w:r w:rsidRPr="00EA54C4">
        <w:t xml:space="preserve"> and the German versions. The second half of the sentence, in bold in the present document, refers, in the German version, to the provision of the required quantity of extinguishing agent in case of damage by fire or explosion. In the French and English versions, the second half of the sentence notes that the triggering device must be installed in such a way as to reduce as far as possible the risk of their breakdown in the event of fire or explosion in the space to be protected.</w:t>
      </w:r>
    </w:p>
    <w:p w14:paraId="08FA5CB9" w14:textId="77777777" w:rsidR="00423405" w:rsidRPr="00EA54C4" w:rsidRDefault="00423405" w:rsidP="00423405">
      <w:pPr>
        <w:pStyle w:val="HChG"/>
      </w:pPr>
      <w:r w:rsidRPr="00EA54C4">
        <w:tab/>
      </w:r>
      <w:r w:rsidRPr="00EA54C4">
        <w:tab/>
        <w:t>Proposal</w:t>
      </w:r>
    </w:p>
    <w:p w14:paraId="07C3E354" w14:textId="77777777" w:rsidR="00423405" w:rsidRPr="00EA54C4" w:rsidRDefault="00423405" w:rsidP="00423405">
      <w:pPr>
        <w:pStyle w:val="SingleTxtG"/>
      </w:pPr>
      <w:r w:rsidRPr="00EA54C4">
        <w:t>5.</w:t>
      </w:r>
      <w:r w:rsidRPr="00EA54C4">
        <w:tab/>
      </w:r>
      <w:proofErr w:type="gramStart"/>
      <w:r w:rsidRPr="00EA54C4">
        <w:t>It would seem that both</w:t>
      </w:r>
      <w:proofErr w:type="gramEnd"/>
      <w:r w:rsidRPr="00EA54C4">
        <w:t xml:space="preserve"> the information </w:t>
      </w:r>
      <w:r>
        <w:t xml:space="preserve">provided </w:t>
      </w:r>
      <w:r w:rsidRPr="00EA54C4">
        <w:t xml:space="preserve">in the half sentence in the German version and </w:t>
      </w:r>
      <w:r>
        <w:t>that given</w:t>
      </w:r>
      <w:r w:rsidRPr="00EA54C4">
        <w:t xml:space="preserve"> in the half sentence in the English and French versions is relevant. The CCNR </w:t>
      </w:r>
      <w:r>
        <w:t>s</w:t>
      </w:r>
      <w:r w:rsidRPr="00EA54C4">
        <w:t xml:space="preserve">ecretariat therefore proposes that </w:t>
      </w:r>
      <w:r>
        <w:t>additional</w:t>
      </w:r>
      <w:r w:rsidRPr="00EA54C4">
        <w:t xml:space="preserve"> wording should be </w:t>
      </w:r>
      <w:r>
        <w:t xml:space="preserve">included in </w:t>
      </w:r>
      <w:r w:rsidRPr="00EA54C4">
        <w:t>each of the language versions.</w:t>
      </w:r>
    </w:p>
    <w:p w14:paraId="00F4B0E3" w14:textId="77777777" w:rsidR="00423405" w:rsidRPr="00EA54C4" w:rsidRDefault="00423405" w:rsidP="00423405">
      <w:pPr>
        <w:pStyle w:val="SingleTxtG"/>
      </w:pPr>
      <w:r w:rsidRPr="00EA54C4">
        <w:t>6.</w:t>
      </w:r>
      <w:r w:rsidRPr="00EA54C4">
        <w:tab/>
        <w:t xml:space="preserve">The proposed amended wording of the first sentence of 9.1.0.40.2.5 (c) and 9.3.X.40.2.5 (c) reads as follows: </w:t>
      </w:r>
    </w:p>
    <w:p w14:paraId="46329DC0" w14:textId="77777777" w:rsidR="00423405" w:rsidRPr="00937284" w:rsidRDefault="00423405" w:rsidP="00423405">
      <w:pPr>
        <w:pStyle w:val="SingleTxtG"/>
        <w:ind w:left="1701"/>
      </w:pPr>
      <w:r w:rsidRPr="00937284">
        <w:rPr>
          <w:lang w:val="en-US"/>
        </w:rPr>
        <w:t>“</w:t>
      </w:r>
      <w:r w:rsidRPr="00EA54C4">
        <w:t xml:space="preserve">Triggering devices shall be so installed that they can </w:t>
      </w:r>
      <w:r w:rsidRPr="00E34130">
        <w:rPr>
          <w:u w:val="single"/>
        </w:rPr>
        <w:t>also</w:t>
      </w:r>
      <w:r w:rsidRPr="00EA54C4">
        <w:t xml:space="preserve"> be activated in the event of a fire</w:t>
      </w:r>
      <w:r w:rsidRPr="00BD0C2C">
        <w:rPr>
          <w:u w:val="single"/>
        </w:rPr>
        <w:t>,</w:t>
      </w:r>
      <w:r w:rsidRPr="00EA54C4">
        <w:t xml:space="preserve"> </w:t>
      </w:r>
      <w:r w:rsidRPr="00BD0C2C">
        <w:rPr>
          <w:strike/>
        </w:rPr>
        <w:t>and</w:t>
      </w:r>
      <w:r w:rsidRPr="00EA54C4">
        <w:t xml:space="preserve"> </w:t>
      </w:r>
      <w:r w:rsidRPr="002A13AC">
        <w:rPr>
          <w:u w:val="single"/>
        </w:rPr>
        <w:t>that</w:t>
      </w:r>
      <w:r w:rsidRPr="00EA54C4">
        <w:t xml:space="preserve"> the risk of their breakdown in the event of a fire or an explosion in the space to be protected </w:t>
      </w:r>
      <w:r w:rsidRPr="002A13AC">
        <w:t>is reduced as far as possible</w:t>
      </w:r>
      <w:r w:rsidRPr="00EA54C4">
        <w:t xml:space="preserve"> </w:t>
      </w:r>
      <w:r w:rsidRPr="0075664D">
        <w:rPr>
          <w:u w:val="single"/>
        </w:rPr>
        <w:t>and that the required quantity of extinguishing agent can still be provided in the space to be protected in the event of a fire or of damage caused by a fire or an explosion</w:t>
      </w:r>
      <w:r w:rsidRPr="00EA54C4">
        <w:t>. ...</w:t>
      </w:r>
      <w:r>
        <w:t>”</w:t>
      </w:r>
      <w:bookmarkStart w:id="2" w:name="_Hlk85039085"/>
    </w:p>
    <w:p w14:paraId="1EDAABD1" w14:textId="77777777" w:rsidR="00423405" w:rsidRPr="00EC297F" w:rsidRDefault="00423405" w:rsidP="00423405">
      <w:pPr>
        <w:pStyle w:val="SingleTxtG"/>
        <w:spacing w:before="240"/>
        <w:ind w:left="1701"/>
        <w:jc w:val="center"/>
        <w:rPr>
          <w:u w:val="single"/>
        </w:rPr>
      </w:pPr>
      <w:r>
        <w:rPr>
          <w:u w:val="single"/>
        </w:rPr>
        <w:tab/>
      </w:r>
      <w:r>
        <w:rPr>
          <w:u w:val="single"/>
        </w:rPr>
        <w:tab/>
      </w:r>
      <w:r>
        <w:rPr>
          <w:u w:val="single"/>
        </w:rPr>
        <w:tab/>
      </w:r>
      <w:r w:rsidRPr="00EC297F">
        <w:rPr>
          <w:u w:val="single"/>
        </w:rPr>
        <w:tab/>
      </w:r>
      <w:bookmarkEnd w:id="2"/>
    </w:p>
    <w:sectPr w:rsidR="00423405" w:rsidRPr="00EC297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EFBF" w14:textId="77777777" w:rsidR="00EE4A7D" w:rsidRPr="00FB1744" w:rsidRDefault="00EE4A7D" w:rsidP="00FB1744">
      <w:pPr>
        <w:pStyle w:val="Footer"/>
      </w:pPr>
    </w:p>
  </w:endnote>
  <w:endnote w:type="continuationSeparator" w:id="0">
    <w:p w14:paraId="06C82B29" w14:textId="77777777" w:rsidR="00EE4A7D" w:rsidRPr="00FB1744" w:rsidRDefault="00EE4A7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E570" w14:textId="77777777" w:rsidR="00E51557" w:rsidRDefault="00E51557" w:rsidP="00E51557">
    <w:pPr>
      <w:pStyle w:val="Footer"/>
      <w:tabs>
        <w:tab w:val="right" w:pos="9638"/>
      </w:tabs>
    </w:pPr>
    <w:r w:rsidRPr="00E51557">
      <w:rPr>
        <w:b/>
        <w:bCs/>
        <w:sz w:val="18"/>
      </w:rPr>
      <w:fldChar w:fldCharType="begin"/>
    </w:r>
    <w:r w:rsidRPr="00E51557">
      <w:rPr>
        <w:b/>
        <w:bCs/>
        <w:sz w:val="18"/>
      </w:rPr>
      <w:instrText xml:space="preserve"> PAGE  \* MERGEFORMAT </w:instrText>
    </w:r>
    <w:r w:rsidRPr="00E51557">
      <w:rPr>
        <w:b/>
        <w:bCs/>
        <w:sz w:val="18"/>
      </w:rPr>
      <w:fldChar w:fldCharType="separate"/>
    </w:r>
    <w:r w:rsidRPr="00E51557">
      <w:rPr>
        <w:b/>
        <w:bCs/>
        <w:noProof/>
        <w:sz w:val="18"/>
      </w:rPr>
      <w:t>2</w:t>
    </w:r>
    <w:r w:rsidRPr="00E51557">
      <w:rPr>
        <w:b/>
        <w:bCs/>
        <w:sz w:val="18"/>
      </w:rPr>
      <w:fldChar w:fldCharType="end"/>
    </w:r>
    <w:r>
      <w:tab/>
      <w:t>GE.21-17406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0699" w14:textId="77777777" w:rsidR="00E51557" w:rsidRDefault="00E51557" w:rsidP="00E51557">
    <w:pPr>
      <w:pStyle w:val="Footer"/>
      <w:tabs>
        <w:tab w:val="right" w:pos="9638"/>
      </w:tabs>
    </w:pPr>
    <w:r>
      <w:t>GE.21-17406</w:t>
    </w:r>
    <w:r>
      <w:tab/>
    </w:r>
    <w:r w:rsidRPr="00E51557">
      <w:rPr>
        <w:b/>
        <w:bCs/>
        <w:sz w:val="18"/>
      </w:rPr>
      <w:fldChar w:fldCharType="begin"/>
    </w:r>
    <w:r w:rsidRPr="00E51557">
      <w:rPr>
        <w:b/>
        <w:bCs/>
        <w:sz w:val="18"/>
      </w:rPr>
      <w:instrText xml:space="preserve"> PAGE  \* MERGEFORMAT </w:instrText>
    </w:r>
    <w:r w:rsidRPr="00E51557">
      <w:rPr>
        <w:b/>
        <w:bCs/>
        <w:sz w:val="18"/>
      </w:rPr>
      <w:fldChar w:fldCharType="separate"/>
    </w:r>
    <w:r w:rsidRPr="00E51557">
      <w:rPr>
        <w:b/>
        <w:bCs/>
        <w:noProof/>
        <w:sz w:val="18"/>
      </w:rPr>
      <w:t>3</w:t>
    </w:r>
    <w:r w:rsidRPr="00E5155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17A2" w14:textId="77777777" w:rsidR="00C448F7" w:rsidRDefault="00E51557">
    <w:pPr>
      <w:pStyle w:val="Footer"/>
      <w:rPr>
        <w:sz w:val="20"/>
      </w:rPr>
    </w:pPr>
    <w:r w:rsidRPr="0027112F">
      <w:rPr>
        <w:noProof/>
        <w:lang w:val="en-US"/>
      </w:rPr>
      <w:drawing>
        <wp:anchor distT="0" distB="0" distL="114300" distR="114300" simplePos="0" relativeHeight="251659264" behindDoc="0" locked="1" layoutInCell="1" allowOverlap="1" wp14:anchorId="15E991B6" wp14:editId="3C87A5D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2B7D0A" w14:textId="171AA48B" w:rsidR="00E51557" w:rsidRPr="00E51557" w:rsidRDefault="00E51557" w:rsidP="00E51557">
    <w:pPr>
      <w:pStyle w:val="Footer"/>
      <w:tabs>
        <w:tab w:val="right" w:pos="7370"/>
      </w:tabs>
      <w:rPr>
        <w:sz w:val="20"/>
      </w:rPr>
    </w:pPr>
    <w:r>
      <w:rPr>
        <w:sz w:val="20"/>
      </w:rPr>
      <w:t>GE.21-</w:t>
    </w:r>
    <w:proofErr w:type="gramStart"/>
    <w:r>
      <w:rPr>
        <w:sz w:val="20"/>
      </w:rPr>
      <w:t>17406  (</w:t>
    </w:r>
    <w:proofErr w:type="gramEnd"/>
    <w:r>
      <w:rPr>
        <w:sz w:val="20"/>
      </w:rPr>
      <w:t>E)</w:t>
    </w:r>
    <w:r>
      <w:rPr>
        <w:noProof/>
        <w:sz w:val="20"/>
      </w:rPr>
      <w:drawing>
        <wp:anchor distT="0" distB="0" distL="114300" distR="114300" simplePos="0" relativeHeight="251660288" behindDoc="0" locked="0" layoutInCell="1" allowOverlap="1" wp14:anchorId="3AF2282F" wp14:editId="76FC6F4F">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D63">
      <w:rPr>
        <w:sz w:val="20"/>
      </w:rPr>
      <w:t xml:space="preserve">    291121    291121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4051" w14:textId="77777777" w:rsidR="00EE4A7D" w:rsidRPr="00FB1744" w:rsidRDefault="00EE4A7D" w:rsidP="00FB1744">
      <w:pPr>
        <w:tabs>
          <w:tab w:val="right" w:pos="2155"/>
        </w:tabs>
        <w:spacing w:after="80" w:line="240" w:lineRule="auto"/>
        <w:ind w:left="680"/>
      </w:pPr>
      <w:r>
        <w:rPr>
          <w:u w:val="single"/>
        </w:rPr>
        <w:tab/>
      </w:r>
    </w:p>
  </w:footnote>
  <w:footnote w:type="continuationSeparator" w:id="0">
    <w:p w14:paraId="65155C30" w14:textId="77777777" w:rsidR="00EE4A7D" w:rsidRPr="00FB1744" w:rsidRDefault="00EE4A7D" w:rsidP="00FB1744">
      <w:pPr>
        <w:tabs>
          <w:tab w:val="right" w:pos="2155"/>
        </w:tabs>
        <w:spacing w:after="80" w:line="240" w:lineRule="auto"/>
        <w:ind w:left="680"/>
      </w:pPr>
      <w:r>
        <w:rPr>
          <w:u w:val="single"/>
        </w:rPr>
        <w:tab/>
      </w:r>
    </w:p>
  </w:footnote>
  <w:footnote w:id="1">
    <w:p w14:paraId="45FE206E" w14:textId="77777777" w:rsidR="00423405" w:rsidRPr="003342B2" w:rsidRDefault="00423405" w:rsidP="00423405">
      <w:pPr>
        <w:pStyle w:val="FootnoteText"/>
        <w:rPr>
          <w:sz w:val="16"/>
          <w:szCs w:val="16"/>
          <w:lang w:val="en-US"/>
        </w:rPr>
      </w:pPr>
      <w:r>
        <w:tab/>
      </w:r>
      <w:r w:rsidRPr="00D962FF">
        <w:rPr>
          <w:sz w:val="20"/>
        </w:rPr>
        <w:t>*</w:t>
      </w:r>
      <w:r w:rsidRPr="00D962FF">
        <w:rPr>
          <w:sz w:val="20"/>
        </w:rPr>
        <w:tab/>
      </w:r>
      <w:r>
        <w:t>Distributed in German by the Central Commission for the Navigation of the Rhine under the symbol CCNR-ZKR/ADN/WP.15/AC.2/2022/2</w:t>
      </w:r>
      <w:r w:rsidRPr="00C42B1C">
        <w:rPr>
          <w:sz w:val="16"/>
          <w:szCs w:val="16"/>
          <w:lang w:val="en-US"/>
        </w:rPr>
        <w:t>/Rev.1</w:t>
      </w:r>
      <w:r>
        <w:t>.</w:t>
      </w:r>
    </w:p>
  </w:footnote>
  <w:footnote w:id="2">
    <w:p w14:paraId="412EFBF2" w14:textId="4BEDEE75" w:rsidR="00423405" w:rsidRPr="003342B2" w:rsidRDefault="00423405" w:rsidP="00423405">
      <w:pPr>
        <w:pStyle w:val="FootnoteText"/>
        <w:rPr>
          <w:sz w:val="16"/>
          <w:szCs w:val="16"/>
          <w:lang w:val="en-US"/>
        </w:rPr>
      </w:pPr>
      <w:r>
        <w:tab/>
      </w:r>
      <w:r w:rsidRPr="00D962FF">
        <w:rPr>
          <w:sz w:val="20"/>
        </w:rPr>
        <w:t>**</w:t>
      </w:r>
      <w:r w:rsidRPr="00D962FF">
        <w:rPr>
          <w:sz w:val="20"/>
        </w:rPr>
        <w:tab/>
      </w:r>
      <w:r>
        <w:t>In accordance with the programme of work of the Inland Transport Committee for 2021 as outlined in the proposed programme budget for 2021 (A/75/6 (Sect.</w:t>
      </w:r>
      <w:r w:rsidR="00CB48FB">
        <w:t xml:space="preserve"> </w:t>
      </w:r>
      <w:r>
        <w:t>20) para</w:t>
      </w:r>
      <w:r w:rsidR="00CB48FB">
        <w:t>.</w:t>
      </w:r>
      <w:r>
        <w:t xml:space="preserve">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F544" w14:textId="77777777" w:rsidR="00E51557" w:rsidRDefault="00E51557" w:rsidP="00E51557">
    <w:pPr>
      <w:pStyle w:val="Header"/>
    </w:pPr>
    <w:r>
      <w:t>ECE/TRANS/WP.15/AC.2/2022/2/Rev.1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7C2" w14:textId="77777777" w:rsidR="00E51557" w:rsidRDefault="00E51557" w:rsidP="00E51557">
    <w:pPr>
      <w:pStyle w:val="Header"/>
      <w:jc w:val="right"/>
    </w:pPr>
    <w:r>
      <w:t>ECE/TRANS/WP.15/AC.2/2022/2/Rev.1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E4A7D"/>
    <w:rsid w:val="00046E92"/>
    <w:rsid w:val="000D1B89"/>
    <w:rsid w:val="000F6E29"/>
    <w:rsid w:val="00113AFF"/>
    <w:rsid w:val="001170DC"/>
    <w:rsid w:val="00247E2C"/>
    <w:rsid w:val="002D6C53"/>
    <w:rsid w:val="002F5595"/>
    <w:rsid w:val="00307C70"/>
    <w:rsid w:val="00334F6A"/>
    <w:rsid w:val="00342AC8"/>
    <w:rsid w:val="003B4550"/>
    <w:rsid w:val="00423405"/>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75CF"/>
    <w:rsid w:val="00AB3C7E"/>
    <w:rsid w:val="00B06045"/>
    <w:rsid w:val="00C35A27"/>
    <w:rsid w:val="00C40D63"/>
    <w:rsid w:val="00C448F7"/>
    <w:rsid w:val="00CB48FB"/>
    <w:rsid w:val="00D82AC1"/>
    <w:rsid w:val="00E02C2B"/>
    <w:rsid w:val="00E51557"/>
    <w:rsid w:val="00E665C4"/>
    <w:rsid w:val="00E929D6"/>
    <w:rsid w:val="00ED6C48"/>
    <w:rsid w:val="00EE4A7D"/>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D20F41"/>
  <w15:docId w15:val="{7B4C55A0-0126-473D-B5EA-0AC68A3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table" w:customStyle="1" w:styleId="Tabelraster1">
    <w:name w:val="Tabelraster1"/>
    <w:basedOn w:val="TableNormal"/>
    <w:next w:val="TableGrid"/>
    <w:rsid w:val="00423405"/>
    <w:pPr>
      <w:suppressAutoHyphens/>
      <w:spacing w:after="0" w:line="240" w:lineRule="atLeast"/>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2916A429-7173-4DCE-9375-D125BC2965A8}"/>
</file>

<file path=customXml/itemProps3.xml><?xml version="1.0" encoding="utf-8"?>
<ds:datastoreItem xmlns:ds="http://schemas.openxmlformats.org/officeDocument/2006/customXml" ds:itemID="{971721E1-BBA2-49EF-A555-7A8F86F0A5C0}"/>
</file>

<file path=customXml/itemProps4.xml><?xml version="1.0" encoding="utf-8"?>
<ds:datastoreItem xmlns:ds="http://schemas.openxmlformats.org/officeDocument/2006/customXml" ds:itemID="{064944C9-D0A0-47D2-A610-935654BBC55F}"/>
</file>

<file path=docProps/app.xml><?xml version="1.0" encoding="utf-8"?>
<Properties xmlns="http://schemas.openxmlformats.org/officeDocument/2006/extended-properties" xmlns:vt="http://schemas.openxmlformats.org/officeDocument/2006/docPropsVTypes">
  <Template>CESCR.dotm</Template>
  <TotalTime>0</TotalTime>
  <Pages>2</Pages>
  <Words>593</Words>
  <Characters>3004</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ECE/TRANS/WP.15/AC.2/2022/2/Rev.1</vt:lpstr>
    </vt:vector>
  </TitlesOfParts>
  <Company>DCM</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ECE/TRANS/WP.15/AC.2/2022/2/Rev.1</dc:title>
  <dc:subject>2117406</dc:subject>
  <dc:creator>pae</dc:creator>
  <cp:keywords/>
  <dc:description>final</dc:description>
  <cp:lastModifiedBy>Pauline Anne Princesa ESCALANTE</cp:lastModifiedBy>
  <cp:revision>2</cp:revision>
  <dcterms:created xsi:type="dcterms:W3CDTF">2021-11-29T16:21:00Z</dcterms:created>
  <dcterms:modified xsi:type="dcterms:W3CDTF">2021-11-29T16:21:00Z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