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E28D2C2" w14:textId="77777777" w:rsidTr="00387CD4">
        <w:trPr>
          <w:trHeight w:hRule="exact" w:val="851"/>
        </w:trPr>
        <w:tc>
          <w:tcPr>
            <w:tcW w:w="142" w:type="dxa"/>
            <w:tcBorders>
              <w:bottom w:val="single" w:sz="4" w:space="0" w:color="auto"/>
            </w:tcBorders>
          </w:tcPr>
          <w:p w14:paraId="766FDFF2" w14:textId="77777777" w:rsidR="002D5AAC" w:rsidRDefault="002D5AAC" w:rsidP="0073661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EF421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C7843C" w14:textId="2DDF5C98" w:rsidR="002D5AAC" w:rsidRDefault="00736613" w:rsidP="00736613">
            <w:pPr>
              <w:jc w:val="right"/>
            </w:pPr>
            <w:r w:rsidRPr="00736613">
              <w:rPr>
                <w:sz w:val="40"/>
              </w:rPr>
              <w:t>ECE</w:t>
            </w:r>
            <w:r>
              <w:t>/TRANS/WP.15/AC.2/2022/21</w:t>
            </w:r>
          </w:p>
        </w:tc>
      </w:tr>
      <w:tr w:rsidR="002D5AAC" w:rsidRPr="00303869" w14:paraId="2D210FD4" w14:textId="77777777" w:rsidTr="00387CD4">
        <w:trPr>
          <w:trHeight w:hRule="exact" w:val="2835"/>
        </w:trPr>
        <w:tc>
          <w:tcPr>
            <w:tcW w:w="1280" w:type="dxa"/>
            <w:gridSpan w:val="2"/>
            <w:tcBorders>
              <w:top w:val="single" w:sz="4" w:space="0" w:color="auto"/>
              <w:bottom w:val="single" w:sz="12" w:space="0" w:color="auto"/>
            </w:tcBorders>
          </w:tcPr>
          <w:p w14:paraId="1F2A119A" w14:textId="77777777" w:rsidR="002D5AAC" w:rsidRDefault="002E5067" w:rsidP="00387CD4">
            <w:pPr>
              <w:spacing w:before="120"/>
              <w:jc w:val="center"/>
            </w:pPr>
            <w:r>
              <w:rPr>
                <w:noProof/>
                <w:lang w:val="fr-CH" w:eastAsia="fr-CH"/>
              </w:rPr>
              <w:drawing>
                <wp:inline distT="0" distB="0" distL="0" distR="0" wp14:anchorId="332A9695" wp14:editId="03DFB30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BF2127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BF2C853" w14:textId="77777777" w:rsidR="002D5AAC" w:rsidRDefault="00736613" w:rsidP="00387CD4">
            <w:pPr>
              <w:spacing w:before="240"/>
              <w:rPr>
                <w:lang w:val="en-US"/>
              </w:rPr>
            </w:pPr>
            <w:r>
              <w:rPr>
                <w:lang w:val="en-US"/>
              </w:rPr>
              <w:t>Distr.: General</w:t>
            </w:r>
          </w:p>
          <w:p w14:paraId="2431C8EB" w14:textId="77777777" w:rsidR="00736613" w:rsidRDefault="00736613" w:rsidP="00736613">
            <w:pPr>
              <w:spacing w:line="240" w:lineRule="exact"/>
              <w:rPr>
                <w:lang w:val="en-US"/>
              </w:rPr>
            </w:pPr>
            <w:r>
              <w:rPr>
                <w:lang w:val="en-US"/>
              </w:rPr>
              <w:t>17 November 2021</w:t>
            </w:r>
          </w:p>
          <w:p w14:paraId="7A8B9D56" w14:textId="77777777" w:rsidR="00736613" w:rsidRDefault="00736613" w:rsidP="00736613">
            <w:pPr>
              <w:spacing w:line="240" w:lineRule="exact"/>
              <w:rPr>
                <w:lang w:val="en-US"/>
              </w:rPr>
            </w:pPr>
            <w:r>
              <w:rPr>
                <w:lang w:val="en-US"/>
              </w:rPr>
              <w:t>Russian</w:t>
            </w:r>
          </w:p>
          <w:p w14:paraId="00BB510D" w14:textId="353DCB83" w:rsidR="00736613" w:rsidRPr="008D53B6" w:rsidRDefault="00736613" w:rsidP="00736613">
            <w:pPr>
              <w:spacing w:line="240" w:lineRule="exact"/>
              <w:rPr>
                <w:lang w:val="en-US"/>
              </w:rPr>
            </w:pPr>
            <w:r>
              <w:rPr>
                <w:lang w:val="en-US"/>
              </w:rPr>
              <w:t>Original: French</w:t>
            </w:r>
          </w:p>
        </w:tc>
      </w:tr>
    </w:tbl>
    <w:p w14:paraId="6869030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7AD2980" w14:textId="77777777" w:rsidR="00736613" w:rsidRPr="008C36AD" w:rsidRDefault="00736613" w:rsidP="00736613">
      <w:pPr>
        <w:spacing w:before="120"/>
        <w:rPr>
          <w:sz w:val="28"/>
          <w:szCs w:val="28"/>
        </w:rPr>
      </w:pPr>
      <w:r w:rsidRPr="008C36AD">
        <w:rPr>
          <w:sz w:val="28"/>
          <w:szCs w:val="28"/>
        </w:rPr>
        <w:t>Комитет по внутреннему транспорту</w:t>
      </w:r>
    </w:p>
    <w:p w14:paraId="791DF1D5" w14:textId="77777777" w:rsidR="00736613" w:rsidRPr="008C36AD" w:rsidRDefault="00736613" w:rsidP="00736613">
      <w:pPr>
        <w:spacing w:before="120"/>
        <w:rPr>
          <w:b/>
          <w:sz w:val="24"/>
          <w:szCs w:val="24"/>
        </w:rPr>
      </w:pPr>
      <w:r w:rsidRPr="008C36AD">
        <w:rPr>
          <w:b/>
          <w:sz w:val="24"/>
          <w:szCs w:val="24"/>
        </w:rPr>
        <w:t>Рабочая группа по перевозке опасных грузов</w:t>
      </w:r>
    </w:p>
    <w:p w14:paraId="0CD36C85" w14:textId="770B4E54" w:rsidR="00736613" w:rsidRPr="008C36AD" w:rsidRDefault="00736613" w:rsidP="00736613">
      <w:pPr>
        <w:spacing w:before="120"/>
        <w:rPr>
          <w:b/>
        </w:rPr>
      </w:pPr>
      <w:r w:rsidRPr="008C36AD">
        <w:rPr>
          <w:b/>
        </w:rPr>
        <w:t xml:space="preserve">Совместное совещание экспертов по Правилам, </w:t>
      </w:r>
      <w:r>
        <w:rPr>
          <w:b/>
        </w:rPr>
        <w:br/>
      </w:r>
      <w:r w:rsidRPr="008C36AD">
        <w:rPr>
          <w:b/>
        </w:rPr>
        <w:t xml:space="preserve">прилагаемым к Европейскому соглашению </w:t>
      </w:r>
      <w:r>
        <w:rPr>
          <w:b/>
        </w:rPr>
        <w:br/>
      </w:r>
      <w:r w:rsidRPr="008C36AD">
        <w:rPr>
          <w:b/>
        </w:rPr>
        <w:t xml:space="preserve">о международной перевозке </w:t>
      </w:r>
      <w:r w:rsidRPr="008C36AD">
        <w:rPr>
          <w:b/>
          <w:bCs/>
          <w:iCs/>
        </w:rPr>
        <w:t xml:space="preserve">опасных </w:t>
      </w:r>
      <w:r w:rsidRPr="008C36AD">
        <w:rPr>
          <w:b/>
        </w:rPr>
        <w:t xml:space="preserve">грузов </w:t>
      </w:r>
      <w:r>
        <w:rPr>
          <w:b/>
        </w:rPr>
        <w:br/>
      </w:r>
      <w:r w:rsidRPr="008C36AD">
        <w:rPr>
          <w:b/>
        </w:rPr>
        <w:t xml:space="preserve">по </w:t>
      </w:r>
      <w:r w:rsidRPr="008C36AD">
        <w:rPr>
          <w:b/>
          <w:bCs/>
          <w:iCs/>
        </w:rPr>
        <w:t xml:space="preserve">внутренним водным путям (ВОПОГ) </w:t>
      </w:r>
      <w:r>
        <w:rPr>
          <w:b/>
          <w:bCs/>
          <w:iCs/>
        </w:rPr>
        <w:br/>
      </w:r>
      <w:r w:rsidRPr="008C36AD">
        <w:rPr>
          <w:b/>
          <w:bCs/>
        </w:rPr>
        <w:t xml:space="preserve">(Комитет по </w:t>
      </w:r>
      <w:r w:rsidRPr="004C7E69">
        <w:rPr>
          <w:b/>
          <w:bCs/>
        </w:rPr>
        <w:t xml:space="preserve">вопросам </w:t>
      </w:r>
      <w:r w:rsidRPr="008C36AD">
        <w:rPr>
          <w:b/>
          <w:bCs/>
        </w:rPr>
        <w:t>безопасности ВОПОГ)</w:t>
      </w:r>
    </w:p>
    <w:p w14:paraId="25F6F2C6" w14:textId="77777777" w:rsidR="00736613" w:rsidRPr="008C36AD" w:rsidRDefault="00736613" w:rsidP="00736613">
      <w:pPr>
        <w:spacing w:before="120"/>
        <w:rPr>
          <w:b/>
        </w:rPr>
      </w:pPr>
      <w:r w:rsidRPr="008C36AD">
        <w:rPr>
          <w:b/>
        </w:rPr>
        <w:t>Тридцать девятая сессия</w:t>
      </w:r>
    </w:p>
    <w:p w14:paraId="0DCC6236" w14:textId="77777777" w:rsidR="00736613" w:rsidRPr="008C36AD" w:rsidRDefault="00736613" w:rsidP="00736613">
      <w:r w:rsidRPr="008C36AD">
        <w:t>Женева, 24</w:t>
      </w:r>
      <w:r w:rsidRPr="00BE3E77">
        <w:t>–</w:t>
      </w:r>
      <w:r w:rsidRPr="008C36AD">
        <w:t>28</w:t>
      </w:r>
      <w:r>
        <w:t> </w:t>
      </w:r>
      <w:r w:rsidRPr="008C36AD">
        <w:t>января 2022</w:t>
      </w:r>
      <w:r>
        <w:t> </w:t>
      </w:r>
      <w:r w:rsidRPr="008C36AD">
        <w:t>года</w:t>
      </w:r>
    </w:p>
    <w:p w14:paraId="74E061A5" w14:textId="77777777" w:rsidR="00736613" w:rsidRPr="008C36AD" w:rsidRDefault="00736613" w:rsidP="00736613">
      <w:r w:rsidRPr="008C36AD">
        <w:t>Пункт 5</w:t>
      </w:r>
      <w:r>
        <w:t> b</w:t>
      </w:r>
      <w:r w:rsidRPr="008C36AD">
        <w:t>) предварительной повестки дня</w:t>
      </w:r>
    </w:p>
    <w:p w14:paraId="5F0EE157" w14:textId="188A9081" w:rsidR="00736613" w:rsidRPr="008C36AD" w:rsidRDefault="00736613" w:rsidP="00736613">
      <w:pPr>
        <w:rPr>
          <w:b/>
          <w:bCs/>
        </w:rPr>
      </w:pPr>
      <w:r w:rsidRPr="004C7E69">
        <w:rPr>
          <w:b/>
        </w:rPr>
        <w:t xml:space="preserve">Предложения о внесении поправок в Правила, </w:t>
      </w:r>
      <w:r>
        <w:rPr>
          <w:b/>
        </w:rPr>
        <w:br/>
      </w:r>
      <w:r w:rsidRPr="004C7E69">
        <w:rPr>
          <w:b/>
        </w:rPr>
        <w:t>прилагаемые к ВОПОГ: другие предложения</w:t>
      </w:r>
    </w:p>
    <w:p w14:paraId="58E79DBF" w14:textId="77777777" w:rsidR="00736613" w:rsidRPr="008C36AD" w:rsidRDefault="00736613" w:rsidP="00736613">
      <w:pPr>
        <w:pStyle w:val="HChG"/>
      </w:pPr>
      <w:r w:rsidRPr="008C36AD">
        <w:tab/>
      </w:r>
      <w:r w:rsidRPr="008C36AD">
        <w:tab/>
      </w:r>
      <w:bookmarkStart w:id="0" w:name="_Hlk88704708"/>
      <w:r>
        <w:t>Стационарные системы пожаротушения для обеспечения физической защиты </w:t>
      </w:r>
      <w:bookmarkEnd w:id="0"/>
      <w:r w:rsidRPr="00BE3E77">
        <w:t>—</w:t>
      </w:r>
      <w:r w:rsidRPr="008C36AD">
        <w:t xml:space="preserve"> </w:t>
      </w:r>
      <w:r>
        <w:t>пункты </w:t>
      </w:r>
      <w:r w:rsidRPr="008C36AD">
        <w:t>9.1.0.40.2.16, 9.3.1.40.2.16, 9.3.2.40.2.16 и 9.3.3.40.2.16 ВОПОГ</w:t>
      </w:r>
    </w:p>
    <w:p w14:paraId="489B8BBE" w14:textId="378F18B6" w:rsidR="00736613" w:rsidRPr="00BE3E77" w:rsidRDefault="00736613" w:rsidP="00736613">
      <w:pPr>
        <w:pStyle w:val="H1G"/>
        <w:rPr>
          <w:b w:val="0"/>
          <w:bCs/>
          <w:sz w:val="18"/>
        </w:rPr>
      </w:pPr>
      <w:r w:rsidRPr="008C36AD">
        <w:tab/>
      </w:r>
      <w:r w:rsidRPr="008C36AD">
        <w:tab/>
      </w:r>
      <w:r w:rsidRPr="001C1CF4">
        <w:t>Передано правительством</w:t>
      </w:r>
      <w:r w:rsidRPr="008C36AD">
        <w:t xml:space="preserve"> Германии</w:t>
      </w:r>
      <w:r w:rsidRPr="00736613">
        <w:rPr>
          <w:rStyle w:val="aa"/>
          <w:b w:val="0"/>
          <w:bCs/>
          <w:sz w:val="20"/>
          <w:vertAlign w:val="baseline"/>
        </w:rPr>
        <w:footnoteReference w:customMarkFollows="1" w:id="1"/>
        <w:t>*</w:t>
      </w:r>
      <w:r w:rsidRPr="00736613">
        <w:rPr>
          <w:b w:val="0"/>
          <w:bCs/>
          <w:sz w:val="20"/>
        </w:rPr>
        <w:t> </w:t>
      </w:r>
      <w:r w:rsidRPr="00736613">
        <w:rPr>
          <w:rStyle w:val="aa"/>
          <w:b w:val="0"/>
          <w:bCs/>
          <w:sz w:val="20"/>
          <w:vertAlign w:val="baseline"/>
        </w:rPr>
        <w:footnoteReference w:customMarkFollows="1" w:id="2"/>
        <w:t>**</w:t>
      </w:r>
      <w:r w:rsidRPr="00736613">
        <w:rPr>
          <w:b w:val="0"/>
          <w:bCs/>
          <w:sz w:val="20"/>
        </w:rPr>
        <w:t> </w:t>
      </w:r>
      <w:r w:rsidRPr="00303869">
        <w:rPr>
          <w:b w:val="0"/>
          <w:bCs/>
          <w:sz w:val="20"/>
        </w:rPr>
        <w:t>*</w:t>
      </w:r>
      <w:r w:rsidRPr="00736613">
        <w:rPr>
          <w:rStyle w:val="aa"/>
          <w:b w:val="0"/>
          <w:bCs/>
          <w:sz w:val="20"/>
          <w:vertAlign w:val="baseline"/>
        </w:rPr>
        <w:footnoteReference w:customMarkFollows="1" w:id="3"/>
        <w:t>**</w:t>
      </w:r>
    </w:p>
    <w:p w14:paraId="124CCC52" w14:textId="77777777" w:rsidR="00736613" w:rsidRPr="00BE3E77" w:rsidRDefault="00736613" w:rsidP="00736613">
      <w:pPr>
        <w:pStyle w:val="HChG"/>
      </w:pPr>
      <w:r w:rsidRPr="008C36AD">
        <w:tab/>
      </w:r>
      <w:r w:rsidRPr="008C36AD">
        <w:tab/>
        <w:t>Введение</w:t>
      </w:r>
    </w:p>
    <w:p w14:paraId="27472687" w14:textId="77777777" w:rsidR="00736613" w:rsidRPr="008C36AD" w:rsidRDefault="00736613" w:rsidP="00736613">
      <w:pPr>
        <w:pStyle w:val="SingleTxtG"/>
      </w:pPr>
      <w:r w:rsidRPr="008C36AD">
        <w:t>1</w:t>
      </w:r>
      <w:r>
        <w:t>.</w:t>
      </w:r>
      <w:r w:rsidRPr="008C36AD">
        <w:tab/>
        <w:t>В соответствии с пунктами</w:t>
      </w:r>
      <w:r>
        <w:t> </w:t>
      </w:r>
      <w:r w:rsidRPr="008C36AD">
        <w:t xml:space="preserve">9.1.0.40.2.16, 9.3.1.40.2.16, 9.3.2.40.2.16 и 9.3.3.40.2.16 ВОПОГ </w:t>
      </w:r>
      <w:r>
        <w:t xml:space="preserve">установка </w:t>
      </w:r>
      <w:r w:rsidRPr="00916F6A">
        <w:t>стационарны</w:t>
      </w:r>
      <w:r>
        <w:t>х</w:t>
      </w:r>
      <w:r w:rsidRPr="00916F6A">
        <w:t xml:space="preserve"> систем пожаротушения для обеспечения физической защиты </w:t>
      </w:r>
      <w:r w:rsidRPr="008C36AD">
        <w:t>допуска</w:t>
      </w:r>
      <w:r>
        <w:t>е</w:t>
      </w:r>
      <w:r w:rsidRPr="008C36AD">
        <w:t>тся на борту судов внутреннего плавания, перевозящих опасные грузы, только в машинных отделениях, котельных и насосных отделениях и только на основ</w:t>
      </w:r>
      <w:r>
        <w:t>е</w:t>
      </w:r>
      <w:r w:rsidRPr="008C36AD">
        <w:t xml:space="preserve"> рекомендаций Административного комитета.</w:t>
      </w:r>
    </w:p>
    <w:p w14:paraId="6F9DE07B" w14:textId="77777777" w:rsidR="00736613" w:rsidRPr="008C36AD" w:rsidRDefault="00736613" w:rsidP="00736613">
      <w:pPr>
        <w:pStyle w:val="SingleTxtG"/>
      </w:pPr>
      <w:r>
        <w:t>2.</w:t>
      </w:r>
      <w:r w:rsidRPr="008C36AD">
        <w:tab/>
      </w:r>
      <w:r>
        <w:t>В</w:t>
      </w:r>
      <w:r w:rsidRPr="008C36AD">
        <w:t xml:space="preserve"> статье</w:t>
      </w:r>
      <w:r>
        <w:t> </w:t>
      </w:r>
      <w:r w:rsidRPr="008C36AD">
        <w:t>13.06</w:t>
      </w:r>
      <w:r>
        <w:t xml:space="preserve"> </w:t>
      </w:r>
      <w:r w:rsidRPr="00D55D70">
        <w:t>Европейск</w:t>
      </w:r>
      <w:r>
        <w:t>ого</w:t>
      </w:r>
      <w:r w:rsidRPr="00D55D70">
        <w:t xml:space="preserve"> стандарт</w:t>
      </w:r>
      <w:r>
        <w:t>а</w:t>
      </w:r>
      <w:r w:rsidRPr="00D55D70">
        <w:t>, устанавливающ</w:t>
      </w:r>
      <w:r>
        <w:t>его</w:t>
      </w:r>
      <w:r w:rsidRPr="00D55D70">
        <w:t xml:space="preserve"> технические требования для судов внутреннего плавания (EС-ТТСВП)</w:t>
      </w:r>
      <w:r w:rsidRPr="008C36AD">
        <w:t>, опубликованн</w:t>
      </w:r>
      <w:r>
        <w:t>ого</w:t>
      </w:r>
      <w:r w:rsidRPr="008C36AD">
        <w:t xml:space="preserve"> Европейским комитетом по разработке стандартов </w:t>
      </w:r>
      <w:r w:rsidRPr="00C16308">
        <w:t>в области</w:t>
      </w:r>
      <w:r>
        <w:t xml:space="preserve"> </w:t>
      </w:r>
      <w:r w:rsidRPr="008C36AD">
        <w:t>внутреннего судоходства (</w:t>
      </w:r>
      <w:r w:rsidRPr="00E10B57">
        <w:t>КЕСНИ</w:t>
      </w:r>
      <w:r w:rsidRPr="008C36AD">
        <w:t xml:space="preserve">), </w:t>
      </w:r>
      <w:r>
        <w:t>предусмотрен</w:t>
      </w:r>
      <w:r w:rsidRPr="008C36AD">
        <w:t xml:space="preserve"> общий запрет на </w:t>
      </w:r>
      <w:r>
        <w:t>стационарные системы пожаротушения для обеспечения физической защиты</w:t>
      </w:r>
      <w:r w:rsidRPr="008C36AD">
        <w:t xml:space="preserve">. В соответствии </w:t>
      </w:r>
      <w:r>
        <w:t xml:space="preserve">с пунктом 17 </w:t>
      </w:r>
      <w:r w:rsidRPr="008C36AD">
        <w:t>стать</w:t>
      </w:r>
      <w:r>
        <w:t>и </w:t>
      </w:r>
      <w:r w:rsidRPr="008C36AD">
        <w:t xml:space="preserve">10.11 </w:t>
      </w:r>
      <w:r>
        <w:t>«</w:t>
      </w:r>
      <w:r w:rsidRPr="0079772C">
        <w:rPr>
          <w:bCs/>
          <w:iCs/>
        </w:rPr>
        <w:t>Батареи, аккумуляторы и их зарядные устройства</w:t>
      </w:r>
      <w:r>
        <w:rPr>
          <w:bCs/>
          <w:iCs/>
        </w:rPr>
        <w:t>»</w:t>
      </w:r>
      <w:r w:rsidRPr="008C36AD">
        <w:t xml:space="preserve"> </w:t>
      </w:r>
      <w:r w:rsidRPr="0080628B">
        <w:t xml:space="preserve">концепция противопожарной защиты не обязательна, если литий-ионные аккумуляторы хранятся в огнеупорном корпусе, </w:t>
      </w:r>
      <w:r w:rsidRPr="0080628B">
        <w:lastRenderedPageBreak/>
        <w:t xml:space="preserve">который </w:t>
      </w:r>
      <w:r w:rsidRPr="00453B75">
        <w:t>в отступление от статьи</w:t>
      </w:r>
      <w:r>
        <w:t> </w:t>
      </w:r>
      <w:r w:rsidRPr="00453B75">
        <w:t>13.06</w:t>
      </w:r>
      <w:r>
        <w:t xml:space="preserve"> </w:t>
      </w:r>
      <w:r w:rsidRPr="0080628B">
        <w:t>оснащен</w:t>
      </w:r>
      <w:r>
        <w:t>, в частности,</w:t>
      </w:r>
      <w:r w:rsidRPr="00453B75">
        <w:t xml:space="preserve"> одной подходящей стационарной установкой пожаротушения для защиты объектов</w:t>
      </w:r>
      <w:r w:rsidRPr="008C36AD">
        <w:t>.</w:t>
      </w:r>
    </w:p>
    <w:p w14:paraId="16B9CDEA" w14:textId="77777777" w:rsidR="00736613" w:rsidRPr="008C36AD" w:rsidRDefault="00736613" w:rsidP="00736613">
      <w:pPr>
        <w:pStyle w:val="SingleTxtG"/>
      </w:pPr>
      <w:r>
        <w:t>3.</w:t>
      </w:r>
      <w:r>
        <w:tab/>
      </w:r>
      <w:r w:rsidRPr="008C36AD">
        <w:t xml:space="preserve">В настоящее время эти два правила уже противоречат друг другу, поскольку Административный комитет не может разрешить установку </w:t>
      </w:r>
      <w:r w:rsidRPr="00A72C18">
        <w:t>стационарных систем пожаротушения для обеспечения физической защиты</w:t>
      </w:r>
      <w:r>
        <w:t xml:space="preserve"> </w:t>
      </w:r>
      <w:r w:rsidRPr="008C36AD">
        <w:t xml:space="preserve">в месте расположения литий-ионных батарей на борту судов, перевозящих опасные грузы, если они </w:t>
      </w:r>
      <w:r>
        <w:t>размещены</w:t>
      </w:r>
      <w:r w:rsidRPr="008C36AD">
        <w:t xml:space="preserve"> </w:t>
      </w:r>
      <w:r>
        <w:t>за пределами</w:t>
      </w:r>
      <w:r w:rsidRPr="008C36AD">
        <w:t xml:space="preserve"> машинных </w:t>
      </w:r>
      <w:bookmarkStart w:id="1" w:name="_Hlk88730578"/>
      <w:r w:rsidRPr="008C36AD">
        <w:t>отделений</w:t>
      </w:r>
      <w:bookmarkEnd w:id="1"/>
      <w:r>
        <w:t>,</w:t>
      </w:r>
      <w:r w:rsidRPr="008C36AD">
        <w:t xml:space="preserve"> котельных и насосных </w:t>
      </w:r>
      <w:r w:rsidRPr="00EC3BC3">
        <w:t>отделений</w:t>
      </w:r>
      <w:r w:rsidRPr="008C36AD">
        <w:t>.</w:t>
      </w:r>
    </w:p>
    <w:p w14:paraId="711D4DF7" w14:textId="3B80185F" w:rsidR="00736613" w:rsidRPr="008C36AD" w:rsidRDefault="00736613" w:rsidP="00736613">
      <w:pPr>
        <w:pStyle w:val="SingleTxtG"/>
      </w:pPr>
      <w:r>
        <w:t>4.</w:t>
      </w:r>
      <w:r>
        <w:tab/>
        <w:t>Что касается</w:t>
      </w:r>
      <w:r w:rsidRPr="008C36AD">
        <w:t xml:space="preserve"> </w:t>
      </w:r>
      <w:r w:rsidRPr="002F4CD5">
        <w:rPr>
          <w:lang w:val="fr-FR"/>
        </w:rPr>
        <w:t>E</w:t>
      </w:r>
      <w:r w:rsidRPr="002F4CD5">
        <w:t>С-ТТСВП</w:t>
      </w:r>
      <w:r w:rsidRPr="008C36AD">
        <w:t xml:space="preserve"> </w:t>
      </w:r>
      <w:r>
        <w:t xml:space="preserve">издания </w:t>
      </w:r>
      <w:r w:rsidRPr="008C36AD">
        <w:t>2023</w:t>
      </w:r>
      <w:r>
        <w:t> года, то</w:t>
      </w:r>
      <w:r w:rsidRPr="008C36AD">
        <w:t xml:space="preserve"> в рабочую группу по техническим правилам</w:t>
      </w:r>
      <w:r w:rsidRPr="00AD2AC0">
        <w:t xml:space="preserve"> </w:t>
      </w:r>
      <w:r w:rsidRPr="00E10B57">
        <w:t>КЕСНИ</w:t>
      </w:r>
      <w:r w:rsidRPr="008C36AD">
        <w:t xml:space="preserve"> была подана заявка</w:t>
      </w:r>
      <w:r w:rsidRPr="00736613">
        <w:rPr>
          <w:rStyle w:val="aa"/>
        </w:rPr>
        <w:footnoteReference w:id="4"/>
      </w:r>
      <w:r w:rsidRPr="008C36AD">
        <w:t xml:space="preserve"> на </w:t>
      </w:r>
      <w:r w:rsidRPr="00132639">
        <w:t>разрешение</w:t>
      </w:r>
      <w:r>
        <w:t>,</w:t>
      </w:r>
      <w:r w:rsidRPr="00132639">
        <w:t xml:space="preserve"> при определенных условиях</w:t>
      </w:r>
      <w:r>
        <w:t>,</w:t>
      </w:r>
      <w:r w:rsidRPr="00132639">
        <w:t xml:space="preserve"> </w:t>
      </w:r>
      <w:r>
        <w:t>стационарных систем пожаротушения для обеспечения физической защиты</w:t>
      </w:r>
      <w:r w:rsidRPr="008C36AD">
        <w:t>.</w:t>
      </w:r>
    </w:p>
    <w:p w14:paraId="0C44F345" w14:textId="77777777" w:rsidR="00736613" w:rsidRPr="008C36AD" w:rsidRDefault="00736613" w:rsidP="00736613">
      <w:pPr>
        <w:pStyle w:val="SingleTxtG"/>
      </w:pPr>
      <w:r>
        <w:t>5.</w:t>
      </w:r>
      <w:r w:rsidRPr="008C36AD">
        <w:tab/>
        <w:t xml:space="preserve">Комитет по </w:t>
      </w:r>
      <w:r>
        <w:t xml:space="preserve">вопросам </w:t>
      </w:r>
      <w:r w:rsidRPr="008C36AD">
        <w:t>безопасности ВОПОГ предложил рабочей группе классификационных обществ проверить, необходимы ли для судов, перевозящих опасные грузы,</w:t>
      </w:r>
      <w:r>
        <w:t xml:space="preserve"> </w:t>
      </w:r>
      <w:r w:rsidRPr="008C36AD">
        <w:t xml:space="preserve">требования безопасности, отличные от требований </w:t>
      </w:r>
      <w:r>
        <w:rPr>
          <w:lang w:val="fr-FR"/>
        </w:rPr>
        <w:t>E</w:t>
      </w:r>
      <w:r w:rsidRPr="006D52AE">
        <w:t>С-ТТСВП</w:t>
      </w:r>
      <w:r w:rsidRPr="008C36AD">
        <w:t>, когда литиевые батареи размещаются в непосредственной близости от опасных грузов.</w:t>
      </w:r>
    </w:p>
    <w:p w14:paraId="4C355F54" w14:textId="77777777" w:rsidR="00736613" w:rsidRPr="008C36AD" w:rsidRDefault="00736613" w:rsidP="00736613">
      <w:pPr>
        <w:pStyle w:val="HChG"/>
      </w:pPr>
      <w:r w:rsidRPr="008C36AD">
        <w:tab/>
      </w:r>
      <w:r w:rsidRPr="00997656">
        <w:rPr>
          <w:lang w:val="fr-FR"/>
        </w:rPr>
        <w:t>I</w:t>
      </w:r>
      <w:r w:rsidRPr="008C36AD">
        <w:t>.</w:t>
      </w:r>
      <w:r>
        <w:tab/>
      </w:r>
      <w:r w:rsidRPr="008C36AD">
        <w:t>Приложение</w:t>
      </w:r>
    </w:p>
    <w:p w14:paraId="3696FB5F" w14:textId="77777777" w:rsidR="00736613" w:rsidRPr="008C36AD" w:rsidRDefault="00736613" w:rsidP="00736613">
      <w:pPr>
        <w:pStyle w:val="SingleTxtG"/>
      </w:pPr>
      <w:r w:rsidRPr="008C36AD">
        <w:t>6.</w:t>
      </w:r>
      <w:r>
        <w:tab/>
      </w:r>
      <w:r w:rsidRPr="008C36AD">
        <w:t>Измен</w:t>
      </w:r>
      <w:r>
        <w:t>ить пункты </w:t>
      </w:r>
      <w:r w:rsidRPr="008C36AD">
        <w:t>9.1.0.40.2.16, 9.3.1.40.2.16, 9.3.2.40.2.16 и 9.3.3.40.2.16 ВОПОГ следующим образом</w:t>
      </w:r>
      <w:r>
        <w:t>:</w:t>
      </w:r>
    </w:p>
    <w:p w14:paraId="59364DE4" w14:textId="77777777" w:rsidR="00736613" w:rsidRPr="007566D5" w:rsidRDefault="00736613" w:rsidP="00736613">
      <w:pPr>
        <w:pStyle w:val="SingleTxtG"/>
        <w:ind w:left="1701"/>
        <w:rPr>
          <w:bCs/>
          <w:i/>
          <w:iCs/>
        </w:rPr>
      </w:pPr>
      <w:bookmarkStart w:id="2" w:name="_Hlk88731967"/>
      <w:r>
        <w:rPr>
          <w:bCs/>
        </w:rPr>
        <w:t>«</w:t>
      </w:r>
      <w:r w:rsidRPr="007566D5">
        <w:rPr>
          <w:bCs/>
          <w:i/>
          <w:iCs/>
        </w:rPr>
        <w:t>Стационарные системы пожаротушения для обеспечения физической защиты</w:t>
      </w:r>
      <w:bookmarkEnd w:id="2"/>
    </w:p>
    <w:p w14:paraId="135710A1" w14:textId="3C33CCC7" w:rsidR="00736613" w:rsidRPr="008C36AD" w:rsidRDefault="00736613" w:rsidP="00736613">
      <w:pPr>
        <w:pStyle w:val="SingleTxtG"/>
        <w:ind w:left="1701"/>
      </w:pPr>
      <w:r>
        <w:t>Стационарные системы пожаротушения для обеспечения физической защиты</w:t>
      </w:r>
      <w:r w:rsidRPr="008C36AD">
        <w:t xml:space="preserve"> могут использоваться для защиты установок и оборудования только в том случае, если они соответствуют статье</w:t>
      </w:r>
      <w:r>
        <w:t> </w:t>
      </w:r>
      <w:r w:rsidRPr="008C36AD">
        <w:t xml:space="preserve">13.06 </w:t>
      </w:r>
      <w:r w:rsidRPr="00E83C41">
        <w:t xml:space="preserve">Европейского стандарта, устанавливающего технические требования для судов внутреннего плавания </w:t>
      </w:r>
      <w:r w:rsidRPr="008C36AD">
        <w:t>(</w:t>
      </w:r>
      <w:r>
        <w:rPr>
          <w:lang w:val="fr-FR"/>
        </w:rPr>
        <w:t>E</w:t>
      </w:r>
      <w:r w:rsidRPr="006D52AE">
        <w:t>С-ТТСВП</w:t>
      </w:r>
      <w:r w:rsidRPr="008C36AD">
        <w:t>) в его действующей редакции*.</w:t>
      </w:r>
    </w:p>
    <w:p w14:paraId="0E259A14" w14:textId="0C41732C" w:rsidR="00736613" w:rsidRPr="00F12C36" w:rsidRDefault="00736613" w:rsidP="00736613">
      <w:pPr>
        <w:pStyle w:val="SingleTxtG"/>
        <w:ind w:left="1701"/>
      </w:pPr>
      <w:r>
        <w:t>*</w:t>
      </w:r>
      <w:r w:rsidR="00BB5C60" w:rsidRPr="00BB5C60">
        <w:t xml:space="preserve"> </w:t>
      </w:r>
      <w:r>
        <w:t>Размещен</w:t>
      </w:r>
      <w:r w:rsidRPr="008C36AD">
        <w:t xml:space="preserve"> на сайте Европейского комитета по разработке стандартов в области внутреннего судоходства (</w:t>
      </w:r>
      <w:r w:rsidRPr="00E10B57">
        <w:t>КЕСНИ</w:t>
      </w:r>
      <w:r w:rsidRPr="008C36AD">
        <w:t xml:space="preserve">), </w:t>
      </w:r>
      <w:r>
        <w:rPr>
          <w:lang w:val="fr-FR"/>
        </w:rPr>
        <w:t>URL</w:t>
      </w:r>
      <w:r w:rsidR="00815294">
        <w:t>:</w:t>
      </w:r>
      <w:r>
        <w:rPr>
          <w:lang w:val="fr-FR"/>
        </w:rPr>
        <w:t> </w:t>
      </w:r>
      <w:hyperlink r:id="rId8" w:history="1">
        <w:r w:rsidR="00815294" w:rsidRPr="00997656">
          <w:rPr>
            <w:rStyle w:val="af1"/>
            <w:lang w:val="fr-FR"/>
          </w:rPr>
          <w:t>https</w:t>
        </w:r>
        <w:r w:rsidR="00815294" w:rsidRPr="00815294">
          <w:rPr>
            <w:rStyle w:val="af1"/>
          </w:rPr>
          <w:t>://</w:t>
        </w:r>
        <w:r w:rsidR="00815294" w:rsidRPr="00997656">
          <w:rPr>
            <w:rStyle w:val="af1"/>
            <w:lang w:val="fr-FR"/>
          </w:rPr>
          <w:t>www</w:t>
        </w:r>
        <w:r w:rsidR="00815294" w:rsidRPr="00815294">
          <w:rPr>
            <w:rStyle w:val="af1"/>
          </w:rPr>
          <w:t>.</w:t>
        </w:r>
        <w:r w:rsidR="00815294" w:rsidRPr="00997656">
          <w:rPr>
            <w:rStyle w:val="af1"/>
            <w:lang w:val="fr-FR"/>
          </w:rPr>
          <w:t>cesni</w:t>
        </w:r>
        <w:r w:rsidR="00815294" w:rsidRPr="00815294">
          <w:rPr>
            <w:rStyle w:val="af1"/>
          </w:rPr>
          <w:t>.</w:t>
        </w:r>
        <w:r w:rsidR="00815294" w:rsidRPr="00997656">
          <w:rPr>
            <w:rStyle w:val="af1"/>
            <w:lang w:val="fr-FR"/>
          </w:rPr>
          <w:t>eu</w:t>
        </w:r>
        <w:r w:rsidR="00815294" w:rsidRPr="00815294">
          <w:rPr>
            <w:rStyle w:val="af1"/>
          </w:rPr>
          <w:t>/</w:t>
        </w:r>
        <w:r w:rsidR="00815294" w:rsidRPr="00997656">
          <w:rPr>
            <w:rStyle w:val="af1"/>
            <w:lang w:val="fr-FR"/>
          </w:rPr>
          <w:t>fr</w:t>
        </w:r>
        <w:r w:rsidR="00815294" w:rsidRPr="00815294">
          <w:rPr>
            <w:rStyle w:val="af1"/>
          </w:rPr>
          <w:t>/</w:t>
        </w:r>
        <w:r w:rsidR="00815294" w:rsidRPr="00997656">
          <w:rPr>
            <w:rStyle w:val="af1"/>
            <w:lang w:val="fr-FR"/>
          </w:rPr>
          <w:t>documents</w:t>
        </w:r>
        <w:r w:rsidR="00815294" w:rsidRPr="00815294">
          <w:rPr>
            <w:rStyle w:val="af1"/>
          </w:rPr>
          <w:t>/</w:t>
        </w:r>
        <w:r w:rsidR="00815294" w:rsidRPr="00997656">
          <w:rPr>
            <w:rStyle w:val="af1"/>
            <w:lang w:val="fr-FR"/>
          </w:rPr>
          <w:t>es</w:t>
        </w:r>
        <w:r w:rsidR="00815294" w:rsidRPr="00815294">
          <w:rPr>
            <w:rStyle w:val="af1"/>
          </w:rPr>
          <w:t>-</w:t>
        </w:r>
        <w:r w:rsidR="00815294" w:rsidRPr="00997656">
          <w:rPr>
            <w:rStyle w:val="af1"/>
            <w:lang w:val="fr-FR"/>
          </w:rPr>
          <w:t>trin</w:t>
        </w:r>
        <w:r w:rsidR="00815294" w:rsidRPr="00815294">
          <w:rPr>
            <w:rStyle w:val="af1"/>
          </w:rPr>
          <w:t>/</w:t>
        </w:r>
      </w:hyperlink>
      <w:r>
        <w:t>»</w:t>
      </w:r>
    </w:p>
    <w:p w14:paraId="53949D79" w14:textId="77777777" w:rsidR="00736613" w:rsidRPr="008C36AD" w:rsidRDefault="00736613" w:rsidP="00736613">
      <w:pPr>
        <w:pStyle w:val="SingleTxtG"/>
      </w:pPr>
      <w:r w:rsidRPr="008C36AD">
        <w:t>или</w:t>
      </w:r>
    </w:p>
    <w:p w14:paraId="076A0B3E" w14:textId="77777777" w:rsidR="00736613" w:rsidRPr="005256E9" w:rsidRDefault="00736613" w:rsidP="00736613">
      <w:pPr>
        <w:pStyle w:val="SingleTxtG"/>
        <w:ind w:left="1701"/>
        <w:rPr>
          <w:b/>
        </w:rPr>
      </w:pPr>
      <w:r>
        <w:rPr>
          <w:bCs/>
        </w:rPr>
        <w:t>«</w:t>
      </w:r>
      <w:bookmarkStart w:id="3" w:name="_Hlk88733223"/>
      <w:r w:rsidRPr="007566D5">
        <w:rPr>
          <w:bCs/>
          <w:i/>
          <w:iCs/>
        </w:rPr>
        <w:t>Стационарные системы пожаротушения для обеспечения физической защиты</w:t>
      </w:r>
      <w:bookmarkEnd w:id="3"/>
    </w:p>
    <w:p w14:paraId="0A3E0CAA" w14:textId="5E0476AD" w:rsidR="00736613" w:rsidRPr="00736613" w:rsidRDefault="00736613" w:rsidP="00736613">
      <w:pPr>
        <w:pStyle w:val="SingleTxtG"/>
        <w:ind w:left="2268" w:hanging="567"/>
      </w:pPr>
      <w:r>
        <w:rPr>
          <w:lang w:eastAsia="zh-CN"/>
        </w:rPr>
        <w:t>a)</w:t>
      </w:r>
      <w:r>
        <w:rPr>
          <w:lang w:eastAsia="zh-CN"/>
        </w:rPr>
        <w:tab/>
      </w:r>
      <w:r w:rsidRPr="00736613">
        <w:t>Для защиты установок и оборудования допускается использовать стационарные системы пожаротушения для обеспечения физической защиты.</w:t>
      </w:r>
    </w:p>
    <w:p w14:paraId="09787FA5" w14:textId="66EAA3E7" w:rsidR="00736613" w:rsidRPr="008C36AD" w:rsidRDefault="00736613" w:rsidP="00736613">
      <w:pPr>
        <w:pStyle w:val="SingleTxtG"/>
        <w:ind w:left="2268" w:hanging="567"/>
      </w:pPr>
      <w:r>
        <w:tab/>
      </w:r>
      <w:r>
        <w:tab/>
      </w:r>
      <w:r w:rsidRPr="008C36AD">
        <w:t xml:space="preserve">Действие систем пожаротушения должно быть направлено непосредственно на защищаемые объекты. </w:t>
      </w:r>
      <w:r w:rsidRPr="00072615">
        <w:t xml:space="preserve">Дальность </w:t>
      </w:r>
      <w:r w:rsidRPr="008C36AD">
        <w:t>действия систем пожаротушения может огранич</w:t>
      </w:r>
      <w:r>
        <w:t>иваться</w:t>
      </w:r>
      <w:r w:rsidRPr="008C36AD">
        <w:t xml:space="preserve"> в пространстве </w:t>
      </w:r>
      <w:r>
        <w:t>структурными</w:t>
      </w:r>
      <w:r w:rsidRPr="008C36AD">
        <w:t xml:space="preserve"> мерами.</w:t>
      </w:r>
    </w:p>
    <w:p w14:paraId="6EC5A505" w14:textId="2D977A9F" w:rsidR="00736613" w:rsidRPr="008C36AD" w:rsidRDefault="00736613" w:rsidP="00736613">
      <w:pPr>
        <w:pStyle w:val="SingleTxtG"/>
        <w:ind w:left="2268" w:hanging="567"/>
      </w:pPr>
      <w:r>
        <w:tab/>
      </w:r>
      <w:r>
        <w:tab/>
      </w:r>
      <w:r w:rsidRPr="008C36AD">
        <w:t xml:space="preserve">Системы пожаротушения для </w:t>
      </w:r>
      <w:r>
        <w:t>обеспечения физической защиты</w:t>
      </w:r>
      <w:r w:rsidRPr="008C36AD">
        <w:t xml:space="preserve"> уже могут быть </w:t>
      </w:r>
      <w:r w:rsidRPr="00AA502D">
        <w:t>структурн</w:t>
      </w:r>
      <w:r>
        <w:t>о</w:t>
      </w:r>
      <w:r w:rsidRPr="00AA502D">
        <w:t xml:space="preserve"> </w:t>
      </w:r>
      <w:r w:rsidRPr="008C36AD">
        <w:t>интегрированы в соответствующие объекты.</w:t>
      </w:r>
    </w:p>
    <w:p w14:paraId="2F58A6FB" w14:textId="0E201FE6" w:rsidR="00736613" w:rsidRDefault="00736613" w:rsidP="00736613">
      <w:pPr>
        <w:pStyle w:val="SingleTxtG"/>
        <w:ind w:left="2268" w:hanging="567"/>
      </w:pPr>
      <w:bookmarkStart w:id="4" w:name="_Hlk88733780"/>
      <w:bookmarkStart w:id="5" w:name="_Hlk64612817"/>
      <w:r>
        <w:tab/>
      </w:r>
      <w:r>
        <w:tab/>
        <w:t>Стационарные системы пожаротушения для обеспечения физической защиты</w:t>
      </w:r>
      <w:r w:rsidRPr="008C36AD">
        <w:t xml:space="preserve"> </w:t>
      </w:r>
      <w:bookmarkEnd w:id="4"/>
      <w:r w:rsidRPr="008C36AD">
        <w:t>должны быть независимы от систем, указанных в пунктах</w:t>
      </w:r>
      <w:r>
        <w:t> </w:t>
      </w:r>
      <w:r w:rsidRPr="008C36AD">
        <w:t>9.</w:t>
      </w:r>
      <w:r w:rsidRPr="00997656">
        <w:rPr>
          <w:lang w:val="fr-FR"/>
        </w:rPr>
        <w:t>x</w:t>
      </w:r>
      <w:r w:rsidRPr="008C36AD">
        <w:t>.</w:t>
      </w:r>
      <w:r w:rsidRPr="00997656">
        <w:rPr>
          <w:lang w:val="fr-FR"/>
        </w:rPr>
        <w:t>x</w:t>
      </w:r>
      <w:r w:rsidRPr="008C36AD">
        <w:t>.40.2.2</w:t>
      </w:r>
      <w:r>
        <w:t>–</w:t>
      </w:r>
      <w:r w:rsidRPr="008C36AD">
        <w:t>9.</w:t>
      </w:r>
      <w:r w:rsidRPr="00997656">
        <w:rPr>
          <w:lang w:val="fr-FR"/>
        </w:rPr>
        <w:t>x</w:t>
      </w:r>
      <w:r w:rsidRPr="008C36AD">
        <w:t>.</w:t>
      </w:r>
      <w:r w:rsidRPr="00997656">
        <w:rPr>
          <w:lang w:val="fr-FR"/>
        </w:rPr>
        <w:t>x</w:t>
      </w:r>
      <w:r w:rsidRPr="008C36AD">
        <w:t xml:space="preserve">.40.2.16, в отношении подачи в них огнетушащего </w:t>
      </w:r>
      <w:r w:rsidRPr="00AA502D">
        <w:t>состава</w:t>
      </w:r>
      <w:r w:rsidRPr="008C36AD">
        <w:t>.</w:t>
      </w:r>
      <w:bookmarkEnd w:id="5"/>
    </w:p>
    <w:p w14:paraId="770AAFE4" w14:textId="311B8302" w:rsidR="00736613" w:rsidRPr="008C36AD" w:rsidRDefault="00736613" w:rsidP="00736613">
      <w:pPr>
        <w:pStyle w:val="SingleTxtG"/>
        <w:ind w:left="2268" w:hanging="567"/>
      </w:pPr>
      <w:r w:rsidRPr="00303869">
        <w:tab/>
      </w:r>
      <w:r w:rsidRPr="00997656">
        <w:rPr>
          <w:lang w:val="fr-FR"/>
        </w:rPr>
        <w:t>b</w:t>
      </w:r>
      <w:r w:rsidRPr="008C36AD">
        <w:t>)</w:t>
      </w:r>
      <w:r w:rsidRPr="008C36AD">
        <w:tab/>
      </w:r>
      <w:bookmarkStart w:id="6" w:name="_Hlk63689545"/>
      <w:r w:rsidRPr="008C36AD">
        <w:t xml:space="preserve">К </w:t>
      </w:r>
      <w:bookmarkEnd w:id="6"/>
      <w:r w:rsidRPr="00780AF4">
        <w:t>стационарны</w:t>
      </w:r>
      <w:r>
        <w:t>м</w:t>
      </w:r>
      <w:r w:rsidRPr="00780AF4">
        <w:t xml:space="preserve"> систем</w:t>
      </w:r>
      <w:r>
        <w:t>ам</w:t>
      </w:r>
      <w:r w:rsidRPr="00780AF4">
        <w:t xml:space="preserve"> пожаротушения для обеспечения физической защиты </w:t>
      </w:r>
      <w:r w:rsidRPr="008C36AD">
        <w:t>применяются следующие требования</w:t>
      </w:r>
      <w:r>
        <w:t>:</w:t>
      </w:r>
    </w:p>
    <w:p w14:paraId="700AAD52" w14:textId="077DAF09" w:rsidR="00736613" w:rsidRPr="008C36AD" w:rsidRDefault="00736613" w:rsidP="00736613">
      <w:pPr>
        <w:pStyle w:val="SingleTxtG"/>
        <w:ind w:left="2835" w:hanging="1134"/>
      </w:pPr>
      <w:r w:rsidRPr="00303869">
        <w:tab/>
      </w:r>
      <w:r w:rsidRPr="00997656">
        <w:rPr>
          <w:lang w:val="fr-FR"/>
        </w:rPr>
        <w:t>i</w:t>
      </w:r>
      <w:r w:rsidRPr="008C36AD">
        <w:t>)</w:t>
      </w:r>
      <w:r>
        <w:tab/>
        <w:t>пункт </w:t>
      </w:r>
      <w:r w:rsidRPr="008C36AD">
        <w:t>9.</w:t>
      </w:r>
      <w:r w:rsidRPr="00997656">
        <w:rPr>
          <w:lang w:val="fr-FR"/>
        </w:rPr>
        <w:t>x</w:t>
      </w:r>
      <w:r w:rsidRPr="008C36AD">
        <w:t>.</w:t>
      </w:r>
      <w:r w:rsidRPr="00997656">
        <w:rPr>
          <w:lang w:val="fr-FR"/>
        </w:rPr>
        <w:t>x</w:t>
      </w:r>
      <w:r w:rsidRPr="008C36AD">
        <w:t>.40.2.2, если используем</w:t>
      </w:r>
      <w:r>
        <w:t>ый</w:t>
      </w:r>
      <w:r w:rsidRPr="008C36AD">
        <w:t xml:space="preserve"> огнетушащ</w:t>
      </w:r>
      <w:r>
        <w:t>ий</w:t>
      </w:r>
      <w:r w:rsidRPr="008C36AD">
        <w:t xml:space="preserve"> </w:t>
      </w:r>
      <w:r w:rsidRPr="00ED17B4">
        <w:t xml:space="preserve">состав </w:t>
      </w:r>
      <w:r w:rsidRPr="008C36AD">
        <w:t xml:space="preserve">требует ограничения </w:t>
      </w:r>
      <w:r w:rsidRPr="009B6D51">
        <w:t>дальност</w:t>
      </w:r>
      <w:r>
        <w:t>и</w:t>
      </w:r>
      <w:r w:rsidRPr="009B6D51">
        <w:t xml:space="preserve"> </w:t>
      </w:r>
      <w:r w:rsidRPr="008C36AD">
        <w:t xml:space="preserve">действия </w:t>
      </w:r>
      <w:r w:rsidRPr="009B6D51">
        <w:t xml:space="preserve">структурными </w:t>
      </w:r>
      <w:r w:rsidRPr="008C36AD">
        <w:t>мерами;</w:t>
      </w:r>
    </w:p>
    <w:p w14:paraId="64A8076A" w14:textId="7BB08E6F" w:rsidR="00736613" w:rsidRPr="008C36AD" w:rsidRDefault="00736613" w:rsidP="00736613">
      <w:pPr>
        <w:pStyle w:val="SingleTxtG"/>
        <w:ind w:left="2835" w:hanging="1134"/>
      </w:pPr>
      <w:r w:rsidRPr="00303869">
        <w:lastRenderedPageBreak/>
        <w:tab/>
      </w:r>
      <w:r w:rsidRPr="00997656">
        <w:rPr>
          <w:lang w:val="fr-FR"/>
        </w:rPr>
        <w:t>ii</w:t>
      </w:r>
      <w:r w:rsidRPr="008C36AD">
        <w:t>)</w:t>
      </w:r>
      <w:r>
        <w:tab/>
      </w:r>
      <w:r w:rsidRPr="002E4B97">
        <w:t>пункт</w:t>
      </w:r>
      <w:r>
        <w:t>ы </w:t>
      </w:r>
      <w:r w:rsidRPr="008C36AD">
        <w:t>9.</w:t>
      </w:r>
      <w:r w:rsidRPr="00997656">
        <w:rPr>
          <w:lang w:val="fr-FR"/>
        </w:rPr>
        <w:t>x</w:t>
      </w:r>
      <w:r w:rsidRPr="008C36AD">
        <w:t>.</w:t>
      </w:r>
      <w:r w:rsidRPr="00997656">
        <w:rPr>
          <w:lang w:val="fr-FR"/>
        </w:rPr>
        <w:t>x</w:t>
      </w:r>
      <w:r w:rsidRPr="008C36AD">
        <w:t>.40.2.3 и 9.</w:t>
      </w:r>
      <w:r w:rsidRPr="00997656">
        <w:rPr>
          <w:lang w:val="fr-FR"/>
        </w:rPr>
        <w:t>x</w:t>
      </w:r>
      <w:r w:rsidRPr="008C36AD">
        <w:t>.</w:t>
      </w:r>
      <w:r w:rsidRPr="00997656">
        <w:rPr>
          <w:lang w:val="fr-FR"/>
        </w:rPr>
        <w:t>x</w:t>
      </w:r>
      <w:r w:rsidRPr="008C36AD">
        <w:t>.40.2.4</w:t>
      </w:r>
      <w:r>
        <w:t>;</w:t>
      </w:r>
    </w:p>
    <w:p w14:paraId="1D316B9D" w14:textId="3F5531EF" w:rsidR="00736613" w:rsidRDefault="00736613" w:rsidP="00736613">
      <w:pPr>
        <w:pStyle w:val="SingleTxtG"/>
        <w:ind w:left="2835" w:hanging="1134"/>
      </w:pPr>
      <w:r w:rsidRPr="00303869">
        <w:tab/>
      </w:r>
      <w:r w:rsidRPr="00997656">
        <w:rPr>
          <w:lang w:val="fr-FR"/>
        </w:rPr>
        <w:t>iii</w:t>
      </w:r>
      <w:r w:rsidRPr="008C36AD">
        <w:t>)</w:t>
      </w:r>
      <w:r w:rsidRPr="008C36AD">
        <w:tab/>
      </w:r>
      <w:bookmarkStart w:id="7" w:name="_Hlk64613697"/>
      <w:r>
        <w:t>пункт </w:t>
      </w:r>
      <w:r w:rsidRPr="008C36AD">
        <w:t>9.</w:t>
      </w:r>
      <w:r w:rsidRPr="00997656">
        <w:rPr>
          <w:lang w:val="fr-FR"/>
        </w:rPr>
        <w:t>x</w:t>
      </w:r>
      <w:r w:rsidRPr="008C36AD">
        <w:t>.</w:t>
      </w:r>
      <w:r w:rsidRPr="00997656">
        <w:rPr>
          <w:lang w:val="fr-FR"/>
        </w:rPr>
        <w:t>x</w:t>
      </w:r>
      <w:r w:rsidRPr="008C36AD">
        <w:t xml:space="preserve">.40.2.5, </w:t>
      </w:r>
      <w:r>
        <w:t>подпункты </w:t>
      </w:r>
      <w:r w:rsidRPr="00997656">
        <w:rPr>
          <w:lang w:val="fr-FR"/>
        </w:rPr>
        <w:t>b</w:t>
      </w:r>
      <w:r w:rsidRPr="008C36AD">
        <w:t xml:space="preserve">) и </w:t>
      </w:r>
      <w:r w:rsidRPr="00997656">
        <w:rPr>
          <w:lang w:val="fr-FR"/>
        </w:rPr>
        <w:t>c</w:t>
      </w:r>
      <w:r w:rsidRPr="008C36AD">
        <w:t xml:space="preserve">), в дополнение к положениям </w:t>
      </w:r>
      <w:r>
        <w:t>подпункта </w:t>
      </w:r>
      <w:r w:rsidRPr="00997656">
        <w:rPr>
          <w:lang w:val="fr-FR"/>
        </w:rPr>
        <w:t>c</w:t>
      </w:r>
      <w:r w:rsidRPr="008C36AD">
        <w:t>) данного раздела</w:t>
      </w:r>
      <w:r>
        <w:t>;</w:t>
      </w:r>
      <w:bookmarkEnd w:id="7"/>
    </w:p>
    <w:p w14:paraId="0BFA346A" w14:textId="4269702C" w:rsidR="00736613" w:rsidRPr="008C36AD" w:rsidRDefault="00736613" w:rsidP="00736613">
      <w:pPr>
        <w:pStyle w:val="SingleTxtG"/>
        <w:ind w:left="2835" w:hanging="1134"/>
      </w:pPr>
      <w:r w:rsidRPr="00303869">
        <w:tab/>
      </w:r>
      <w:r w:rsidRPr="00997656">
        <w:rPr>
          <w:lang w:val="fr-FR"/>
        </w:rPr>
        <w:t>iv</w:t>
      </w:r>
      <w:r w:rsidRPr="008C36AD">
        <w:t>)</w:t>
      </w:r>
      <w:r>
        <w:tab/>
        <w:t>пункт </w:t>
      </w:r>
      <w:r w:rsidRPr="008C36AD">
        <w:t>9.</w:t>
      </w:r>
      <w:r w:rsidRPr="00997656">
        <w:rPr>
          <w:lang w:val="fr-FR"/>
        </w:rPr>
        <w:t>x</w:t>
      </w:r>
      <w:r w:rsidRPr="008C36AD">
        <w:t>.</w:t>
      </w:r>
      <w:r w:rsidRPr="00997656">
        <w:rPr>
          <w:lang w:val="fr-FR"/>
        </w:rPr>
        <w:t>x</w:t>
      </w:r>
      <w:r w:rsidRPr="008C36AD">
        <w:t xml:space="preserve">.40.2.6, </w:t>
      </w:r>
      <w:r>
        <w:t>подпункты </w:t>
      </w:r>
      <w:r w:rsidRPr="00997656">
        <w:rPr>
          <w:lang w:val="fr-FR"/>
        </w:rPr>
        <w:t>a</w:t>
      </w:r>
      <w:r w:rsidRPr="008C36AD">
        <w:t>)</w:t>
      </w:r>
      <w:r>
        <w:t>–</w:t>
      </w:r>
      <w:r w:rsidRPr="00997656">
        <w:rPr>
          <w:lang w:val="fr-FR"/>
        </w:rPr>
        <w:t>e</w:t>
      </w:r>
      <w:r w:rsidRPr="008C36AD">
        <w:t xml:space="preserve">), а также у каждого входа в помещение или в непосредственной близости от </w:t>
      </w:r>
      <w:r>
        <w:t>помещенного в корпус</w:t>
      </w:r>
      <w:r w:rsidRPr="008C36AD">
        <w:t xml:space="preserve"> объекта на видном месте вывеш</w:t>
      </w:r>
      <w:r>
        <w:t>ивается</w:t>
      </w:r>
      <w:r w:rsidRPr="008C36AD">
        <w:t xml:space="preserve"> знак, соответствующий системе пожаротушения для </w:t>
      </w:r>
      <w:r>
        <w:t>обеспечения физической защиты</w:t>
      </w:r>
      <w:r w:rsidRPr="008C36AD">
        <w:t>;</w:t>
      </w:r>
    </w:p>
    <w:p w14:paraId="18B979D6" w14:textId="6201135C" w:rsidR="00736613" w:rsidRPr="008C36AD" w:rsidRDefault="00736613" w:rsidP="00736613">
      <w:pPr>
        <w:pStyle w:val="SingleTxtG"/>
        <w:ind w:left="2835" w:hanging="1134"/>
      </w:pPr>
      <w:r w:rsidRPr="00303869">
        <w:tab/>
      </w:r>
      <w:r w:rsidRPr="00997656">
        <w:rPr>
          <w:lang w:val="fr-FR"/>
        </w:rPr>
        <w:t>v</w:t>
      </w:r>
      <w:r w:rsidRPr="008C36AD">
        <w:t>)</w:t>
      </w:r>
      <w:r w:rsidRPr="008C36AD">
        <w:tab/>
      </w:r>
      <w:r>
        <w:t>пункты </w:t>
      </w:r>
      <w:r w:rsidRPr="008C36AD">
        <w:t>9.</w:t>
      </w:r>
      <w:r w:rsidRPr="00997656">
        <w:rPr>
          <w:lang w:val="fr-FR"/>
        </w:rPr>
        <w:t>x</w:t>
      </w:r>
      <w:r w:rsidRPr="008C36AD">
        <w:t>.</w:t>
      </w:r>
      <w:r w:rsidRPr="00997656">
        <w:rPr>
          <w:lang w:val="fr-FR"/>
        </w:rPr>
        <w:t>x</w:t>
      </w:r>
      <w:r w:rsidRPr="008C36AD">
        <w:t>.40.2.7</w:t>
      </w:r>
      <w:r>
        <w:t>–</w:t>
      </w:r>
      <w:r w:rsidRPr="008C36AD">
        <w:t>9.</w:t>
      </w:r>
      <w:r w:rsidRPr="00997656">
        <w:rPr>
          <w:lang w:val="fr-FR"/>
        </w:rPr>
        <w:t>x</w:t>
      </w:r>
      <w:r w:rsidRPr="008C36AD">
        <w:t>.</w:t>
      </w:r>
      <w:r w:rsidRPr="00997656">
        <w:rPr>
          <w:lang w:val="fr-FR"/>
        </w:rPr>
        <w:t>x</w:t>
      </w:r>
      <w:r w:rsidRPr="008C36AD">
        <w:t>.40.2.13;</w:t>
      </w:r>
    </w:p>
    <w:p w14:paraId="1E83CA7B" w14:textId="5E50A648" w:rsidR="00736613" w:rsidRPr="008C36AD" w:rsidRDefault="00736613" w:rsidP="00736613">
      <w:pPr>
        <w:pStyle w:val="SingleTxtG"/>
        <w:ind w:left="2835" w:hanging="1134"/>
      </w:pPr>
      <w:r w:rsidRPr="00303869">
        <w:tab/>
      </w:r>
      <w:r w:rsidRPr="00997656">
        <w:rPr>
          <w:lang w:val="fr-FR"/>
        </w:rPr>
        <w:t>vi</w:t>
      </w:r>
      <w:r w:rsidRPr="008C36AD">
        <w:t>)</w:t>
      </w:r>
      <w:r>
        <w:tab/>
        <w:t>пункт </w:t>
      </w:r>
      <w:r w:rsidRPr="008C36AD">
        <w:t>9.</w:t>
      </w:r>
      <w:r w:rsidRPr="00997656">
        <w:rPr>
          <w:lang w:val="fr-FR"/>
        </w:rPr>
        <w:t>x</w:t>
      </w:r>
      <w:r w:rsidRPr="008C36AD">
        <w:t>.</w:t>
      </w:r>
      <w:r w:rsidRPr="00997656">
        <w:rPr>
          <w:lang w:val="fr-FR"/>
        </w:rPr>
        <w:t>x</w:t>
      </w:r>
      <w:r w:rsidRPr="008C36AD">
        <w:t xml:space="preserve">.40.2.14, </w:t>
      </w:r>
      <w:r>
        <w:t>подпункты </w:t>
      </w:r>
      <w:r w:rsidRPr="00997656">
        <w:rPr>
          <w:lang w:val="fr-FR"/>
        </w:rPr>
        <w:t>b</w:t>
      </w:r>
      <w:r w:rsidRPr="008C36AD">
        <w:t>)</w:t>
      </w:r>
      <w:r>
        <w:t>–</w:t>
      </w:r>
      <w:r w:rsidRPr="00997656">
        <w:rPr>
          <w:lang w:val="fr-FR"/>
        </w:rPr>
        <w:t>g</w:t>
      </w:r>
      <w:r w:rsidRPr="008C36AD">
        <w:t>), когда достаточн</w:t>
      </w:r>
      <w:r>
        <w:t xml:space="preserve">о одного </w:t>
      </w:r>
      <w:r w:rsidRPr="008C36AD">
        <w:t>источник</w:t>
      </w:r>
      <w:r>
        <w:t>а</w:t>
      </w:r>
      <w:r w:rsidRPr="008C36AD">
        <w:t xml:space="preserve"> энергии, и </w:t>
      </w:r>
      <w:r>
        <w:t>подпункты </w:t>
      </w:r>
      <w:r w:rsidRPr="00997656">
        <w:rPr>
          <w:lang w:val="fr-FR"/>
        </w:rPr>
        <w:t>i</w:t>
      </w:r>
      <w:r w:rsidRPr="008C36AD">
        <w:t xml:space="preserve">) и </w:t>
      </w:r>
      <w:r w:rsidRPr="00997656">
        <w:rPr>
          <w:lang w:val="fr-FR"/>
        </w:rPr>
        <w:t>j</w:t>
      </w:r>
      <w:r w:rsidRPr="008C36AD">
        <w:t>);</w:t>
      </w:r>
    </w:p>
    <w:p w14:paraId="40FB8BF4" w14:textId="57080DA5" w:rsidR="00736613" w:rsidRPr="008C36AD" w:rsidRDefault="00736613" w:rsidP="00736613">
      <w:pPr>
        <w:pStyle w:val="SingleTxtG"/>
        <w:ind w:left="2835" w:hanging="1134"/>
      </w:pPr>
      <w:r w:rsidRPr="00303869">
        <w:tab/>
      </w:r>
      <w:r w:rsidRPr="00997656">
        <w:rPr>
          <w:lang w:val="fr-FR"/>
        </w:rPr>
        <w:t>vii</w:t>
      </w:r>
      <w:r w:rsidRPr="008C36AD">
        <w:t>)</w:t>
      </w:r>
      <w:r w:rsidRPr="008C36AD">
        <w:tab/>
      </w:r>
      <w:r>
        <w:t>пункт </w:t>
      </w:r>
      <w:r w:rsidRPr="008C36AD">
        <w:t>9.</w:t>
      </w:r>
      <w:r w:rsidRPr="00997656">
        <w:rPr>
          <w:lang w:val="fr-FR"/>
        </w:rPr>
        <w:t>x</w:t>
      </w:r>
      <w:r w:rsidRPr="008C36AD">
        <w:t>.</w:t>
      </w:r>
      <w:r w:rsidRPr="00997656">
        <w:rPr>
          <w:lang w:val="fr-FR"/>
        </w:rPr>
        <w:t>x</w:t>
      </w:r>
      <w:r w:rsidRPr="008C36AD">
        <w:t xml:space="preserve">.40.2.15, </w:t>
      </w:r>
      <w:r>
        <w:t>подпункты </w:t>
      </w:r>
      <w:r w:rsidRPr="00997656">
        <w:rPr>
          <w:lang w:val="fr-FR"/>
        </w:rPr>
        <w:t>b</w:t>
      </w:r>
      <w:r w:rsidRPr="008C36AD">
        <w:t>)</w:t>
      </w:r>
      <w:r>
        <w:t>–</w:t>
      </w:r>
      <w:r w:rsidRPr="00997656">
        <w:rPr>
          <w:lang w:val="fr-FR"/>
        </w:rPr>
        <w:t>e</w:t>
      </w:r>
      <w:r w:rsidRPr="008C36AD">
        <w:t>).</w:t>
      </w:r>
    </w:p>
    <w:p w14:paraId="0D34DD1F" w14:textId="77777777" w:rsidR="00736613" w:rsidRDefault="00736613" w:rsidP="00736613">
      <w:pPr>
        <w:pStyle w:val="SingleTxtG"/>
        <w:ind w:left="2268" w:hanging="567"/>
      </w:pPr>
      <w:r w:rsidRPr="008C36AD">
        <w:tab/>
      </w:r>
      <w:r w:rsidRPr="008C36AD">
        <w:tab/>
        <w:t xml:space="preserve">В системах пожаротушения для </w:t>
      </w:r>
      <w:r>
        <w:t>обеспечения физической защиты</w:t>
      </w:r>
      <w:r w:rsidRPr="008C36AD">
        <w:t xml:space="preserve"> могут использоваться только огнетушащие </w:t>
      </w:r>
      <w:r>
        <w:t>составы</w:t>
      </w:r>
      <w:r w:rsidRPr="008C36AD">
        <w:t>, пригодные для тушения пожара на или в защищаемом объекте и указанные в пункте</w:t>
      </w:r>
      <w:r>
        <w:t> </w:t>
      </w:r>
      <w:r w:rsidRPr="008C36AD">
        <w:t>9.</w:t>
      </w:r>
      <w:r w:rsidRPr="00997656">
        <w:rPr>
          <w:lang w:val="fr-FR"/>
        </w:rPr>
        <w:t>x</w:t>
      </w:r>
      <w:r w:rsidRPr="008C36AD">
        <w:t>.</w:t>
      </w:r>
      <w:r w:rsidRPr="00997656">
        <w:rPr>
          <w:lang w:val="fr-FR"/>
        </w:rPr>
        <w:t>x</w:t>
      </w:r>
      <w:r w:rsidRPr="008C36AD">
        <w:t>.40.2.1.</w:t>
      </w:r>
    </w:p>
    <w:p w14:paraId="40139AB2" w14:textId="77777777" w:rsidR="00736613" w:rsidRPr="008C36AD" w:rsidRDefault="00736613" w:rsidP="00736613">
      <w:pPr>
        <w:pStyle w:val="SingleTxtG"/>
        <w:ind w:left="2268" w:hanging="567"/>
      </w:pPr>
      <w:r w:rsidRPr="008C36AD">
        <w:tab/>
      </w:r>
      <w:r w:rsidRPr="008C36AD">
        <w:tab/>
        <w:t xml:space="preserve">Компетентный орган может разрешить исключения в отношении огнетушащего </w:t>
      </w:r>
      <w:r w:rsidRPr="00340953">
        <w:t>состав</w:t>
      </w:r>
      <w:r>
        <w:t>а</w:t>
      </w:r>
      <w:r w:rsidRPr="00340953">
        <w:t xml:space="preserve"> </w:t>
      </w:r>
      <w:r w:rsidRPr="008C36AD">
        <w:t>для стационарн</w:t>
      </w:r>
      <w:r>
        <w:t>ых</w:t>
      </w:r>
      <w:r w:rsidRPr="008C36AD">
        <w:t xml:space="preserve"> систем пожаротушения для </w:t>
      </w:r>
      <w:r>
        <w:t>обеспечения физической защиты</w:t>
      </w:r>
      <w:r w:rsidRPr="008C36AD">
        <w:t>, которые основаны на концепции противопожарной защиты.</w:t>
      </w:r>
    </w:p>
    <w:p w14:paraId="4B226D7D" w14:textId="2BF762D5" w:rsidR="00736613" w:rsidRPr="00736613" w:rsidRDefault="00736613" w:rsidP="00736613">
      <w:pPr>
        <w:pStyle w:val="SingleTxtG"/>
        <w:ind w:left="2268" w:hanging="567"/>
      </w:pPr>
      <w:r w:rsidRPr="001D5092">
        <w:rPr>
          <w:lang w:eastAsia="zh-CN"/>
        </w:rPr>
        <w:t>c)</w:t>
      </w:r>
      <w:r w:rsidRPr="001D5092">
        <w:rPr>
          <w:lang w:eastAsia="zh-CN"/>
        </w:rPr>
        <w:tab/>
      </w:r>
      <w:r w:rsidRPr="00736613">
        <w:t>Предусматривается возможность ручного включения стационарных систем пожаротушения для обеспечения физической защиты. Обеспечивается возможность ручного включения в непосредственной близости от защищаемого объекта. Системы могут включаться автоматически, если сигнал включения подается двумя пожарными извещателями, снабженными разными средствами обнаружения. Включение должно происходить без задержки. Если система пожаротушения предназначена для защиты нескольких объектов, она снабжается отдельным и четко маркированным устройством включения для каждого объекта.</w:t>
      </w:r>
    </w:p>
    <w:p w14:paraId="02CF318D" w14:textId="77777777" w:rsidR="00736613" w:rsidRPr="008C36AD" w:rsidRDefault="00736613" w:rsidP="00736613">
      <w:pPr>
        <w:pStyle w:val="SingleTxtG"/>
        <w:ind w:left="2268" w:hanging="567"/>
      </w:pPr>
      <w:r w:rsidRPr="008C36AD">
        <w:tab/>
      </w:r>
      <w:r w:rsidRPr="008C36AD">
        <w:tab/>
        <w:t xml:space="preserve">Включение системы пожаротушения </w:t>
      </w:r>
      <w:r>
        <w:t>отображается</w:t>
      </w:r>
      <w:r w:rsidRPr="008C36AD">
        <w:t xml:space="preserve"> </w:t>
      </w:r>
      <w:r>
        <w:t xml:space="preserve">на дисплее </w:t>
      </w:r>
      <w:r w:rsidRPr="008C36AD">
        <w:t>в рулевой рубке и у входа в помещение, в котором находится защищаемый объект.</w:t>
      </w:r>
      <w:r>
        <w:t xml:space="preserve"> </w:t>
      </w:r>
      <w:r w:rsidRPr="008C36AD">
        <w:t>В случае объект</w:t>
      </w:r>
      <w:r>
        <w:t>ов, помещенных в корпус,</w:t>
      </w:r>
      <w:r w:rsidRPr="008C36AD">
        <w:t xml:space="preserve"> дисплей у входа в помещение мож</w:t>
      </w:r>
      <w:r>
        <w:t>но не использовать</w:t>
      </w:r>
      <w:r w:rsidRPr="008C36AD">
        <w:t>, если к самому объекту прикреплен другой дисплей.</w:t>
      </w:r>
    </w:p>
    <w:p w14:paraId="61AC993B" w14:textId="77777777" w:rsidR="00736613" w:rsidRPr="008C36AD" w:rsidRDefault="00736613" w:rsidP="00736613">
      <w:pPr>
        <w:pStyle w:val="SingleTxtG"/>
        <w:ind w:left="2268" w:hanging="567"/>
      </w:pPr>
      <w:r w:rsidRPr="008C36AD">
        <w:tab/>
      </w:r>
      <w:r w:rsidRPr="008C36AD">
        <w:tab/>
        <w:t xml:space="preserve">При ручном </w:t>
      </w:r>
      <w:r w:rsidRPr="007367BA">
        <w:t>включени</w:t>
      </w:r>
      <w:r>
        <w:t>и</w:t>
      </w:r>
      <w:r w:rsidRPr="007367BA">
        <w:t xml:space="preserve"> </w:t>
      </w:r>
      <w:r w:rsidRPr="008C36AD">
        <w:t xml:space="preserve">рядом с каждым устройством </w:t>
      </w:r>
      <w:r w:rsidRPr="0091615D">
        <w:t>включени</w:t>
      </w:r>
      <w:r>
        <w:t>я</w:t>
      </w:r>
      <w:r w:rsidRPr="0091615D">
        <w:t xml:space="preserve"> </w:t>
      </w:r>
      <w:r w:rsidRPr="008C36AD">
        <w:t>вывеш</w:t>
      </w:r>
      <w:r>
        <w:t>иваются</w:t>
      </w:r>
      <w:r w:rsidRPr="008C36AD">
        <w:t xml:space="preserve"> инструкции по использованию в соответствии с пунктом</w:t>
      </w:r>
      <w:r>
        <w:t> </w:t>
      </w:r>
      <w:r w:rsidRPr="008C36AD">
        <w:t>9.</w:t>
      </w:r>
      <w:r w:rsidRPr="00997656">
        <w:rPr>
          <w:lang w:val="fr-FR"/>
        </w:rPr>
        <w:t>x</w:t>
      </w:r>
      <w:r w:rsidRPr="008C36AD">
        <w:t>.</w:t>
      </w:r>
      <w:r w:rsidRPr="00997656">
        <w:rPr>
          <w:lang w:val="fr-FR"/>
        </w:rPr>
        <w:t>x</w:t>
      </w:r>
      <w:r w:rsidRPr="008C36AD">
        <w:t xml:space="preserve">.40.2.5, </w:t>
      </w:r>
      <w:r>
        <w:t>подпункт </w:t>
      </w:r>
      <w:r w:rsidRPr="00997656">
        <w:rPr>
          <w:lang w:val="fr-FR"/>
        </w:rPr>
        <w:t>e</w:t>
      </w:r>
      <w:r w:rsidRPr="008C36AD">
        <w:t>), с учетом местоположения и характера объекта.</w:t>
      </w:r>
    </w:p>
    <w:p w14:paraId="357F5051" w14:textId="77777777" w:rsidR="00736613" w:rsidRPr="008C36AD" w:rsidRDefault="00736613" w:rsidP="00736613">
      <w:pPr>
        <w:pStyle w:val="SingleTxtG"/>
        <w:ind w:left="2268" w:hanging="567"/>
      </w:pPr>
      <w:r w:rsidRPr="00997656">
        <w:rPr>
          <w:lang w:val="fr-FR"/>
        </w:rPr>
        <w:t>d</w:t>
      </w:r>
      <w:r w:rsidRPr="008C36AD">
        <w:t>)</w:t>
      </w:r>
      <w:r>
        <w:tab/>
      </w:r>
      <w:r w:rsidRPr="008C36AD">
        <w:t xml:space="preserve">Тип и место установки </w:t>
      </w:r>
      <w:r>
        <w:t xml:space="preserve">стационарных систем пожаротушения для обеспечения физической защиты указываются </w:t>
      </w:r>
      <w:r w:rsidRPr="008C36AD">
        <w:t>в судово</w:t>
      </w:r>
      <w:r>
        <w:t>м</w:t>
      </w:r>
      <w:r w:rsidRPr="008C36AD">
        <w:t xml:space="preserve"> свидетельств</w:t>
      </w:r>
      <w:r>
        <w:t>е</w:t>
      </w:r>
      <w:r w:rsidRPr="008C36AD">
        <w:t>.</w:t>
      </w:r>
    </w:p>
    <w:p w14:paraId="703902C6" w14:textId="77777777" w:rsidR="00736613" w:rsidRPr="008C36AD" w:rsidRDefault="00736613" w:rsidP="00736613">
      <w:pPr>
        <w:pStyle w:val="SingleTxtG"/>
        <w:ind w:left="2268" w:hanging="567"/>
      </w:pPr>
      <w:r w:rsidRPr="00997656">
        <w:rPr>
          <w:lang w:val="fr-FR"/>
        </w:rPr>
        <w:t>e</w:t>
      </w:r>
      <w:r w:rsidRPr="008C36AD">
        <w:t>)</w:t>
      </w:r>
      <w:r>
        <w:tab/>
      </w:r>
      <w:r w:rsidRPr="008C36AD">
        <w:t xml:space="preserve">Положения данного раздела не применяются к </w:t>
      </w:r>
      <w:r w:rsidRPr="003249BB">
        <w:t>водораспылительн</w:t>
      </w:r>
      <w:r>
        <w:t>ым</w:t>
      </w:r>
      <w:r w:rsidRPr="003249BB">
        <w:t xml:space="preserve"> система</w:t>
      </w:r>
      <w:r>
        <w:t>м</w:t>
      </w:r>
      <w:r w:rsidRPr="003249BB">
        <w:t xml:space="preserve"> </w:t>
      </w:r>
      <w:r w:rsidRPr="008C36AD">
        <w:t>в соответствии с подразделами 9.3.1.28, 9.3.2.28 и 9.3.3.28 ВОПОГ.</w:t>
      </w:r>
    </w:p>
    <w:p w14:paraId="562C4D7B" w14:textId="77777777" w:rsidR="00736613" w:rsidRPr="008C36AD" w:rsidRDefault="00736613" w:rsidP="00736613">
      <w:pPr>
        <w:pStyle w:val="SingleTxtG"/>
        <w:tabs>
          <w:tab w:val="clear" w:pos="2268"/>
        </w:tabs>
        <w:ind w:left="1701" w:hanging="567"/>
      </w:pPr>
      <w:r>
        <w:t>7.</w:t>
      </w:r>
      <w:r w:rsidRPr="008C36AD">
        <w:tab/>
      </w:r>
      <w:r w:rsidRPr="001A1FCD">
        <w:t>В зависимости от результатов конкретной проверки литий-ионных батарей, проведенной рабочей группой классификационных обществ, рекомендованн</w:t>
      </w:r>
      <w:r>
        <w:t>ых</w:t>
      </w:r>
      <w:r w:rsidRPr="001A1FCD">
        <w:t xml:space="preserve"> в ВОПОГ, могут потребоваться дальнейшие изменения.</w:t>
      </w:r>
    </w:p>
    <w:p w14:paraId="7CA542B8" w14:textId="77777777" w:rsidR="00736613" w:rsidRPr="008C36AD" w:rsidRDefault="00736613" w:rsidP="00736613">
      <w:pPr>
        <w:pStyle w:val="HMG"/>
      </w:pPr>
      <w:r w:rsidRPr="008C36AD">
        <w:tab/>
      </w:r>
      <w:r w:rsidRPr="00997656">
        <w:rPr>
          <w:lang w:val="fr-FR"/>
        </w:rPr>
        <w:t>II</w:t>
      </w:r>
      <w:r w:rsidRPr="008C36AD">
        <w:t>.</w:t>
      </w:r>
      <w:r>
        <w:tab/>
      </w:r>
      <w:r w:rsidRPr="001A1FCD">
        <w:t>Обоснование</w:t>
      </w:r>
    </w:p>
    <w:p w14:paraId="6AFD8148" w14:textId="77777777" w:rsidR="00736613" w:rsidRPr="008C36AD" w:rsidRDefault="00736613" w:rsidP="00736613">
      <w:pPr>
        <w:pStyle w:val="SingleTxtG"/>
      </w:pPr>
      <w:r>
        <w:t>8.</w:t>
      </w:r>
      <w:r w:rsidRPr="008C36AD">
        <w:tab/>
        <w:t xml:space="preserve">Германия считает, что </w:t>
      </w:r>
      <w:r>
        <w:t>подходят</w:t>
      </w:r>
      <w:r w:rsidRPr="008C36AD">
        <w:t xml:space="preserve"> обе возможности: можно ссылаться только на применимую статью </w:t>
      </w:r>
      <w:r>
        <w:rPr>
          <w:lang w:val="fr-FR"/>
        </w:rPr>
        <w:t>E</w:t>
      </w:r>
      <w:r w:rsidRPr="006D52AE">
        <w:t>С-ТТСВП</w:t>
      </w:r>
      <w:r w:rsidRPr="008C36AD">
        <w:t xml:space="preserve">, как это уже сделано в </w:t>
      </w:r>
      <w:r>
        <w:t xml:space="preserve">разделах </w:t>
      </w:r>
      <w:r w:rsidRPr="008C36AD">
        <w:t xml:space="preserve">7.1.3.31 и 7.2.3.31.1 ВОПОГ, или включить текст требований </w:t>
      </w:r>
      <w:r>
        <w:rPr>
          <w:lang w:val="fr-FR"/>
        </w:rPr>
        <w:t>E</w:t>
      </w:r>
      <w:r w:rsidRPr="006D52AE">
        <w:t>С-ТТСВП</w:t>
      </w:r>
      <w:r w:rsidRPr="008C36AD">
        <w:t xml:space="preserve"> в ВОПОГ в его нынешнем виде, </w:t>
      </w:r>
      <w:r w:rsidRPr="008C36AD">
        <w:lastRenderedPageBreak/>
        <w:t>как это сделано в части 9 в отношении других требований, касающихся систем пожаротушения.</w:t>
      </w:r>
    </w:p>
    <w:p w14:paraId="1A558B7D" w14:textId="77777777" w:rsidR="00736613" w:rsidRPr="008C36AD" w:rsidRDefault="00736613" w:rsidP="00736613">
      <w:pPr>
        <w:pStyle w:val="SingleTxtG"/>
      </w:pPr>
      <w:r w:rsidRPr="008C36AD">
        <w:t>9</w:t>
      </w:r>
      <w:r>
        <w:t>.</w:t>
      </w:r>
      <w:r>
        <w:tab/>
      </w:r>
      <w:r w:rsidRPr="008C36AD">
        <w:t>Ограничение</w:t>
      </w:r>
      <w:r>
        <w:t>, касающееся</w:t>
      </w:r>
      <w:r w:rsidRPr="008C36AD">
        <w:t xml:space="preserve"> машинны</w:t>
      </w:r>
      <w:r>
        <w:t>х</w:t>
      </w:r>
      <w:r w:rsidRPr="008C36AD">
        <w:t xml:space="preserve"> отделени</w:t>
      </w:r>
      <w:r>
        <w:t>й</w:t>
      </w:r>
      <w:r w:rsidRPr="008C36AD">
        <w:t>, котельны</w:t>
      </w:r>
      <w:r>
        <w:t>х</w:t>
      </w:r>
      <w:r w:rsidRPr="008C36AD">
        <w:t xml:space="preserve"> и насосны</w:t>
      </w:r>
      <w:r>
        <w:t>х</w:t>
      </w:r>
      <w:r w:rsidRPr="008C36AD">
        <w:t xml:space="preserve"> отделени</w:t>
      </w:r>
      <w:r>
        <w:t>й,</w:t>
      </w:r>
      <w:r w:rsidRPr="008C36AD">
        <w:t xml:space="preserve"> можно исключить. В частности, </w:t>
      </w:r>
      <w:r>
        <w:t>«</w:t>
      </w:r>
      <w:r w:rsidRPr="008C36AD">
        <w:t>котельные</w:t>
      </w:r>
      <w:r>
        <w:t>»</w:t>
      </w:r>
      <w:r w:rsidRPr="008C36AD">
        <w:t xml:space="preserve"> рассматриваются в ВОПОГ </w:t>
      </w:r>
      <w:r>
        <w:t xml:space="preserve">издания </w:t>
      </w:r>
      <w:r w:rsidRPr="008C36AD">
        <w:t>2021</w:t>
      </w:r>
      <w:r>
        <w:t> года</w:t>
      </w:r>
      <w:r w:rsidRPr="008C36AD">
        <w:t xml:space="preserve"> только в положениях, касающихся систем пожаротушения. Похоже, что эт</w:t>
      </w:r>
      <w:r>
        <w:t>и</w:t>
      </w:r>
      <w:r w:rsidRPr="008C36AD">
        <w:t xml:space="preserve"> требования переш</w:t>
      </w:r>
      <w:r>
        <w:t>ли</w:t>
      </w:r>
      <w:r w:rsidRPr="008C36AD">
        <w:t xml:space="preserve"> из </w:t>
      </w:r>
      <w:r>
        <w:t xml:space="preserve">предыдущих версий </w:t>
      </w:r>
      <w:r w:rsidRPr="005256E9">
        <w:t>ВОПОГ</w:t>
      </w:r>
      <w:r w:rsidRPr="008C36AD">
        <w:t xml:space="preserve">. Суда, находящиеся в настоящее время в эксплуатации, не имеют котельных (для производства пара). Кроме того, нет видимых причин, по которым объекты, находящиеся </w:t>
      </w:r>
      <w:r>
        <w:t>за пределами</w:t>
      </w:r>
      <w:r w:rsidRPr="008C36AD">
        <w:t xml:space="preserve"> машинных и насосных отделений, </w:t>
      </w:r>
      <w:r w:rsidRPr="008C36AD">
        <w:rPr>
          <w:b/>
        </w:rPr>
        <w:t>не</w:t>
      </w:r>
      <w:r w:rsidRPr="001D5092">
        <w:rPr>
          <w:b/>
        </w:rPr>
        <w:t xml:space="preserve"> </w:t>
      </w:r>
      <w:r w:rsidRPr="008C36AD">
        <w:t>должны защищ</w:t>
      </w:r>
      <w:r>
        <w:t>аться</w:t>
      </w:r>
      <w:r w:rsidRPr="008C36AD">
        <w:t xml:space="preserve"> системой пожаротушения.</w:t>
      </w:r>
    </w:p>
    <w:p w14:paraId="5ED4F647" w14:textId="77777777" w:rsidR="00736613" w:rsidRPr="008C36AD" w:rsidRDefault="00736613" w:rsidP="00736613">
      <w:pPr>
        <w:pStyle w:val="SingleTxtG"/>
      </w:pPr>
      <w:r w:rsidRPr="008C36AD">
        <w:t>10</w:t>
      </w:r>
      <w:r>
        <w:t>.</w:t>
      </w:r>
      <w:r>
        <w:tab/>
      </w:r>
      <w:r w:rsidRPr="008C36AD">
        <w:t xml:space="preserve">Заголовки </w:t>
      </w:r>
      <w:r>
        <w:t xml:space="preserve">изменены с учетом </w:t>
      </w:r>
      <w:r w:rsidRPr="008C36AD">
        <w:t>заголовков</w:t>
      </w:r>
      <w:r>
        <w:t>, используемых в</w:t>
      </w:r>
      <w:r w:rsidRPr="008C36AD">
        <w:t xml:space="preserve"> </w:t>
      </w:r>
      <w:r>
        <w:rPr>
          <w:lang w:val="fr-FR"/>
        </w:rPr>
        <w:t>E</w:t>
      </w:r>
      <w:r w:rsidRPr="006D52AE">
        <w:t>С-ТТСВП</w:t>
      </w:r>
      <w:r w:rsidRPr="008C36AD">
        <w:t xml:space="preserve">. В версии </w:t>
      </w:r>
      <w:bookmarkStart w:id="8" w:name="_Hlk88741206"/>
      <w:r w:rsidRPr="008C36AD">
        <w:t xml:space="preserve">ВОПОГ </w:t>
      </w:r>
      <w:bookmarkEnd w:id="8"/>
      <w:r>
        <w:t xml:space="preserve">на </w:t>
      </w:r>
      <w:r w:rsidRPr="008C36AD">
        <w:t>немецко</w:t>
      </w:r>
      <w:r>
        <w:t>м языке</w:t>
      </w:r>
      <w:r w:rsidRPr="008C36AD">
        <w:t xml:space="preserve"> мы также предлагаем заменить термин </w:t>
      </w:r>
      <w:r>
        <w:t>«</w:t>
      </w:r>
      <w:r w:rsidRPr="00997656">
        <w:rPr>
          <w:lang w:val="fr-FR"/>
        </w:rPr>
        <w:t>Feuerl</w:t>
      </w:r>
      <w:r w:rsidRPr="008C36AD">
        <w:t>ö</w:t>
      </w:r>
      <w:r w:rsidRPr="00997656">
        <w:rPr>
          <w:lang w:val="fr-FR"/>
        </w:rPr>
        <w:t>scheinrichtung</w:t>
      </w:r>
      <w:r>
        <w:t>»</w:t>
      </w:r>
      <w:r w:rsidRPr="008C36AD">
        <w:t xml:space="preserve"> </w:t>
      </w:r>
      <w:r>
        <w:t>(</w:t>
      </w:r>
      <w:r w:rsidRPr="009E70FE">
        <w:t>система пожаротушения</w:t>
      </w:r>
      <w:r>
        <w:t>)</w:t>
      </w:r>
      <w:r w:rsidRPr="009E70FE">
        <w:t xml:space="preserve"> </w:t>
      </w:r>
      <w:r w:rsidRPr="008C36AD">
        <w:t>термин</w:t>
      </w:r>
      <w:r>
        <w:t>ом</w:t>
      </w:r>
      <w:r w:rsidRPr="008C36AD">
        <w:t xml:space="preserve"> </w:t>
      </w:r>
      <w:r>
        <w:t>«</w:t>
      </w:r>
      <w:r w:rsidRPr="00997656">
        <w:rPr>
          <w:lang w:val="fr-FR"/>
        </w:rPr>
        <w:t>Feuerl</w:t>
      </w:r>
      <w:r w:rsidRPr="008C36AD">
        <w:t>ö</w:t>
      </w:r>
      <w:r w:rsidRPr="00997656">
        <w:rPr>
          <w:lang w:val="fr-FR"/>
        </w:rPr>
        <w:t>schanlage</w:t>
      </w:r>
      <w:r>
        <w:t>»</w:t>
      </w:r>
      <w:r w:rsidRPr="008C36AD">
        <w:t>, используемы</w:t>
      </w:r>
      <w:r>
        <w:t>м</w:t>
      </w:r>
      <w:r w:rsidRPr="008C36AD">
        <w:t xml:space="preserve"> в </w:t>
      </w:r>
      <w:r>
        <w:rPr>
          <w:lang w:val="fr-FR"/>
        </w:rPr>
        <w:t>E</w:t>
      </w:r>
      <w:r w:rsidRPr="006D52AE">
        <w:t>С-ТТСВП</w:t>
      </w:r>
      <w:r w:rsidRPr="008C36AD">
        <w:t>.</w:t>
      </w:r>
    </w:p>
    <w:p w14:paraId="2AF8E0A7" w14:textId="77777777" w:rsidR="00736613" w:rsidRPr="008C36AD" w:rsidRDefault="00736613" w:rsidP="00736613">
      <w:pPr>
        <w:pStyle w:val="SingleTxtG"/>
      </w:pPr>
      <w:r>
        <w:t>11.</w:t>
      </w:r>
      <w:r w:rsidRPr="008C36AD">
        <w:tab/>
      </w:r>
      <w:r>
        <w:t>Как правило,</w:t>
      </w:r>
      <w:r w:rsidRPr="008C36AD">
        <w:t xml:space="preserve"> защита объектов для предотвращения пожаров на борту судов не связана напрямую с перевозимыми опасными грузами</w:t>
      </w:r>
      <w:r>
        <w:t>, так что</w:t>
      </w:r>
      <w:r w:rsidRPr="008C36AD">
        <w:t xml:space="preserve"> в ВОПОГ не требуется </w:t>
      </w:r>
      <w:r>
        <w:t xml:space="preserve">включать никаких </w:t>
      </w:r>
      <w:r w:rsidRPr="008C36AD">
        <w:t xml:space="preserve">дополнительных требований к </w:t>
      </w:r>
      <w:r>
        <w:t>стационарным</w:t>
      </w:r>
      <w:r w:rsidRPr="008C36AD">
        <w:t xml:space="preserve"> системам пожаротушения для </w:t>
      </w:r>
      <w:r>
        <w:t>обеспечения физической защиты</w:t>
      </w:r>
      <w:r w:rsidRPr="008C36AD">
        <w:t xml:space="preserve"> по сравнению с общими требованиями </w:t>
      </w:r>
      <w:r>
        <w:rPr>
          <w:lang w:val="fr-FR"/>
        </w:rPr>
        <w:t>E</w:t>
      </w:r>
      <w:r w:rsidRPr="006D52AE">
        <w:t>С-ТТСВП</w:t>
      </w:r>
      <w:r>
        <w:t>, предъявляемыми к конструкции</w:t>
      </w:r>
      <w:r w:rsidRPr="008C36AD">
        <w:t>.</w:t>
      </w:r>
    </w:p>
    <w:p w14:paraId="28CF3EDC" w14:textId="77777777" w:rsidR="00736613" w:rsidRPr="008C36AD" w:rsidRDefault="00736613" w:rsidP="00736613">
      <w:pPr>
        <w:pStyle w:val="SingleTxtG"/>
      </w:pPr>
      <w:r>
        <w:t>12.</w:t>
      </w:r>
      <w:r w:rsidRPr="008C36AD">
        <w:tab/>
        <w:t xml:space="preserve">Поэтому </w:t>
      </w:r>
      <w:r w:rsidRPr="00597802">
        <w:t xml:space="preserve">требование о дополнительной рекомендации Административного комитета представляет собой дополнительную и ненужную бюрократическую нагрузку для владельца или </w:t>
      </w:r>
      <w:r>
        <w:t>верфи-</w:t>
      </w:r>
      <w:r w:rsidRPr="00597802">
        <w:t xml:space="preserve">строителя </w:t>
      </w:r>
      <w:r w:rsidRPr="008C36AD">
        <w:t>судна.</w:t>
      </w:r>
    </w:p>
    <w:p w14:paraId="31AB4FBF" w14:textId="77777777" w:rsidR="00736613" w:rsidRPr="008C36AD" w:rsidRDefault="00736613" w:rsidP="00736613">
      <w:pPr>
        <w:pStyle w:val="HChG"/>
      </w:pPr>
      <w:r w:rsidRPr="008C36AD">
        <w:tab/>
      </w:r>
      <w:r>
        <w:rPr>
          <w:lang w:val="fr-FR"/>
        </w:rPr>
        <w:t>III</w:t>
      </w:r>
      <w:r w:rsidRPr="008C36AD">
        <w:t>.</w:t>
      </w:r>
      <w:r>
        <w:tab/>
      </w:r>
      <w:r w:rsidRPr="008C36AD">
        <w:t>Безопасность</w:t>
      </w:r>
    </w:p>
    <w:p w14:paraId="141F135A" w14:textId="77777777" w:rsidR="00736613" w:rsidRPr="008C36AD" w:rsidRDefault="00736613" w:rsidP="00736613">
      <w:pPr>
        <w:pStyle w:val="SingleTxtG"/>
      </w:pPr>
      <w:r>
        <w:t>13.</w:t>
      </w:r>
      <w:r w:rsidRPr="008C36AD">
        <w:tab/>
      </w:r>
      <w:r>
        <w:t>Эта п</w:t>
      </w:r>
      <w:r w:rsidRPr="008C36AD">
        <w:t>оправка не оказывает влияния на безопасность перевоз</w:t>
      </w:r>
      <w:r>
        <w:t>ок</w:t>
      </w:r>
      <w:r w:rsidRPr="008C36AD">
        <w:t xml:space="preserve"> опасных грузов. Маловероятно, что </w:t>
      </w:r>
      <w:r>
        <w:t xml:space="preserve">в </w:t>
      </w:r>
      <w:r w:rsidRPr="008C36AD">
        <w:t>конкретн</w:t>
      </w:r>
      <w:r>
        <w:t>ой</w:t>
      </w:r>
      <w:r w:rsidRPr="008C36AD">
        <w:t xml:space="preserve"> рекомендаци</w:t>
      </w:r>
      <w:r>
        <w:t>и</w:t>
      </w:r>
      <w:r w:rsidRPr="008C36AD">
        <w:t xml:space="preserve"> Административного комитета буд</w:t>
      </w:r>
      <w:r>
        <w:t>ут</w:t>
      </w:r>
      <w:r w:rsidRPr="008C36AD">
        <w:t xml:space="preserve"> содержать</w:t>
      </w:r>
      <w:r>
        <w:t>ся</w:t>
      </w:r>
      <w:r w:rsidRPr="008C36AD">
        <w:t xml:space="preserve"> более жесткие требования, чем требования </w:t>
      </w:r>
      <w:r>
        <w:rPr>
          <w:lang w:val="fr-FR"/>
        </w:rPr>
        <w:t>E</w:t>
      </w:r>
      <w:r w:rsidRPr="006D52AE">
        <w:t>С-ТТСВП</w:t>
      </w:r>
      <w:r w:rsidRPr="008C36AD">
        <w:t>.</w:t>
      </w:r>
    </w:p>
    <w:p w14:paraId="073629AF" w14:textId="77777777" w:rsidR="00736613" w:rsidRPr="008C36AD" w:rsidRDefault="00736613" w:rsidP="00736613">
      <w:pPr>
        <w:pStyle w:val="HChG"/>
      </w:pPr>
      <w:r w:rsidRPr="00E170BC">
        <w:tab/>
      </w:r>
      <w:r w:rsidRPr="00997656">
        <w:rPr>
          <w:lang w:val="fr-FR"/>
        </w:rPr>
        <w:t>IV</w:t>
      </w:r>
      <w:r w:rsidRPr="008C36AD">
        <w:t>.</w:t>
      </w:r>
      <w:r>
        <w:tab/>
      </w:r>
      <w:r w:rsidRPr="001A1FCD">
        <w:t>Осуществление</w:t>
      </w:r>
    </w:p>
    <w:p w14:paraId="43E9C4B6" w14:textId="77777777" w:rsidR="00736613" w:rsidRPr="008C36AD" w:rsidRDefault="00736613" w:rsidP="00736613">
      <w:pPr>
        <w:pStyle w:val="SingleTxtG"/>
      </w:pPr>
      <w:r w:rsidRPr="008C36AD">
        <w:t>14</w:t>
      </w:r>
      <w:r>
        <w:t>.</w:t>
      </w:r>
      <w:r>
        <w:tab/>
      </w:r>
      <w:r w:rsidRPr="008C36AD">
        <w:t xml:space="preserve">На судах не требуется </w:t>
      </w:r>
      <w:r>
        <w:t xml:space="preserve">никаких </w:t>
      </w:r>
      <w:r w:rsidRPr="008C36AD">
        <w:rPr>
          <w:b/>
        </w:rPr>
        <w:t>обязательных</w:t>
      </w:r>
      <w:r>
        <w:rPr>
          <w:b/>
        </w:rPr>
        <w:t xml:space="preserve"> </w:t>
      </w:r>
      <w:r>
        <w:t>конструкционных</w:t>
      </w:r>
      <w:r w:rsidRPr="008C36AD">
        <w:t xml:space="preserve"> мер. Судовладельцы могут сами решать, хотят ли они оборудовать судно </w:t>
      </w:r>
      <w:r>
        <w:t>стационарными</w:t>
      </w:r>
      <w:r w:rsidRPr="008C36AD">
        <w:t xml:space="preserve"> установками пожаротушения для </w:t>
      </w:r>
      <w:r>
        <w:t>обеспечения физической защиты</w:t>
      </w:r>
      <w:r w:rsidRPr="008C36AD">
        <w:t xml:space="preserve">. Если они решат оснастить судно такими установками, это не повлечет за собой никаких дополнительных ограничений, вытекающих из ВОПОГ, по сравнению с требованиями </w:t>
      </w:r>
      <w:r>
        <w:rPr>
          <w:lang w:val="fr-FR"/>
        </w:rPr>
        <w:t>E</w:t>
      </w:r>
      <w:r w:rsidRPr="006D52AE">
        <w:t>С-ТТСВП</w:t>
      </w:r>
      <w:r>
        <w:t>, предъявляемыми к конструкции</w:t>
      </w:r>
      <w:r w:rsidRPr="008C36AD">
        <w:t>.</w:t>
      </w:r>
    </w:p>
    <w:p w14:paraId="4205A856" w14:textId="77777777" w:rsidR="00736613" w:rsidRDefault="00736613" w:rsidP="00736613">
      <w:pPr>
        <w:spacing w:before="240"/>
        <w:jc w:val="center"/>
        <w:rPr>
          <w:u w:val="single"/>
        </w:rPr>
      </w:pPr>
      <w:r w:rsidRPr="008C36AD">
        <w:rPr>
          <w:u w:val="single"/>
        </w:rPr>
        <w:tab/>
      </w:r>
      <w:r w:rsidRPr="008C36AD">
        <w:rPr>
          <w:u w:val="single"/>
        </w:rPr>
        <w:tab/>
      </w:r>
      <w:r w:rsidRPr="008C36AD">
        <w:rPr>
          <w:u w:val="single"/>
        </w:rPr>
        <w:tab/>
      </w:r>
    </w:p>
    <w:p w14:paraId="7CAE4CCA" w14:textId="32B76E0D" w:rsidR="00E12C5F" w:rsidRPr="008D53B6" w:rsidRDefault="00E12C5F" w:rsidP="00D9145B"/>
    <w:sectPr w:rsidR="00E12C5F" w:rsidRPr="008D53B6" w:rsidSect="0073661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DACE" w14:textId="77777777" w:rsidR="0016752F" w:rsidRPr="00A312BC" w:rsidRDefault="0016752F" w:rsidP="00A312BC"/>
  </w:endnote>
  <w:endnote w:type="continuationSeparator" w:id="0">
    <w:p w14:paraId="751C4F85" w14:textId="77777777" w:rsidR="0016752F" w:rsidRPr="00A312BC" w:rsidRDefault="001675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6FDB" w14:textId="68615B6B" w:rsidR="00736613" w:rsidRPr="00736613" w:rsidRDefault="00736613">
    <w:pPr>
      <w:pStyle w:val="a8"/>
    </w:pPr>
    <w:r w:rsidRPr="00736613">
      <w:rPr>
        <w:b/>
        <w:sz w:val="18"/>
      </w:rPr>
      <w:fldChar w:fldCharType="begin"/>
    </w:r>
    <w:r w:rsidRPr="00736613">
      <w:rPr>
        <w:b/>
        <w:sz w:val="18"/>
      </w:rPr>
      <w:instrText xml:space="preserve"> PAGE  \* MERGEFORMAT </w:instrText>
    </w:r>
    <w:r w:rsidRPr="00736613">
      <w:rPr>
        <w:b/>
        <w:sz w:val="18"/>
      </w:rPr>
      <w:fldChar w:fldCharType="separate"/>
    </w:r>
    <w:r w:rsidRPr="00736613">
      <w:rPr>
        <w:b/>
        <w:noProof/>
        <w:sz w:val="18"/>
      </w:rPr>
      <w:t>2</w:t>
    </w:r>
    <w:r w:rsidRPr="00736613">
      <w:rPr>
        <w:b/>
        <w:sz w:val="18"/>
      </w:rPr>
      <w:fldChar w:fldCharType="end"/>
    </w:r>
    <w:r>
      <w:rPr>
        <w:b/>
        <w:sz w:val="18"/>
      </w:rPr>
      <w:tab/>
    </w:r>
    <w:r>
      <w:t>GE.21-16885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E6AD" w14:textId="365E9D27" w:rsidR="00736613" w:rsidRPr="00736613" w:rsidRDefault="00736613" w:rsidP="00736613">
    <w:pPr>
      <w:pStyle w:val="a8"/>
      <w:tabs>
        <w:tab w:val="clear" w:pos="9639"/>
        <w:tab w:val="right" w:pos="9638"/>
      </w:tabs>
      <w:rPr>
        <w:b/>
        <w:sz w:val="18"/>
      </w:rPr>
    </w:pPr>
    <w:r>
      <w:t>GE.21-16885</w:t>
    </w:r>
    <w:r>
      <w:tab/>
    </w:r>
    <w:r w:rsidRPr="00736613">
      <w:rPr>
        <w:b/>
        <w:sz w:val="18"/>
      </w:rPr>
      <w:fldChar w:fldCharType="begin"/>
    </w:r>
    <w:r w:rsidRPr="00736613">
      <w:rPr>
        <w:b/>
        <w:sz w:val="18"/>
      </w:rPr>
      <w:instrText xml:space="preserve"> PAGE  \* MERGEFORMAT </w:instrText>
    </w:r>
    <w:r w:rsidRPr="00736613">
      <w:rPr>
        <w:b/>
        <w:sz w:val="18"/>
      </w:rPr>
      <w:fldChar w:fldCharType="separate"/>
    </w:r>
    <w:r w:rsidRPr="00736613">
      <w:rPr>
        <w:b/>
        <w:noProof/>
        <w:sz w:val="18"/>
      </w:rPr>
      <w:t>3</w:t>
    </w:r>
    <w:r w:rsidRPr="007366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6147" w14:textId="16760EFF" w:rsidR="00042B72" w:rsidRPr="00736613" w:rsidRDefault="00736613" w:rsidP="0073661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BE8702A" wp14:editId="303542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21-16885  (R)</w:t>
    </w:r>
    <w:r>
      <w:rPr>
        <w:noProof/>
      </w:rPr>
      <w:drawing>
        <wp:anchor distT="0" distB="0" distL="114300" distR="114300" simplePos="0" relativeHeight="251659264" behindDoc="0" locked="0" layoutInCell="1" allowOverlap="1" wp14:anchorId="443E9AAC" wp14:editId="66A519A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251121   251121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34E9C" w14:textId="77777777" w:rsidR="0016752F" w:rsidRPr="001075E9" w:rsidRDefault="0016752F" w:rsidP="001075E9">
      <w:pPr>
        <w:tabs>
          <w:tab w:val="right" w:pos="2155"/>
        </w:tabs>
        <w:spacing w:after="80" w:line="240" w:lineRule="auto"/>
        <w:ind w:left="680"/>
        <w:rPr>
          <w:u w:val="single"/>
        </w:rPr>
      </w:pPr>
      <w:r>
        <w:rPr>
          <w:u w:val="single"/>
        </w:rPr>
        <w:tab/>
      </w:r>
    </w:p>
  </w:footnote>
  <w:footnote w:type="continuationSeparator" w:id="0">
    <w:p w14:paraId="3B52CA81" w14:textId="77777777" w:rsidR="0016752F" w:rsidRDefault="0016752F" w:rsidP="00407B78">
      <w:pPr>
        <w:tabs>
          <w:tab w:val="right" w:pos="2155"/>
        </w:tabs>
        <w:spacing w:after="80"/>
        <w:ind w:left="680"/>
        <w:rPr>
          <w:u w:val="single"/>
        </w:rPr>
      </w:pPr>
      <w:r>
        <w:rPr>
          <w:u w:val="single"/>
        </w:rPr>
        <w:tab/>
      </w:r>
    </w:p>
  </w:footnote>
  <w:footnote w:id="1">
    <w:p w14:paraId="143B718C" w14:textId="77777777" w:rsidR="00736613" w:rsidRPr="00736613" w:rsidRDefault="00736613" w:rsidP="00736613">
      <w:pPr>
        <w:pStyle w:val="ad"/>
      </w:pPr>
      <w:r w:rsidRPr="00736613">
        <w:rPr>
          <w:rStyle w:val="aa"/>
          <w:vertAlign w:val="baseline"/>
        </w:rPr>
        <w:tab/>
      </w:r>
      <w:r w:rsidRPr="00736613">
        <w:rPr>
          <w:rStyle w:val="aa"/>
          <w:sz w:val="20"/>
          <w:vertAlign w:val="baseline"/>
        </w:rPr>
        <w:t>*</w:t>
      </w:r>
      <w:r w:rsidRPr="00736613">
        <w:rPr>
          <w:rStyle w:val="aa"/>
          <w:sz w:val="20"/>
          <w:vertAlign w:val="baseline"/>
        </w:rPr>
        <w:tab/>
      </w:r>
      <w:r w:rsidRPr="00736613">
        <w:t>Данный документ был представлен с опозданием в связи с непредвиденными обстоятельствами.</w:t>
      </w:r>
    </w:p>
  </w:footnote>
  <w:footnote w:id="2">
    <w:p w14:paraId="477FB9D6" w14:textId="77777777" w:rsidR="00736613" w:rsidRPr="00736613" w:rsidRDefault="00736613" w:rsidP="00736613">
      <w:pPr>
        <w:pStyle w:val="ad"/>
        <w:rPr>
          <w:szCs w:val="18"/>
        </w:rPr>
      </w:pPr>
      <w:r w:rsidRPr="00736613">
        <w:tab/>
      </w:r>
      <w:r w:rsidRPr="00303869">
        <w:rPr>
          <w:rStyle w:val="aa"/>
          <w:sz w:val="20"/>
          <w:vertAlign w:val="baseline"/>
        </w:rPr>
        <w:t>**</w:t>
      </w:r>
      <w:r w:rsidRPr="00736613">
        <w:rPr>
          <w:rStyle w:val="aa"/>
          <w:vertAlign w:val="baseline"/>
        </w:rPr>
        <w:tab/>
      </w:r>
      <w:r w:rsidRPr="00736613">
        <w:rPr>
          <w:szCs w:val="18"/>
        </w:rPr>
        <w:t>Распространено на немецком языке Центральной комиссией судоходства по Рейну под условным обозначением </w:t>
      </w:r>
      <w:r w:rsidRPr="00736613">
        <w:rPr>
          <w:szCs w:val="18"/>
          <w:lang w:val="fr-FR"/>
        </w:rPr>
        <w:t>CCNR</w:t>
      </w:r>
      <w:r w:rsidRPr="00736613">
        <w:rPr>
          <w:szCs w:val="18"/>
        </w:rPr>
        <w:t>-</w:t>
      </w:r>
      <w:r w:rsidRPr="00736613">
        <w:rPr>
          <w:szCs w:val="18"/>
          <w:lang w:val="fr-FR"/>
        </w:rPr>
        <w:t>ZKR</w:t>
      </w:r>
      <w:r w:rsidRPr="00736613">
        <w:rPr>
          <w:szCs w:val="18"/>
        </w:rPr>
        <w:t>/</w:t>
      </w:r>
      <w:r w:rsidRPr="00736613">
        <w:rPr>
          <w:szCs w:val="18"/>
          <w:lang w:val="fr-FR"/>
        </w:rPr>
        <w:t>ADN</w:t>
      </w:r>
      <w:r w:rsidRPr="00736613">
        <w:rPr>
          <w:szCs w:val="18"/>
        </w:rPr>
        <w:t>/</w:t>
      </w:r>
      <w:r w:rsidRPr="00736613">
        <w:rPr>
          <w:szCs w:val="18"/>
          <w:lang w:val="fr-FR"/>
        </w:rPr>
        <w:t>WP</w:t>
      </w:r>
      <w:r w:rsidRPr="00736613">
        <w:rPr>
          <w:szCs w:val="18"/>
        </w:rPr>
        <w:t>.15/</w:t>
      </w:r>
      <w:r w:rsidRPr="00736613">
        <w:rPr>
          <w:szCs w:val="18"/>
          <w:lang w:val="fr-FR"/>
        </w:rPr>
        <w:t>AC</w:t>
      </w:r>
      <w:r w:rsidRPr="00736613">
        <w:rPr>
          <w:szCs w:val="18"/>
        </w:rPr>
        <w:t>.2/2022/2.</w:t>
      </w:r>
    </w:p>
  </w:footnote>
  <w:footnote w:id="3">
    <w:p w14:paraId="460AF87A" w14:textId="77777777" w:rsidR="00736613" w:rsidRPr="00736613" w:rsidRDefault="00736613" w:rsidP="00736613">
      <w:pPr>
        <w:pStyle w:val="ad"/>
        <w:rPr>
          <w:szCs w:val="18"/>
        </w:rPr>
      </w:pPr>
      <w:r w:rsidRPr="00736613">
        <w:tab/>
      </w:r>
      <w:r w:rsidRPr="00303869">
        <w:rPr>
          <w:rStyle w:val="aa"/>
          <w:sz w:val="20"/>
          <w:vertAlign w:val="baseline"/>
        </w:rPr>
        <w:t>***</w:t>
      </w:r>
      <w:r w:rsidRPr="00736613">
        <w:rPr>
          <w:rStyle w:val="aa"/>
          <w:vertAlign w:val="baseline"/>
        </w:rPr>
        <w:tab/>
      </w:r>
      <w:r w:rsidRPr="00736613">
        <w:rPr>
          <w:szCs w:val="18"/>
        </w:rPr>
        <w:t>В соответствии с программой работы Комитета по внутреннему транспорту на 2021 год, изложенной в предлагаемом бюджете по программам на 2021 год (</w:t>
      </w:r>
      <w:r w:rsidRPr="00736613">
        <w:rPr>
          <w:szCs w:val="18"/>
          <w:lang w:val="fr-FR"/>
        </w:rPr>
        <w:t>A</w:t>
      </w:r>
      <w:r w:rsidRPr="00736613">
        <w:rPr>
          <w:szCs w:val="18"/>
        </w:rPr>
        <w:t>/75/6 (разд. 20), п. 20.51).</w:t>
      </w:r>
    </w:p>
  </w:footnote>
  <w:footnote w:id="4">
    <w:p w14:paraId="1C16DB96" w14:textId="6DC7CF70" w:rsidR="00736613" w:rsidRPr="00132639" w:rsidRDefault="00736613" w:rsidP="00736613">
      <w:pPr>
        <w:pStyle w:val="ad"/>
      </w:pPr>
      <w:r w:rsidRPr="008C36AD">
        <w:tab/>
      </w:r>
      <w:r w:rsidRPr="00736613">
        <w:rPr>
          <w:rStyle w:val="aa"/>
        </w:rPr>
        <w:footnoteRef/>
      </w:r>
      <w:r w:rsidRPr="00132639">
        <w:tab/>
        <w:t xml:space="preserve">Документ </w:t>
      </w:r>
      <w:r w:rsidRPr="0083289F">
        <w:t>CESNI</w:t>
      </w:r>
      <w:r w:rsidRPr="00132639">
        <w:t>/</w:t>
      </w:r>
      <w:r w:rsidRPr="0083289F">
        <w:t>PT</w:t>
      </w:r>
      <w:r>
        <w:t> </w:t>
      </w:r>
      <w:r w:rsidRPr="00132639">
        <w:t>(20)</w:t>
      </w:r>
      <w:r>
        <w:t> </w:t>
      </w:r>
      <w:r w:rsidRPr="00132639">
        <w:t xml:space="preserve">84 </w:t>
      </w:r>
      <w:r w:rsidRPr="00ED5454">
        <w:t>rev</w:t>
      </w:r>
      <w:r w:rsidRPr="00132639">
        <w:t>.</w:t>
      </w:r>
      <w:r>
        <w:t> </w:t>
      </w:r>
      <w:r w:rsidRPr="00132639">
        <w:t>3</w:t>
      </w:r>
      <w:r w:rsidR="00C740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0647" w14:textId="6CE55ACE" w:rsidR="00736613" w:rsidRPr="00736613" w:rsidRDefault="000937D5">
    <w:pPr>
      <w:pStyle w:val="a5"/>
    </w:pPr>
    <w:r>
      <w:fldChar w:fldCharType="begin"/>
    </w:r>
    <w:r>
      <w:instrText xml:space="preserve"> TITLE  \* MERGEFORMAT </w:instrText>
    </w:r>
    <w:r>
      <w:fldChar w:fldCharType="separate"/>
    </w:r>
    <w:r>
      <w:t>ECE/TRANS/WP.15/AC.2/2022/21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ABE6" w14:textId="76B7DD23" w:rsidR="00736613" w:rsidRPr="00736613" w:rsidRDefault="000937D5" w:rsidP="00736613">
    <w:pPr>
      <w:pStyle w:val="a5"/>
      <w:jc w:val="right"/>
    </w:pPr>
    <w:r>
      <w:fldChar w:fldCharType="begin"/>
    </w:r>
    <w:r>
      <w:instrText xml:space="preserve"> TITLE  \* MERGEFORMAT </w:instrText>
    </w:r>
    <w:r>
      <w:fldChar w:fldCharType="separate"/>
    </w:r>
    <w:r>
      <w:t>ECE/TRANS/WP.15/AC.2/2022/21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43F74"/>
    <w:multiLevelType w:val="hybridMultilevel"/>
    <w:tmpl w:val="9FBC76CC"/>
    <w:lvl w:ilvl="0" w:tplc="04B2840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704583"/>
    <w:multiLevelType w:val="hybridMultilevel"/>
    <w:tmpl w:val="96B072B4"/>
    <w:lvl w:ilvl="0" w:tplc="C0505D1C">
      <w:start w:val="3"/>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2F"/>
    <w:rsid w:val="00033EE1"/>
    <w:rsid w:val="00042B72"/>
    <w:rsid w:val="000558BD"/>
    <w:rsid w:val="000937D5"/>
    <w:rsid w:val="000B57E7"/>
    <w:rsid w:val="000B6373"/>
    <w:rsid w:val="000E4E5B"/>
    <w:rsid w:val="000F09DF"/>
    <w:rsid w:val="000F61B2"/>
    <w:rsid w:val="001075E9"/>
    <w:rsid w:val="0014152F"/>
    <w:rsid w:val="00167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386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11DF"/>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36613"/>
    <w:rsid w:val="00757357"/>
    <w:rsid w:val="00792497"/>
    <w:rsid w:val="00806737"/>
    <w:rsid w:val="00815294"/>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F4FD3"/>
    <w:rsid w:val="00B10CC7"/>
    <w:rsid w:val="00B36DF7"/>
    <w:rsid w:val="00B539E7"/>
    <w:rsid w:val="00B62458"/>
    <w:rsid w:val="00BB5C60"/>
    <w:rsid w:val="00BC18B2"/>
    <w:rsid w:val="00BD33EE"/>
    <w:rsid w:val="00BE1CC7"/>
    <w:rsid w:val="00C106D6"/>
    <w:rsid w:val="00C119AE"/>
    <w:rsid w:val="00C60F0C"/>
    <w:rsid w:val="00C71E84"/>
    <w:rsid w:val="00C74037"/>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41601"/>
  <w15:docId w15:val="{099570D7-1AE0-413C-BBFC-A2FE3443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36613"/>
    <w:rPr>
      <w:lang w:val="ru-RU" w:eastAsia="en-US"/>
    </w:rPr>
  </w:style>
  <w:style w:type="character" w:customStyle="1" w:styleId="HChGChar">
    <w:name w:val="_ H _Ch_G Char"/>
    <w:link w:val="HChG"/>
    <w:rsid w:val="00736613"/>
    <w:rPr>
      <w:b/>
      <w:sz w:val="28"/>
      <w:lang w:val="ru-RU" w:eastAsia="ru-RU"/>
    </w:rPr>
  </w:style>
  <w:style w:type="paragraph" w:styleId="af3">
    <w:name w:val="List Paragraph"/>
    <w:basedOn w:val="a"/>
    <w:uiPriority w:val="34"/>
    <w:qFormat/>
    <w:rsid w:val="00736613"/>
    <w:pPr>
      <w:kinsoku w:val="0"/>
      <w:overflowPunct w:val="0"/>
      <w:autoSpaceDE w:val="0"/>
      <w:autoSpaceDN w:val="0"/>
      <w:adjustRightInd w:val="0"/>
      <w:snapToGrid w:val="0"/>
      <w:ind w:left="720"/>
      <w:contextualSpacing/>
    </w:pPr>
    <w:rPr>
      <w:rFonts w:eastAsia="Times New Roman" w:cs="Times New Roman"/>
      <w:szCs w:val="20"/>
      <w:lang w:val="fr-CH" w:eastAsia="zh-CN"/>
    </w:rPr>
  </w:style>
  <w:style w:type="character" w:styleId="af4">
    <w:name w:val="Unresolved Mention"/>
    <w:basedOn w:val="a0"/>
    <w:uiPriority w:val="99"/>
    <w:semiHidden/>
    <w:unhideWhenUsed/>
    <w:rsid w:val="0073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sni.eu/de/documents/es-trin/"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CCA3A-D571-4159-83AB-2FCEAA387DBC}"/>
</file>

<file path=customXml/itemProps2.xml><?xml version="1.0" encoding="utf-8"?>
<ds:datastoreItem xmlns:ds="http://schemas.openxmlformats.org/officeDocument/2006/customXml" ds:itemID="{DF60ED89-779A-4EFA-8AFF-3F7C0AED3984}"/>
</file>

<file path=customXml/itemProps3.xml><?xml version="1.0" encoding="utf-8"?>
<ds:datastoreItem xmlns:ds="http://schemas.openxmlformats.org/officeDocument/2006/customXml" ds:itemID="{BD95F1D8-3BBC-40A7-AE0E-A3CDB2544744}"/>
</file>

<file path=docProps/app.xml><?xml version="1.0" encoding="utf-8"?>
<Properties xmlns="http://schemas.openxmlformats.org/officeDocument/2006/extended-properties" xmlns:vt="http://schemas.openxmlformats.org/officeDocument/2006/docPropsVTypes">
  <Template>ECE.dotm</Template>
  <TotalTime>1</TotalTime>
  <Pages>4</Pages>
  <Words>1113</Words>
  <Characters>8062</Characters>
  <Application>Microsoft Office Word</Application>
  <DocSecurity>0</DocSecurity>
  <Lines>170</Lines>
  <Paragraphs>60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ECE/TRANS/WP.15/AC.2/2022/21</vt:lpstr>
      <vt:lpstr>A/</vt:lpstr>
      <vt:lpstr>A/</vt:lpstr>
    </vt:vector>
  </TitlesOfParts>
  <Company>DCM</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ECE/TRANS/WP.15/AC.2/2022/21</dc:title>
  <dc:subject/>
  <dc:creator>Anna BLAGODATSKIKH</dc:creator>
  <cp:keywords/>
  <cp:lastModifiedBy>Anna Blagodatskikh</cp:lastModifiedBy>
  <cp:revision>3</cp:revision>
  <cp:lastPrinted>2021-11-25T14:36:00Z</cp:lastPrinted>
  <dcterms:created xsi:type="dcterms:W3CDTF">2021-11-25T14:36:00Z</dcterms:created>
  <dcterms:modified xsi:type="dcterms:W3CDTF">2021-11-25T14:36:00Z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