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2CF01C2C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EDF51FA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858B664" w14:textId="77777777" w:rsidR="001433FD" w:rsidRPr="00DB58B5" w:rsidRDefault="001433FD" w:rsidP="008A779D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59FA9D" w14:textId="5246BB26" w:rsidR="001433FD" w:rsidRPr="00FA4573" w:rsidRDefault="00FA4573" w:rsidP="00FA4573">
            <w:pPr>
              <w:jc w:val="right"/>
            </w:pPr>
            <w:r w:rsidRPr="00FA4573">
              <w:rPr>
                <w:sz w:val="40"/>
              </w:rPr>
              <w:t>ECE</w:t>
            </w:r>
            <w:r>
              <w:t>/TRANS/WP.15/AC.2/2022/21</w:t>
            </w:r>
          </w:p>
        </w:tc>
      </w:tr>
      <w:tr w:rsidR="001433FD" w:rsidRPr="00DB58B5" w14:paraId="21C9CE15" w14:textId="77777777" w:rsidTr="008A779D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75943C" w14:textId="77777777" w:rsidR="001433FD" w:rsidRPr="00DB58B5" w:rsidRDefault="001433FD" w:rsidP="008A779D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41807E0" wp14:editId="28F2D9BE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C489E1" w14:textId="77777777" w:rsidR="001433FD" w:rsidRPr="00740562" w:rsidRDefault="001433FD" w:rsidP="008A779D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EA4C89" w14:textId="77777777" w:rsidR="0001207F" w:rsidRDefault="001B6C50" w:rsidP="001B6C50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8870EC4" w14:textId="77777777" w:rsidR="001B6C50" w:rsidRDefault="001B6C50" w:rsidP="001B6C50">
            <w:pPr>
              <w:spacing w:line="240" w:lineRule="exact"/>
            </w:pPr>
            <w:r>
              <w:t>17 novembre 2021</w:t>
            </w:r>
          </w:p>
          <w:p w14:paraId="204E5DBB" w14:textId="77777777" w:rsidR="001B6C50" w:rsidRDefault="001B6C50" w:rsidP="001B6C50">
            <w:pPr>
              <w:spacing w:line="240" w:lineRule="exact"/>
            </w:pPr>
          </w:p>
          <w:p w14:paraId="796E9151" w14:textId="77777777" w:rsidR="001B6C50" w:rsidRPr="00DB58B5" w:rsidRDefault="001B6C50" w:rsidP="001B6C50">
            <w:pPr>
              <w:spacing w:line="240" w:lineRule="exact"/>
            </w:pPr>
            <w:r>
              <w:t>Original : français</w:t>
            </w:r>
          </w:p>
        </w:tc>
      </w:tr>
    </w:tbl>
    <w:p w14:paraId="55F3C6A2" w14:textId="56D97F8C" w:rsidR="00564657" w:rsidRDefault="00564657" w:rsidP="001B6C5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F674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3C8EDF2" w14:textId="77777777" w:rsidR="00953B26" w:rsidRDefault="00953B26" w:rsidP="00953B26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E5D3E8D" w14:textId="77777777" w:rsidR="00953B26" w:rsidRPr="009E01B8" w:rsidRDefault="00953B26" w:rsidP="00953B26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2A354E56" w14:textId="4D085B94" w:rsidR="00953B26" w:rsidRPr="004812F5" w:rsidRDefault="00953B26" w:rsidP="00953B26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DF6740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DF6740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DF6740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5A0B0C09" w14:textId="77777777" w:rsidR="00953B26" w:rsidRPr="00234E40" w:rsidRDefault="00953B26" w:rsidP="00953B26">
      <w:pPr>
        <w:spacing w:before="120"/>
        <w:rPr>
          <w:b/>
        </w:rPr>
      </w:pPr>
      <w:r>
        <w:rPr>
          <w:b/>
        </w:rPr>
        <w:t xml:space="preserve">Trente-neuvième </w:t>
      </w:r>
      <w:r w:rsidRPr="00234E40">
        <w:rPr>
          <w:b/>
        </w:rPr>
        <w:t>session</w:t>
      </w:r>
    </w:p>
    <w:p w14:paraId="74D9AA74" w14:textId="77777777" w:rsidR="00953B26" w:rsidRDefault="00953B26" w:rsidP="00953B26">
      <w:r>
        <w:t>Genève, 24-28 janvier 2022</w:t>
      </w:r>
    </w:p>
    <w:p w14:paraId="5D6D27A3" w14:textId="38A2A795" w:rsidR="00953B26" w:rsidRDefault="00953B26" w:rsidP="00953B26">
      <w:r w:rsidRPr="00B93E72">
        <w:t xml:space="preserve">Point </w:t>
      </w:r>
      <w:r>
        <w:t xml:space="preserve">5 </w:t>
      </w:r>
      <w:r w:rsidR="000E0718">
        <w:t>b</w:t>
      </w:r>
      <w:r>
        <w:t>)</w:t>
      </w:r>
      <w:r w:rsidRPr="00B93E72">
        <w:t xml:space="preserve"> de l</w:t>
      </w:r>
      <w:r w:rsidR="00DF6740">
        <w:t>’</w:t>
      </w:r>
      <w:r w:rsidRPr="00B93E72">
        <w:t>ordre du jour provisoire</w:t>
      </w:r>
    </w:p>
    <w:p w14:paraId="3F969007" w14:textId="0DBC3B9E" w:rsidR="00953B26" w:rsidRPr="000E7923" w:rsidRDefault="00953B26" w:rsidP="006B58EA">
      <w:pPr>
        <w:rPr>
          <w:b/>
          <w:bCs/>
          <w:lang w:val="fr-FR"/>
        </w:rPr>
      </w:pPr>
      <w:r w:rsidRPr="00551E31">
        <w:rPr>
          <w:b/>
        </w:rPr>
        <w:t>Propositions d</w:t>
      </w:r>
      <w:r w:rsidR="00DF6740">
        <w:rPr>
          <w:b/>
        </w:rPr>
        <w:t>’</w:t>
      </w:r>
      <w:r w:rsidRPr="00551E31">
        <w:rPr>
          <w:b/>
        </w:rPr>
        <w:t>amendements au Règlement annexé à l</w:t>
      </w:r>
      <w:r w:rsidR="00DF6740">
        <w:rPr>
          <w:b/>
        </w:rPr>
        <w:t>’</w:t>
      </w:r>
      <w:r>
        <w:rPr>
          <w:b/>
        </w:rPr>
        <w:t>ADN :</w:t>
      </w:r>
      <w:r>
        <w:rPr>
          <w:b/>
        </w:rPr>
        <w:br/>
      </w:r>
      <w:r w:rsidR="000E7923" w:rsidRPr="000E7923">
        <w:rPr>
          <w:b/>
          <w:bCs/>
          <w:lang w:val="fr-FR"/>
        </w:rPr>
        <w:t>autres propositions</w:t>
      </w:r>
    </w:p>
    <w:p w14:paraId="2F47A94E" w14:textId="3EE6E726" w:rsidR="00CD2404" w:rsidRPr="00997656" w:rsidRDefault="00B14399" w:rsidP="00B1439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D2404" w:rsidRPr="00997656">
        <w:rPr>
          <w:lang w:val="fr-FR"/>
        </w:rPr>
        <w:t>Installations d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incendie fixées à demeure pour la protection des objets - 9.1.0.40.2.16, 9.3.1.40.2.16, 9.3.2.40.2.16</w:t>
      </w:r>
      <w:r w:rsidR="00CD2404">
        <w:rPr>
          <w:lang w:val="fr-FR"/>
        </w:rPr>
        <w:t xml:space="preserve"> et</w:t>
      </w:r>
      <w:r w:rsidR="00CD2404" w:rsidRPr="00997656">
        <w:rPr>
          <w:lang w:val="fr-FR"/>
        </w:rPr>
        <w:t xml:space="preserve"> 9.3.3.40.2.16 de l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ADN</w:t>
      </w:r>
    </w:p>
    <w:p w14:paraId="6B36EDE6" w14:textId="635DCC03" w:rsidR="00CD2404" w:rsidRPr="00997656" w:rsidRDefault="00B14399" w:rsidP="00B14399">
      <w:pPr>
        <w:pStyle w:val="H1G"/>
        <w:rPr>
          <w:sz w:val="18"/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D2404" w:rsidRPr="001161DF">
        <w:rPr>
          <w:lang w:val="fr-FR"/>
        </w:rPr>
        <w:t>Communication du Gouvernement de l</w:t>
      </w:r>
      <w:r w:rsidR="00DF6740">
        <w:rPr>
          <w:lang w:val="fr-FR"/>
        </w:rPr>
        <w:t>’</w:t>
      </w:r>
      <w:r w:rsidR="00CD2404" w:rsidRPr="001161DF">
        <w:rPr>
          <w:lang w:val="fr-FR"/>
        </w:rPr>
        <w:t>Allemagne</w:t>
      </w:r>
      <w:r w:rsidR="00CD2404" w:rsidRPr="00997656">
        <w:rPr>
          <w:sz w:val="18"/>
          <w:vertAlign w:val="superscript"/>
          <w:lang w:val="fr-FR"/>
        </w:rPr>
        <w:t xml:space="preserve"> </w:t>
      </w:r>
      <w:r w:rsidR="00575C79" w:rsidRPr="00DF674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="009D1C90">
        <w:rPr>
          <w:sz w:val="20"/>
        </w:rPr>
        <w:t>,</w:t>
      </w:r>
      <w:r w:rsidR="009D1C90" w:rsidRPr="00DF6740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  <w:r w:rsidR="00CD2404" w:rsidRPr="00781FC9">
        <w:t>,</w:t>
      </w:r>
      <w:r w:rsidR="009D1C90" w:rsidRPr="00DF6740">
        <w:rPr>
          <w:rStyle w:val="Appelnotedebasdep"/>
          <w:b w:val="0"/>
          <w:bCs/>
          <w:sz w:val="20"/>
          <w:vertAlign w:val="baseline"/>
        </w:rPr>
        <w:footnoteReference w:customMarkFollows="1" w:id="4"/>
        <w:t>***</w:t>
      </w:r>
    </w:p>
    <w:p w14:paraId="13708824" w14:textId="641FCCFE" w:rsidR="00CD2404" w:rsidRPr="00997656" w:rsidRDefault="00781FC9" w:rsidP="00781FC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D2404" w:rsidRPr="00997656">
        <w:rPr>
          <w:lang w:val="fr-FR"/>
        </w:rPr>
        <w:t>Introduction</w:t>
      </w:r>
    </w:p>
    <w:p w14:paraId="7420CA0D" w14:textId="418A8486" w:rsidR="00CD2404" w:rsidRPr="00997656" w:rsidRDefault="00CD2404" w:rsidP="0062624E">
      <w:pPr>
        <w:pStyle w:val="SingleTxtG"/>
        <w:rPr>
          <w:lang w:val="fr-FR"/>
        </w:rPr>
      </w:pPr>
      <w:r w:rsidRPr="00997656">
        <w:rPr>
          <w:lang w:val="fr-FR"/>
        </w:rPr>
        <w:t>1.</w:t>
      </w:r>
      <w:r w:rsidRPr="00997656">
        <w:rPr>
          <w:lang w:val="fr-FR"/>
        </w:rPr>
        <w:tab/>
        <w:t>Conformément aux 9.1.0.40.2.16, 9.3.1.40.2.16, 9.3.2.40.2.16 et 9.3.3.40.2.16 de l</w:t>
      </w:r>
      <w:r w:rsidR="00DF6740">
        <w:rPr>
          <w:lang w:val="fr-FR"/>
        </w:rPr>
        <w:t>’</w:t>
      </w:r>
      <w:r w:rsidRPr="00997656">
        <w:rPr>
          <w:lang w:val="fr-FR"/>
        </w:rPr>
        <w:t>ADN, les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 xml:space="preserve">incendie fixées à demeure pour la protection des objets ne sont admises à bord de bateaux de navigation intérieure transportant </w:t>
      </w:r>
      <w:r w:rsidRPr="0062624E">
        <w:t>des</w:t>
      </w:r>
      <w:r w:rsidRPr="00997656">
        <w:rPr>
          <w:lang w:val="fr-FR"/>
        </w:rPr>
        <w:t xml:space="preserve"> marchandises dangereuses que dans les salles des machines, salles de chauffe et chambres des pompes et que sur la base de recommandations du Comité d</w:t>
      </w:r>
      <w:r w:rsidR="00DF6740">
        <w:rPr>
          <w:lang w:val="fr-FR"/>
        </w:rPr>
        <w:t>’</w:t>
      </w:r>
      <w:r w:rsidRPr="00997656">
        <w:rPr>
          <w:lang w:val="fr-FR"/>
        </w:rPr>
        <w:t>administration.</w:t>
      </w:r>
    </w:p>
    <w:p w14:paraId="3F260889" w14:textId="003CB0A6" w:rsidR="00CD2404" w:rsidRPr="00997656" w:rsidRDefault="00CD2404" w:rsidP="0062624E">
      <w:pPr>
        <w:pStyle w:val="SingleTxtG"/>
        <w:rPr>
          <w:lang w:val="fr-FR"/>
        </w:rPr>
      </w:pPr>
      <w:r w:rsidRPr="00997656">
        <w:rPr>
          <w:lang w:val="fr-FR"/>
        </w:rPr>
        <w:t>2.</w:t>
      </w:r>
      <w:r w:rsidRPr="00997656">
        <w:rPr>
          <w:lang w:val="fr-FR"/>
        </w:rPr>
        <w:tab/>
        <w:t>Le Standard européen établissant les prescriptions techniques des bateaux de navigation intérieure (ES-TRIN 2021, publié par le Comité européen pour l</w:t>
      </w:r>
      <w:r w:rsidR="00DF6740">
        <w:rPr>
          <w:lang w:val="fr-FR"/>
        </w:rPr>
        <w:t>’</w:t>
      </w:r>
      <w:r w:rsidRPr="00997656">
        <w:rPr>
          <w:lang w:val="fr-FR"/>
        </w:rPr>
        <w:t xml:space="preserve">élaboration de standards dans le domaine de la navigation intérieure (CESNI), </w:t>
      </w:r>
      <w:r w:rsidRPr="0062624E">
        <w:t>comporte</w:t>
      </w:r>
      <w:r w:rsidRPr="00997656">
        <w:rPr>
          <w:lang w:val="fr-FR"/>
        </w:rPr>
        <w:t xml:space="preserve"> dans son article 13.06 une interdiction générale des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fixées à demeure pour la protection des objets. Conformément à l</w:t>
      </w:r>
      <w:r w:rsidR="00DF6740">
        <w:rPr>
          <w:lang w:val="fr-FR"/>
        </w:rPr>
        <w:t>’</w:t>
      </w:r>
      <w:r w:rsidRPr="00997656">
        <w:rPr>
          <w:lang w:val="fr-FR"/>
        </w:rPr>
        <w:t xml:space="preserve">article 10.11, </w:t>
      </w:r>
      <w:r w:rsidRPr="00997656">
        <w:rPr>
          <w:b/>
          <w:i/>
          <w:lang w:val="fr-FR"/>
        </w:rPr>
        <w:t>Piles, accumulateurs et leurs dispositifs de charge</w:t>
      </w:r>
      <w:r w:rsidRPr="00997656">
        <w:rPr>
          <w:lang w:val="fr-FR"/>
        </w:rPr>
        <w:t>, chiffre 17, Un concept de protection contre l</w:t>
      </w:r>
      <w:r w:rsidR="00DF6740">
        <w:rPr>
          <w:lang w:val="fr-FR"/>
        </w:rPr>
        <w:t>’</w:t>
      </w:r>
      <w:r w:rsidRPr="00997656">
        <w:rPr>
          <w:lang w:val="fr-FR"/>
        </w:rPr>
        <w:t>incendie n</w:t>
      </w:r>
      <w:r w:rsidR="00DF6740">
        <w:rPr>
          <w:lang w:val="fr-FR"/>
        </w:rPr>
        <w:t>’</w:t>
      </w:r>
      <w:r w:rsidRPr="00997656">
        <w:rPr>
          <w:lang w:val="fr-FR"/>
        </w:rPr>
        <w:t xml:space="preserve">est pas </w:t>
      </w:r>
      <w:r w:rsidRPr="00997656">
        <w:rPr>
          <w:lang w:val="fr-FR"/>
        </w:rPr>
        <w:lastRenderedPageBreak/>
        <w:t>nécessaire si les accumulateurs lithium-ion sont logés dans une enveloppe résistante à l</w:t>
      </w:r>
      <w:r w:rsidR="00DF6740">
        <w:rPr>
          <w:lang w:val="fr-FR"/>
        </w:rPr>
        <w:t>’</w:t>
      </w:r>
      <w:r w:rsidRPr="00997656">
        <w:rPr>
          <w:lang w:val="fr-FR"/>
        </w:rPr>
        <w:t>incendie, qui est équipée notamment, par dérogation à l</w:t>
      </w:r>
      <w:r w:rsidR="00DF6740">
        <w:rPr>
          <w:lang w:val="fr-FR"/>
        </w:rPr>
        <w:t>’</w:t>
      </w:r>
      <w:r w:rsidRPr="00997656">
        <w:rPr>
          <w:lang w:val="fr-FR"/>
        </w:rPr>
        <w:t>article 13.06, d</w:t>
      </w:r>
      <w:r w:rsidR="00DF6740">
        <w:rPr>
          <w:lang w:val="fr-FR"/>
        </w:rPr>
        <w:t>’</w:t>
      </w:r>
      <w:r w:rsidRPr="00997656">
        <w:rPr>
          <w:lang w:val="fr-FR"/>
        </w:rPr>
        <w:t>une installation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fixée à demeure appropriée pour la protection des objets.</w:t>
      </w:r>
    </w:p>
    <w:p w14:paraId="0880791A" w14:textId="5795B436" w:rsidR="00CD2404" w:rsidRPr="00997656" w:rsidRDefault="00CD2404" w:rsidP="001E00D5">
      <w:pPr>
        <w:pStyle w:val="SingleTxtG"/>
        <w:rPr>
          <w:lang w:val="fr-FR"/>
        </w:rPr>
      </w:pPr>
      <w:r w:rsidRPr="00997656">
        <w:rPr>
          <w:lang w:val="fr-FR"/>
        </w:rPr>
        <w:t>3.</w:t>
      </w:r>
      <w:r w:rsidRPr="00997656">
        <w:rPr>
          <w:lang w:val="fr-FR"/>
        </w:rPr>
        <w:tab/>
        <w:t>Les deux réglementations sont déjà contradictoires actuellement, étant donné que le Comité d</w:t>
      </w:r>
      <w:r w:rsidR="00DF6740">
        <w:rPr>
          <w:lang w:val="fr-FR"/>
        </w:rPr>
        <w:t>’</w:t>
      </w:r>
      <w:r w:rsidRPr="00997656">
        <w:rPr>
          <w:lang w:val="fr-FR"/>
        </w:rPr>
        <w:t>administration ne peut pas autoriser une installation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pour la protection des objets à l</w:t>
      </w:r>
      <w:r w:rsidR="00DF6740">
        <w:rPr>
          <w:lang w:val="fr-FR"/>
        </w:rPr>
        <w:t>’</w:t>
      </w:r>
      <w:r w:rsidRPr="00997656">
        <w:rPr>
          <w:lang w:val="fr-FR"/>
        </w:rPr>
        <w:t>emplacement d</w:t>
      </w:r>
      <w:r w:rsidR="00DF6740">
        <w:rPr>
          <w:lang w:val="fr-FR"/>
        </w:rPr>
        <w:t>’</w:t>
      </w:r>
      <w:r w:rsidRPr="00997656">
        <w:rPr>
          <w:lang w:val="fr-FR"/>
        </w:rPr>
        <w:t>accumulateurs lithium-ion à bord de bateaux transportant des marchandises dangereuses, si ceux-ci sont placés à l</w:t>
      </w:r>
      <w:r w:rsidR="00DF6740">
        <w:rPr>
          <w:lang w:val="fr-FR"/>
        </w:rPr>
        <w:t>’</w:t>
      </w:r>
      <w:r w:rsidRPr="00997656">
        <w:rPr>
          <w:lang w:val="fr-FR"/>
        </w:rPr>
        <w:t>extérieur des salles des machines et de chauffe et des chambres des pompes.</w:t>
      </w:r>
    </w:p>
    <w:p w14:paraId="3420C6BA" w14:textId="47BC4C47" w:rsidR="00CD2404" w:rsidRPr="00997656" w:rsidRDefault="00CD2404" w:rsidP="001E00D5">
      <w:pPr>
        <w:pStyle w:val="SingleTxtG"/>
        <w:rPr>
          <w:lang w:val="fr-FR"/>
        </w:rPr>
      </w:pPr>
      <w:r w:rsidRPr="00997656">
        <w:rPr>
          <w:lang w:val="fr-FR"/>
        </w:rPr>
        <w:t>4.</w:t>
      </w:r>
      <w:r w:rsidRPr="00997656">
        <w:rPr>
          <w:lang w:val="fr-FR"/>
        </w:rPr>
        <w:tab/>
        <w:t>Pour l</w:t>
      </w:r>
      <w:r w:rsidR="00DF6740">
        <w:rPr>
          <w:lang w:val="fr-FR"/>
        </w:rPr>
        <w:t>’</w:t>
      </w:r>
      <w:r w:rsidRPr="00997656">
        <w:rPr>
          <w:lang w:val="fr-FR"/>
        </w:rPr>
        <w:t>ES-TRIN 2023, une demande</w:t>
      </w:r>
      <w:r w:rsidRPr="001E00D5">
        <w:rPr>
          <w:rStyle w:val="Appelnotedebasdep"/>
        </w:rPr>
        <w:footnoteReference w:id="5"/>
      </w:r>
      <w:r w:rsidRPr="00997656">
        <w:rPr>
          <w:lang w:val="fr-FR"/>
        </w:rPr>
        <w:t xml:space="preserve"> a été soumise au CESNI, groupe de travail des prescriptions techniques, afin que soient autorisées sous certaines conditions des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fixées à demeure pour la protection des objets.</w:t>
      </w:r>
    </w:p>
    <w:p w14:paraId="5BEE73D8" w14:textId="1C73A29C" w:rsidR="00CD2404" w:rsidRPr="00997656" w:rsidRDefault="00CD2404" w:rsidP="001E00D5">
      <w:pPr>
        <w:pStyle w:val="SingleTxtG"/>
        <w:rPr>
          <w:lang w:val="fr-FR"/>
        </w:rPr>
      </w:pPr>
      <w:r w:rsidRPr="00997656">
        <w:rPr>
          <w:lang w:val="fr-FR"/>
        </w:rPr>
        <w:t>5.</w:t>
      </w:r>
      <w:r w:rsidRPr="00997656">
        <w:rPr>
          <w:lang w:val="fr-FR"/>
        </w:rPr>
        <w:tab/>
        <w:t>Le Comité de sécurité de l</w:t>
      </w:r>
      <w:r w:rsidR="00DF6740">
        <w:rPr>
          <w:lang w:val="fr-FR"/>
        </w:rPr>
        <w:t>’</w:t>
      </w:r>
      <w:r w:rsidRPr="00997656">
        <w:rPr>
          <w:lang w:val="fr-FR"/>
        </w:rPr>
        <w:t>ADN a invité le groupe de travail des sociétés de classification à vérifier si des prescriptions de sécurité autres que celles de l</w:t>
      </w:r>
      <w:r w:rsidR="00DF6740">
        <w:rPr>
          <w:lang w:val="fr-FR"/>
        </w:rPr>
        <w:t>’</w:t>
      </w:r>
      <w:r w:rsidRPr="00997656">
        <w:rPr>
          <w:lang w:val="fr-FR"/>
        </w:rPr>
        <w:t>ES-TRIN sont nécessaires pour les bateaux transportant des marchandises dangereuses, lorsque des piles au lithium sont placées à proximité des marchandises dangereuses.</w:t>
      </w:r>
    </w:p>
    <w:p w14:paraId="673C664C" w14:textId="0E694205" w:rsidR="00CD2404" w:rsidRPr="00997656" w:rsidRDefault="001E00D5" w:rsidP="001E00D5">
      <w:pPr>
        <w:pStyle w:val="HChG"/>
        <w:rPr>
          <w:lang w:val="fr-FR"/>
        </w:rPr>
      </w:pPr>
      <w:r>
        <w:rPr>
          <w:lang w:val="fr-FR"/>
        </w:rPr>
        <w:tab/>
      </w:r>
      <w:r w:rsidR="00CD2404" w:rsidRPr="00997656">
        <w:rPr>
          <w:lang w:val="fr-FR"/>
        </w:rPr>
        <w:t>I.</w:t>
      </w:r>
      <w:r w:rsidR="00CD2404" w:rsidRPr="00997656">
        <w:rPr>
          <w:lang w:val="fr-FR"/>
        </w:rPr>
        <w:tab/>
        <w:t>Demande</w:t>
      </w:r>
    </w:p>
    <w:p w14:paraId="50D8D138" w14:textId="65591BAC" w:rsidR="00CD2404" w:rsidRPr="00997656" w:rsidRDefault="00CD2404" w:rsidP="001E00D5">
      <w:pPr>
        <w:pStyle w:val="SingleTxtG"/>
        <w:rPr>
          <w:lang w:val="fr-FR"/>
        </w:rPr>
      </w:pPr>
      <w:r w:rsidRPr="00997656">
        <w:rPr>
          <w:lang w:val="fr-FR"/>
        </w:rPr>
        <w:t>6.</w:t>
      </w:r>
      <w:r w:rsidRPr="00997656">
        <w:rPr>
          <w:lang w:val="fr-FR"/>
        </w:rPr>
        <w:tab/>
        <w:t>Les 9.1.0.40.2.16, 9.3.1.40.2.16, 9.3.2.40.2.16</w:t>
      </w:r>
      <w:r>
        <w:rPr>
          <w:lang w:val="fr-FR"/>
        </w:rPr>
        <w:t xml:space="preserve"> et</w:t>
      </w:r>
      <w:r w:rsidRPr="00997656">
        <w:rPr>
          <w:lang w:val="fr-FR"/>
        </w:rPr>
        <w:t xml:space="preserve"> 9.3.3.40.2.16 de l</w:t>
      </w:r>
      <w:r w:rsidR="00DF6740">
        <w:rPr>
          <w:lang w:val="fr-FR"/>
        </w:rPr>
        <w:t>’</w:t>
      </w:r>
      <w:r w:rsidRPr="00997656">
        <w:rPr>
          <w:lang w:val="fr-FR"/>
        </w:rPr>
        <w:t>ADN sont modifiés pour lire comme suit :</w:t>
      </w:r>
    </w:p>
    <w:p w14:paraId="135209B7" w14:textId="6A82E4C6" w:rsidR="00CD2404" w:rsidRPr="00997656" w:rsidRDefault="00CD2404" w:rsidP="00CD12A2">
      <w:pPr>
        <w:pStyle w:val="SingleTxtG"/>
        <w:ind w:left="1701"/>
        <w:rPr>
          <w:b/>
          <w:lang w:val="fr-FR"/>
        </w:rPr>
      </w:pPr>
      <w:r w:rsidRPr="00997656">
        <w:rPr>
          <w:lang w:val="fr-FR"/>
        </w:rPr>
        <w:t>« </w:t>
      </w:r>
      <w:r w:rsidRPr="00997656">
        <w:rPr>
          <w:b/>
          <w:lang w:val="fr-FR"/>
        </w:rPr>
        <w:t>Installations d</w:t>
      </w:r>
      <w:r w:rsidR="00DF6740">
        <w:rPr>
          <w:b/>
          <w:lang w:val="fr-FR"/>
        </w:rPr>
        <w:t>’</w:t>
      </w:r>
      <w:r w:rsidRPr="00997656">
        <w:rPr>
          <w:b/>
          <w:lang w:val="fr-FR"/>
        </w:rPr>
        <w:t>extinction d</w:t>
      </w:r>
      <w:r w:rsidR="00DF6740">
        <w:rPr>
          <w:b/>
          <w:lang w:val="fr-FR"/>
        </w:rPr>
        <w:t>’</w:t>
      </w:r>
      <w:r w:rsidRPr="00997656">
        <w:rPr>
          <w:b/>
          <w:lang w:val="fr-FR"/>
        </w:rPr>
        <w:t>incendie fixées à demeure pour la protection des objets</w:t>
      </w:r>
    </w:p>
    <w:p w14:paraId="4D4B7B96" w14:textId="1274B691" w:rsidR="00CD2404" w:rsidRPr="00997656" w:rsidRDefault="00CD2404" w:rsidP="00CD12A2">
      <w:pPr>
        <w:pStyle w:val="SingleTxtG"/>
        <w:ind w:left="1701"/>
        <w:rPr>
          <w:lang w:val="fr-FR"/>
        </w:rPr>
      </w:pPr>
      <w:r w:rsidRPr="00997656">
        <w:rPr>
          <w:lang w:val="fr-FR"/>
        </w:rPr>
        <w:t>Les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fixées à demeure pour la protection des objets ne peuvent être utilisées pour la protection d</w:t>
      </w:r>
      <w:r w:rsidR="00DF6740">
        <w:rPr>
          <w:lang w:val="fr-FR"/>
        </w:rPr>
        <w:t>’</w:t>
      </w:r>
      <w:r w:rsidRPr="00997656">
        <w:rPr>
          <w:lang w:val="fr-FR"/>
        </w:rPr>
        <w:t>installations et d</w:t>
      </w:r>
      <w:r w:rsidR="00DF6740">
        <w:rPr>
          <w:lang w:val="fr-FR"/>
        </w:rPr>
        <w:t>’</w:t>
      </w:r>
      <w:r w:rsidRPr="00997656">
        <w:rPr>
          <w:lang w:val="fr-FR"/>
        </w:rPr>
        <w:t>équipements que si elles sont conformes à l</w:t>
      </w:r>
      <w:r w:rsidR="00DF6740">
        <w:rPr>
          <w:lang w:val="fr-FR"/>
        </w:rPr>
        <w:t>’</w:t>
      </w:r>
      <w:r w:rsidRPr="00997656">
        <w:rPr>
          <w:lang w:val="fr-FR"/>
        </w:rPr>
        <w:t>article 13.06 du Standard européen établissant les prescriptions techniques des bateaux de navigation intérieure (ES-TRIN), dans sa version en vigueur*. ».</w:t>
      </w:r>
    </w:p>
    <w:p w14:paraId="626B9D37" w14:textId="6EA95D32" w:rsidR="00CD2404" w:rsidRPr="00997656" w:rsidRDefault="00CD2404" w:rsidP="00CD12A2">
      <w:pPr>
        <w:pStyle w:val="SingleTxtG"/>
        <w:ind w:left="1701"/>
        <w:rPr>
          <w:lang w:val="fr-FR"/>
        </w:rPr>
      </w:pPr>
      <w:r w:rsidRPr="00997656">
        <w:rPr>
          <w:lang w:val="fr-FR"/>
        </w:rPr>
        <w:t>« *Disponible sur le site web du Comité européen pour l</w:t>
      </w:r>
      <w:r w:rsidR="00DF6740">
        <w:rPr>
          <w:lang w:val="fr-FR"/>
        </w:rPr>
        <w:t>’</w:t>
      </w:r>
      <w:r w:rsidRPr="00997656">
        <w:rPr>
          <w:lang w:val="fr-FR"/>
        </w:rPr>
        <w:t xml:space="preserve">élaboration de standards dans le domaine de la navigation intérieure (CESNI), </w:t>
      </w:r>
      <w:hyperlink r:id="rId11" w:history="1">
        <w:r w:rsidRPr="00997656">
          <w:rPr>
            <w:rStyle w:val="Lienhypertexte"/>
            <w:lang w:val="fr-FR"/>
          </w:rPr>
          <w:t>https://www.ces</w:t>
        </w:r>
        <w:r w:rsidRPr="00997656">
          <w:rPr>
            <w:rStyle w:val="Lienhypertexte"/>
            <w:lang w:val="fr-FR"/>
          </w:rPr>
          <w:t>n</w:t>
        </w:r>
        <w:r w:rsidRPr="00997656">
          <w:rPr>
            <w:rStyle w:val="Lienhypertexte"/>
            <w:lang w:val="fr-FR"/>
          </w:rPr>
          <w:t>i.eu/fr/documents/</w:t>
        </w:r>
        <w:r w:rsidR="00451860">
          <w:rPr>
            <w:rStyle w:val="Lienhypertexte"/>
            <w:lang w:val="fr-FR"/>
          </w:rPr>
          <w:br/>
        </w:r>
        <w:r w:rsidRPr="00997656">
          <w:rPr>
            <w:rStyle w:val="Lienhypertexte"/>
            <w:lang w:val="fr-FR"/>
          </w:rPr>
          <w:t>es-trin/</w:t>
        </w:r>
      </w:hyperlink>
      <w:r w:rsidRPr="00997656">
        <w:rPr>
          <w:rStyle w:val="Lienhypertexte"/>
          <w:lang w:val="fr-FR"/>
        </w:rPr>
        <w:t>.</w:t>
      </w:r>
      <w:r>
        <w:rPr>
          <w:lang w:val="fr-FR"/>
        </w:rPr>
        <w:t> »</w:t>
      </w:r>
    </w:p>
    <w:p w14:paraId="735E5F27" w14:textId="77777777" w:rsidR="00CD2404" w:rsidRPr="00997656" w:rsidRDefault="00CD2404" w:rsidP="001E00D5">
      <w:pPr>
        <w:pStyle w:val="SingleTxtG"/>
        <w:rPr>
          <w:lang w:val="fr-FR"/>
        </w:rPr>
      </w:pPr>
      <w:r w:rsidRPr="00997656">
        <w:rPr>
          <w:lang w:val="fr-FR"/>
        </w:rPr>
        <w:t>ou</w:t>
      </w:r>
    </w:p>
    <w:p w14:paraId="5BFAA2D1" w14:textId="67618137" w:rsidR="00CD2404" w:rsidRPr="00997656" w:rsidRDefault="00CD2404" w:rsidP="001D30CD">
      <w:pPr>
        <w:pStyle w:val="SingleTxtG"/>
        <w:ind w:left="1701"/>
        <w:rPr>
          <w:b/>
          <w:lang w:val="fr-FR"/>
        </w:rPr>
      </w:pPr>
      <w:r w:rsidRPr="00997656">
        <w:rPr>
          <w:lang w:val="fr-FR"/>
        </w:rPr>
        <w:t>« </w:t>
      </w:r>
      <w:r w:rsidRPr="00997656">
        <w:rPr>
          <w:b/>
          <w:lang w:val="fr-FR"/>
        </w:rPr>
        <w:t>Installations d</w:t>
      </w:r>
      <w:r w:rsidR="00DF6740">
        <w:rPr>
          <w:b/>
          <w:lang w:val="fr-FR"/>
        </w:rPr>
        <w:t>’</w:t>
      </w:r>
      <w:r w:rsidRPr="00997656">
        <w:rPr>
          <w:b/>
          <w:lang w:val="fr-FR"/>
        </w:rPr>
        <w:t>extinction d</w:t>
      </w:r>
      <w:r w:rsidR="00DF6740">
        <w:rPr>
          <w:b/>
          <w:lang w:val="fr-FR"/>
        </w:rPr>
        <w:t>’</w:t>
      </w:r>
      <w:r w:rsidRPr="00997656">
        <w:rPr>
          <w:b/>
          <w:lang w:val="fr-FR"/>
        </w:rPr>
        <w:t>incendie fixées à demeure pour la protection des objets</w:t>
      </w:r>
    </w:p>
    <w:p w14:paraId="29681174" w14:textId="18CBD30B" w:rsidR="00CD2404" w:rsidRPr="00997656" w:rsidRDefault="00CD2404" w:rsidP="007A5B10">
      <w:pPr>
        <w:widowControl w:val="0"/>
        <w:tabs>
          <w:tab w:val="left" w:pos="567"/>
          <w:tab w:val="left" w:pos="1701"/>
        </w:tabs>
        <w:suppressAutoHyphens w:val="0"/>
        <w:kinsoku/>
        <w:snapToGrid/>
        <w:spacing w:after="120"/>
        <w:ind w:left="2268" w:right="1133" w:hanging="567"/>
        <w:jc w:val="both"/>
        <w:textAlignment w:val="baseline"/>
        <w:rPr>
          <w:lang w:val="fr-FR"/>
        </w:rPr>
      </w:pPr>
      <w:r w:rsidRPr="00997656">
        <w:rPr>
          <w:lang w:val="fr-FR"/>
        </w:rPr>
        <w:t>a)</w:t>
      </w:r>
      <w:r w:rsidRPr="00997656">
        <w:rPr>
          <w:lang w:val="fr-FR"/>
        </w:rPr>
        <w:tab/>
        <w:t xml:space="preserve">Les </w:t>
      </w:r>
      <w:r w:rsidRPr="00997656">
        <w:rPr>
          <w:lang w:val="fr-FR" w:eastAsia="fr-FR"/>
        </w:rPr>
        <w:t>installations</w:t>
      </w:r>
      <w:r w:rsidRPr="00997656">
        <w:rPr>
          <w:lang w:val="fr-FR"/>
        </w:rPr>
        <w:t xml:space="preserve">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 xml:space="preserve">incendie fixées à demeure pour la protection des objets sont admises pour protéger des installations et équipements. </w:t>
      </w:r>
    </w:p>
    <w:p w14:paraId="746F422D" w14:textId="500A14BF" w:rsidR="00CD2404" w:rsidRPr="00997656" w:rsidRDefault="00CD2404" w:rsidP="0062624E">
      <w:pPr>
        <w:pStyle w:val="SingleTxtG"/>
        <w:ind w:left="2268"/>
        <w:rPr>
          <w:lang w:val="fr-FR"/>
        </w:rPr>
      </w:pPr>
      <w:r w:rsidRPr="00997656">
        <w:rPr>
          <w:lang w:val="fr-FR"/>
        </w:rPr>
        <w:t>L</w:t>
      </w:r>
      <w:r w:rsidR="00DF6740">
        <w:rPr>
          <w:lang w:val="fr-FR"/>
        </w:rPr>
        <w:t>’</w:t>
      </w:r>
      <w:r w:rsidRPr="00997656">
        <w:rPr>
          <w:lang w:val="fr-FR"/>
        </w:rPr>
        <w:t>action des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doit être directement dirigée vers les objets à protéger. Le rayon d</w:t>
      </w:r>
      <w:r w:rsidR="00DF6740">
        <w:rPr>
          <w:lang w:val="fr-FR"/>
        </w:rPr>
        <w:t>’</w:t>
      </w:r>
      <w:r w:rsidRPr="00997656">
        <w:rPr>
          <w:lang w:val="fr-FR"/>
        </w:rPr>
        <w:t>action des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peut être limité dans l</w:t>
      </w:r>
      <w:r w:rsidR="00DF6740">
        <w:rPr>
          <w:lang w:val="fr-FR"/>
        </w:rPr>
        <w:t>’</w:t>
      </w:r>
      <w:r w:rsidRPr="00997656">
        <w:rPr>
          <w:lang w:val="fr-FR"/>
        </w:rPr>
        <w:t>espace par des mesures structurelles.</w:t>
      </w:r>
    </w:p>
    <w:p w14:paraId="2C716CBA" w14:textId="2C9FE30B" w:rsidR="00CD2404" w:rsidRPr="00997656" w:rsidRDefault="00CD2404" w:rsidP="00D41CD3">
      <w:pPr>
        <w:pStyle w:val="SingleTxtG"/>
        <w:ind w:left="2268"/>
        <w:rPr>
          <w:lang w:val="fr-FR"/>
        </w:rPr>
      </w:pPr>
      <w:r w:rsidRPr="00997656">
        <w:rPr>
          <w:lang w:val="fr-FR"/>
        </w:rPr>
        <w:t>Les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pour la protection des objets peuvent être déjà structurellement intégrées dans les objets concernés.</w:t>
      </w:r>
    </w:p>
    <w:p w14:paraId="38B79F5F" w14:textId="063AE305" w:rsidR="00CD2404" w:rsidRPr="00997656" w:rsidRDefault="00CD2404" w:rsidP="00D41CD3">
      <w:pPr>
        <w:pStyle w:val="SingleTxtG"/>
        <w:ind w:left="2268"/>
        <w:rPr>
          <w:lang w:val="fr-FR"/>
        </w:rPr>
      </w:pPr>
      <w:bookmarkStart w:id="0" w:name="_Hlk64612817"/>
      <w:r w:rsidRPr="00997656">
        <w:rPr>
          <w:lang w:val="fr-FR"/>
        </w:rPr>
        <w:t>Les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fixées à demeure pour la protection des objets doivent être indépendantes des installations visées aux 9.x.x.40.2.2 à 9.x.x.40.2.16 en ce qui concerne leur alimentation en agent extincteur.</w:t>
      </w:r>
      <w:bookmarkEnd w:id="0"/>
    </w:p>
    <w:p w14:paraId="3142F4B3" w14:textId="0D8F2D25" w:rsidR="00CD2404" w:rsidRPr="00997656" w:rsidRDefault="00CD2404" w:rsidP="007A5B10">
      <w:pPr>
        <w:widowControl w:val="0"/>
        <w:tabs>
          <w:tab w:val="left" w:pos="567"/>
          <w:tab w:val="left" w:pos="1701"/>
        </w:tabs>
        <w:suppressAutoHyphens w:val="0"/>
        <w:kinsoku/>
        <w:snapToGrid/>
        <w:spacing w:after="120"/>
        <w:ind w:left="2268" w:right="1133" w:hanging="567"/>
        <w:jc w:val="both"/>
        <w:textAlignment w:val="baseline"/>
        <w:rPr>
          <w:lang w:val="fr-FR"/>
        </w:rPr>
      </w:pPr>
      <w:r w:rsidRPr="00997656">
        <w:rPr>
          <w:lang w:val="fr-FR"/>
        </w:rPr>
        <w:t>b)</w:t>
      </w:r>
      <w:r w:rsidRPr="00997656">
        <w:rPr>
          <w:lang w:val="fr-FR"/>
        </w:rPr>
        <w:tab/>
      </w:r>
      <w:bookmarkStart w:id="1" w:name="_Hlk63689545"/>
      <w:r w:rsidRPr="00997656">
        <w:rPr>
          <w:lang w:val="fr-FR"/>
        </w:rPr>
        <w:t>Les exigences suivantes s</w:t>
      </w:r>
      <w:r w:rsidR="00DF6740">
        <w:rPr>
          <w:lang w:val="fr-FR"/>
        </w:rPr>
        <w:t>’</w:t>
      </w:r>
      <w:r w:rsidRPr="00997656">
        <w:rPr>
          <w:lang w:val="fr-FR"/>
        </w:rPr>
        <w:t xml:space="preserve">appliquent aux </w:t>
      </w:r>
      <w:bookmarkEnd w:id="1"/>
      <w:r w:rsidRPr="00997656">
        <w:rPr>
          <w:lang w:val="fr-FR"/>
        </w:rPr>
        <w:t>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fixées à demeure pour la protection des objets</w:t>
      </w:r>
    </w:p>
    <w:p w14:paraId="70B23930" w14:textId="1E9F10D5" w:rsidR="00CD2404" w:rsidRPr="00997656" w:rsidRDefault="00CD2404" w:rsidP="007A5B10">
      <w:pPr>
        <w:widowControl w:val="0"/>
        <w:tabs>
          <w:tab w:val="left" w:pos="2127"/>
        </w:tabs>
        <w:suppressAutoHyphens w:val="0"/>
        <w:kinsoku/>
        <w:snapToGrid/>
        <w:spacing w:before="60" w:after="120"/>
        <w:ind w:left="2693" w:right="1133" w:hanging="425"/>
        <w:jc w:val="both"/>
        <w:textAlignment w:val="baseline"/>
        <w:rPr>
          <w:lang w:val="fr-FR"/>
        </w:rPr>
      </w:pPr>
      <w:r w:rsidRPr="00997656">
        <w:rPr>
          <w:lang w:val="fr-FR"/>
        </w:rPr>
        <w:t>i)</w:t>
      </w:r>
      <w:r w:rsidRPr="00997656">
        <w:rPr>
          <w:lang w:val="fr-FR"/>
        </w:rPr>
        <w:tab/>
        <w:t>9.x.x.40.2.2, si l</w:t>
      </w:r>
      <w:r w:rsidR="00DF6740">
        <w:rPr>
          <w:lang w:val="fr-FR"/>
        </w:rPr>
        <w:t>’</w:t>
      </w:r>
      <w:r w:rsidRPr="00997656">
        <w:rPr>
          <w:lang w:val="fr-FR"/>
        </w:rPr>
        <w:t>agent extincteur utilisé nécessite une limitation du rayon d</w:t>
      </w:r>
      <w:r w:rsidR="00DF6740">
        <w:rPr>
          <w:lang w:val="fr-FR"/>
        </w:rPr>
        <w:t>’</w:t>
      </w:r>
      <w:r w:rsidRPr="00997656">
        <w:rPr>
          <w:lang w:val="fr-FR"/>
        </w:rPr>
        <w:t>action par des mesures structurelles ;</w:t>
      </w:r>
    </w:p>
    <w:p w14:paraId="0048CF31" w14:textId="77777777" w:rsidR="00CD2404" w:rsidRPr="00997656" w:rsidRDefault="00CD2404" w:rsidP="00E603F6">
      <w:pPr>
        <w:widowControl w:val="0"/>
        <w:tabs>
          <w:tab w:val="left" w:pos="2127"/>
        </w:tabs>
        <w:suppressAutoHyphens w:val="0"/>
        <w:kinsoku/>
        <w:snapToGrid/>
        <w:spacing w:before="60" w:after="120"/>
        <w:ind w:left="2693" w:hanging="425"/>
        <w:jc w:val="both"/>
        <w:textAlignment w:val="baseline"/>
        <w:rPr>
          <w:lang w:val="fr-FR"/>
        </w:rPr>
      </w:pPr>
      <w:r w:rsidRPr="00997656">
        <w:rPr>
          <w:lang w:val="fr-FR"/>
        </w:rPr>
        <w:t>ii)</w:t>
      </w:r>
      <w:r w:rsidRPr="00997656">
        <w:rPr>
          <w:lang w:val="fr-FR"/>
        </w:rPr>
        <w:tab/>
        <w:t>9.x.x.40.2.3 et 9.x.x.40.2.4 ;</w:t>
      </w:r>
    </w:p>
    <w:p w14:paraId="04413BE2" w14:textId="77777777" w:rsidR="00CD2404" w:rsidRPr="00997656" w:rsidRDefault="00CD2404" w:rsidP="007A5B10">
      <w:pPr>
        <w:widowControl w:val="0"/>
        <w:tabs>
          <w:tab w:val="left" w:pos="2127"/>
        </w:tabs>
        <w:suppressAutoHyphens w:val="0"/>
        <w:kinsoku/>
        <w:snapToGrid/>
        <w:spacing w:before="60" w:after="120"/>
        <w:ind w:left="2693" w:right="1133" w:hanging="425"/>
        <w:jc w:val="both"/>
        <w:textAlignment w:val="baseline"/>
        <w:rPr>
          <w:lang w:val="fr-FR"/>
        </w:rPr>
      </w:pPr>
      <w:r w:rsidRPr="00997656">
        <w:rPr>
          <w:lang w:val="fr-FR"/>
        </w:rPr>
        <w:lastRenderedPageBreak/>
        <w:t>iii)</w:t>
      </w:r>
      <w:r w:rsidRPr="00997656">
        <w:rPr>
          <w:lang w:val="fr-FR"/>
        </w:rPr>
        <w:tab/>
      </w:r>
      <w:bookmarkStart w:id="2" w:name="_Hlk64613697"/>
      <w:r w:rsidRPr="00997656">
        <w:rPr>
          <w:lang w:val="fr-FR"/>
        </w:rPr>
        <w:t>9.x.x.40.2.5, lettres b) et c), en complément des dispositions de la lettre c) de la présente section ;</w:t>
      </w:r>
      <w:bookmarkEnd w:id="2"/>
    </w:p>
    <w:p w14:paraId="55A2FF9B" w14:textId="6969BE25" w:rsidR="00CD2404" w:rsidRPr="00997656" w:rsidRDefault="00CD2404" w:rsidP="007A5B10">
      <w:pPr>
        <w:widowControl w:val="0"/>
        <w:tabs>
          <w:tab w:val="left" w:pos="2127"/>
        </w:tabs>
        <w:suppressAutoHyphens w:val="0"/>
        <w:kinsoku/>
        <w:snapToGrid/>
        <w:spacing w:before="60" w:after="120"/>
        <w:ind w:left="2693" w:right="1133" w:hanging="425"/>
        <w:jc w:val="both"/>
        <w:textAlignment w:val="baseline"/>
        <w:rPr>
          <w:lang w:val="fr-FR"/>
        </w:rPr>
      </w:pPr>
      <w:r w:rsidRPr="00997656">
        <w:rPr>
          <w:lang w:val="fr-FR"/>
        </w:rPr>
        <w:t>iv)</w:t>
      </w:r>
      <w:r w:rsidRPr="00997656">
        <w:rPr>
          <w:lang w:val="fr-FR"/>
        </w:rPr>
        <w:tab/>
        <w:t>9.x.x.40.2.6, lettres a) à e), et à chaque entrée de local ou à proximité immédiate d</w:t>
      </w:r>
      <w:r w:rsidR="00DF6740">
        <w:rPr>
          <w:lang w:val="fr-FR"/>
        </w:rPr>
        <w:t>’</w:t>
      </w:r>
      <w:r w:rsidRPr="00997656">
        <w:rPr>
          <w:lang w:val="fr-FR"/>
        </w:rPr>
        <w:t>un objet encapsulé, doit être apposé de manière bien visible un panneau approprié pour l</w:t>
      </w:r>
      <w:r w:rsidR="00DF6740">
        <w:rPr>
          <w:lang w:val="fr-FR"/>
        </w:rPr>
        <w:t>’</w:t>
      </w:r>
      <w:r w:rsidRPr="00997656">
        <w:rPr>
          <w:lang w:val="fr-FR"/>
        </w:rPr>
        <w:t>installation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pour la protection des objets ;</w:t>
      </w:r>
    </w:p>
    <w:p w14:paraId="6934AF7D" w14:textId="77777777" w:rsidR="00CD2404" w:rsidRPr="00997656" w:rsidRDefault="00CD2404" w:rsidP="007A5B10">
      <w:pPr>
        <w:widowControl w:val="0"/>
        <w:tabs>
          <w:tab w:val="left" w:pos="2127"/>
        </w:tabs>
        <w:suppressAutoHyphens w:val="0"/>
        <w:kinsoku/>
        <w:snapToGrid/>
        <w:spacing w:before="60" w:after="120"/>
        <w:ind w:left="2693" w:right="1133" w:hanging="425"/>
        <w:jc w:val="both"/>
        <w:textAlignment w:val="baseline"/>
        <w:rPr>
          <w:lang w:val="fr-FR"/>
        </w:rPr>
      </w:pPr>
      <w:r w:rsidRPr="00997656">
        <w:rPr>
          <w:lang w:val="fr-FR"/>
        </w:rPr>
        <w:t>v)</w:t>
      </w:r>
      <w:r w:rsidRPr="00997656">
        <w:rPr>
          <w:lang w:val="fr-FR"/>
        </w:rPr>
        <w:tab/>
        <w:t>9.x.x.40.2.7 à 9.x.x.40.2.13 ;</w:t>
      </w:r>
    </w:p>
    <w:p w14:paraId="253D41BA" w14:textId="4494895F" w:rsidR="00CD2404" w:rsidRPr="00997656" w:rsidRDefault="00CD2404" w:rsidP="007A5B10">
      <w:pPr>
        <w:widowControl w:val="0"/>
        <w:tabs>
          <w:tab w:val="left" w:pos="2127"/>
        </w:tabs>
        <w:suppressAutoHyphens w:val="0"/>
        <w:kinsoku/>
        <w:snapToGrid/>
        <w:spacing w:before="60" w:after="120"/>
        <w:ind w:left="2693" w:right="1133" w:hanging="425"/>
        <w:jc w:val="both"/>
        <w:textAlignment w:val="baseline"/>
        <w:rPr>
          <w:lang w:val="fr-FR"/>
        </w:rPr>
      </w:pPr>
      <w:r w:rsidRPr="00997656">
        <w:rPr>
          <w:lang w:val="fr-FR"/>
        </w:rPr>
        <w:t>vi)</w:t>
      </w:r>
      <w:r w:rsidRPr="00997656">
        <w:rPr>
          <w:lang w:val="fr-FR"/>
        </w:rPr>
        <w:tab/>
        <w:t>9.x.x.40.2.14, lettres b) à g), où une source d</w:t>
      </w:r>
      <w:r w:rsidR="00DF6740">
        <w:rPr>
          <w:lang w:val="fr-FR"/>
        </w:rPr>
        <w:t>’</w:t>
      </w:r>
      <w:r w:rsidRPr="00997656">
        <w:rPr>
          <w:lang w:val="fr-FR"/>
        </w:rPr>
        <w:t>énergie est suffisante, et lettres i) et j) ;</w:t>
      </w:r>
    </w:p>
    <w:p w14:paraId="3A0F44F4" w14:textId="77777777" w:rsidR="00CD2404" w:rsidRPr="00997656" w:rsidRDefault="00CD2404" w:rsidP="007A5B10">
      <w:pPr>
        <w:widowControl w:val="0"/>
        <w:tabs>
          <w:tab w:val="left" w:pos="2127"/>
        </w:tabs>
        <w:suppressAutoHyphens w:val="0"/>
        <w:kinsoku/>
        <w:snapToGrid/>
        <w:spacing w:before="60" w:after="120"/>
        <w:ind w:left="2693" w:right="1133" w:hanging="425"/>
        <w:jc w:val="both"/>
        <w:textAlignment w:val="baseline"/>
        <w:rPr>
          <w:lang w:val="fr-FR"/>
        </w:rPr>
      </w:pPr>
      <w:r w:rsidRPr="00997656">
        <w:rPr>
          <w:lang w:val="fr-FR"/>
        </w:rPr>
        <w:t>vii)</w:t>
      </w:r>
      <w:r w:rsidRPr="00997656">
        <w:rPr>
          <w:lang w:val="fr-FR"/>
        </w:rPr>
        <w:tab/>
        <w:t>9.x.x.40.2.15, lettres b) à e).</w:t>
      </w:r>
    </w:p>
    <w:p w14:paraId="1811F469" w14:textId="66701EDD" w:rsidR="00CD2404" w:rsidRPr="00997656" w:rsidRDefault="00E603F6" w:rsidP="007A5B10">
      <w:pPr>
        <w:widowControl w:val="0"/>
        <w:tabs>
          <w:tab w:val="left" w:pos="567"/>
          <w:tab w:val="left" w:pos="1701"/>
        </w:tabs>
        <w:suppressAutoHyphens w:val="0"/>
        <w:kinsoku/>
        <w:snapToGrid/>
        <w:spacing w:after="120"/>
        <w:ind w:left="2268" w:right="1133" w:hanging="567"/>
        <w:jc w:val="both"/>
        <w:textAlignment w:val="base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D2404" w:rsidRPr="00997656">
        <w:rPr>
          <w:lang w:val="fr-FR"/>
        </w:rPr>
        <w:t>Seuls les agents extincteurs convenant pour l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un incendie sur ou dans l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objet à protéger et qui sont mentionnés au 9.x.x.40.2.1 peuvent être utilisés dans les installations d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 xml:space="preserve">incendie pour la protection des objets. </w:t>
      </w:r>
    </w:p>
    <w:p w14:paraId="604F2B02" w14:textId="6021A370" w:rsidR="00CD2404" w:rsidRPr="00997656" w:rsidRDefault="00E603F6" w:rsidP="007A5B10">
      <w:pPr>
        <w:widowControl w:val="0"/>
        <w:tabs>
          <w:tab w:val="left" w:pos="567"/>
          <w:tab w:val="left" w:pos="1701"/>
        </w:tabs>
        <w:suppressAutoHyphens w:val="0"/>
        <w:kinsoku/>
        <w:snapToGrid/>
        <w:spacing w:after="120"/>
        <w:ind w:left="2268" w:right="1133" w:hanging="567"/>
        <w:jc w:val="both"/>
        <w:textAlignment w:val="base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D2404" w:rsidRPr="00997656">
        <w:rPr>
          <w:lang w:val="fr-FR"/>
        </w:rPr>
        <w:t>L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autorité compétente peut autoriser des dérogations concernant l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agent extincteur pour les installations d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incendie fixées à demeure pour la protection des objets qui sont basées sur un concept de protection contre l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incendie.</w:t>
      </w:r>
    </w:p>
    <w:p w14:paraId="0D1847F1" w14:textId="481F77C7" w:rsidR="00CD2404" w:rsidRPr="00997656" w:rsidRDefault="00CD2404" w:rsidP="007A5B10">
      <w:pPr>
        <w:widowControl w:val="0"/>
        <w:tabs>
          <w:tab w:val="left" w:pos="567"/>
          <w:tab w:val="left" w:pos="1701"/>
        </w:tabs>
        <w:suppressAutoHyphens w:val="0"/>
        <w:kinsoku/>
        <w:snapToGrid/>
        <w:spacing w:after="120"/>
        <w:ind w:left="2268" w:right="1133" w:hanging="567"/>
        <w:jc w:val="both"/>
        <w:textAlignment w:val="baseline"/>
        <w:rPr>
          <w:lang w:val="fr-FR"/>
        </w:rPr>
      </w:pPr>
      <w:r w:rsidRPr="00997656">
        <w:rPr>
          <w:lang w:val="fr-FR"/>
        </w:rPr>
        <w:t>c)</w:t>
      </w:r>
      <w:r w:rsidRPr="00997656">
        <w:rPr>
          <w:lang w:val="fr-FR"/>
        </w:rPr>
        <w:tab/>
        <w:t>Les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fixées à demeure pour la protection des objets doivent pouvoir être déclenchées manuellement. Le déclenchement manuel doit être possible à proximité immédiate de l</w:t>
      </w:r>
      <w:r w:rsidR="00DF6740">
        <w:rPr>
          <w:lang w:val="fr-FR"/>
        </w:rPr>
        <w:t>’</w:t>
      </w:r>
      <w:r w:rsidRPr="00997656">
        <w:rPr>
          <w:lang w:val="fr-FR"/>
        </w:rPr>
        <w:t>objet protégé. Elles peuvent être déclenchées automatiquement si le signal de déclenchement est émis par deux détecteurs d</w:t>
      </w:r>
      <w:r w:rsidR="00DF6740">
        <w:rPr>
          <w:lang w:val="fr-FR"/>
        </w:rPr>
        <w:t>’</w:t>
      </w:r>
      <w:r w:rsidRPr="00997656">
        <w:rPr>
          <w:lang w:val="fr-FR"/>
        </w:rPr>
        <w:t>incendie disposant de moyens de détection différents. Le déclenchement doit se faire sans délai.  Si l</w:t>
      </w:r>
      <w:r w:rsidR="00DF6740">
        <w:rPr>
          <w:lang w:val="fr-FR"/>
        </w:rPr>
        <w:t>’</w:t>
      </w:r>
      <w:r w:rsidRPr="00997656">
        <w:rPr>
          <w:lang w:val="fr-FR"/>
        </w:rPr>
        <w:t>installation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est destinée à la protection de plusieurs objets, elle doit comporter un dispositif de déclenchement distinct et clairement marqué pour chaque objet.</w:t>
      </w:r>
    </w:p>
    <w:p w14:paraId="661FC32C" w14:textId="771C5D07" w:rsidR="00CD2404" w:rsidRPr="00997656" w:rsidRDefault="00CD2404" w:rsidP="007A5B10">
      <w:pPr>
        <w:widowControl w:val="0"/>
        <w:tabs>
          <w:tab w:val="left" w:pos="567"/>
          <w:tab w:val="left" w:pos="1701"/>
        </w:tabs>
        <w:suppressAutoHyphens w:val="0"/>
        <w:kinsoku/>
        <w:snapToGrid/>
        <w:spacing w:after="120"/>
        <w:ind w:left="2268" w:right="1133" w:hanging="567"/>
        <w:jc w:val="both"/>
        <w:textAlignment w:val="baseline"/>
        <w:rPr>
          <w:lang w:val="fr-FR"/>
        </w:rPr>
      </w:pPr>
      <w:r w:rsidRPr="00997656">
        <w:rPr>
          <w:lang w:val="fr-FR"/>
        </w:rPr>
        <w:tab/>
      </w:r>
      <w:r w:rsidR="0083289F">
        <w:rPr>
          <w:lang w:val="fr-FR"/>
        </w:rPr>
        <w:tab/>
      </w:r>
      <w:r w:rsidRPr="00997656">
        <w:rPr>
          <w:lang w:val="fr-FR"/>
        </w:rPr>
        <w:t>Le déclenchement de l</w:t>
      </w:r>
      <w:r w:rsidR="00DF6740">
        <w:rPr>
          <w:lang w:val="fr-FR"/>
        </w:rPr>
        <w:t>’</w:t>
      </w:r>
      <w:r w:rsidRPr="00997656">
        <w:rPr>
          <w:lang w:val="fr-FR"/>
        </w:rPr>
        <w:t>installation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doit être indiqué dans la timonerie et à l</w:t>
      </w:r>
      <w:r w:rsidR="00DF6740">
        <w:rPr>
          <w:lang w:val="fr-FR"/>
        </w:rPr>
        <w:t>’</w:t>
      </w:r>
      <w:r w:rsidRPr="00997656">
        <w:rPr>
          <w:lang w:val="fr-FR"/>
        </w:rPr>
        <w:t>entrée du local dans lequel se trouve l</w:t>
      </w:r>
      <w:r w:rsidR="00DF6740">
        <w:rPr>
          <w:lang w:val="fr-FR"/>
        </w:rPr>
        <w:t>’</w:t>
      </w:r>
      <w:r w:rsidRPr="00997656">
        <w:rPr>
          <w:lang w:val="fr-FR"/>
        </w:rPr>
        <w:t>objet à protéger.  Dans le cas d</w:t>
      </w:r>
      <w:r w:rsidR="00DF6740">
        <w:rPr>
          <w:lang w:val="fr-FR"/>
        </w:rPr>
        <w:t>’</w:t>
      </w:r>
      <w:r w:rsidRPr="00997656">
        <w:rPr>
          <w:lang w:val="fr-FR"/>
        </w:rPr>
        <w:t>objets encapsulés, l</w:t>
      </w:r>
      <w:r w:rsidR="00DF6740">
        <w:rPr>
          <w:lang w:val="fr-FR"/>
        </w:rPr>
        <w:t>’</w:t>
      </w:r>
      <w:r w:rsidRPr="00997656">
        <w:rPr>
          <w:lang w:val="fr-FR"/>
        </w:rPr>
        <w:t>affichage à l</w:t>
      </w:r>
      <w:r w:rsidR="00DF6740">
        <w:rPr>
          <w:lang w:val="fr-FR"/>
        </w:rPr>
        <w:t>’</w:t>
      </w:r>
      <w:r w:rsidRPr="00997656">
        <w:rPr>
          <w:lang w:val="fr-FR"/>
        </w:rPr>
        <w:t>entrée du local peut être omis si un autre affichage est fixé à l</w:t>
      </w:r>
      <w:r w:rsidR="00DF6740">
        <w:rPr>
          <w:lang w:val="fr-FR"/>
        </w:rPr>
        <w:t>’</w:t>
      </w:r>
      <w:r w:rsidRPr="00997656">
        <w:rPr>
          <w:lang w:val="fr-FR"/>
        </w:rPr>
        <w:t>objet lui-même.</w:t>
      </w:r>
    </w:p>
    <w:p w14:paraId="77112878" w14:textId="3A15701C" w:rsidR="00CD2404" w:rsidRPr="00997656" w:rsidRDefault="0083289F" w:rsidP="007A5B10">
      <w:pPr>
        <w:widowControl w:val="0"/>
        <w:tabs>
          <w:tab w:val="left" w:pos="567"/>
          <w:tab w:val="left" w:pos="1701"/>
        </w:tabs>
        <w:suppressAutoHyphens w:val="0"/>
        <w:kinsoku/>
        <w:snapToGrid/>
        <w:spacing w:after="120"/>
        <w:ind w:left="2268" w:right="1133" w:hanging="567"/>
        <w:jc w:val="both"/>
        <w:textAlignment w:val="baseline"/>
        <w:rPr>
          <w:lang w:val="fr-FR"/>
        </w:rPr>
      </w:pPr>
      <w:r>
        <w:rPr>
          <w:lang w:val="fr-FR"/>
        </w:rPr>
        <w:tab/>
      </w:r>
      <w:r w:rsidR="00CD2404" w:rsidRPr="00997656">
        <w:rPr>
          <w:lang w:val="fr-FR"/>
        </w:rPr>
        <w:tab/>
        <w:t>Pour le déclenchement manuel, un mode d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emploi conforme au 9.x.x.40.2.5, lettre e) doit être affiché à côté de chaque dispositif de déclenchement, en tenant compte de l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emplacement et de la nature de l</w:t>
      </w:r>
      <w:r w:rsidR="00DF6740">
        <w:rPr>
          <w:lang w:val="fr-FR"/>
        </w:rPr>
        <w:t>’</w:t>
      </w:r>
      <w:r w:rsidR="00CD2404" w:rsidRPr="00997656">
        <w:rPr>
          <w:lang w:val="fr-FR"/>
        </w:rPr>
        <w:t>objet.</w:t>
      </w:r>
    </w:p>
    <w:p w14:paraId="0F136AD3" w14:textId="111D5F88" w:rsidR="00CD2404" w:rsidRPr="00997656" w:rsidRDefault="00CD2404" w:rsidP="007A5B10">
      <w:pPr>
        <w:widowControl w:val="0"/>
        <w:tabs>
          <w:tab w:val="left" w:pos="567"/>
          <w:tab w:val="left" w:pos="1701"/>
        </w:tabs>
        <w:suppressAutoHyphens w:val="0"/>
        <w:kinsoku/>
        <w:snapToGrid/>
        <w:spacing w:after="120"/>
        <w:ind w:left="2268" w:right="1133" w:hanging="567"/>
        <w:jc w:val="both"/>
        <w:textAlignment w:val="baseline"/>
        <w:rPr>
          <w:lang w:val="fr-FR"/>
        </w:rPr>
      </w:pPr>
      <w:r w:rsidRPr="00997656">
        <w:rPr>
          <w:lang w:val="fr-FR"/>
        </w:rPr>
        <w:t>d)</w:t>
      </w:r>
      <w:r w:rsidRPr="00997656">
        <w:rPr>
          <w:lang w:val="fr-FR"/>
        </w:rPr>
        <w:tab/>
        <w:t>Le type et le lieu d</w:t>
      </w:r>
      <w:r w:rsidR="00DF6740">
        <w:rPr>
          <w:lang w:val="fr-FR"/>
        </w:rPr>
        <w:t>’</w:t>
      </w:r>
      <w:r w:rsidRPr="00997656">
        <w:rPr>
          <w:lang w:val="fr-FR"/>
        </w:rPr>
        <w:t>installation des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fixées à demeure pour la protection des objets doivent être inscrits dans le certificat de bateau.</w:t>
      </w:r>
    </w:p>
    <w:p w14:paraId="4EFA719E" w14:textId="59A5869D" w:rsidR="00CD2404" w:rsidRPr="00997656" w:rsidDel="00076216" w:rsidRDefault="00CD2404" w:rsidP="007A5B10">
      <w:pPr>
        <w:widowControl w:val="0"/>
        <w:tabs>
          <w:tab w:val="left" w:pos="567"/>
          <w:tab w:val="left" w:pos="1701"/>
        </w:tabs>
        <w:suppressAutoHyphens w:val="0"/>
        <w:kinsoku/>
        <w:snapToGrid/>
        <w:spacing w:after="120"/>
        <w:ind w:left="2268" w:right="1133" w:hanging="567"/>
        <w:jc w:val="both"/>
        <w:textAlignment w:val="baseline"/>
        <w:rPr>
          <w:lang w:val="fr-FR"/>
        </w:rPr>
      </w:pPr>
      <w:r w:rsidRPr="00997656">
        <w:rPr>
          <w:lang w:val="fr-FR"/>
        </w:rPr>
        <w:t>e)</w:t>
      </w:r>
      <w:r w:rsidRPr="00997656">
        <w:rPr>
          <w:lang w:val="fr-FR"/>
        </w:rPr>
        <w:tab/>
        <w:t>Les dispositions de la présente section ne s</w:t>
      </w:r>
      <w:r w:rsidR="00DF6740">
        <w:rPr>
          <w:lang w:val="fr-FR"/>
        </w:rPr>
        <w:t>’</w:t>
      </w:r>
      <w:r w:rsidRPr="00997656">
        <w:rPr>
          <w:lang w:val="fr-FR"/>
        </w:rPr>
        <w:t>appliquent pas aux installations de pulvérisation d</w:t>
      </w:r>
      <w:r w:rsidR="00DF6740">
        <w:rPr>
          <w:lang w:val="fr-FR"/>
        </w:rPr>
        <w:t>’</w:t>
      </w:r>
      <w:r w:rsidRPr="00997656">
        <w:rPr>
          <w:lang w:val="fr-FR"/>
        </w:rPr>
        <w:t>eau conformément aux sous-sections 9.3.1.28, 9.3.2.28 et 9.3.3.28 de l</w:t>
      </w:r>
      <w:r w:rsidR="00DF6740">
        <w:rPr>
          <w:lang w:val="fr-FR"/>
        </w:rPr>
        <w:t>’</w:t>
      </w:r>
      <w:r w:rsidRPr="00997656">
        <w:rPr>
          <w:lang w:val="fr-FR"/>
        </w:rPr>
        <w:t>ADN. »</w:t>
      </w:r>
    </w:p>
    <w:p w14:paraId="1BF5E881" w14:textId="38195589" w:rsidR="00CD2404" w:rsidRPr="00997656" w:rsidRDefault="00CD2404" w:rsidP="001E00D5">
      <w:pPr>
        <w:pStyle w:val="SingleTxtG"/>
        <w:rPr>
          <w:lang w:val="fr-FR"/>
        </w:rPr>
      </w:pPr>
      <w:r w:rsidRPr="00997656">
        <w:rPr>
          <w:lang w:val="fr-FR"/>
        </w:rPr>
        <w:t>7.</w:t>
      </w:r>
      <w:r w:rsidRPr="00997656">
        <w:rPr>
          <w:lang w:val="fr-FR"/>
        </w:rPr>
        <w:tab/>
        <w:t>En fonction des résultats de la vérification particulière concernant des accumulateurs lithium-ion effectuée par le groupe de travail des sociétés de classification recommandées dans l</w:t>
      </w:r>
      <w:r w:rsidR="00DF6740">
        <w:rPr>
          <w:lang w:val="fr-FR"/>
        </w:rPr>
        <w:t>’</w:t>
      </w:r>
      <w:r w:rsidRPr="00997656">
        <w:rPr>
          <w:lang w:val="fr-FR"/>
        </w:rPr>
        <w:t>ADN, des modifications supplémentaires sont susceptibles d</w:t>
      </w:r>
      <w:r w:rsidR="00DF6740">
        <w:rPr>
          <w:lang w:val="fr-FR"/>
        </w:rPr>
        <w:t>’</w:t>
      </w:r>
      <w:r w:rsidRPr="00997656">
        <w:rPr>
          <w:lang w:val="fr-FR"/>
        </w:rPr>
        <w:t>être nécessaires.</w:t>
      </w:r>
    </w:p>
    <w:p w14:paraId="06C002F2" w14:textId="36AB291B" w:rsidR="00CD2404" w:rsidRPr="00997656" w:rsidRDefault="00F03BF2" w:rsidP="00F03BF2">
      <w:pPr>
        <w:pStyle w:val="HMG"/>
        <w:rPr>
          <w:lang w:val="fr-FR"/>
        </w:rPr>
      </w:pPr>
      <w:r>
        <w:rPr>
          <w:lang w:val="fr-FR"/>
        </w:rPr>
        <w:tab/>
      </w:r>
      <w:r w:rsidR="00CD2404" w:rsidRPr="00997656">
        <w:rPr>
          <w:lang w:val="fr-FR"/>
        </w:rPr>
        <w:t>II.</w:t>
      </w:r>
      <w:r w:rsidR="00CD2404" w:rsidRPr="00997656">
        <w:rPr>
          <w:lang w:val="fr-FR"/>
        </w:rPr>
        <w:tab/>
        <w:t>Motifs</w:t>
      </w:r>
    </w:p>
    <w:p w14:paraId="0F3DA6E7" w14:textId="0418CBAF" w:rsidR="00CD2404" w:rsidRPr="00997656" w:rsidRDefault="00CD2404" w:rsidP="00A6103C">
      <w:pPr>
        <w:pStyle w:val="SingleTxtG"/>
        <w:rPr>
          <w:lang w:val="fr-FR"/>
        </w:rPr>
      </w:pPr>
      <w:r w:rsidRPr="00997656">
        <w:rPr>
          <w:lang w:val="fr-FR"/>
        </w:rPr>
        <w:t>8.</w:t>
      </w:r>
      <w:r w:rsidRPr="00997656">
        <w:rPr>
          <w:lang w:val="fr-FR"/>
        </w:rPr>
        <w:tab/>
        <w:t>L</w:t>
      </w:r>
      <w:r w:rsidR="00DF6740">
        <w:rPr>
          <w:lang w:val="fr-FR"/>
        </w:rPr>
        <w:t>’</w:t>
      </w:r>
      <w:r w:rsidRPr="00997656">
        <w:rPr>
          <w:lang w:val="fr-FR"/>
        </w:rPr>
        <w:t>Allemagne considère que les deux possibilités sont appropriées : il est possible de seulement renvoyer à l</w:t>
      </w:r>
      <w:r w:rsidR="00DF6740">
        <w:rPr>
          <w:lang w:val="fr-FR"/>
        </w:rPr>
        <w:t>’</w:t>
      </w:r>
      <w:r w:rsidRPr="00997656">
        <w:rPr>
          <w:lang w:val="fr-FR"/>
        </w:rPr>
        <w:t>article applicable de l</w:t>
      </w:r>
      <w:r w:rsidR="00DF6740">
        <w:rPr>
          <w:lang w:val="fr-FR"/>
        </w:rPr>
        <w:t>’</w:t>
      </w:r>
      <w:r w:rsidRPr="00997656">
        <w:rPr>
          <w:lang w:val="fr-FR"/>
        </w:rPr>
        <w:t>ES-TRIN, comme c</w:t>
      </w:r>
      <w:r w:rsidR="00DF6740">
        <w:rPr>
          <w:lang w:val="fr-FR"/>
        </w:rPr>
        <w:t>’</w:t>
      </w:r>
      <w:r w:rsidRPr="00997656">
        <w:rPr>
          <w:lang w:val="fr-FR"/>
        </w:rPr>
        <w:t>est déjà le cas aux 7.1.3.31 et 7.2.3.31.1 de l</w:t>
      </w:r>
      <w:r w:rsidR="00DF6740">
        <w:rPr>
          <w:lang w:val="fr-FR"/>
        </w:rPr>
        <w:t>’</w:t>
      </w:r>
      <w:r w:rsidRPr="00997656">
        <w:rPr>
          <w:lang w:val="fr-FR"/>
        </w:rPr>
        <w:t>ADN, ou de reprendre tel quel dans l</w:t>
      </w:r>
      <w:r w:rsidR="00DF6740">
        <w:rPr>
          <w:lang w:val="fr-FR"/>
        </w:rPr>
        <w:t>’</w:t>
      </w:r>
      <w:r w:rsidRPr="00997656">
        <w:rPr>
          <w:lang w:val="fr-FR"/>
        </w:rPr>
        <w:t>ADN le texte des prescriptions de l</w:t>
      </w:r>
      <w:r w:rsidR="00DF6740">
        <w:rPr>
          <w:lang w:val="fr-FR"/>
        </w:rPr>
        <w:t>’</w:t>
      </w:r>
      <w:r w:rsidRPr="00997656">
        <w:rPr>
          <w:lang w:val="fr-FR"/>
        </w:rPr>
        <w:t>ES-TRIN, comme c</w:t>
      </w:r>
      <w:r w:rsidR="00DF6740">
        <w:rPr>
          <w:lang w:val="fr-FR"/>
        </w:rPr>
        <w:t>’</w:t>
      </w:r>
      <w:r w:rsidRPr="00997656">
        <w:rPr>
          <w:lang w:val="fr-FR"/>
        </w:rPr>
        <w:t>est le cas dans la Partie 9 pour les autres prescriptions relatives aux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incendie.</w:t>
      </w:r>
    </w:p>
    <w:p w14:paraId="5855BFB2" w14:textId="375EDD5C" w:rsidR="00CD2404" w:rsidRPr="00997656" w:rsidRDefault="00CD2404" w:rsidP="00A6103C">
      <w:pPr>
        <w:pStyle w:val="SingleTxtG"/>
        <w:rPr>
          <w:lang w:val="fr-FR"/>
        </w:rPr>
      </w:pPr>
      <w:r w:rsidRPr="00997656">
        <w:rPr>
          <w:lang w:val="fr-FR"/>
        </w:rPr>
        <w:lastRenderedPageBreak/>
        <w:t>9.</w:t>
      </w:r>
      <w:r w:rsidRPr="00997656">
        <w:rPr>
          <w:lang w:val="fr-FR"/>
        </w:rPr>
        <w:tab/>
        <w:t>La limitation aux salles des machines, salles de chauffe et chambres des pompes peut être supprimée. En particulier, les « salles de chauffe » ne sont abordées dans l</w:t>
      </w:r>
      <w:r w:rsidR="00DF6740">
        <w:rPr>
          <w:lang w:val="fr-FR"/>
        </w:rPr>
        <w:t>’</w:t>
      </w:r>
      <w:r w:rsidRPr="00997656">
        <w:rPr>
          <w:lang w:val="fr-FR"/>
        </w:rPr>
        <w:t>ADN 2021 que dans les dispositions relatives aux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incendie. Il semble s</w:t>
      </w:r>
      <w:r w:rsidR="00DF6740">
        <w:rPr>
          <w:lang w:val="fr-FR"/>
        </w:rPr>
        <w:t>’</w:t>
      </w:r>
      <w:r w:rsidRPr="00997656">
        <w:rPr>
          <w:lang w:val="fr-FR"/>
        </w:rPr>
        <w:t>agir ici d</w:t>
      </w:r>
      <w:r w:rsidR="00DF6740">
        <w:rPr>
          <w:lang w:val="fr-FR"/>
        </w:rPr>
        <w:t>’</w:t>
      </w:r>
      <w:r w:rsidRPr="00997656">
        <w:rPr>
          <w:lang w:val="fr-FR"/>
        </w:rPr>
        <w:t>anciennes prescriptions reprises de l</w:t>
      </w:r>
      <w:r w:rsidR="00DF6740">
        <w:rPr>
          <w:lang w:val="fr-FR"/>
        </w:rPr>
        <w:t>’</w:t>
      </w:r>
      <w:r w:rsidRPr="00997656">
        <w:rPr>
          <w:lang w:val="fr-FR"/>
        </w:rPr>
        <w:t>ADN. Les bateaux actuellement en service sont dépourvus de salles de chauffe (pour la production de vapeur). En outre, il n</w:t>
      </w:r>
      <w:r w:rsidR="00DF6740">
        <w:rPr>
          <w:lang w:val="fr-FR"/>
        </w:rPr>
        <w:t>’</w:t>
      </w:r>
      <w:r w:rsidRPr="00997656">
        <w:rPr>
          <w:lang w:val="fr-FR"/>
        </w:rPr>
        <w:t>y a pas de raison apparente pour laquelle les objets situés à l</w:t>
      </w:r>
      <w:r w:rsidR="00DF6740">
        <w:rPr>
          <w:lang w:val="fr-FR"/>
        </w:rPr>
        <w:t>’</w:t>
      </w:r>
      <w:r w:rsidRPr="00997656">
        <w:rPr>
          <w:lang w:val="fr-FR"/>
        </w:rPr>
        <w:t xml:space="preserve">extérieur des salles des machines et des chambres des pompes ne devraient </w:t>
      </w:r>
      <w:r w:rsidRPr="00997656">
        <w:rPr>
          <w:b/>
          <w:lang w:val="fr-FR"/>
        </w:rPr>
        <w:t>pas</w:t>
      </w:r>
      <w:r w:rsidRPr="00997656">
        <w:rPr>
          <w:lang w:val="fr-FR"/>
        </w:rPr>
        <w:t xml:space="preserve"> être protégés par une installation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incendie.</w:t>
      </w:r>
    </w:p>
    <w:p w14:paraId="029B95AF" w14:textId="35CE90D3" w:rsidR="00CD2404" w:rsidRPr="00997656" w:rsidRDefault="00CD2404" w:rsidP="00A6103C">
      <w:pPr>
        <w:pStyle w:val="SingleTxtG"/>
        <w:rPr>
          <w:lang w:val="fr-FR"/>
        </w:rPr>
      </w:pPr>
      <w:r w:rsidRPr="00997656">
        <w:rPr>
          <w:lang w:val="fr-FR"/>
        </w:rPr>
        <w:t>10.</w:t>
      </w:r>
      <w:r w:rsidRPr="00997656">
        <w:rPr>
          <w:lang w:val="fr-FR"/>
        </w:rPr>
        <w:tab/>
        <w:t>Les titres sont adaptés en reprenant les titres de l</w:t>
      </w:r>
      <w:r w:rsidR="00DF6740">
        <w:rPr>
          <w:lang w:val="fr-FR"/>
        </w:rPr>
        <w:t>’</w:t>
      </w:r>
      <w:r w:rsidRPr="00997656">
        <w:rPr>
          <w:lang w:val="fr-FR"/>
        </w:rPr>
        <w:t>ES-TRIN. Dans la version allemande de l</w:t>
      </w:r>
      <w:r w:rsidR="00DF6740">
        <w:rPr>
          <w:lang w:val="fr-FR"/>
        </w:rPr>
        <w:t>’</w:t>
      </w:r>
      <w:r w:rsidRPr="00997656">
        <w:rPr>
          <w:lang w:val="fr-FR"/>
        </w:rPr>
        <w:t>ADN, nous proposons également de remplacer dans l</w:t>
      </w:r>
      <w:r w:rsidR="00DF6740">
        <w:rPr>
          <w:lang w:val="fr-FR"/>
        </w:rPr>
        <w:t>’</w:t>
      </w:r>
      <w:r w:rsidRPr="00997656">
        <w:rPr>
          <w:lang w:val="fr-FR"/>
        </w:rPr>
        <w:t>ADN le terme « </w:t>
      </w:r>
      <w:proofErr w:type="spellStart"/>
      <w:r w:rsidRPr="00997656">
        <w:rPr>
          <w:lang w:val="fr-FR"/>
        </w:rPr>
        <w:t>Feuerlöscheinrichtung</w:t>
      </w:r>
      <w:proofErr w:type="spellEnd"/>
      <w:r w:rsidRPr="00997656">
        <w:rPr>
          <w:lang w:val="fr-FR"/>
        </w:rPr>
        <w:t> » par le terme « </w:t>
      </w:r>
      <w:proofErr w:type="spellStart"/>
      <w:r w:rsidRPr="00997656">
        <w:rPr>
          <w:lang w:val="fr-FR"/>
        </w:rPr>
        <w:t>Feuerlöschanlage</w:t>
      </w:r>
      <w:proofErr w:type="spellEnd"/>
      <w:r w:rsidRPr="00997656">
        <w:rPr>
          <w:lang w:val="fr-FR"/>
        </w:rPr>
        <w:t> » utilisé dans l</w:t>
      </w:r>
      <w:r w:rsidR="00DF6740">
        <w:rPr>
          <w:lang w:val="fr-FR"/>
        </w:rPr>
        <w:t>’</w:t>
      </w:r>
      <w:r w:rsidRPr="00997656">
        <w:rPr>
          <w:lang w:val="fr-FR"/>
        </w:rPr>
        <w:t>ES-TRIN.</w:t>
      </w:r>
    </w:p>
    <w:p w14:paraId="3B718645" w14:textId="4982CF34" w:rsidR="00CD2404" w:rsidRPr="00997656" w:rsidRDefault="00CD2404" w:rsidP="00EE353F">
      <w:pPr>
        <w:pStyle w:val="SingleTxtG"/>
        <w:rPr>
          <w:lang w:val="fr-FR"/>
        </w:rPr>
      </w:pPr>
      <w:r w:rsidRPr="00997656">
        <w:rPr>
          <w:lang w:val="fr-FR"/>
        </w:rPr>
        <w:t>11.</w:t>
      </w:r>
      <w:r w:rsidRPr="00997656">
        <w:rPr>
          <w:lang w:val="fr-FR"/>
        </w:rPr>
        <w:tab/>
        <w:t>De manière générale, la protection des objets pour prévenir les incendies à bord des bateaux n</w:t>
      </w:r>
      <w:r w:rsidR="00DF6740">
        <w:rPr>
          <w:lang w:val="fr-FR"/>
        </w:rPr>
        <w:t>’</w:t>
      </w:r>
      <w:r w:rsidRPr="00997656">
        <w:rPr>
          <w:lang w:val="fr-FR"/>
        </w:rPr>
        <w:t>est pas directement liée aux marchandises dangereuses transportées, de sorte qu</w:t>
      </w:r>
      <w:r w:rsidR="00DF6740">
        <w:rPr>
          <w:lang w:val="fr-FR"/>
        </w:rPr>
        <w:t>’</w:t>
      </w:r>
      <w:r w:rsidRPr="00997656">
        <w:rPr>
          <w:lang w:val="fr-FR"/>
        </w:rPr>
        <w:t>aucune exigence supplémentaire n</w:t>
      </w:r>
      <w:r w:rsidR="00DF6740">
        <w:rPr>
          <w:lang w:val="fr-FR"/>
        </w:rPr>
        <w:t>’</w:t>
      </w:r>
      <w:r w:rsidRPr="00997656">
        <w:rPr>
          <w:lang w:val="fr-FR"/>
        </w:rPr>
        <w:t>est nécessaire ici dans l</w:t>
      </w:r>
      <w:r w:rsidR="00DF6740">
        <w:rPr>
          <w:lang w:val="fr-FR"/>
        </w:rPr>
        <w:t>’</w:t>
      </w:r>
      <w:r w:rsidRPr="00997656">
        <w:rPr>
          <w:lang w:val="fr-FR"/>
        </w:rPr>
        <w:t>ADN pour les 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fixées à demeure pour la protection des objets, par rapport aux prescriptions générales de l</w:t>
      </w:r>
      <w:r w:rsidR="00DF6740">
        <w:rPr>
          <w:lang w:val="fr-FR"/>
        </w:rPr>
        <w:t>’</w:t>
      </w:r>
      <w:r w:rsidRPr="00997656">
        <w:rPr>
          <w:lang w:val="fr-FR"/>
        </w:rPr>
        <w:t>ES-TRIN relatives à la construction.</w:t>
      </w:r>
    </w:p>
    <w:p w14:paraId="57BB53BF" w14:textId="2615FF26" w:rsidR="00CD2404" w:rsidRDefault="00CD2404" w:rsidP="00EE353F">
      <w:pPr>
        <w:pStyle w:val="SingleTxtG"/>
        <w:rPr>
          <w:lang w:val="fr-FR"/>
        </w:rPr>
      </w:pPr>
      <w:r w:rsidRPr="00997656">
        <w:rPr>
          <w:lang w:val="fr-FR"/>
        </w:rPr>
        <w:t>12.</w:t>
      </w:r>
      <w:r w:rsidRPr="00997656">
        <w:rPr>
          <w:lang w:val="fr-FR"/>
        </w:rPr>
        <w:tab/>
        <w:t>De ce fait, l</w:t>
      </w:r>
      <w:r w:rsidR="00DF6740">
        <w:rPr>
          <w:lang w:val="fr-FR"/>
        </w:rPr>
        <w:t>’</w:t>
      </w:r>
      <w:r w:rsidRPr="00997656">
        <w:rPr>
          <w:lang w:val="fr-FR"/>
        </w:rPr>
        <w:t>exigence d</w:t>
      </w:r>
      <w:r w:rsidR="00DF6740">
        <w:rPr>
          <w:lang w:val="fr-FR"/>
        </w:rPr>
        <w:t>’</w:t>
      </w:r>
      <w:r w:rsidRPr="00997656">
        <w:rPr>
          <w:lang w:val="fr-FR"/>
        </w:rPr>
        <w:t>une recommandation supplémentaire du Comité d</w:t>
      </w:r>
      <w:r w:rsidR="00DF6740">
        <w:rPr>
          <w:lang w:val="fr-FR"/>
        </w:rPr>
        <w:t>’</w:t>
      </w:r>
      <w:r w:rsidRPr="00997656">
        <w:rPr>
          <w:lang w:val="fr-FR"/>
        </w:rPr>
        <w:t>administration représente une charge bureaucratique supplémentaire et inutile pour le propriétaire ou le constructeur d</w:t>
      </w:r>
      <w:r w:rsidR="00DF6740">
        <w:rPr>
          <w:lang w:val="fr-FR"/>
        </w:rPr>
        <w:t>’</w:t>
      </w:r>
      <w:r w:rsidRPr="00997656">
        <w:rPr>
          <w:lang w:val="fr-FR"/>
        </w:rPr>
        <w:t>un bateau.</w:t>
      </w:r>
    </w:p>
    <w:p w14:paraId="1AD6D636" w14:textId="5C286C0A" w:rsidR="00CD2404" w:rsidRPr="00997656" w:rsidRDefault="00EE353F" w:rsidP="00EE353F">
      <w:pPr>
        <w:pStyle w:val="HChG"/>
        <w:rPr>
          <w:lang w:val="fr-FR"/>
        </w:rPr>
      </w:pPr>
      <w:r>
        <w:rPr>
          <w:lang w:val="fr-FR"/>
        </w:rPr>
        <w:tab/>
      </w:r>
      <w:r w:rsidR="00CD2404" w:rsidRPr="00997656">
        <w:rPr>
          <w:lang w:val="fr-FR"/>
        </w:rPr>
        <w:t>I</w:t>
      </w:r>
      <w:r>
        <w:rPr>
          <w:lang w:val="fr-FR"/>
        </w:rPr>
        <w:t>II</w:t>
      </w:r>
      <w:r w:rsidR="00CD2404" w:rsidRPr="00997656">
        <w:rPr>
          <w:lang w:val="fr-FR"/>
        </w:rPr>
        <w:t>.</w:t>
      </w:r>
      <w:r w:rsidR="00CD2404" w:rsidRPr="00997656">
        <w:rPr>
          <w:lang w:val="fr-FR"/>
        </w:rPr>
        <w:tab/>
        <w:t>Sécurité</w:t>
      </w:r>
    </w:p>
    <w:p w14:paraId="631B307B" w14:textId="75899960" w:rsidR="00CD2404" w:rsidRPr="00997656" w:rsidRDefault="00CD2404" w:rsidP="00EE353F">
      <w:pPr>
        <w:pStyle w:val="SingleTxtG"/>
        <w:rPr>
          <w:lang w:val="fr-FR"/>
        </w:rPr>
      </w:pPr>
      <w:r w:rsidRPr="00997656">
        <w:rPr>
          <w:lang w:val="fr-FR"/>
        </w:rPr>
        <w:t>13.</w:t>
      </w:r>
      <w:r w:rsidRPr="00997656">
        <w:rPr>
          <w:lang w:val="fr-FR"/>
        </w:rPr>
        <w:tab/>
        <w:t>La modification n</w:t>
      </w:r>
      <w:r w:rsidR="00DF6740">
        <w:rPr>
          <w:lang w:val="fr-FR"/>
        </w:rPr>
        <w:t>’</w:t>
      </w:r>
      <w:r w:rsidRPr="00997656">
        <w:rPr>
          <w:lang w:val="fr-FR"/>
        </w:rPr>
        <w:t>a pas d</w:t>
      </w:r>
      <w:r w:rsidR="00DF6740">
        <w:rPr>
          <w:lang w:val="fr-FR"/>
        </w:rPr>
        <w:t>’</w:t>
      </w:r>
      <w:r w:rsidRPr="00997656">
        <w:rPr>
          <w:lang w:val="fr-FR"/>
        </w:rPr>
        <w:t>incidence sur la sécurité lors du transport de marchandises dangereuses. Il est peu probable qu</w:t>
      </w:r>
      <w:r w:rsidR="00DF6740">
        <w:rPr>
          <w:lang w:val="fr-FR"/>
        </w:rPr>
        <w:t>’</w:t>
      </w:r>
      <w:r w:rsidRPr="00997656">
        <w:rPr>
          <w:lang w:val="fr-FR"/>
        </w:rPr>
        <w:t>une recommandation spécifique du Comité d</w:t>
      </w:r>
      <w:r w:rsidR="00DF6740">
        <w:rPr>
          <w:lang w:val="fr-FR"/>
        </w:rPr>
        <w:t>’</w:t>
      </w:r>
      <w:r w:rsidRPr="00997656">
        <w:rPr>
          <w:lang w:val="fr-FR"/>
        </w:rPr>
        <w:t>administration contiendrait des prescriptions plus strictes que celles de l</w:t>
      </w:r>
      <w:r w:rsidR="00DF6740">
        <w:rPr>
          <w:lang w:val="fr-FR"/>
        </w:rPr>
        <w:t>’</w:t>
      </w:r>
      <w:r w:rsidRPr="00997656">
        <w:rPr>
          <w:lang w:val="fr-FR"/>
        </w:rPr>
        <w:t>ES-TRIN.</w:t>
      </w:r>
    </w:p>
    <w:p w14:paraId="0B39F47C" w14:textId="12C2C44C" w:rsidR="00CD2404" w:rsidRPr="00997656" w:rsidRDefault="00EE353F" w:rsidP="00EE353F">
      <w:pPr>
        <w:pStyle w:val="HChG"/>
        <w:rPr>
          <w:lang w:val="fr-FR"/>
        </w:rPr>
      </w:pPr>
      <w:r>
        <w:rPr>
          <w:lang w:val="fr-FR"/>
        </w:rPr>
        <w:tab/>
        <w:t>I</w:t>
      </w:r>
      <w:r w:rsidR="00CD2404" w:rsidRPr="00997656">
        <w:rPr>
          <w:lang w:val="fr-FR"/>
        </w:rPr>
        <w:t>V.</w:t>
      </w:r>
      <w:r w:rsidR="00CD2404" w:rsidRPr="00997656">
        <w:rPr>
          <w:lang w:val="fr-FR"/>
        </w:rPr>
        <w:tab/>
        <w:t>Mise en œuvre</w:t>
      </w:r>
    </w:p>
    <w:p w14:paraId="07FB03AE" w14:textId="0CAE9586" w:rsidR="00953B26" w:rsidRDefault="00CD2404" w:rsidP="00EE353F">
      <w:pPr>
        <w:pStyle w:val="SingleTxtG"/>
        <w:rPr>
          <w:lang w:val="fr-FR"/>
        </w:rPr>
      </w:pPr>
      <w:r w:rsidRPr="00997656">
        <w:rPr>
          <w:lang w:val="fr-FR"/>
        </w:rPr>
        <w:t>1</w:t>
      </w:r>
      <w:r w:rsidR="00EE353F">
        <w:rPr>
          <w:lang w:val="fr-FR"/>
        </w:rPr>
        <w:t>4</w:t>
      </w:r>
      <w:r w:rsidRPr="00997656">
        <w:rPr>
          <w:lang w:val="fr-FR"/>
        </w:rPr>
        <w:t>.</w:t>
      </w:r>
      <w:r w:rsidRPr="00997656">
        <w:rPr>
          <w:lang w:val="fr-FR"/>
        </w:rPr>
        <w:tab/>
        <w:t xml:space="preserve">Aucune mesure de construction </w:t>
      </w:r>
      <w:r w:rsidRPr="00997656">
        <w:rPr>
          <w:b/>
          <w:lang w:val="fr-FR"/>
        </w:rPr>
        <w:t>obligatoire</w:t>
      </w:r>
      <w:r w:rsidRPr="00997656">
        <w:rPr>
          <w:lang w:val="fr-FR"/>
        </w:rPr>
        <w:t xml:space="preserve"> n</w:t>
      </w:r>
      <w:r w:rsidR="00DF6740">
        <w:rPr>
          <w:lang w:val="fr-FR"/>
        </w:rPr>
        <w:t>’</w:t>
      </w:r>
      <w:r w:rsidRPr="00997656">
        <w:rPr>
          <w:lang w:val="fr-FR"/>
        </w:rPr>
        <w:t>est requise à bord des bateaux. Les propriétaires peuvent décider eux-mêmes s</w:t>
      </w:r>
      <w:r w:rsidR="00DF6740">
        <w:rPr>
          <w:lang w:val="fr-FR"/>
        </w:rPr>
        <w:t>’</w:t>
      </w:r>
      <w:r w:rsidRPr="00997656">
        <w:rPr>
          <w:lang w:val="fr-FR"/>
        </w:rPr>
        <w:t>ils souhaitent ou non équiper le bateau d</w:t>
      </w:r>
      <w:r w:rsidR="00DF6740">
        <w:rPr>
          <w:lang w:val="fr-FR"/>
        </w:rPr>
        <w:t>’</w:t>
      </w:r>
      <w:r w:rsidRPr="00997656">
        <w:rPr>
          <w:lang w:val="fr-FR"/>
        </w:rPr>
        <w:t>installations d</w:t>
      </w:r>
      <w:r w:rsidR="00DF6740">
        <w:rPr>
          <w:lang w:val="fr-FR"/>
        </w:rPr>
        <w:t>’</w:t>
      </w:r>
      <w:r w:rsidRPr="00997656">
        <w:rPr>
          <w:lang w:val="fr-FR"/>
        </w:rPr>
        <w:t>extinction d</w:t>
      </w:r>
      <w:r w:rsidR="00DF6740">
        <w:rPr>
          <w:lang w:val="fr-FR"/>
        </w:rPr>
        <w:t>’</w:t>
      </w:r>
      <w:r w:rsidRPr="00997656">
        <w:rPr>
          <w:lang w:val="fr-FR"/>
        </w:rPr>
        <w:t>incendie fixées à demeure pour la protection des objets. S</w:t>
      </w:r>
      <w:r w:rsidR="00DF6740">
        <w:rPr>
          <w:lang w:val="fr-FR"/>
        </w:rPr>
        <w:t>’</w:t>
      </w:r>
      <w:r w:rsidRPr="00997656">
        <w:rPr>
          <w:lang w:val="fr-FR"/>
        </w:rPr>
        <w:t>ils décident d</w:t>
      </w:r>
      <w:r w:rsidR="00DF6740">
        <w:rPr>
          <w:lang w:val="fr-FR"/>
        </w:rPr>
        <w:t>’</w:t>
      </w:r>
      <w:r w:rsidRPr="00997656">
        <w:rPr>
          <w:lang w:val="fr-FR"/>
        </w:rPr>
        <w:t>équiper le bateau de telles installations, cela n</w:t>
      </w:r>
      <w:r w:rsidR="00DF6740">
        <w:rPr>
          <w:lang w:val="fr-FR"/>
        </w:rPr>
        <w:t>’</w:t>
      </w:r>
      <w:r w:rsidRPr="00997656">
        <w:rPr>
          <w:lang w:val="fr-FR"/>
        </w:rPr>
        <w:t>impliquera aucune contrainte supplémentaire découlant de l</w:t>
      </w:r>
      <w:r w:rsidR="00DF6740">
        <w:rPr>
          <w:lang w:val="fr-FR"/>
        </w:rPr>
        <w:t>’</w:t>
      </w:r>
      <w:r w:rsidRPr="00997656">
        <w:rPr>
          <w:lang w:val="fr-FR"/>
        </w:rPr>
        <w:t>ADN, par rapport aux prescriptions de l</w:t>
      </w:r>
      <w:r w:rsidR="00DF6740">
        <w:rPr>
          <w:lang w:val="fr-FR"/>
        </w:rPr>
        <w:t>’</w:t>
      </w:r>
      <w:r w:rsidRPr="00997656">
        <w:rPr>
          <w:lang w:val="fr-FR"/>
        </w:rPr>
        <w:t>ES-TRIN relatives à la construction.</w:t>
      </w:r>
    </w:p>
    <w:p w14:paraId="49514F5E" w14:textId="24CE9E1A" w:rsidR="00CD2404" w:rsidRPr="00772A8A" w:rsidRDefault="00772A8A" w:rsidP="00772A8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2404" w:rsidRPr="00772A8A" w:rsidSect="001B6C5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5B3E2" w14:textId="77777777" w:rsidR="00A970A2" w:rsidRDefault="00A970A2" w:rsidP="00F95C08">
      <w:pPr>
        <w:spacing w:line="240" w:lineRule="auto"/>
      </w:pPr>
    </w:p>
  </w:endnote>
  <w:endnote w:type="continuationSeparator" w:id="0">
    <w:p w14:paraId="0C0ACA95" w14:textId="77777777" w:rsidR="00A970A2" w:rsidRPr="00AC3823" w:rsidRDefault="00A970A2" w:rsidP="00AC3823">
      <w:pPr>
        <w:pStyle w:val="Pieddepage"/>
      </w:pPr>
    </w:p>
  </w:endnote>
  <w:endnote w:type="continuationNotice" w:id="1">
    <w:p w14:paraId="4ADB787B" w14:textId="77777777" w:rsidR="00A970A2" w:rsidRDefault="00A970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90C7" w14:textId="77777777" w:rsidR="001B6C50" w:rsidRPr="001B6C50" w:rsidRDefault="001B6C50" w:rsidP="001B6C50">
    <w:pPr>
      <w:pStyle w:val="Pieddepage"/>
      <w:tabs>
        <w:tab w:val="right" w:pos="9638"/>
      </w:tabs>
      <w:rPr>
        <w:sz w:val="18"/>
      </w:rPr>
    </w:pPr>
    <w:r w:rsidRPr="001B6C50">
      <w:rPr>
        <w:b/>
        <w:sz w:val="18"/>
      </w:rPr>
      <w:fldChar w:fldCharType="begin"/>
    </w:r>
    <w:r w:rsidRPr="001B6C50">
      <w:rPr>
        <w:b/>
        <w:sz w:val="18"/>
      </w:rPr>
      <w:instrText xml:space="preserve"> PAGE  \* MERGEFORMAT </w:instrText>
    </w:r>
    <w:r w:rsidRPr="001B6C50">
      <w:rPr>
        <w:b/>
        <w:sz w:val="18"/>
      </w:rPr>
      <w:fldChar w:fldCharType="separate"/>
    </w:r>
    <w:r w:rsidRPr="001B6C50">
      <w:rPr>
        <w:b/>
        <w:noProof/>
        <w:sz w:val="18"/>
      </w:rPr>
      <w:t>2</w:t>
    </w:r>
    <w:r w:rsidRPr="001B6C5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3DFD" w14:textId="77777777" w:rsidR="001B6C50" w:rsidRPr="001B6C50" w:rsidRDefault="001B6C50" w:rsidP="001B6C50">
    <w:pPr>
      <w:pStyle w:val="Pieddepage"/>
      <w:tabs>
        <w:tab w:val="right" w:pos="9638"/>
      </w:tabs>
      <w:rPr>
        <w:b/>
        <w:sz w:val="18"/>
      </w:rPr>
    </w:pPr>
    <w:r>
      <w:tab/>
    </w:r>
    <w:r w:rsidRPr="001B6C50">
      <w:rPr>
        <w:b/>
        <w:sz w:val="18"/>
      </w:rPr>
      <w:fldChar w:fldCharType="begin"/>
    </w:r>
    <w:r w:rsidRPr="001B6C50">
      <w:rPr>
        <w:b/>
        <w:sz w:val="18"/>
      </w:rPr>
      <w:instrText xml:space="preserve"> PAGE  \* MERGEFORMAT </w:instrText>
    </w:r>
    <w:r w:rsidRPr="001B6C50">
      <w:rPr>
        <w:b/>
        <w:sz w:val="18"/>
      </w:rPr>
      <w:fldChar w:fldCharType="separate"/>
    </w:r>
    <w:r w:rsidRPr="001B6C50">
      <w:rPr>
        <w:b/>
        <w:noProof/>
        <w:sz w:val="18"/>
      </w:rPr>
      <w:t>3</w:t>
    </w:r>
    <w:r w:rsidRPr="001B6C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E99C" w14:textId="271E3FAE" w:rsidR="000D3EE9" w:rsidRPr="00FA4573" w:rsidRDefault="00FA4573" w:rsidP="00FA4573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GE.21-16885  (F)</w:t>
    </w:r>
    <w:bookmarkStart w:id="3" w:name="_GoBack"/>
    <w:bookmarkEnd w:id="3"/>
    <w:r>
      <w:rPr>
        <w:sz w:val="20"/>
      </w:rPr>
      <w:tab/>
    </w:r>
    <w:r w:rsidRPr="00FA4573">
      <w:rPr>
        <w:noProof/>
        <w:sz w:val="20"/>
        <w:lang w:eastAsia="fr-CH"/>
      </w:rPr>
      <w:drawing>
        <wp:inline distT="0" distB="0" distL="0" distR="0" wp14:anchorId="77538089" wp14:editId="59770306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668FA7F8" wp14:editId="6AB3D70F">
          <wp:extent cx="641350" cy="641350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975DE" w14:textId="77777777" w:rsidR="00A970A2" w:rsidRPr="00AC3823" w:rsidRDefault="00A970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94A92C" w14:textId="77777777" w:rsidR="00A970A2" w:rsidRPr="00AC3823" w:rsidRDefault="00A970A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8339B5" w14:textId="77777777" w:rsidR="00A970A2" w:rsidRPr="00AC3823" w:rsidRDefault="00A970A2">
      <w:pPr>
        <w:spacing w:line="240" w:lineRule="auto"/>
        <w:rPr>
          <w:sz w:val="2"/>
          <w:szCs w:val="2"/>
        </w:rPr>
      </w:pPr>
    </w:p>
  </w:footnote>
  <w:footnote w:id="2">
    <w:p w14:paraId="02B1072D" w14:textId="50054188" w:rsidR="00575C79" w:rsidRPr="00575C79" w:rsidRDefault="00575C79">
      <w:pPr>
        <w:pStyle w:val="Notedebasdepage"/>
        <w:rPr>
          <w:lang w:val="en-US"/>
        </w:rPr>
      </w:pPr>
      <w:r w:rsidRPr="00DF6740">
        <w:rPr>
          <w:rStyle w:val="Appelnotedebasdep"/>
          <w:lang w:val="en-US"/>
        </w:rPr>
        <w:tab/>
      </w:r>
      <w:r w:rsidRPr="00DF6740">
        <w:rPr>
          <w:rStyle w:val="Appelnotedebasdep"/>
          <w:sz w:val="20"/>
          <w:vertAlign w:val="baseline"/>
          <w:lang w:val="en-US"/>
        </w:rPr>
        <w:t>*</w:t>
      </w:r>
      <w:r w:rsidRPr="00DF6740">
        <w:rPr>
          <w:rStyle w:val="Appelnotedebasdep"/>
          <w:sz w:val="20"/>
          <w:vertAlign w:val="baseline"/>
          <w:lang w:val="en-US"/>
        </w:rPr>
        <w:tab/>
      </w:r>
      <w:r w:rsidR="00532343" w:rsidRPr="00DF6740">
        <w:rPr>
          <w:lang w:val="en-US"/>
        </w:rPr>
        <w:t>This document was submitted late due to unforeseen circumstances.</w:t>
      </w:r>
    </w:p>
  </w:footnote>
  <w:footnote w:id="3">
    <w:p w14:paraId="79588A87" w14:textId="68B1A0DA" w:rsidR="009D1C90" w:rsidRPr="009D1C90" w:rsidRDefault="006E49C5" w:rsidP="00CD2404">
      <w:pPr>
        <w:pStyle w:val="Notedebasdepage"/>
      </w:pPr>
      <w:r w:rsidRPr="00DF6740">
        <w:rPr>
          <w:lang w:val="en-US"/>
        </w:rPr>
        <w:tab/>
      </w:r>
      <w:r w:rsidR="009D1C90" w:rsidRPr="006E49C5">
        <w:rPr>
          <w:rStyle w:val="Appelnotedebasdep"/>
          <w:vertAlign w:val="baseline"/>
        </w:rPr>
        <w:t>**</w:t>
      </w:r>
      <w:r w:rsidR="009D1C90">
        <w:rPr>
          <w:rStyle w:val="Appelnotedebasdep"/>
        </w:rPr>
        <w:tab/>
      </w:r>
      <w:r w:rsidR="009D1C90" w:rsidRPr="00FC239B">
        <w:rPr>
          <w:sz w:val="16"/>
          <w:szCs w:val="16"/>
          <w:lang w:val="fr-FR"/>
        </w:rPr>
        <w:t>Diffusée en langue allemande par la Commission centrale pour la navigation du Rhin sous la cote CCNR-</w:t>
      </w:r>
      <w:r w:rsidR="009D1C90">
        <w:rPr>
          <w:sz w:val="16"/>
          <w:szCs w:val="16"/>
          <w:lang w:val="fr-FR"/>
        </w:rPr>
        <w:tab/>
      </w:r>
      <w:r w:rsidR="009D1C90" w:rsidRPr="009D1C90">
        <w:rPr>
          <w:sz w:val="20"/>
          <w:szCs w:val="16"/>
          <w:vertAlign w:val="superscript"/>
          <w:lang w:val="fr-FR"/>
        </w:rPr>
        <w:t>ZK</w:t>
      </w:r>
      <w:r w:rsidR="009D1C90" w:rsidRPr="00FC239B">
        <w:rPr>
          <w:sz w:val="16"/>
          <w:szCs w:val="16"/>
          <w:lang w:val="fr-FR"/>
        </w:rPr>
        <w:t>R/ADN/WP.15/AC.2/2022/</w:t>
      </w:r>
      <w:r w:rsidR="009D1C90">
        <w:rPr>
          <w:sz w:val="16"/>
          <w:szCs w:val="16"/>
          <w:lang w:val="fr-FR"/>
        </w:rPr>
        <w:t>2</w:t>
      </w:r>
      <w:r w:rsidR="009D1C90">
        <w:rPr>
          <w:sz w:val="16"/>
          <w:szCs w:val="16"/>
          <w:lang w:val="fr-FR"/>
        </w:rPr>
        <w:tab/>
      </w:r>
    </w:p>
  </w:footnote>
  <w:footnote w:id="4">
    <w:p w14:paraId="1F3B0850" w14:textId="2916BF32" w:rsidR="009D1C90" w:rsidRPr="009D1C90" w:rsidRDefault="006E49C5" w:rsidP="009D1C90">
      <w:pPr>
        <w:pStyle w:val="Notedebasdepage"/>
      </w:pPr>
      <w:r>
        <w:tab/>
      </w:r>
      <w:r w:rsidR="009D1C90" w:rsidRPr="006E49C5">
        <w:rPr>
          <w:rStyle w:val="Appelnotedebasdep"/>
          <w:vertAlign w:val="baseline"/>
        </w:rPr>
        <w:t>***</w:t>
      </w:r>
      <w:r w:rsidR="009D1C90">
        <w:rPr>
          <w:rStyle w:val="Appelnotedebasdep"/>
        </w:rPr>
        <w:tab/>
      </w:r>
      <w:r w:rsidR="009D1C90" w:rsidRPr="008374EF">
        <w:rPr>
          <w:sz w:val="16"/>
          <w:szCs w:val="16"/>
          <w:lang w:val="fr-FR"/>
        </w:rPr>
        <w:t xml:space="preserve">Conformément au programme de travail du Comité des transports intérieurs pour 2021 tel qu’il figure dans le </w:t>
      </w:r>
      <w:r w:rsidR="009D1C90">
        <w:rPr>
          <w:sz w:val="16"/>
          <w:szCs w:val="16"/>
          <w:lang w:val="fr-FR"/>
        </w:rPr>
        <w:tab/>
      </w:r>
      <w:r w:rsidR="009D1C90" w:rsidRPr="009D1C90">
        <w:rPr>
          <w:sz w:val="20"/>
          <w:szCs w:val="16"/>
          <w:vertAlign w:val="superscript"/>
          <w:lang w:val="fr-FR"/>
        </w:rPr>
        <w:t>pr</w:t>
      </w:r>
      <w:r w:rsidR="009D1C90" w:rsidRPr="008374EF">
        <w:rPr>
          <w:sz w:val="16"/>
          <w:szCs w:val="16"/>
          <w:lang w:val="fr-FR"/>
        </w:rPr>
        <w:t>ojet de budget-programme pour 2021 (A/75/6 (Sect. 20), par. 20.51).</w:t>
      </w:r>
      <w:r w:rsidR="009D1C90">
        <w:rPr>
          <w:sz w:val="16"/>
          <w:szCs w:val="16"/>
          <w:lang w:val="fr-FR"/>
        </w:rPr>
        <w:tab/>
      </w:r>
    </w:p>
  </w:footnote>
  <w:footnote w:id="5">
    <w:p w14:paraId="02B48DE6" w14:textId="449E1211" w:rsidR="00CD2404" w:rsidRPr="00ED5454" w:rsidRDefault="0083289F" w:rsidP="0083289F">
      <w:pPr>
        <w:pStyle w:val="Notedebasdepage"/>
        <w:rPr>
          <w:lang w:val="fr-FR"/>
        </w:rPr>
      </w:pPr>
      <w:r>
        <w:tab/>
      </w:r>
      <w:r w:rsidR="00CD2404">
        <w:rPr>
          <w:rStyle w:val="Appelnotedebasdep"/>
        </w:rPr>
        <w:footnoteRef/>
      </w:r>
      <w:r w:rsidR="00CD2404">
        <w:tab/>
      </w:r>
      <w:r w:rsidR="00CD2404" w:rsidRPr="00ED5454">
        <w:t>Do</w:t>
      </w:r>
      <w:r w:rsidR="00CD2404">
        <w:t>c</w:t>
      </w:r>
      <w:r w:rsidR="00CD2404" w:rsidRPr="00ED5454">
        <w:t xml:space="preserve">ument </w:t>
      </w:r>
      <w:r w:rsidR="00CD2404" w:rsidRPr="0083289F">
        <w:t>CESNI</w:t>
      </w:r>
      <w:r w:rsidR="00CD2404" w:rsidRPr="00ED5454">
        <w:t xml:space="preserve">/PT (20) 84 </w:t>
      </w:r>
      <w:proofErr w:type="spellStart"/>
      <w:r w:rsidR="00CD2404" w:rsidRPr="00ED5454">
        <w:t>rev</w:t>
      </w:r>
      <w:proofErr w:type="spellEnd"/>
      <w:r w:rsidR="00CD2404" w:rsidRPr="00ED5454">
        <w:t>.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62C2A" w14:textId="3933FB47" w:rsidR="001B6C50" w:rsidRPr="001B6C50" w:rsidRDefault="00A970A2">
    <w:pPr>
      <w:pStyle w:val="En-tte"/>
    </w:pPr>
    <w:fldSimple w:instr="TITLE  \* MERGEFORMAT">
      <w:r w:rsidR="001B1FCA">
        <w:t>ECE/TRANS/WP.15/AC.2/2022/21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B30E" w14:textId="7AF39BB5" w:rsidR="001B6C50" w:rsidRPr="001B6C50" w:rsidRDefault="00A970A2" w:rsidP="001B6C50">
    <w:pPr>
      <w:pStyle w:val="En-tte"/>
      <w:jc w:val="right"/>
    </w:pPr>
    <w:fldSimple w:instr="TITLE  \* MERGEFORMAT">
      <w:r w:rsidR="001B1FCA">
        <w:t>ECE/TRANS/WP.15/AC.2/2022/21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50"/>
    <w:rsid w:val="0001207F"/>
    <w:rsid w:val="00017F94"/>
    <w:rsid w:val="00023842"/>
    <w:rsid w:val="000334F9"/>
    <w:rsid w:val="0007796D"/>
    <w:rsid w:val="000942EE"/>
    <w:rsid w:val="000A52BF"/>
    <w:rsid w:val="000B7790"/>
    <w:rsid w:val="000D3EE9"/>
    <w:rsid w:val="000D62F3"/>
    <w:rsid w:val="000E0718"/>
    <w:rsid w:val="000E7923"/>
    <w:rsid w:val="00111F2F"/>
    <w:rsid w:val="001433FD"/>
    <w:rsid w:val="0014365E"/>
    <w:rsid w:val="001541D3"/>
    <w:rsid w:val="00176178"/>
    <w:rsid w:val="001A064B"/>
    <w:rsid w:val="001B1FCA"/>
    <w:rsid w:val="001B6C50"/>
    <w:rsid w:val="001D2362"/>
    <w:rsid w:val="001D30CD"/>
    <w:rsid w:val="001D400F"/>
    <w:rsid w:val="001E00D5"/>
    <w:rsid w:val="001F525A"/>
    <w:rsid w:val="00223272"/>
    <w:rsid w:val="0023498E"/>
    <w:rsid w:val="00240333"/>
    <w:rsid w:val="0024779E"/>
    <w:rsid w:val="002832AC"/>
    <w:rsid w:val="002834A0"/>
    <w:rsid w:val="002D7C93"/>
    <w:rsid w:val="00343829"/>
    <w:rsid w:val="0037241C"/>
    <w:rsid w:val="0037444E"/>
    <w:rsid w:val="00441C3B"/>
    <w:rsid w:val="00446B0A"/>
    <w:rsid w:val="00446FE5"/>
    <w:rsid w:val="00451860"/>
    <w:rsid w:val="00452396"/>
    <w:rsid w:val="00452C40"/>
    <w:rsid w:val="00486177"/>
    <w:rsid w:val="004A69C4"/>
    <w:rsid w:val="004E468C"/>
    <w:rsid w:val="004F2920"/>
    <w:rsid w:val="004F44BB"/>
    <w:rsid w:val="005316B0"/>
    <w:rsid w:val="00532343"/>
    <w:rsid w:val="00541540"/>
    <w:rsid w:val="005505B7"/>
    <w:rsid w:val="00564657"/>
    <w:rsid w:val="00573BE5"/>
    <w:rsid w:val="00575C79"/>
    <w:rsid w:val="00586ED3"/>
    <w:rsid w:val="00596AA9"/>
    <w:rsid w:val="0062624E"/>
    <w:rsid w:val="006B58EA"/>
    <w:rsid w:val="006E2F73"/>
    <w:rsid w:val="006E49C5"/>
    <w:rsid w:val="00703D0F"/>
    <w:rsid w:val="00706363"/>
    <w:rsid w:val="0071601D"/>
    <w:rsid w:val="007237EB"/>
    <w:rsid w:val="00772A8A"/>
    <w:rsid w:val="00781FC9"/>
    <w:rsid w:val="0078386E"/>
    <w:rsid w:val="007A5B10"/>
    <w:rsid w:val="007A62E6"/>
    <w:rsid w:val="0080684C"/>
    <w:rsid w:val="008204DA"/>
    <w:rsid w:val="0083123A"/>
    <w:rsid w:val="0083289F"/>
    <w:rsid w:val="00871C75"/>
    <w:rsid w:val="008767E8"/>
    <w:rsid w:val="00877671"/>
    <w:rsid w:val="008776DC"/>
    <w:rsid w:val="008A779D"/>
    <w:rsid w:val="008E4903"/>
    <w:rsid w:val="00915979"/>
    <w:rsid w:val="00953B26"/>
    <w:rsid w:val="009705C8"/>
    <w:rsid w:val="00977748"/>
    <w:rsid w:val="009A69D5"/>
    <w:rsid w:val="009C1CF4"/>
    <w:rsid w:val="009D1C90"/>
    <w:rsid w:val="009E46AD"/>
    <w:rsid w:val="009F02C9"/>
    <w:rsid w:val="00A30353"/>
    <w:rsid w:val="00A6103C"/>
    <w:rsid w:val="00A62D91"/>
    <w:rsid w:val="00A90D54"/>
    <w:rsid w:val="00A970A2"/>
    <w:rsid w:val="00AA113A"/>
    <w:rsid w:val="00AC3823"/>
    <w:rsid w:val="00AE323C"/>
    <w:rsid w:val="00B00181"/>
    <w:rsid w:val="00B00B0D"/>
    <w:rsid w:val="00B01F3B"/>
    <w:rsid w:val="00B07F65"/>
    <w:rsid w:val="00B14399"/>
    <w:rsid w:val="00B26F10"/>
    <w:rsid w:val="00B30069"/>
    <w:rsid w:val="00B36F1A"/>
    <w:rsid w:val="00B50E25"/>
    <w:rsid w:val="00B64918"/>
    <w:rsid w:val="00B765F7"/>
    <w:rsid w:val="00BA0CA9"/>
    <w:rsid w:val="00BA2025"/>
    <w:rsid w:val="00C02897"/>
    <w:rsid w:val="00C7616F"/>
    <w:rsid w:val="00CB16B5"/>
    <w:rsid w:val="00CD12A2"/>
    <w:rsid w:val="00CD2404"/>
    <w:rsid w:val="00CE0608"/>
    <w:rsid w:val="00D259DC"/>
    <w:rsid w:val="00D2653A"/>
    <w:rsid w:val="00D3439C"/>
    <w:rsid w:val="00D41CD3"/>
    <w:rsid w:val="00D44CF3"/>
    <w:rsid w:val="00D70306"/>
    <w:rsid w:val="00DA6C5E"/>
    <w:rsid w:val="00DB1831"/>
    <w:rsid w:val="00DD14D3"/>
    <w:rsid w:val="00DD3BFD"/>
    <w:rsid w:val="00DF431C"/>
    <w:rsid w:val="00DF6678"/>
    <w:rsid w:val="00DF6740"/>
    <w:rsid w:val="00E603F6"/>
    <w:rsid w:val="00E939CE"/>
    <w:rsid w:val="00EE353F"/>
    <w:rsid w:val="00EF2E22"/>
    <w:rsid w:val="00F03BF2"/>
    <w:rsid w:val="00F0592C"/>
    <w:rsid w:val="00F43289"/>
    <w:rsid w:val="00F660DF"/>
    <w:rsid w:val="00F95C08"/>
    <w:rsid w:val="00FA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6C1726"/>
  <w15:docId w15:val="{34509292-4142-4AF2-A628-7172933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styleId="Marquedecommentaire">
    <w:name w:val="annotation reference"/>
    <w:basedOn w:val="Policepardfaut"/>
    <w:rsid w:val="00CD2404"/>
    <w:rPr>
      <w:sz w:val="16"/>
      <w:szCs w:val="16"/>
    </w:rPr>
  </w:style>
  <w:style w:type="paragraph" w:styleId="Commentaire">
    <w:name w:val="annotation text"/>
    <w:basedOn w:val="Normal"/>
    <w:link w:val="CommentaireCar"/>
    <w:rsid w:val="00CD2404"/>
    <w:pPr>
      <w:widowControl w:val="0"/>
      <w:suppressAutoHyphens w:val="0"/>
      <w:kinsoku/>
      <w:snapToGrid/>
      <w:spacing w:line="240" w:lineRule="auto"/>
      <w:ind w:left="1134" w:hanging="1134"/>
      <w:jc w:val="both"/>
      <w:textAlignment w:val="baseline"/>
    </w:pPr>
    <w:rPr>
      <w:lang w:val="de-DE" w:eastAsia="fr-FR"/>
    </w:rPr>
  </w:style>
  <w:style w:type="character" w:customStyle="1" w:styleId="CommentaireCar">
    <w:name w:val="Commentaire Car"/>
    <w:basedOn w:val="Policepardfaut"/>
    <w:link w:val="Commentaire"/>
    <w:rsid w:val="00CD2404"/>
    <w:rPr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sni.eu/de/documents/es-trin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70239-E617-49EC-8B3F-DAC50012E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7363E-565E-4CDE-95AC-7C08EAB23592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25DF53BC-171C-422F-BC83-9FC0B2ABA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8981</Characters>
  <Application>Microsoft Office Word</Application>
  <DocSecurity>0</DocSecurity>
  <Lines>154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10388</CharactersWithSpaces>
  <SharedDoc>false</SharedDoc>
  <HLinks>
    <vt:vector size="6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https://www.cesni.eu/de/documents/es-trin/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ECE/TRANS/WP.15/AC.2/2022/21</dc:title>
  <dc:subject>FINAL</dc:subject>
  <dc:creator>Nadiya Dzyubynska</dc:creator>
  <cp:keywords/>
  <dc:description/>
  <cp:lastModifiedBy>Julien Okrzesik</cp:lastModifiedBy>
  <cp:revision>3</cp:revision>
  <cp:lastPrinted>2021-11-18T13:12:00Z</cp:lastPrinted>
  <dcterms:created xsi:type="dcterms:W3CDTF">2021-11-18T13:11:00Z</dcterms:created>
  <dcterms:modified xsi:type="dcterms:W3CDTF">2021-11-18T13:12:00Z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