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C4AB3FB" w14:textId="77777777" w:rsidTr="00387CD4">
        <w:trPr>
          <w:trHeight w:hRule="exact" w:val="851"/>
        </w:trPr>
        <w:tc>
          <w:tcPr>
            <w:tcW w:w="142" w:type="dxa"/>
            <w:tcBorders>
              <w:bottom w:val="single" w:sz="4" w:space="0" w:color="auto"/>
            </w:tcBorders>
          </w:tcPr>
          <w:p w14:paraId="2E5A04DC" w14:textId="77777777" w:rsidR="002D5AAC" w:rsidRDefault="002D5AAC" w:rsidP="009D7C1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E7924D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888344A" w14:textId="74466A6E" w:rsidR="002D5AAC" w:rsidRDefault="009D7C11" w:rsidP="009D7C11">
            <w:pPr>
              <w:jc w:val="right"/>
            </w:pPr>
            <w:r w:rsidRPr="009D7C11">
              <w:rPr>
                <w:sz w:val="40"/>
              </w:rPr>
              <w:t>ECE</w:t>
            </w:r>
            <w:r>
              <w:t>/TRANS/WP.15/AC.2/2022/18</w:t>
            </w:r>
          </w:p>
        </w:tc>
      </w:tr>
      <w:tr w:rsidR="002D5AAC" w14:paraId="7012C47B" w14:textId="77777777" w:rsidTr="00387CD4">
        <w:trPr>
          <w:trHeight w:hRule="exact" w:val="2835"/>
        </w:trPr>
        <w:tc>
          <w:tcPr>
            <w:tcW w:w="1280" w:type="dxa"/>
            <w:gridSpan w:val="2"/>
            <w:tcBorders>
              <w:top w:val="single" w:sz="4" w:space="0" w:color="auto"/>
              <w:bottom w:val="single" w:sz="12" w:space="0" w:color="auto"/>
            </w:tcBorders>
          </w:tcPr>
          <w:p w14:paraId="18E76766" w14:textId="77777777" w:rsidR="002D5AAC" w:rsidRDefault="002E5067" w:rsidP="00387CD4">
            <w:pPr>
              <w:spacing w:before="120"/>
              <w:jc w:val="center"/>
            </w:pPr>
            <w:r>
              <w:rPr>
                <w:noProof/>
                <w:lang w:val="fr-CH" w:eastAsia="fr-CH"/>
              </w:rPr>
              <w:drawing>
                <wp:inline distT="0" distB="0" distL="0" distR="0" wp14:anchorId="27919133" wp14:editId="167C21E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07664E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4EFF12D" w14:textId="77777777" w:rsidR="002D5AAC" w:rsidRDefault="009D7C11" w:rsidP="00387CD4">
            <w:pPr>
              <w:spacing w:before="240"/>
              <w:rPr>
                <w:lang w:val="en-US"/>
              </w:rPr>
            </w:pPr>
            <w:r>
              <w:rPr>
                <w:lang w:val="en-US"/>
              </w:rPr>
              <w:t>Distr.: General</w:t>
            </w:r>
          </w:p>
          <w:p w14:paraId="573D40F6" w14:textId="77777777" w:rsidR="009D7C11" w:rsidRDefault="009D7C11" w:rsidP="009D7C11">
            <w:pPr>
              <w:spacing w:line="240" w:lineRule="exact"/>
              <w:rPr>
                <w:lang w:val="en-US"/>
              </w:rPr>
            </w:pPr>
            <w:r>
              <w:rPr>
                <w:lang w:val="en-US"/>
              </w:rPr>
              <w:t>15 November 2021</w:t>
            </w:r>
          </w:p>
          <w:p w14:paraId="29027065" w14:textId="77777777" w:rsidR="009D7C11" w:rsidRDefault="009D7C11" w:rsidP="009D7C11">
            <w:pPr>
              <w:spacing w:line="240" w:lineRule="exact"/>
              <w:rPr>
                <w:lang w:val="en-US"/>
              </w:rPr>
            </w:pPr>
            <w:r>
              <w:rPr>
                <w:lang w:val="en-US"/>
              </w:rPr>
              <w:t>Russian</w:t>
            </w:r>
          </w:p>
          <w:p w14:paraId="590A029A" w14:textId="2688060B" w:rsidR="009D7C11" w:rsidRPr="008D53B6" w:rsidRDefault="009D7C11" w:rsidP="009D7C11">
            <w:pPr>
              <w:spacing w:line="240" w:lineRule="exact"/>
              <w:rPr>
                <w:lang w:val="en-US"/>
              </w:rPr>
            </w:pPr>
            <w:r>
              <w:rPr>
                <w:lang w:val="en-US"/>
              </w:rPr>
              <w:t>Original: English</w:t>
            </w:r>
          </w:p>
        </w:tc>
      </w:tr>
    </w:tbl>
    <w:p w14:paraId="1B0895A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0ECC40A" w14:textId="77777777" w:rsidR="009D7C11" w:rsidRPr="00CB227E" w:rsidRDefault="009D7C11" w:rsidP="009D7C11">
      <w:pPr>
        <w:spacing w:before="120"/>
        <w:rPr>
          <w:sz w:val="28"/>
          <w:szCs w:val="28"/>
        </w:rPr>
      </w:pPr>
      <w:r w:rsidRPr="00CB227E">
        <w:rPr>
          <w:sz w:val="28"/>
          <w:szCs w:val="28"/>
        </w:rPr>
        <w:t>Комитет по внутреннему транспорту</w:t>
      </w:r>
    </w:p>
    <w:p w14:paraId="66296FA6" w14:textId="77777777" w:rsidR="009D7C11" w:rsidRPr="00CB227E" w:rsidRDefault="009D7C11" w:rsidP="009D7C11">
      <w:pPr>
        <w:spacing w:before="120"/>
        <w:rPr>
          <w:b/>
          <w:sz w:val="24"/>
          <w:szCs w:val="24"/>
        </w:rPr>
      </w:pPr>
      <w:r w:rsidRPr="00CB227E">
        <w:rPr>
          <w:b/>
          <w:bCs/>
          <w:sz w:val="24"/>
          <w:szCs w:val="24"/>
        </w:rPr>
        <w:t>Рабочая группа по перевозкам опасных грузов</w:t>
      </w:r>
    </w:p>
    <w:p w14:paraId="5EAD2019" w14:textId="4611A6A1" w:rsidR="009D7C11" w:rsidRPr="005E4C28" w:rsidRDefault="009D7C11" w:rsidP="009D7C11">
      <w:pPr>
        <w:spacing w:before="120" w:after="120"/>
        <w:rPr>
          <w:b/>
        </w:rPr>
      </w:pPr>
      <w:r>
        <w:rPr>
          <w:b/>
          <w:bCs/>
        </w:rPr>
        <w:t xml:space="preserve">Совместное совещание экспертов по Правилам, </w:t>
      </w:r>
      <w:r>
        <w:rPr>
          <w:b/>
          <w:bCs/>
        </w:rPr>
        <w:br/>
      </w:r>
      <w:r>
        <w:rPr>
          <w:b/>
          <w:bCs/>
        </w:rPr>
        <w:t xml:space="preserve">прилагаемым к Европейскому соглашению </w:t>
      </w:r>
      <w:r>
        <w:rPr>
          <w:b/>
          <w:bCs/>
        </w:rPr>
        <w:br/>
      </w:r>
      <w:r>
        <w:rPr>
          <w:b/>
          <w:bCs/>
        </w:rPr>
        <w:t>о международной перевозке опасных грузов</w:t>
      </w:r>
      <w:r>
        <w:rPr>
          <w:b/>
          <w:bCs/>
        </w:rPr>
        <w:br/>
      </w:r>
      <w:r>
        <w:rPr>
          <w:b/>
          <w:bCs/>
        </w:rPr>
        <w:t xml:space="preserve">по внутренним водным путям (ВОПОГ) </w:t>
      </w:r>
      <w:r>
        <w:rPr>
          <w:b/>
          <w:bCs/>
        </w:rPr>
        <w:br/>
      </w:r>
      <w:r>
        <w:rPr>
          <w:b/>
          <w:bCs/>
        </w:rPr>
        <w:t>(Комитет по вопросам безопасности ВОПОГ)</w:t>
      </w:r>
    </w:p>
    <w:p w14:paraId="32B55565" w14:textId="77777777" w:rsidR="009D7C11" w:rsidRPr="005E4C28" w:rsidRDefault="009D7C11" w:rsidP="009D7C11">
      <w:pPr>
        <w:spacing w:before="120"/>
        <w:rPr>
          <w:b/>
        </w:rPr>
      </w:pPr>
      <w:r>
        <w:rPr>
          <w:b/>
          <w:bCs/>
        </w:rPr>
        <w:t>Тридцать девятая сессия</w:t>
      </w:r>
    </w:p>
    <w:p w14:paraId="7199D642" w14:textId="77777777" w:rsidR="009D7C11" w:rsidRDefault="009D7C11" w:rsidP="009D7C11">
      <w:r>
        <w:t>Женева, 24–28 января 2022 года</w:t>
      </w:r>
    </w:p>
    <w:p w14:paraId="35BDA8A0" w14:textId="77777777" w:rsidR="009D7C11" w:rsidRPr="005E4C28" w:rsidRDefault="009D7C11" w:rsidP="009D7C11">
      <w:r>
        <w:t>Пункт 6 предварительной повестки дня</w:t>
      </w:r>
    </w:p>
    <w:p w14:paraId="47FAC556" w14:textId="77777777" w:rsidR="009D7C11" w:rsidRPr="005E4C28" w:rsidRDefault="009D7C11" w:rsidP="009D7C11">
      <w:pPr>
        <w:rPr>
          <w:b/>
          <w:bCs/>
        </w:rPr>
      </w:pPr>
      <w:r>
        <w:rPr>
          <w:b/>
          <w:bCs/>
        </w:rPr>
        <w:t>Доклады неофициальных рабочих групп</w:t>
      </w:r>
    </w:p>
    <w:p w14:paraId="7A714B75" w14:textId="2280CC06" w:rsidR="009D7C11" w:rsidRPr="005E4C28" w:rsidRDefault="009D7C11" w:rsidP="009D7C11">
      <w:pPr>
        <w:pStyle w:val="HChG"/>
      </w:pPr>
      <w:r>
        <w:tab/>
      </w:r>
      <w:r>
        <w:tab/>
      </w:r>
      <w:r>
        <w:rPr>
          <w:bCs/>
        </w:rPr>
        <w:t>Доклад о работе шестого совещания неофициальной рабочей группы по вопросу о «погрузке поверх на</w:t>
      </w:r>
      <w:r w:rsidR="00B02555">
        <w:rPr>
          <w:bCs/>
          <w:lang w:val="en-US"/>
        </w:rPr>
        <w:t> </w:t>
      </w:r>
      <w:r>
        <w:rPr>
          <w:bCs/>
        </w:rPr>
        <w:t>баржах»</w:t>
      </w:r>
    </w:p>
    <w:p w14:paraId="6768B1D3" w14:textId="39B99AEF" w:rsidR="009D7C11" w:rsidRDefault="009D7C11" w:rsidP="009D7C11">
      <w:pPr>
        <w:pStyle w:val="H1G"/>
        <w:rPr>
          <w:b w:val="0"/>
          <w:sz w:val="20"/>
        </w:rPr>
      </w:pPr>
      <w:r>
        <w:tab/>
      </w:r>
      <w:r>
        <w:tab/>
      </w:r>
      <w:r>
        <w:rPr>
          <w:bCs/>
        </w:rPr>
        <w:t>Передано правительством Нидерландов</w:t>
      </w:r>
      <w:r w:rsidRPr="009D7C11">
        <w:rPr>
          <w:rStyle w:val="aa"/>
          <w:b w:val="0"/>
          <w:sz w:val="20"/>
          <w:vertAlign w:val="baseline"/>
        </w:rPr>
        <w:footnoteReference w:customMarkFollows="1" w:id="1"/>
        <w:t>*</w:t>
      </w:r>
      <w:r w:rsidRPr="009D7C11">
        <w:rPr>
          <w:bCs/>
          <w:sz w:val="28"/>
          <w:szCs w:val="28"/>
        </w:rPr>
        <w:t xml:space="preserve"> </w:t>
      </w:r>
      <w:r w:rsidRPr="009D7C11">
        <w:rPr>
          <w:rStyle w:val="aa"/>
          <w:b w:val="0"/>
          <w:sz w:val="20"/>
          <w:vertAlign w:val="baseline"/>
        </w:rPr>
        <w:footnoteReference w:customMarkFollows="1" w:id="2"/>
        <w:t>**</w:t>
      </w:r>
    </w:p>
    <w:tbl>
      <w:tblPr>
        <w:tblStyle w:val="ac"/>
        <w:tblW w:w="0" w:type="auto"/>
        <w:jc w:val="center"/>
        <w:tblLook w:val="05E0" w:firstRow="1" w:lastRow="1" w:firstColumn="1" w:lastColumn="1" w:noHBand="0" w:noVBand="1"/>
      </w:tblPr>
      <w:tblGrid>
        <w:gridCol w:w="9628"/>
      </w:tblGrid>
      <w:tr w:rsidR="00B02555" w:rsidRPr="00B02555" w14:paraId="5C020835" w14:textId="77777777" w:rsidTr="00850215">
        <w:trPr>
          <w:jc w:val="center"/>
        </w:trPr>
        <w:tc>
          <w:tcPr>
            <w:tcW w:w="9637" w:type="dxa"/>
            <w:tcBorders>
              <w:bottom w:val="nil"/>
            </w:tcBorders>
          </w:tcPr>
          <w:p w14:paraId="10BA7408" w14:textId="77777777" w:rsidR="00B02555" w:rsidRPr="00B02555" w:rsidRDefault="00B02555" w:rsidP="00850215">
            <w:pPr>
              <w:tabs>
                <w:tab w:val="left" w:pos="255"/>
              </w:tabs>
              <w:spacing w:before="240" w:after="120"/>
              <w:rPr>
                <w:rFonts w:cs="Times New Roman"/>
                <w:sz w:val="24"/>
              </w:rPr>
            </w:pPr>
            <w:r w:rsidRPr="00B02555">
              <w:rPr>
                <w:rFonts w:cs="Times New Roman"/>
              </w:rPr>
              <w:tab/>
            </w:r>
            <w:r w:rsidRPr="00B02555">
              <w:rPr>
                <w:rFonts w:cs="Times New Roman"/>
                <w:i/>
                <w:sz w:val="24"/>
              </w:rPr>
              <w:t>Резюме</w:t>
            </w:r>
          </w:p>
        </w:tc>
      </w:tr>
      <w:tr w:rsidR="00B02555" w:rsidRPr="00B02555" w14:paraId="403D0EFD" w14:textId="77777777" w:rsidTr="00850215">
        <w:trPr>
          <w:jc w:val="center"/>
        </w:trPr>
        <w:tc>
          <w:tcPr>
            <w:tcW w:w="9637" w:type="dxa"/>
            <w:tcBorders>
              <w:top w:val="nil"/>
              <w:bottom w:val="nil"/>
            </w:tcBorders>
            <w:shd w:val="clear" w:color="auto" w:fill="auto"/>
          </w:tcPr>
          <w:p w14:paraId="5501C706" w14:textId="485AE7CE" w:rsidR="00B02555" w:rsidRPr="00B02555" w:rsidRDefault="00B02555" w:rsidP="00A27374">
            <w:pPr>
              <w:pStyle w:val="SingleTxtG"/>
              <w:tabs>
                <w:tab w:val="left" w:pos="3679"/>
              </w:tabs>
              <w:ind w:left="3679" w:hanging="2545"/>
            </w:pPr>
            <w:r>
              <w:rPr>
                <w:b/>
                <w:bCs/>
              </w:rPr>
              <w:t>Существо предложения:</w:t>
            </w:r>
            <w:r w:rsidR="00A27374">
              <w:rPr>
                <w:b/>
                <w:bCs/>
              </w:rPr>
              <w:tab/>
            </w:r>
            <w:r w:rsidR="00A27374" w:rsidRPr="00B02555">
              <w:t>Неофициальная</w:t>
            </w:r>
            <w:r w:rsidR="00A27374">
              <w:t xml:space="preserve"> рабочая группа провела обсуждение вопроса о погрузке поверх такого же груза. Группа приветствовала идею составления позитивного перечня и обратилась к Комитету по вопросам безопасности ВОПОГ с просьбой дать указания в отношении такого перечня.</w:t>
            </w:r>
          </w:p>
        </w:tc>
      </w:tr>
      <w:tr w:rsidR="00B02555" w:rsidRPr="00B02555" w14:paraId="5418C3EB" w14:textId="77777777" w:rsidTr="00850215">
        <w:trPr>
          <w:jc w:val="center"/>
        </w:trPr>
        <w:tc>
          <w:tcPr>
            <w:tcW w:w="9637" w:type="dxa"/>
            <w:tcBorders>
              <w:top w:val="nil"/>
              <w:bottom w:val="nil"/>
            </w:tcBorders>
            <w:shd w:val="clear" w:color="auto" w:fill="auto"/>
          </w:tcPr>
          <w:p w14:paraId="4E4BFC3E" w14:textId="1C596B3D" w:rsidR="00B02555" w:rsidRPr="00B02555" w:rsidRDefault="00A27374" w:rsidP="00A27374">
            <w:pPr>
              <w:pStyle w:val="SingleTxtG"/>
              <w:tabs>
                <w:tab w:val="left" w:pos="3679"/>
              </w:tabs>
              <w:ind w:left="3679" w:hanging="2545"/>
            </w:pPr>
            <w:r>
              <w:rPr>
                <w:b/>
                <w:bCs/>
              </w:rPr>
              <w:t>Предлагаемое решение:</w:t>
            </w:r>
            <w:r>
              <w:rPr>
                <w:b/>
                <w:bCs/>
              </w:rPr>
              <w:tab/>
            </w:r>
            <w:r>
              <w:t xml:space="preserve">В </w:t>
            </w:r>
            <w:r w:rsidRPr="00A27374">
              <w:t>пунктах</w:t>
            </w:r>
            <w:r>
              <w:t xml:space="preserve"> 12 и </w:t>
            </w:r>
            <w:r w:rsidRPr="00A27374">
              <w:t>13 Комитету по вопросам</w:t>
            </w:r>
            <w:r>
              <w:t xml:space="preserve"> безопасности предлагается рассмотреть результаты работы неофициальной рабочей группы и принять соответствующее решение.</w:t>
            </w:r>
          </w:p>
        </w:tc>
      </w:tr>
      <w:tr w:rsidR="00B02555" w:rsidRPr="00A27374" w14:paraId="6B463AA1" w14:textId="77777777" w:rsidTr="00850215">
        <w:trPr>
          <w:jc w:val="center"/>
        </w:trPr>
        <w:tc>
          <w:tcPr>
            <w:tcW w:w="9637" w:type="dxa"/>
            <w:tcBorders>
              <w:top w:val="nil"/>
              <w:bottom w:val="nil"/>
            </w:tcBorders>
            <w:shd w:val="clear" w:color="auto" w:fill="auto"/>
          </w:tcPr>
          <w:p w14:paraId="5C05F2F3" w14:textId="059448F3" w:rsidR="00B02555" w:rsidRPr="00A27374" w:rsidRDefault="00A27374" w:rsidP="000262E5">
            <w:pPr>
              <w:pStyle w:val="SingleTxtG"/>
              <w:pageBreakBefore/>
              <w:tabs>
                <w:tab w:val="left" w:pos="3679"/>
              </w:tabs>
              <w:ind w:left="3680" w:hanging="2546"/>
            </w:pPr>
            <w:r w:rsidRPr="00A27374">
              <w:rPr>
                <w:b/>
                <w:bCs/>
              </w:rPr>
              <w:lastRenderedPageBreak/>
              <w:t>Справочные документы:</w:t>
            </w:r>
            <w:r w:rsidRPr="00A27374">
              <w:tab/>
            </w:r>
            <w:r w:rsidRPr="00A27374">
              <w:t>Неофициальный документ INF.15 тридцатой сессии</w:t>
            </w:r>
            <w:r>
              <w:br/>
            </w:r>
            <w:r w:rsidRPr="00A27374">
              <w:t>Неофициальный документ INF.6 тридцать первой сессии в качестве добавления к документу ECE/TRANS/WP.15/AC.2/2017/44</w:t>
            </w:r>
            <w:r>
              <w:br/>
            </w:r>
            <w:r w:rsidRPr="00A27374">
              <w:t>Неофициальный документ INF.9 тридцать второй сессии</w:t>
            </w:r>
            <w:r>
              <w:br/>
            </w:r>
            <w:r w:rsidRPr="00A27374">
              <w:t>ECE/TRANS/WP.15/AC.2/2018/39</w:t>
            </w:r>
            <w:r>
              <w:br/>
            </w:r>
            <w:r w:rsidRPr="00A27374">
              <w:t>Неофициальный документ INF.17 тридцать третьей сессии</w:t>
            </w:r>
            <w:r>
              <w:br/>
            </w:r>
            <w:r w:rsidRPr="00A27374">
              <w:t>Неофициальный документ INF.5 тридцать пятой сессии</w:t>
            </w:r>
            <w:r>
              <w:br/>
            </w:r>
            <w:r w:rsidRPr="00A27374">
              <w:t>Неофициальный документ INF.5 тридцать шестой сессии</w:t>
            </w:r>
            <w:r>
              <w:br/>
            </w:r>
            <w:r w:rsidRPr="00A27374">
              <w:t>ECE/TRANS/WP.15/AC.2/76</w:t>
            </w:r>
            <w:r>
              <w:br/>
            </w:r>
            <w:r w:rsidRPr="00A27374">
              <w:t>ECE/TRANS/WP.15/AC.2/2021/29</w:t>
            </w:r>
          </w:p>
        </w:tc>
      </w:tr>
      <w:tr w:rsidR="00B02555" w:rsidRPr="00A27374" w14:paraId="7D33D100" w14:textId="77777777" w:rsidTr="00850215">
        <w:trPr>
          <w:jc w:val="center"/>
        </w:trPr>
        <w:tc>
          <w:tcPr>
            <w:tcW w:w="9637" w:type="dxa"/>
            <w:tcBorders>
              <w:top w:val="nil"/>
            </w:tcBorders>
          </w:tcPr>
          <w:p w14:paraId="0174E9A3" w14:textId="77777777" w:rsidR="00B02555" w:rsidRPr="00A27374" w:rsidRDefault="00B02555" w:rsidP="00850215">
            <w:pPr>
              <w:rPr>
                <w:rFonts w:cs="Times New Roman"/>
              </w:rPr>
            </w:pPr>
          </w:p>
        </w:tc>
      </w:tr>
    </w:tbl>
    <w:p w14:paraId="44D951D9" w14:textId="77777777" w:rsidR="009D7C11" w:rsidRPr="005E4C28" w:rsidRDefault="009D7C11" w:rsidP="009D7C11">
      <w:pPr>
        <w:pStyle w:val="HChG"/>
      </w:pPr>
      <w:r w:rsidRPr="000262E5">
        <w:tab/>
      </w:r>
      <w:r w:rsidRPr="000262E5">
        <w:tab/>
      </w:r>
      <w:r>
        <w:rPr>
          <w:bCs/>
        </w:rPr>
        <w:t>Введение</w:t>
      </w:r>
    </w:p>
    <w:p w14:paraId="6025B86A" w14:textId="105ECA72" w:rsidR="009D7C11" w:rsidRPr="005E4C28" w:rsidRDefault="009D7C11" w:rsidP="009D7C11">
      <w:pPr>
        <w:pStyle w:val="SingleTxtG"/>
      </w:pPr>
      <w:r>
        <w:t>1.</w:t>
      </w:r>
      <w:r>
        <w:tab/>
        <w:t>13 и 14 октября 2021 года было проведено в цифровом формате шестое совещание неофициальной рабочей группы по вопросу о погрузке поверх. На</w:t>
      </w:r>
      <w:r w:rsidR="000262E5">
        <w:rPr>
          <w:lang w:val="en-US"/>
        </w:rPr>
        <w:t> </w:t>
      </w:r>
      <w:r>
        <w:t>совещании присутствовали делегаты от Германии и Нидерландов, председатель неофициальной рабочей группы по веществам, представители Европейской ассоциации оптовых поставщиков нефтепродуктов (ЕАОН), Европейского союза речного судоходства (ЕСРС), Европейской организации судоводителей (ЕОС), Федерации европейских ассоциаций владельцев цистерн-хранилищ (ФЕТСА) и «Фьюэлз-Юроп». Г-н Хенк Лангенберг, представитель Нидерландов, председательствовал на совещании.</w:t>
      </w:r>
    </w:p>
    <w:p w14:paraId="22209865" w14:textId="77777777" w:rsidR="009D7C11" w:rsidRPr="005E4C28" w:rsidRDefault="009D7C11" w:rsidP="009D7C11">
      <w:pPr>
        <w:pStyle w:val="SingleTxtG"/>
      </w:pPr>
      <w:r>
        <w:t>2.</w:t>
      </w:r>
      <w:r>
        <w:tab/>
        <w:t>По просьбе Комитета по вопросам безопасности ВОПОГ группа признала три типа погрузки поверх:</w:t>
      </w:r>
    </w:p>
    <w:p w14:paraId="57832505" w14:textId="5C154B20" w:rsidR="009D7C11" w:rsidRPr="005E4C28" w:rsidRDefault="009D7C11" w:rsidP="009D7C11">
      <w:pPr>
        <w:pStyle w:val="SingleTxtG"/>
        <w:ind w:firstLine="567"/>
      </w:pPr>
      <w:r>
        <w:t>a)</w:t>
      </w:r>
      <w:r>
        <w:tab/>
        <w:t>погрузка такого же груза поверх опасных грузов, т. е. погрузка опасного груза поверх опасного груза, имеющего тот же номер ООН и ту же позицию в таблице</w:t>
      </w:r>
      <w:r w:rsidR="00332850">
        <w:rPr>
          <w:lang w:val="en-US"/>
        </w:rPr>
        <w:t> </w:t>
      </w:r>
      <w:r>
        <w:t>С;</w:t>
      </w:r>
    </w:p>
    <w:p w14:paraId="5D3011D9" w14:textId="77777777" w:rsidR="009D7C11" w:rsidRPr="005E4C28" w:rsidRDefault="009D7C11" w:rsidP="009D7C11">
      <w:pPr>
        <w:pStyle w:val="SingleTxtG"/>
        <w:ind w:firstLine="567"/>
      </w:pPr>
      <w:r>
        <w:t>b)</w:t>
      </w:r>
      <w:r>
        <w:tab/>
        <w:t>погрузка неопасных грузов поверх опасных грузов, например, погрузка биокомпонентов поверх дизельного топлива (№ ООН 1202) или наоборот;</w:t>
      </w:r>
    </w:p>
    <w:p w14:paraId="1829944A" w14:textId="77777777" w:rsidR="009D7C11" w:rsidRPr="005E4C28" w:rsidRDefault="009D7C11" w:rsidP="009D7C11">
      <w:pPr>
        <w:pStyle w:val="SingleTxtG"/>
        <w:ind w:firstLine="567"/>
      </w:pPr>
      <w:r>
        <w:t>c)</w:t>
      </w:r>
      <w:r>
        <w:tab/>
        <w:t>погрузка одного опасного груза поверх другого опасного груза, например, погрузка этанола (№ ООН 1170) поверх дизельного топлива (№ ООН 1202) или наоборот.</w:t>
      </w:r>
    </w:p>
    <w:p w14:paraId="0E2AA849" w14:textId="77777777" w:rsidR="009D7C11" w:rsidRPr="005E4C28" w:rsidRDefault="009D7C11" w:rsidP="00332850">
      <w:pPr>
        <w:pStyle w:val="HChG"/>
      </w:pPr>
      <w:r>
        <w:tab/>
        <w:t>I.</w:t>
      </w:r>
      <w:r>
        <w:tab/>
      </w:r>
      <w:r w:rsidRPr="00332850">
        <w:t>Погрузка</w:t>
      </w:r>
      <w:r>
        <w:t xml:space="preserve"> поверх такого же груза</w:t>
      </w:r>
    </w:p>
    <w:p w14:paraId="1586C45A" w14:textId="0D32CBD5" w:rsidR="009D7C11" w:rsidRPr="005E4C28" w:rsidRDefault="009D7C11" w:rsidP="009D7C11">
      <w:pPr>
        <w:pStyle w:val="SingleTxtG"/>
      </w:pPr>
      <w:r>
        <w:t>3.</w:t>
      </w:r>
      <w:r>
        <w:tab/>
        <w:t>Что касается погрузки поверх такого же груза, члены группы приветствовали выводы Комитета по вопросам безопасности ВОПОГ о том, что погрузка поверх такого же опасного груза в один грузовой танк разрешена на основании действующих положений ВОПОГ. Председатель предложил назвать эту операцию «совместной погрузкой», уточнив, что речь идет о погрузке двух или более партий одного и того же опасного груза в один грузовой танк. Погрузка поверх такого же опасного груза может быть осуществлена</w:t>
      </w:r>
      <w:r w:rsidRPr="00832716">
        <w:t xml:space="preserve"> </w:t>
      </w:r>
      <w:r>
        <w:t>безопасным образом под контролем грузоотправителя. Некоторые участники высказали мнение, что для всех партий должен быть один грузоотправитель, чтобы правильно организовать операции в течении всего рейса. По</w:t>
      </w:r>
      <w:r w:rsidR="00332850">
        <w:rPr>
          <w:lang w:val="en-US"/>
        </w:rPr>
        <w:t> </w:t>
      </w:r>
      <w:r>
        <w:t>просьбе Комитета по вопросам безопасности ВОПОГ группа обсудила вопрос о повышении уровня безопасности в будущем путем составления так называемого «позитивного перечня».</w:t>
      </w:r>
    </w:p>
    <w:p w14:paraId="6E275D46" w14:textId="77777777" w:rsidR="009D7C11" w:rsidRPr="005E4C28" w:rsidRDefault="009D7C11" w:rsidP="009D7C11">
      <w:pPr>
        <w:pStyle w:val="SingleTxtG"/>
      </w:pPr>
      <w:r>
        <w:t>4.</w:t>
      </w:r>
      <w:r>
        <w:tab/>
        <w:t xml:space="preserve">Председатель неофициальной рабочей группы по веществам подтвердил, что эта группа займется работой по составлению первого, краткого перечня веществ, </w:t>
      </w:r>
      <w:r>
        <w:lastRenderedPageBreak/>
        <w:t xml:space="preserve">которые могут грузиться совместно. Он попросил участников со стороны отрасли проинформировать неофициальную рабочую группу по веществам о том, какие вещества следует рассмотреть в первую очередь на предмет включения в «позитивный перечень». Неофициальная рабочая группа по веществам также рассмотрит вопрос об определении понятия «такой же груз». На данный момент представители отрасли указали, что они считают две (или более) партии «таким же грузом» только в том случае, если они могут быть отнесены к одной и той же позиции таблицы С, имеют одну и ту же группу упаковки и представляют совершенно одинаковые виды опасности. </w:t>
      </w:r>
    </w:p>
    <w:p w14:paraId="7732498D" w14:textId="77777777" w:rsidR="009D7C11" w:rsidRPr="005E4C28" w:rsidRDefault="009D7C11" w:rsidP="009D7C11">
      <w:pPr>
        <w:pStyle w:val="SingleTxtG"/>
      </w:pPr>
      <w:r>
        <w:t>5.</w:t>
      </w:r>
      <w:r>
        <w:tab/>
        <w:t>Группа также обсудила вопрос о том, как составить позитивный перечень. Одним из обсуждаемых вариантов было создание позитивного перечня в рамках ВОПОГ. Другим обсуждаемым вариантом было введение позитивного перечня в качестве рекомендации. Создание перечня в рамках ВОПОГ позволит Комитету по вопросам безопасности контролировать этот перечень, избежать в будущем возможных недоразумений в отношении правовой основы перечня, а также разработать четкую процедуру запроса на включение в перечень новых веществ. Исходя из этих соображений группа рекомендовала создать позитивный список в рамках ВОПОГ.</w:t>
      </w:r>
    </w:p>
    <w:p w14:paraId="5F3CA1A1" w14:textId="77777777" w:rsidR="009D7C11" w:rsidRPr="005E4C28" w:rsidRDefault="009D7C11" w:rsidP="009D7C11">
      <w:pPr>
        <w:pStyle w:val="SingleTxtG"/>
      </w:pPr>
      <w:r>
        <w:t>6.</w:t>
      </w:r>
      <w:r>
        <w:tab/>
        <w:t xml:space="preserve">Было проведено первоначальное обсуждение того, в каком месте в рамках ВОПОГ можно было бы включить позитивный перечень. Были упомянуты как включение в таблицу С (в виде нового замечания в колонке 20), так и дополнение к предусмотренному в пункте 1.16.1.2.5 перечню веществ, допущенных к перевозке судном. Как представляется, большинство участников предпочли вариант отражения позитивного перечня в таблице С, однако группа пожелала проконсультироваться с Комитетом по вопросам безопасности ВОПОГ, прежде чем обсуждать любые предложения о поправках. </w:t>
      </w:r>
    </w:p>
    <w:p w14:paraId="34117D9F" w14:textId="77777777" w:rsidR="009D7C11" w:rsidRPr="005E4C28" w:rsidRDefault="009D7C11" w:rsidP="009D7C11">
      <w:pPr>
        <w:pStyle w:val="SingleTxtG"/>
      </w:pPr>
      <w:r>
        <w:t>7.</w:t>
      </w:r>
      <w:r>
        <w:tab/>
        <w:t xml:space="preserve">Наконец, группа сочла необходимым разработать процедуру запроса на включение в перечень новых веществ. Члены неофициальной рабочей группы предположили, что такая процедура может быть аналогична процедуре, предусмотренной для специальных разрешений в разделе 1.5.2 ВОПОГ. Однако группа сочла, что до разработки такой подробной процедуры может потребоваться накопить определенный опыт оценки веществ на предмет включения в позитивный перечень. </w:t>
      </w:r>
    </w:p>
    <w:p w14:paraId="1E0D1854" w14:textId="77777777" w:rsidR="009D7C11" w:rsidRPr="005E4C28" w:rsidRDefault="009D7C11" w:rsidP="009D7C11">
      <w:pPr>
        <w:pStyle w:val="HChG"/>
      </w:pPr>
      <w:r>
        <w:tab/>
        <w:t>II.</w:t>
      </w:r>
      <w:r>
        <w:tab/>
      </w:r>
      <w:r>
        <w:rPr>
          <w:bCs/>
        </w:rPr>
        <w:t>Погрузка поверх другого вещества</w:t>
      </w:r>
    </w:p>
    <w:p w14:paraId="776B00A4" w14:textId="77777777" w:rsidR="009D7C11" w:rsidRPr="005E4C28" w:rsidRDefault="009D7C11" w:rsidP="009D7C11">
      <w:pPr>
        <w:pStyle w:val="SingleTxtG"/>
      </w:pPr>
      <w:r>
        <w:t>8.</w:t>
      </w:r>
      <w:r>
        <w:tab/>
        <w:t xml:space="preserve">Что касается погрузки поверх других веществ, то неофициальная рабочая группа изучила другие правовые документы. На данный момент группа не смогла найти правовые документы, на которые можно было бы сослаться, чтобы облегчить процессы погрузки поверх. </w:t>
      </w:r>
    </w:p>
    <w:p w14:paraId="5F048146" w14:textId="77777777" w:rsidR="009D7C11" w:rsidRPr="005E4C28" w:rsidRDefault="009D7C11" w:rsidP="009D7C11">
      <w:pPr>
        <w:pStyle w:val="SingleTxtG"/>
      </w:pPr>
      <w:r>
        <w:t>9.</w:t>
      </w:r>
      <w:r>
        <w:tab/>
        <w:t>Что касается предложения Комитета по вопросам безопасности ВОПОГ изучить возможность расширения позитивного перечня, чтобы также предписать операции по погрузке поверх других веществ, то неофициальная рабочая группа не смогла прийти к консенсусу. В то время как некоторые участники предположили, что речь может идти о подходе, разрешающем погрузку поверх только очень конкретных других опасных грузов, другие участники сослались на предыдущие решения Комитета по вопросам безопасности ВОПОГ, поскольку погрузка поверх/совместная погрузка других опасных грузов уже была отклонена Комитетом по вопросам безопасности ВОПОГ и теперь рассматривается вне рамок неофициальной рабочей группы.</w:t>
      </w:r>
    </w:p>
    <w:p w14:paraId="4AE03145" w14:textId="77777777" w:rsidR="009D7C11" w:rsidRPr="005E4C28" w:rsidRDefault="009D7C11" w:rsidP="009D7C11">
      <w:pPr>
        <w:pStyle w:val="SingleTxtG"/>
      </w:pPr>
      <w:r>
        <w:t>10.</w:t>
      </w:r>
      <w:r>
        <w:tab/>
        <w:t>Группа пришла к выводу, что погрузка поверх других опасных и неопасных грузов в грузовые танки наливных судов (барж) внутреннего плавания не может быть облегчена другими подробными правовыми документами. Однако была сделана ссылка на требование о проведении перевозчиком или судоводителем оценки рисков, связанных со всеми операциями на борту судна, на основе европейского и национального законодательства о защите работников.</w:t>
      </w:r>
    </w:p>
    <w:p w14:paraId="15CF11EA" w14:textId="77777777" w:rsidR="009D7C11" w:rsidRPr="005E4C28" w:rsidRDefault="009D7C11" w:rsidP="009D7C11">
      <w:pPr>
        <w:pStyle w:val="SingleTxtG"/>
      </w:pPr>
      <w:r>
        <w:lastRenderedPageBreak/>
        <w:t>11.</w:t>
      </w:r>
      <w:r>
        <w:tab/>
        <w:t>По просьбе представителя Бельгии группа также рассмотрела вопрос о добавлении в груз присадок. Некоторые участники высказали мнение, что вопрос обработки грузов присадками не входит в сферу деятельности рабочей группы, ссылаясь при этом на статьи ВОПОГ, которые регулируют данный вид операций. Представитель «Фьюэлз-Юроп» предложил найти эти статьи и поделиться ими с рабочей группой.</w:t>
      </w:r>
    </w:p>
    <w:p w14:paraId="43EEFC6C" w14:textId="77777777" w:rsidR="009D7C11" w:rsidRPr="005E4C28" w:rsidRDefault="009D7C11" w:rsidP="009D7C11">
      <w:pPr>
        <w:pStyle w:val="HChG"/>
      </w:pPr>
      <w:r>
        <w:tab/>
        <w:t>III.</w:t>
      </w:r>
      <w:r>
        <w:tab/>
      </w:r>
      <w:r>
        <w:rPr>
          <w:bCs/>
        </w:rPr>
        <w:t>Предлагаемое решение</w:t>
      </w:r>
    </w:p>
    <w:p w14:paraId="4256A0D6" w14:textId="77777777" w:rsidR="009D7C11" w:rsidRPr="005E4C28" w:rsidRDefault="009D7C11" w:rsidP="009D7C11">
      <w:pPr>
        <w:pStyle w:val="SingleTxtG"/>
      </w:pPr>
      <w:r>
        <w:t>12.</w:t>
      </w:r>
      <w:r>
        <w:tab/>
        <w:t xml:space="preserve">Комитету по вопросам безопасности ВОПОГ предлагается рассмотреть доклад неофициальной рабочей группы и дать указания относительно дальнейших действий в связи с различными вариантами, отраженными в пунктах 5, 6 и 7. </w:t>
      </w:r>
    </w:p>
    <w:p w14:paraId="10651746" w14:textId="77777777" w:rsidR="009D7C11" w:rsidRPr="005E4C28" w:rsidRDefault="009D7C11" w:rsidP="009D7C11">
      <w:pPr>
        <w:pStyle w:val="SingleTxtG"/>
      </w:pPr>
      <w:r>
        <w:t>13.</w:t>
      </w:r>
      <w:r>
        <w:tab/>
        <w:t>Комитету по вопросам безопасности ВОПОГ также предлагается рассмотреть итоги обсуждения вопроса о погрузке поверх других опасных и неопасных грузов, отраженные в пунктах 8</w:t>
      </w:r>
      <w:r w:rsidRPr="00C461A9">
        <w:t>–</w:t>
      </w:r>
      <w:r>
        <w:t>11.</w:t>
      </w:r>
    </w:p>
    <w:p w14:paraId="522A0090" w14:textId="4B500000" w:rsidR="00E12C5F" w:rsidRPr="008D53B6" w:rsidRDefault="009D7C11" w:rsidP="009D7C11">
      <w:pPr>
        <w:spacing w:before="120"/>
        <w:jc w:val="center"/>
      </w:pPr>
      <w:r w:rsidRPr="005E4C28">
        <w:rPr>
          <w:u w:val="single"/>
        </w:rPr>
        <w:tab/>
      </w:r>
      <w:r w:rsidRPr="005E4C28">
        <w:rPr>
          <w:u w:val="single"/>
        </w:rPr>
        <w:tab/>
      </w:r>
      <w:r w:rsidRPr="005E4C28">
        <w:rPr>
          <w:u w:val="single"/>
        </w:rPr>
        <w:tab/>
      </w:r>
    </w:p>
    <w:sectPr w:rsidR="00E12C5F" w:rsidRPr="008D53B6" w:rsidSect="00A2737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834D2" w14:textId="77777777" w:rsidR="00DE4931" w:rsidRPr="00A312BC" w:rsidRDefault="00DE4931" w:rsidP="00A312BC"/>
  </w:endnote>
  <w:endnote w:type="continuationSeparator" w:id="0">
    <w:p w14:paraId="4ECAA1CE" w14:textId="77777777" w:rsidR="00DE4931" w:rsidRPr="00A312BC" w:rsidRDefault="00DE493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F226" w14:textId="34F786A4" w:rsidR="009D7C11" w:rsidRPr="009D7C11" w:rsidRDefault="009D7C11">
    <w:pPr>
      <w:pStyle w:val="a8"/>
    </w:pPr>
    <w:r w:rsidRPr="009D7C11">
      <w:rPr>
        <w:b/>
        <w:sz w:val="18"/>
      </w:rPr>
      <w:fldChar w:fldCharType="begin"/>
    </w:r>
    <w:r w:rsidRPr="009D7C11">
      <w:rPr>
        <w:b/>
        <w:sz w:val="18"/>
      </w:rPr>
      <w:instrText xml:space="preserve"> PAGE  \* MERGEFORMAT </w:instrText>
    </w:r>
    <w:r w:rsidRPr="009D7C11">
      <w:rPr>
        <w:b/>
        <w:sz w:val="18"/>
      </w:rPr>
      <w:fldChar w:fldCharType="separate"/>
    </w:r>
    <w:r w:rsidRPr="009D7C11">
      <w:rPr>
        <w:b/>
        <w:noProof/>
        <w:sz w:val="18"/>
      </w:rPr>
      <w:t>2</w:t>
    </w:r>
    <w:r w:rsidRPr="009D7C11">
      <w:rPr>
        <w:b/>
        <w:sz w:val="18"/>
      </w:rPr>
      <w:fldChar w:fldCharType="end"/>
    </w:r>
    <w:r>
      <w:rPr>
        <w:b/>
        <w:sz w:val="18"/>
      </w:rPr>
      <w:tab/>
    </w:r>
    <w:r>
      <w:t>GE.21-16649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CE66" w14:textId="44692F24" w:rsidR="009D7C11" w:rsidRPr="009D7C11" w:rsidRDefault="009D7C11" w:rsidP="009D7C11">
    <w:pPr>
      <w:pStyle w:val="a8"/>
      <w:tabs>
        <w:tab w:val="clear" w:pos="9639"/>
        <w:tab w:val="right" w:pos="9638"/>
      </w:tabs>
      <w:rPr>
        <w:b/>
        <w:sz w:val="18"/>
      </w:rPr>
    </w:pPr>
    <w:r>
      <w:t>GE.21-16649</w:t>
    </w:r>
    <w:r>
      <w:tab/>
    </w:r>
    <w:r w:rsidRPr="009D7C11">
      <w:rPr>
        <w:b/>
        <w:sz w:val="18"/>
      </w:rPr>
      <w:fldChar w:fldCharType="begin"/>
    </w:r>
    <w:r w:rsidRPr="009D7C11">
      <w:rPr>
        <w:b/>
        <w:sz w:val="18"/>
      </w:rPr>
      <w:instrText xml:space="preserve"> PAGE  \* MERGEFORMAT </w:instrText>
    </w:r>
    <w:r w:rsidRPr="009D7C11">
      <w:rPr>
        <w:b/>
        <w:sz w:val="18"/>
      </w:rPr>
      <w:fldChar w:fldCharType="separate"/>
    </w:r>
    <w:r w:rsidRPr="009D7C11">
      <w:rPr>
        <w:b/>
        <w:noProof/>
        <w:sz w:val="18"/>
      </w:rPr>
      <w:t>3</w:t>
    </w:r>
    <w:r w:rsidRPr="009D7C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ADAD" w14:textId="0EF32C35" w:rsidR="00042B72" w:rsidRPr="009D7C11" w:rsidRDefault="009D7C11" w:rsidP="009D7C1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AFAD4DB" wp14:editId="3F528D0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21-16649  (R)</w:t>
    </w:r>
    <w:r>
      <w:rPr>
        <w:noProof/>
      </w:rPr>
      <w:drawing>
        <wp:anchor distT="0" distB="0" distL="114300" distR="114300" simplePos="0" relativeHeight="251659264" behindDoc="0" locked="0" layoutInCell="1" allowOverlap="1" wp14:anchorId="4C872D61" wp14:editId="167F7DA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221121  221121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571E" w14:textId="77777777" w:rsidR="00DE4931" w:rsidRPr="001075E9" w:rsidRDefault="00DE4931" w:rsidP="001075E9">
      <w:pPr>
        <w:tabs>
          <w:tab w:val="right" w:pos="2155"/>
        </w:tabs>
        <w:spacing w:after="80" w:line="240" w:lineRule="auto"/>
        <w:ind w:left="680"/>
        <w:rPr>
          <w:u w:val="single"/>
        </w:rPr>
      </w:pPr>
      <w:r>
        <w:rPr>
          <w:u w:val="single"/>
        </w:rPr>
        <w:tab/>
      </w:r>
    </w:p>
  </w:footnote>
  <w:footnote w:type="continuationSeparator" w:id="0">
    <w:p w14:paraId="4F660AE3" w14:textId="77777777" w:rsidR="00DE4931" w:rsidRDefault="00DE4931" w:rsidP="00407B78">
      <w:pPr>
        <w:tabs>
          <w:tab w:val="right" w:pos="2155"/>
        </w:tabs>
        <w:spacing w:after="80"/>
        <w:ind w:left="680"/>
        <w:rPr>
          <w:u w:val="single"/>
        </w:rPr>
      </w:pPr>
      <w:r>
        <w:rPr>
          <w:u w:val="single"/>
        </w:rPr>
        <w:tab/>
      </w:r>
    </w:p>
  </w:footnote>
  <w:footnote w:id="1">
    <w:p w14:paraId="0ECB2CCF" w14:textId="63208F93" w:rsidR="009D7C11" w:rsidRPr="00314F4B" w:rsidRDefault="009D7C11" w:rsidP="009D7C11">
      <w:pPr>
        <w:pStyle w:val="ad"/>
      </w:pPr>
      <w:r>
        <w:tab/>
      </w:r>
      <w:r w:rsidRPr="00A27374">
        <w:rPr>
          <w:sz w:val="20"/>
        </w:rPr>
        <w:t>*</w:t>
      </w:r>
      <w:r>
        <w:tab/>
        <w:t>Распространено на немецком языке Центральной комиссией судоходства по Рейну под условным обозначением CCNR-ZKR/ADN/WP.15/AC.2/2022/1</w:t>
      </w:r>
      <w:r w:rsidR="009F7CAD" w:rsidRPr="009F7CAD">
        <w:t>6</w:t>
      </w:r>
      <w:r>
        <w:t>.</w:t>
      </w:r>
    </w:p>
  </w:footnote>
  <w:footnote w:id="2">
    <w:p w14:paraId="699EF3E7" w14:textId="39CED6FE" w:rsidR="009D7C11" w:rsidRPr="006E1476" w:rsidRDefault="009D7C11" w:rsidP="00A27374">
      <w:pPr>
        <w:pStyle w:val="ad"/>
        <w:widowControl w:val="0"/>
        <w:rPr>
          <w:lang w:val="en-US"/>
        </w:rPr>
      </w:pPr>
      <w:r>
        <w:tab/>
      </w:r>
      <w:r w:rsidRPr="00A27374">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24786" w14:textId="043C9D79" w:rsidR="009D7C11" w:rsidRPr="009D7C11" w:rsidRDefault="009D7C11">
    <w:pPr>
      <w:pStyle w:val="a5"/>
    </w:pPr>
    <w:fldSimple w:instr=" TITLE  \* MERGEFORMAT ">
      <w:r w:rsidR="001E1DDD">
        <w:t>ECE/TRANS/WP.15/AC.2/2022/18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989A" w14:textId="3E2768BD" w:rsidR="009D7C11" w:rsidRPr="009D7C11" w:rsidRDefault="009D7C11" w:rsidP="009D7C11">
    <w:pPr>
      <w:pStyle w:val="a5"/>
      <w:jc w:val="right"/>
    </w:pPr>
    <w:fldSimple w:instr=" TITLE  \* MERGEFORMAT ">
      <w:r w:rsidR="001E1DDD">
        <w:t>ECE/TRANS/WP.15/AC.2/2022/18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FFD18" w14:textId="77777777" w:rsidR="009D7C11" w:rsidRDefault="009D7C11" w:rsidP="009D7C1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31"/>
    <w:rsid w:val="000262E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E1DDD"/>
    <w:rsid w:val="00255343"/>
    <w:rsid w:val="0027151D"/>
    <w:rsid w:val="002A2EFC"/>
    <w:rsid w:val="002B0106"/>
    <w:rsid w:val="002B74B1"/>
    <w:rsid w:val="002C0E18"/>
    <w:rsid w:val="002D5AAC"/>
    <w:rsid w:val="002E5067"/>
    <w:rsid w:val="002F2844"/>
    <w:rsid w:val="002F405F"/>
    <w:rsid w:val="002F7EEC"/>
    <w:rsid w:val="00301299"/>
    <w:rsid w:val="00305C08"/>
    <w:rsid w:val="00307FB6"/>
    <w:rsid w:val="00317339"/>
    <w:rsid w:val="00322004"/>
    <w:rsid w:val="00332850"/>
    <w:rsid w:val="003402C2"/>
    <w:rsid w:val="00361543"/>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C11"/>
    <w:rsid w:val="009D7E7D"/>
    <w:rsid w:val="009F7CAD"/>
    <w:rsid w:val="00A14DA8"/>
    <w:rsid w:val="00A27374"/>
    <w:rsid w:val="00A312BC"/>
    <w:rsid w:val="00A84021"/>
    <w:rsid w:val="00A84D35"/>
    <w:rsid w:val="00A917B3"/>
    <w:rsid w:val="00AB4B51"/>
    <w:rsid w:val="00B02555"/>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E4931"/>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BE2EFD"/>
  <w15:docId w15:val="{0FFAB87B-1633-46CF-81D5-048F8806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D7C11"/>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2E26D-771B-41A4-A228-FA5477165B9A}">
  <ds:schemaRefs>
    <ds:schemaRef ds:uri="http://schemas.openxmlformats.org/officeDocument/2006/bibliography"/>
  </ds:schemaRefs>
</ds:datastoreItem>
</file>

<file path=customXml/itemProps2.xml><?xml version="1.0" encoding="utf-8"?>
<ds:datastoreItem xmlns:ds="http://schemas.openxmlformats.org/officeDocument/2006/customXml" ds:itemID="{69F214FA-CC10-420B-B47F-8EF0377F6666}"/>
</file>

<file path=customXml/itemProps3.xml><?xml version="1.0" encoding="utf-8"?>
<ds:datastoreItem xmlns:ds="http://schemas.openxmlformats.org/officeDocument/2006/customXml" ds:itemID="{2E17CE5D-1571-4164-B0C6-6A0FB823142E}"/>
</file>

<file path=customXml/itemProps4.xml><?xml version="1.0" encoding="utf-8"?>
<ds:datastoreItem xmlns:ds="http://schemas.openxmlformats.org/officeDocument/2006/customXml" ds:itemID="{A9B17470-0161-4BE4-96F7-69C3C864DFCD}"/>
</file>

<file path=docProps/app.xml><?xml version="1.0" encoding="utf-8"?>
<Properties xmlns="http://schemas.openxmlformats.org/officeDocument/2006/extended-properties" xmlns:vt="http://schemas.openxmlformats.org/officeDocument/2006/docPropsVTypes">
  <Template>ECE.dotm</Template>
  <TotalTime>0</TotalTime>
  <Pages>4</Pages>
  <Words>1089</Words>
  <Characters>7289</Characters>
  <Application>Microsoft Office Word</Application>
  <DocSecurity>0</DocSecurity>
  <Lines>662</Lines>
  <Paragraphs>279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ECE/TRANS/WP.15/AC.2/2022/18</vt:lpstr>
      <vt:lpstr>A/</vt:lpstr>
      <vt:lpstr>A/</vt:lpstr>
    </vt:vector>
  </TitlesOfParts>
  <Company>DCM</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ECE/TRANS/WP.15/AC.2/2022/18</dc:title>
  <dc:subject/>
  <dc:creator>Olga OVTCHINNIKOVA</dc:creator>
  <cp:keywords/>
  <cp:lastModifiedBy>Olga Ovchinnikova</cp:lastModifiedBy>
  <cp:revision>3</cp:revision>
  <cp:lastPrinted>2021-11-22T16:08:00Z</cp:lastPrinted>
  <dcterms:created xsi:type="dcterms:W3CDTF">2021-11-22T16:08:00Z</dcterms:created>
  <dcterms:modified xsi:type="dcterms:W3CDTF">2021-11-22T16:09:00Z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