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9AD312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8F0EAF4" w14:textId="77777777" w:rsidR="002D5AAC" w:rsidRDefault="002D5AAC" w:rsidP="004167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D728B9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E6166B0" w14:textId="194D11F7" w:rsidR="002D5AAC" w:rsidRDefault="00416723" w:rsidP="00416723">
            <w:pPr>
              <w:jc w:val="right"/>
            </w:pPr>
            <w:r w:rsidRPr="00416723">
              <w:rPr>
                <w:sz w:val="40"/>
              </w:rPr>
              <w:t>ECE</w:t>
            </w:r>
            <w:r>
              <w:t>/TRANS/WP.15/AC.2/2022/13</w:t>
            </w:r>
          </w:p>
        </w:tc>
      </w:tr>
      <w:tr w:rsidR="002D5AAC" w:rsidRPr="00416723" w14:paraId="514EE7B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443560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44F7AF4" wp14:editId="682CB9C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47E82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C200D51" w14:textId="77777777" w:rsidR="002D5AAC" w:rsidRDefault="0041672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8E7F12E" w14:textId="7A3EAA47" w:rsidR="00416723" w:rsidRDefault="00416723" w:rsidP="0041672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A4673">
              <w:rPr>
                <w:lang w:val="en-US"/>
              </w:rPr>
              <w:t>2</w:t>
            </w:r>
            <w:r>
              <w:rPr>
                <w:lang w:val="en-US"/>
              </w:rPr>
              <w:t xml:space="preserve"> November 2021</w:t>
            </w:r>
          </w:p>
          <w:p w14:paraId="7785B30B" w14:textId="77777777" w:rsidR="00416723" w:rsidRDefault="00416723" w:rsidP="0041672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FA17D40" w14:textId="35B85473" w:rsidR="00416723" w:rsidRPr="008D53B6" w:rsidRDefault="00416723" w:rsidP="0041672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5B1C9E7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F4B0492" w14:textId="77777777" w:rsidR="001A4673" w:rsidRPr="002F6BFD" w:rsidRDefault="001A4673" w:rsidP="001A4673">
      <w:pPr>
        <w:spacing w:before="120"/>
        <w:rPr>
          <w:sz w:val="28"/>
          <w:szCs w:val="28"/>
        </w:rPr>
      </w:pPr>
      <w:r w:rsidRPr="002F6BFD">
        <w:rPr>
          <w:sz w:val="28"/>
          <w:szCs w:val="28"/>
        </w:rPr>
        <w:t>Комитет по внутреннему транспорту</w:t>
      </w:r>
    </w:p>
    <w:p w14:paraId="0BFB3181" w14:textId="77777777" w:rsidR="001A4673" w:rsidRPr="002F6BFD" w:rsidRDefault="001A4673" w:rsidP="001A4673">
      <w:pPr>
        <w:spacing w:before="120" w:line="240" w:lineRule="auto"/>
        <w:rPr>
          <w:b/>
          <w:sz w:val="24"/>
          <w:szCs w:val="24"/>
        </w:rPr>
      </w:pPr>
      <w:r w:rsidRPr="002F6BFD">
        <w:rPr>
          <w:b/>
          <w:bCs/>
          <w:sz w:val="24"/>
          <w:szCs w:val="24"/>
        </w:rPr>
        <w:t>Рабочая группа по перевозкам опасных грузов</w:t>
      </w:r>
    </w:p>
    <w:p w14:paraId="3EA6DAE2" w14:textId="15595245" w:rsidR="001A4673" w:rsidRPr="00750B34" w:rsidRDefault="001A4673" w:rsidP="001A4673">
      <w:pPr>
        <w:spacing w:before="120" w:line="240" w:lineRule="auto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 xml:space="preserve">по внутренним водным путям (ВОПОГ) </w:t>
      </w:r>
      <w:r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2227F2B6" w14:textId="77777777" w:rsidR="001A4673" w:rsidRPr="00750B34" w:rsidRDefault="001A4673" w:rsidP="001A4673">
      <w:pPr>
        <w:tabs>
          <w:tab w:val="left" w:pos="4030"/>
        </w:tabs>
        <w:spacing w:before="120"/>
        <w:rPr>
          <w:b/>
        </w:rPr>
      </w:pPr>
      <w:r>
        <w:rPr>
          <w:b/>
          <w:bCs/>
        </w:rPr>
        <w:t>Тридцать девятая сессия</w:t>
      </w:r>
    </w:p>
    <w:p w14:paraId="7196E517" w14:textId="77777777" w:rsidR="001A4673" w:rsidRPr="00750B34" w:rsidRDefault="001A4673" w:rsidP="001A4673">
      <w:pPr>
        <w:rPr>
          <w:bCs/>
        </w:rPr>
      </w:pPr>
      <w:r>
        <w:t>Женева, 24–28 января 2022 года</w:t>
      </w:r>
    </w:p>
    <w:p w14:paraId="44DF8D4E" w14:textId="77777777" w:rsidR="001A4673" w:rsidRPr="00750B34" w:rsidRDefault="001A4673" w:rsidP="001A4673">
      <w:r>
        <w:t>Пункт 5 b) предварительной повестки дня</w:t>
      </w:r>
    </w:p>
    <w:p w14:paraId="6832715D" w14:textId="0517D8A8" w:rsidR="001A4673" w:rsidRPr="00750B34" w:rsidRDefault="001A4673" w:rsidP="001A4673">
      <w:r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</w:r>
      <w:r>
        <w:rPr>
          <w:b/>
          <w:bCs/>
        </w:rPr>
        <w:t>прилагаемые к ВОПОГ:</w:t>
      </w:r>
      <w:r w:rsidRPr="001A4673">
        <w:rPr>
          <w:b/>
          <w:bCs/>
        </w:rPr>
        <w:t xml:space="preserve"> </w:t>
      </w:r>
      <w:r>
        <w:rPr>
          <w:b/>
          <w:bCs/>
        </w:rPr>
        <w:t>другие предложения</w:t>
      </w:r>
    </w:p>
    <w:p w14:paraId="7233ECF3" w14:textId="77777777" w:rsidR="001A4673" w:rsidRPr="00750B34" w:rsidRDefault="001A4673" w:rsidP="001A4673">
      <w:pPr>
        <w:pStyle w:val="HChG"/>
        <w:keepNext w:val="0"/>
        <w:keepLines w:val="0"/>
      </w:pPr>
      <w:r>
        <w:tab/>
      </w:r>
      <w:r>
        <w:tab/>
      </w:r>
      <w:r>
        <w:rPr>
          <w:bCs/>
        </w:rPr>
        <w:t>Свидетельства о допущении и морские суда</w:t>
      </w:r>
    </w:p>
    <w:p w14:paraId="4D162342" w14:textId="1DACDE3C" w:rsidR="001A4673" w:rsidRDefault="001A4673" w:rsidP="001A4673">
      <w:pPr>
        <w:pStyle w:val="H1G"/>
        <w:rPr>
          <w:b w:val="0"/>
          <w:bCs/>
          <w:sz w:val="20"/>
        </w:rPr>
      </w:pPr>
      <w:r>
        <w:tab/>
      </w:r>
      <w:r>
        <w:tab/>
      </w:r>
      <w:r>
        <w:rPr>
          <w:bCs/>
        </w:rPr>
        <w:t>Передано правительством Франции</w:t>
      </w:r>
      <w:r w:rsidRPr="001A4673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1A4673">
        <w:rPr>
          <w:b w:val="0"/>
          <w:bCs/>
          <w:sz w:val="20"/>
        </w:rPr>
        <w:t xml:space="preserve"> </w:t>
      </w:r>
      <w:r w:rsidRPr="001A4673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708"/>
      </w:tblGrid>
      <w:tr w:rsidR="001A4673" w:rsidRPr="001E392A" w14:paraId="133B9B49" w14:textId="77777777" w:rsidTr="00E14CFE">
        <w:trPr>
          <w:jc w:val="center"/>
        </w:trPr>
        <w:tc>
          <w:tcPr>
            <w:tcW w:w="2830" w:type="dxa"/>
            <w:tcBorders>
              <w:bottom w:val="nil"/>
              <w:right w:val="nil"/>
            </w:tcBorders>
            <w:shd w:val="clear" w:color="auto" w:fill="auto"/>
          </w:tcPr>
          <w:p w14:paraId="655373EA" w14:textId="58CA6BE0" w:rsidR="001A4673" w:rsidRPr="008F5F5F" w:rsidRDefault="001A4673" w:rsidP="00E04698">
            <w:pPr>
              <w:tabs>
                <w:tab w:val="left" w:pos="255"/>
              </w:tabs>
              <w:spacing w:before="120" w:after="120"/>
              <w:rPr>
                <w:i/>
                <w:sz w:val="24"/>
                <w:szCs w:val="24"/>
              </w:rPr>
            </w:pPr>
            <w:bookmarkStart w:id="0" w:name="_Hlk515009299"/>
            <w:r w:rsidRPr="00E14CFE">
              <w:rPr>
                <w:rFonts w:cs="Times New Roman"/>
                <w:i/>
                <w:sz w:val="24"/>
              </w:rPr>
              <w:t>Резюме</w:t>
            </w:r>
          </w:p>
        </w:tc>
        <w:tc>
          <w:tcPr>
            <w:tcW w:w="6708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4D92C926" w14:textId="77777777" w:rsidR="001A4673" w:rsidRPr="00750B34" w:rsidRDefault="001A4673" w:rsidP="00E14CFE">
            <w:pPr>
              <w:spacing w:before="40" w:after="120" w:line="240" w:lineRule="auto"/>
            </w:pPr>
            <w:r>
              <w:t>Франция предлагает поправку к главе 1.16 в отношении морских судов.</w:t>
            </w:r>
          </w:p>
        </w:tc>
      </w:tr>
      <w:tr w:rsidR="001A4673" w:rsidRPr="001E392A" w14:paraId="07AB73B2" w14:textId="77777777" w:rsidTr="00E14CFE">
        <w:trPr>
          <w:jc w:val="center"/>
        </w:trPr>
        <w:tc>
          <w:tcPr>
            <w:tcW w:w="28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C1093F" w14:textId="77777777" w:rsidR="001A4673" w:rsidRPr="008631F7" w:rsidRDefault="001A4673" w:rsidP="00035A1E">
            <w:pPr>
              <w:widowControl w:val="0"/>
              <w:suppressAutoHyphens w:val="0"/>
              <w:spacing w:before="40" w:after="120" w:line="240" w:lineRule="auto"/>
              <w:textAlignment w:val="baseline"/>
              <w:rPr>
                <w:b/>
              </w:rPr>
            </w:pPr>
            <w:r>
              <w:rPr>
                <w:b/>
                <w:bCs/>
              </w:rPr>
              <w:t>Существо предложения:</w:t>
            </w:r>
          </w:p>
        </w:tc>
        <w:tc>
          <w:tcPr>
            <w:tcW w:w="67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88CABE6" w14:textId="77777777" w:rsidR="001A4673" w:rsidRPr="00750B34" w:rsidRDefault="001A4673" w:rsidP="008F5F5F">
            <w:pPr>
              <w:spacing w:before="40" w:after="120" w:line="240" w:lineRule="auto"/>
              <w:jc w:val="both"/>
              <w:rPr>
                <w:rFonts w:cs="Arial"/>
              </w:rPr>
            </w:pPr>
            <w:r>
              <w:t>Франция хотела бы, чтобы было предусмотрено, что морские суда, плавающие по внутренним водным путям, могут освобождаться от требования иметь свидетельство о допущении при условии наличия у таких судов соответствующих свидетельств, применяемых в морском судоходстве.</w:t>
            </w:r>
          </w:p>
        </w:tc>
      </w:tr>
      <w:tr w:rsidR="001A4673" w:rsidRPr="00D81920" w14:paraId="5CB21E7E" w14:textId="77777777" w:rsidTr="00E14CFE">
        <w:trPr>
          <w:jc w:val="center"/>
        </w:trPr>
        <w:tc>
          <w:tcPr>
            <w:tcW w:w="28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821EAC" w14:textId="77777777" w:rsidR="001A4673" w:rsidRPr="008631F7" w:rsidRDefault="001A4673" w:rsidP="00035A1E">
            <w:pPr>
              <w:widowControl w:val="0"/>
              <w:suppressAutoHyphens w:val="0"/>
              <w:spacing w:before="40" w:after="120" w:line="240" w:lineRule="auto"/>
              <w:textAlignment w:val="baseline"/>
              <w:rPr>
                <w:b/>
              </w:rPr>
            </w:pPr>
            <w:r>
              <w:rPr>
                <w:b/>
                <w:bCs/>
              </w:rPr>
              <w:t>Предлагаемое решение:</w:t>
            </w:r>
          </w:p>
        </w:tc>
        <w:tc>
          <w:tcPr>
            <w:tcW w:w="67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DF905D" w14:textId="77777777" w:rsidR="001A4673" w:rsidRPr="00E67329" w:rsidRDefault="001A4673" w:rsidP="008F5F5F">
            <w:pPr>
              <w:widowControl w:val="0"/>
              <w:spacing w:before="40" w:after="120" w:line="240" w:lineRule="auto"/>
              <w:ind w:left="11"/>
              <w:jc w:val="both"/>
              <w:textAlignment w:val="baseline"/>
            </w:pPr>
            <w:r>
              <w:t>См. пункты 5</w:t>
            </w:r>
            <w:r>
              <w:rPr>
                <w:lang w:val="en-US"/>
              </w:rPr>
              <w:t>–</w:t>
            </w:r>
            <w:r>
              <w:t>7 и приложение.</w:t>
            </w:r>
          </w:p>
        </w:tc>
      </w:tr>
      <w:tr w:rsidR="001A4673" w:rsidRPr="00952082" w14:paraId="3EED18E8" w14:textId="77777777" w:rsidTr="00E14CFE">
        <w:trPr>
          <w:jc w:val="center"/>
        </w:trPr>
        <w:tc>
          <w:tcPr>
            <w:tcW w:w="2830" w:type="dxa"/>
            <w:tcBorders>
              <w:top w:val="nil"/>
              <w:right w:val="nil"/>
            </w:tcBorders>
            <w:shd w:val="clear" w:color="auto" w:fill="auto"/>
          </w:tcPr>
          <w:p w14:paraId="3848B864" w14:textId="77777777" w:rsidR="001A4673" w:rsidRPr="008631F7" w:rsidRDefault="001A4673" w:rsidP="00035A1E">
            <w:pPr>
              <w:widowControl w:val="0"/>
              <w:tabs>
                <w:tab w:val="left" w:pos="284"/>
              </w:tabs>
              <w:suppressAutoHyphens w:val="0"/>
              <w:spacing w:before="40" w:after="120" w:line="240" w:lineRule="auto"/>
              <w:textAlignment w:val="baseline"/>
              <w:rPr>
                <w:b/>
              </w:rPr>
            </w:pPr>
            <w:r>
              <w:rPr>
                <w:b/>
                <w:bCs/>
              </w:rPr>
              <w:t>Справочные документы:</w:t>
            </w:r>
          </w:p>
        </w:tc>
        <w:tc>
          <w:tcPr>
            <w:tcW w:w="6708" w:type="dxa"/>
            <w:tcBorders>
              <w:top w:val="nil"/>
              <w:left w:val="nil"/>
            </w:tcBorders>
            <w:shd w:val="clear" w:color="auto" w:fill="auto"/>
          </w:tcPr>
          <w:p w14:paraId="58D6AE64" w14:textId="77777777" w:rsidR="001A4673" w:rsidRPr="00E67329" w:rsidRDefault="001A4673" w:rsidP="008F5F5F">
            <w:pPr>
              <w:widowControl w:val="0"/>
              <w:spacing w:before="40" w:after="120" w:line="240" w:lineRule="auto"/>
              <w:ind w:left="11"/>
              <w:jc w:val="both"/>
              <w:textAlignment w:val="baseline"/>
            </w:pPr>
            <w:r>
              <w:t>Отсутствуют.</w:t>
            </w:r>
          </w:p>
        </w:tc>
      </w:tr>
    </w:tbl>
    <w:bookmarkEnd w:id="0"/>
    <w:p w14:paraId="28E1494F" w14:textId="77777777" w:rsidR="001A4673" w:rsidRDefault="001A4673" w:rsidP="001A4673">
      <w:pPr>
        <w:pStyle w:val="HChG"/>
      </w:pPr>
      <w:r>
        <w:tab/>
        <w:t>I.</w:t>
      </w:r>
      <w:r>
        <w:tab/>
      </w:r>
      <w:r>
        <w:rPr>
          <w:bCs/>
        </w:rPr>
        <w:t>Анализ проблемы</w:t>
      </w:r>
    </w:p>
    <w:p w14:paraId="65C62B0C" w14:textId="77777777" w:rsidR="001A4673" w:rsidRPr="00750B34" w:rsidRDefault="001A4673" w:rsidP="001A4673">
      <w:pPr>
        <w:pStyle w:val="SingleTxtG"/>
      </w:pPr>
      <w:r>
        <w:t>1.</w:t>
      </w:r>
      <w:r>
        <w:tab/>
        <w:t>В действующем Соглашении ВОПОГ и Правилах, прилагаемых к ВОПОГ, имеется лишь небольшое число особых положений, применимых к морским судам.</w:t>
      </w:r>
    </w:p>
    <w:p w14:paraId="7E6E52E8" w14:textId="77777777" w:rsidR="001A4673" w:rsidRPr="00750B34" w:rsidRDefault="001A4673" w:rsidP="001A4673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</w:pPr>
      <w:r>
        <w:t>Пункт 2 статьи 1 Соглашения ВОПОГ предусматривает, что ВОПОГ не применяется «к перевозке опасных грузов морскими судами по морским судоходным путям, составляющим часть внутренних водных путей».</w:t>
      </w:r>
    </w:p>
    <w:p w14:paraId="696F8F88" w14:textId="77777777" w:rsidR="001A4673" w:rsidRPr="00750B34" w:rsidRDefault="001A4673" w:rsidP="001A4673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</w:pPr>
      <w:r>
        <w:lastRenderedPageBreak/>
        <w:t>В пункте e) статьи 3 Соглашения морские судоходные пути определяются как «внутренние водные пути, связанные с морем, используемые в основном для движения морских судов и установленные в качестве таковых в соответствии с национальным правом».</w:t>
      </w:r>
    </w:p>
    <w:p w14:paraId="77E23AFB" w14:textId="77777777" w:rsidR="001A4673" w:rsidRPr="00750B34" w:rsidRDefault="001A4673" w:rsidP="001A4673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</w:pPr>
      <w:r>
        <w:t>В Правилах, прилагаемых к ВОПОГ, за исключением применимых к морским судам нескольких требований, изложенных в главах 7.1 или 7.2, основная ссылка на морские суда в связи с их конструкцией содержится в разделе 9.2.0.</w:t>
      </w:r>
    </w:p>
    <w:p w14:paraId="3CFDA293" w14:textId="77777777" w:rsidR="001A4673" w:rsidRPr="00750B34" w:rsidRDefault="001A4673" w:rsidP="001A4673">
      <w:pPr>
        <w:pStyle w:val="SingleTxtG"/>
      </w:pPr>
      <w:r>
        <w:t>2.</w:t>
      </w:r>
      <w:r>
        <w:tab/>
        <w:t>Кроме того, как в пункте а) статьи 3 Соглашения ВОПОГ, так и в разделе 1.2.1 прилагаемых Правил морские суда включены в определение термина «судно».</w:t>
      </w:r>
    </w:p>
    <w:p w14:paraId="6952B0C0" w14:textId="77777777" w:rsidR="001A4673" w:rsidRPr="00750B34" w:rsidRDefault="001A4673" w:rsidP="001A4673">
      <w:pPr>
        <w:pStyle w:val="SingleTxtG"/>
      </w:pPr>
      <w:r>
        <w:t>3.</w:t>
      </w:r>
      <w:r>
        <w:tab/>
        <w:t>Учитывая вышеизложенное, строгое применение пункта 1.16.1.1.1 прилагаемых Правил требует наличия у морского судна, перевозящего опасные грузы, свидетельства о допущении при плавании по внутреннему водному пути, который не может считаться морским судоходным путем.</w:t>
      </w:r>
    </w:p>
    <w:p w14:paraId="24539D4E" w14:textId="77777777" w:rsidR="001A4673" w:rsidRPr="00750B34" w:rsidRDefault="001A4673" w:rsidP="001A4673">
      <w:pPr>
        <w:pStyle w:val="SingleTxtG"/>
      </w:pPr>
      <w:r>
        <w:t>4.</w:t>
      </w:r>
      <w:r>
        <w:tab/>
        <w:t>Однако различные соответствующие инструменты Международной морской организации (ИМО) предусматривают наличие и обязательную выдачу «свидетельств о пригодности» судна для перевозки опасных грузов морем, и можно относительно просто установить соответствие между «морскими» свидетельствами и свидетельствами о допущении ВОПОГ.</w:t>
      </w:r>
    </w:p>
    <w:p w14:paraId="36C66DDD" w14:textId="77777777" w:rsidR="001A4673" w:rsidRPr="00750B34" w:rsidRDefault="001A4673" w:rsidP="001A4673">
      <w:pPr>
        <w:pStyle w:val="HChG"/>
        <w:keepNext w:val="0"/>
      </w:pPr>
      <w:r>
        <w:tab/>
        <w:t>II.</w:t>
      </w:r>
      <w:r>
        <w:tab/>
      </w:r>
      <w:r>
        <w:rPr>
          <w:bCs/>
        </w:rPr>
        <w:t>Предложение</w:t>
      </w:r>
    </w:p>
    <w:p w14:paraId="7571776C" w14:textId="77777777" w:rsidR="001A4673" w:rsidRPr="00750B34" w:rsidRDefault="001A4673" w:rsidP="001A4673">
      <w:pPr>
        <w:pStyle w:val="SingleTxtG"/>
      </w:pPr>
      <w:r>
        <w:t>5.</w:t>
      </w:r>
      <w:r>
        <w:tab/>
        <w:t>Предложение, сформулированное в настоящем документе, предусматривает добавление в Правила, прилагаемые к ВОПОГ, пункта 1.16.1.1.3, текст которого приводится в приложении.</w:t>
      </w:r>
    </w:p>
    <w:p w14:paraId="1CFF56A8" w14:textId="77777777" w:rsidR="001A4673" w:rsidRPr="00750B34" w:rsidRDefault="001A4673" w:rsidP="001A4673">
      <w:pPr>
        <w:pStyle w:val="SingleTxtG"/>
        <w:rPr>
          <w:rStyle w:val="SingleTxtGChar"/>
        </w:rPr>
      </w:pPr>
      <w:r>
        <w:t>6.</w:t>
      </w:r>
      <w:r>
        <w:tab/>
        <w:t>Документы о безопасности, упомянутые в первом абзаце предлагаемого нового пункта 1.16.1.1.3, схожи с «судовым свидетельством», упомянутым в Правилах, прилагаемых к ВОПОГ.</w:t>
      </w:r>
    </w:p>
    <w:p w14:paraId="0AAC3E94" w14:textId="77777777" w:rsidR="001A4673" w:rsidRPr="00750B34" w:rsidRDefault="001A4673" w:rsidP="001A4673">
      <w:pPr>
        <w:pStyle w:val="SingleTxtG"/>
      </w:pPr>
      <w:r>
        <w:t>7.</w:t>
      </w:r>
      <w:r>
        <w:tab/>
        <w:t>Формулируя прилагаемое предложение, Франция придерживается того мнения, что этот вопрос лучше будет решить гармонизированным образом в рамках Правил, прилагаемых к ВОПОГ. Однако некоторые Договаривающиеся стороны могут предпочесть принять национальные решения или доктрины, в зависимости от своих внутренних законов и правил.</w:t>
      </w:r>
    </w:p>
    <w:p w14:paraId="0CE97B8D" w14:textId="77777777" w:rsidR="001A4673" w:rsidRPr="00750B34" w:rsidRDefault="001A4673" w:rsidP="001A4673">
      <w:pPr>
        <w:pStyle w:val="HChG"/>
      </w:pPr>
      <w:r>
        <w:tab/>
        <w:t>III.</w:t>
      </w:r>
      <w:r>
        <w:tab/>
      </w:r>
      <w:r>
        <w:rPr>
          <w:bCs/>
        </w:rPr>
        <w:t>Последующие действия</w:t>
      </w:r>
    </w:p>
    <w:p w14:paraId="4B7A289D" w14:textId="77777777" w:rsidR="008F5F5F" w:rsidRDefault="001A4673" w:rsidP="001A4673">
      <w:pPr>
        <w:pStyle w:val="SingleTxtG"/>
        <w:sectPr w:rsidR="008F5F5F" w:rsidSect="00416723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  <w:r>
        <w:t>8.</w:t>
      </w:r>
      <w:r>
        <w:tab/>
        <w:t xml:space="preserve">Комитету по вопросам безопасности ВОПОГ предлагается принять к сведению пункты 5–7 выше и принять решение, которое он </w:t>
      </w:r>
      <w:proofErr w:type="gramStart"/>
      <w:r>
        <w:t>сочтет</w:t>
      </w:r>
      <w:proofErr w:type="gramEnd"/>
      <w:r>
        <w:t xml:space="preserve"> целесообразным.</w:t>
      </w:r>
    </w:p>
    <w:p w14:paraId="663BB9D8" w14:textId="77777777" w:rsidR="008F5F5F" w:rsidRPr="00750B34" w:rsidRDefault="008F5F5F" w:rsidP="008F5F5F">
      <w:pPr>
        <w:pStyle w:val="HChG"/>
      </w:pPr>
      <w:r>
        <w:rPr>
          <w:bCs/>
        </w:rPr>
        <w:lastRenderedPageBreak/>
        <w:t>Приложение</w:t>
      </w:r>
    </w:p>
    <w:p w14:paraId="1C5572EE" w14:textId="77777777" w:rsidR="008F5F5F" w:rsidRPr="00750B34" w:rsidRDefault="008F5F5F" w:rsidP="008F5F5F">
      <w:pPr>
        <w:pStyle w:val="SingleTxtG"/>
        <w:ind w:left="1701"/>
      </w:pPr>
      <w:r>
        <w:t xml:space="preserve">«1.16.1.1.3 </w:t>
      </w:r>
      <w:r>
        <w:tab/>
        <w:t>Несмотря на положения пункта 1.16.1.1.1, морское судно, перевозящее опасные грузы по внутреннему водному пути, может быть освобождено от требования иметь свидетельство о допущении при условии соблюдения следующих положений:</w:t>
      </w:r>
    </w:p>
    <w:p w14:paraId="1526D7AD" w14:textId="77777777" w:rsidR="008F5F5F" w:rsidRPr="00750B34" w:rsidRDefault="008F5F5F" w:rsidP="008F5F5F">
      <w:pPr>
        <w:pStyle w:val="Bullet2G"/>
        <w:numPr>
          <w:ilvl w:val="0"/>
          <w:numId w:val="23"/>
        </w:numPr>
        <w:kinsoku w:val="0"/>
        <w:overflowPunct w:val="0"/>
        <w:autoSpaceDE w:val="0"/>
        <w:autoSpaceDN w:val="0"/>
        <w:adjustRightInd w:val="0"/>
        <w:snapToGrid w:val="0"/>
        <w:ind w:left="3005"/>
      </w:pPr>
      <w:r>
        <w:t>морское судно имеет документы о безопасности, выданные в соответствии с Международной конвенцией по охране человеческой жизни на море 1974 года с поправками, внесенными Протоколом 1988 года к ней (Конвенция СОЛАС 1974 года); и</w:t>
      </w:r>
    </w:p>
    <w:p w14:paraId="0E2CB8B4" w14:textId="77777777" w:rsidR="008F5F5F" w:rsidRPr="00750B34" w:rsidRDefault="008F5F5F" w:rsidP="008F5F5F">
      <w:pPr>
        <w:pStyle w:val="Bullet2G"/>
        <w:numPr>
          <w:ilvl w:val="0"/>
          <w:numId w:val="23"/>
        </w:numPr>
        <w:kinsoku w:val="0"/>
        <w:overflowPunct w:val="0"/>
        <w:autoSpaceDE w:val="0"/>
        <w:autoSpaceDN w:val="0"/>
        <w:adjustRightInd w:val="0"/>
        <w:snapToGrid w:val="0"/>
        <w:ind w:left="3005"/>
      </w:pPr>
      <w:r>
        <w:t>морское судно имеет документ о соответствии или свидетельство о пригодности в соответствии со следующей таблицей соответствия:</w:t>
      </w:r>
    </w:p>
    <w:tbl>
      <w:tblPr>
        <w:tblStyle w:val="ac"/>
        <w:tblW w:w="13776" w:type="dxa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9"/>
        <w:gridCol w:w="2008"/>
        <w:gridCol w:w="4736"/>
        <w:gridCol w:w="4453"/>
      </w:tblGrid>
      <w:tr w:rsidR="008F5F5F" w:rsidRPr="008F5F5F" w14:paraId="55C52F1E" w14:textId="77777777" w:rsidTr="00035A1E">
        <w:trPr>
          <w:cantSplit/>
          <w:tblHeader/>
        </w:trPr>
        <w:tc>
          <w:tcPr>
            <w:tcW w:w="25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4B69559" w14:textId="77777777" w:rsidR="008F5F5F" w:rsidRPr="008F5F5F" w:rsidRDefault="008F5F5F" w:rsidP="008F5F5F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8F5F5F">
              <w:rPr>
                <w:i/>
                <w:iCs/>
                <w:sz w:val="16"/>
                <w:szCs w:val="16"/>
              </w:rPr>
              <w:t>Правила, прилагаемые к ВОПОГ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B8C6DDE" w14:textId="77777777" w:rsidR="008F5F5F" w:rsidRPr="008F5F5F" w:rsidRDefault="008F5F5F" w:rsidP="008F5F5F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8F5F5F">
              <w:rPr>
                <w:i/>
                <w:iCs/>
                <w:sz w:val="16"/>
                <w:szCs w:val="16"/>
              </w:rPr>
              <w:t>Тип груза</w:t>
            </w:r>
          </w:p>
        </w:tc>
        <w:tc>
          <w:tcPr>
            <w:tcW w:w="47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55FC51F" w14:textId="77777777" w:rsidR="008F5F5F" w:rsidRPr="008F5F5F" w:rsidRDefault="008F5F5F" w:rsidP="008F5F5F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8F5F5F">
              <w:rPr>
                <w:i/>
                <w:iCs/>
                <w:sz w:val="16"/>
                <w:szCs w:val="16"/>
              </w:rPr>
              <w:t>Название документа ИМО</w:t>
            </w:r>
          </w:p>
        </w:tc>
        <w:tc>
          <w:tcPr>
            <w:tcW w:w="44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1A308C" w14:textId="77777777" w:rsidR="008F5F5F" w:rsidRPr="008F5F5F" w:rsidRDefault="008F5F5F" w:rsidP="008F5F5F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8F5F5F">
              <w:rPr>
                <w:i/>
                <w:iCs/>
                <w:sz w:val="16"/>
                <w:szCs w:val="16"/>
              </w:rPr>
              <w:t>Соответствующий инструмент ИМО</w:t>
            </w:r>
          </w:p>
        </w:tc>
      </w:tr>
      <w:tr w:rsidR="008F5F5F" w:rsidRPr="003511DB" w14:paraId="550ED4AB" w14:textId="77777777" w:rsidTr="00035A1E">
        <w:trPr>
          <w:cantSplit/>
          <w:trHeight w:hRule="exact" w:val="113"/>
        </w:trPr>
        <w:tc>
          <w:tcPr>
            <w:tcW w:w="2579" w:type="dxa"/>
            <w:tcBorders>
              <w:top w:val="single" w:sz="12" w:space="0" w:color="auto"/>
            </w:tcBorders>
            <w:shd w:val="clear" w:color="auto" w:fill="auto"/>
          </w:tcPr>
          <w:p w14:paraId="08AD7DF3" w14:textId="77777777" w:rsidR="008F5F5F" w:rsidRPr="003511DB" w:rsidRDefault="008F5F5F" w:rsidP="008F5F5F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2008" w:type="dxa"/>
            <w:tcBorders>
              <w:top w:val="single" w:sz="12" w:space="0" w:color="auto"/>
            </w:tcBorders>
            <w:shd w:val="clear" w:color="auto" w:fill="auto"/>
          </w:tcPr>
          <w:p w14:paraId="02C583E9" w14:textId="77777777" w:rsidR="008F5F5F" w:rsidRPr="003511DB" w:rsidRDefault="008F5F5F" w:rsidP="008F5F5F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4736" w:type="dxa"/>
            <w:tcBorders>
              <w:top w:val="single" w:sz="12" w:space="0" w:color="auto"/>
            </w:tcBorders>
            <w:shd w:val="clear" w:color="auto" w:fill="auto"/>
          </w:tcPr>
          <w:p w14:paraId="6E6230B2" w14:textId="77777777" w:rsidR="008F5F5F" w:rsidRPr="003511DB" w:rsidRDefault="008F5F5F" w:rsidP="008F5F5F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4453" w:type="dxa"/>
            <w:tcBorders>
              <w:top w:val="single" w:sz="12" w:space="0" w:color="auto"/>
            </w:tcBorders>
            <w:shd w:val="clear" w:color="auto" w:fill="auto"/>
          </w:tcPr>
          <w:p w14:paraId="47F31F91" w14:textId="77777777" w:rsidR="008F5F5F" w:rsidRPr="003511DB" w:rsidRDefault="008F5F5F" w:rsidP="008F5F5F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8F5F5F" w:rsidRPr="001E392A" w14:paraId="42E87BD7" w14:textId="77777777" w:rsidTr="00035A1E">
        <w:trPr>
          <w:cantSplit/>
        </w:trPr>
        <w:tc>
          <w:tcPr>
            <w:tcW w:w="2579" w:type="dxa"/>
            <w:shd w:val="clear" w:color="auto" w:fill="auto"/>
          </w:tcPr>
          <w:p w14:paraId="3501798A" w14:textId="03C7F08E" w:rsidR="008F5F5F" w:rsidRPr="00750B34" w:rsidRDefault="008F5F5F" w:rsidP="008F5F5F">
            <w:pPr>
              <w:spacing w:before="40" w:after="120"/>
              <w:ind w:right="113"/>
            </w:pPr>
            <w:r>
              <w:t xml:space="preserve">Свидетельство </w:t>
            </w:r>
            <w:r w:rsidR="00E22B94">
              <w:br/>
            </w:r>
            <w:r>
              <w:t>о допущении сухогрузного судна</w:t>
            </w:r>
          </w:p>
        </w:tc>
        <w:tc>
          <w:tcPr>
            <w:tcW w:w="2008" w:type="dxa"/>
            <w:shd w:val="clear" w:color="auto" w:fill="auto"/>
          </w:tcPr>
          <w:p w14:paraId="14A07FAC" w14:textId="77777777" w:rsidR="008F5F5F" w:rsidRPr="003511DB" w:rsidRDefault="008F5F5F" w:rsidP="008F5F5F">
            <w:pPr>
              <w:spacing w:before="40" w:after="120"/>
              <w:ind w:right="113"/>
            </w:pPr>
            <w:r>
              <w:t>Упаковки</w:t>
            </w:r>
          </w:p>
        </w:tc>
        <w:tc>
          <w:tcPr>
            <w:tcW w:w="4736" w:type="dxa"/>
            <w:shd w:val="clear" w:color="auto" w:fill="auto"/>
          </w:tcPr>
          <w:p w14:paraId="6C4EA979" w14:textId="77777777" w:rsidR="008F5F5F" w:rsidRPr="00750B34" w:rsidRDefault="008F5F5F" w:rsidP="008F5F5F">
            <w:pPr>
              <w:spacing w:before="40" w:after="120"/>
              <w:ind w:right="113"/>
            </w:pPr>
            <w:r>
              <w:t>Документ о соответствии специальным требованиям, применимым к судам, перевозящим опасные грузы</w:t>
            </w:r>
          </w:p>
        </w:tc>
        <w:tc>
          <w:tcPr>
            <w:tcW w:w="4453" w:type="dxa"/>
            <w:shd w:val="clear" w:color="auto" w:fill="auto"/>
          </w:tcPr>
          <w:p w14:paraId="20C86572" w14:textId="2D89F652" w:rsidR="008F5F5F" w:rsidRPr="00750B34" w:rsidRDefault="008F5F5F" w:rsidP="008F5F5F">
            <w:pPr>
              <w:spacing w:before="40" w:after="120"/>
              <w:ind w:right="113"/>
            </w:pPr>
            <w:r>
              <w:t xml:space="preserve">Правило II-2/19 СОЛАС (или правило II-2/54 СОЛАС для судов, построенных до 1 июля </w:t>
            </w:r>
            <w:r>
              <w:br/>
            </w:r>
            <w:r>
              <w:t>2002 года)</w:t>
            </w:r>
          </w:p>
        </w:tc>
      </w:tr>
      <w:tr w:rsidR="008F5F5F" w:rsidRPr="001E392A" w14:paraId="0DB9728B" w14:textId="77777777" w:rsidTr="00035A1E">
        <w:trPr>
          <w:cantSplit/>
        </w:trPr>
        <w:tc>
          <w:tcPr>
            <w:tcW w:w="2579" w:type="dxa"/>
            <w:shd w:val="clear" w:color="auto" w:fill="auto"/>
          </w:tcPr>
          <w:p w14:paraId="6BE3AE23" w14:textId="2864310F" w:rsidR="008F5F5F" w:rsidRPr="00750B34" w:rsidRDefault="008F5F5F" w:rsidP="008F5F5F">
            <w:pPr>
              <w:spacing w:before="40" w:after="120"/>
              <w:ind w:right="113"/>
            </w:pPr>
            <w:r>
              <w:t xml:space="preserve">Свидетельство </w:t>
            </w:r>
            <w:r w:rsidR="00E22B94">
              <w:br/>
            </w:r>
            <w:r>
              <w:t>о допущении сухогрузного судна</w:t>
            </w:r>
          </w:p>
        </w:tc>
        <w:tc>
          <w:tcPr>
            <w:tcW w:w="2008" w:type="dxa"/>
            <w:shd w:val="clear" w:color="auto" w:fill="auto"/>
          </w:tcPr>
          <w:p w14:paraId="189C560D" w14:textId="77777777" w:rsidR="008F5F5F" w:rsidRPr="003511DB" w:rsidRDefault="008F5F5F" w:rsidP="008F5F5F">
            <w:pPr>
              <w:spacing w:before="40" w:after="120"/>
              <w:ind w:right="113"/>
            </w:pPr>
            <w:r>
              <w:t>Твердые навалочные грузы</w:t>
            </w:r>
          </w:p>
        </w:tc>
        <w:tc>
          <w:tcPr>
            <w:tcW w:w="4736" w:type="dxa"/>
            <w:shd w:val="clear" w:color="auto" w:fill="auto"/>
          </w:tcPr>
          <w:p w14:paraId="409DE267" w14:textId="77777777" w:rsidR="008F5F5F" w:rsidRPr="00750B34" w:rsidRDefault="008F5F5F" w:rsidP="008F5F5F">
            <w:pPr>
              <w:spacing w:before="40" w:after="120"/>
              <w:ind w:right="113"/>
            </w:pPr>
            <w:r>
              <w:t>Документ о соответствии специальным требованиям, применимым к судам, перевозящим опасные грузы</w:t>
            </w:r>
          </w:p>
        </w:tc>
        <w:tc>
          <w:tcPr>
            <w:tcW w:w="4453" w:type="dxa"/>
            <w:shd w:val="clear" w:color="auto" w:fill="auto"/>
          </w:tcPr>
          <w:p w14:paraId="04034D4F" w14:textId="20BB6FB9" w:rsidR="008F5F5F" w:rsidRPr="00750B34" w:rsidRDefault="008F5F5F" w:rsidP="008F5F5F">
            <w:pPr>
              <w:spacing w:before="40" w:after="120"/>
              <w:ind w:right="113"/>
            </w:pPr>
            <w:r>
              <w:t xml:space="preserve">Правило II-2/19 СОЛАС (или правило II-2/54 СОЛАС для судов, построенных до 1 июля </w:t>
            </w:r>
            <w:r>
              <w:br/>
            </w:r>
            <w:r>
              <w:t>2002 года)</w:t>
            </w:r>
          </w:p>
        </w:tc>
      </w:tr>
      <w:tr w:rsidR="008F5F5F" w:rsidRPr="001E392A" w14:paraId="1B576C70" w14:textId="77777777" w:rsidTr="00035A1E">
        <w:trPr>
          <w:cantSplit/>
        </w:trPr>
        <w:tc>
          <w:tcPr>
            <w:tcW w:w="2579" w:type="dxa"/>
            <w:shd w:val="clear" w:color="auto" w:fill="auto"/>
          </w:tcPr>
          <w:p w14:paraId="1E6C03BB" w14:textId="5CC0EED0" w:rsidR="008F5F5F" w:rsidRPr="00750B34" w:rsidRDefault="008F5F5F" w:rsidP="008F5F5F">
            <w:pPr>
              <w:spacing w:before="40" w:after="120"/>
              <w:ind w:right="113"/>
            </w:pPr>
            <w:r>
              <w:t xml:space="preserve">Свидетельство </w:t>
            </w:r>
            <w:r w:rsidR="00E04698">
              <w:br/>
            </w:r>
            <w:r>
              <w:t xml:space="preserve">о допущении танкера </w:t>
            </w:r>
            <w:r w:rsidR="00E04698">
              <w:br/>
            </w:r>
            <w:r>
              <w:t>типа N</w:t>
            </w:r>
          </w:p>
        </w:tc>
        <w:tc>
          <w:tcPr>
            <w:tcW w:w="2008" w:type="dxa"/>
            <w:shd w:val="clear" w:color="auto" w:fill="auto"/>
          </w:tcPr>
          <w:p w14:paraId="30D7F07B" w14:textId="77777777" w:rsidR="008F5F5F" w:rsidRPr="003511DB" w:rsidRDefault="008F5F5F" w:rsidP="008F5F5F">
            <w:pPr>
              <w:spacing w:before="40" w:after="120"/>
              <w:ind w:right="113"/>
            </w:pPr>
            <w:r>
              <w:t>Жидкие углеводороды</w:t>
            </w:r>
          </w:p>
        </w:tc>
        <w:tc>
          <w:tcPr>
            <w:tcW w:w="4736" w:type="dxa"/>
            <w:shd w:val="clear" w:color="auto" w:fill="auto"/>
          </w:tcPr>
          <w:p w14:paraId="67316676" w14:textId="289B86D8" w:rsidR="008F5F5F" w:rsidRPr="00750B34" w:rsidRDefault="008F5F5F" w:rsidP="008F5F5F">
            <w:pPr>
              <w:spacing w:before="40" w:after="120"/>
              <w:ind w:right="113"/>
            </w:pPr>
            <w:r>
              <w:t xml:space="preserve">Международное свидетельство о предотвращении загрязнения нефтью (Свидетельство IOPP) + </w:t>
            </w:r>
            <w:r w:rsidR="00E04698">
              <w:br/>
            </w:r>
            <w:r>
              <w:t>Форма В Дополнения (Описание оборудования для нефтяных танкеров)</w:t>
            </w:r>
          </w:p>
        </w:tc>
        <w:tc>
          <w:tcPr>
            <w:tcW w:w="4453" w:type="dxa"/>
            <w:shd w:val="clear" w:color="auto" w:fill="auto"/>
          </w:tcPr>
          <w:p w14:paraId="6D34BD84" w14:textId="77777777" w:rsidR="008F5F5F" w:rsidRPr="00750B34" w:rsidRDefault="008F5F5F" w:rsidP="008F5F5F">
            <w:pPr>
              <w:spacing w:before="40" w:after="120"/>
              <w:ind w:right="113"/>
            </w:pPr>
            <w:r>
              <w:t>Приложение I к Конвенции МАРПОЛ</w:t>
            </w:r>
          </w:p>
        </w:tc>
      </w:tr>
      <w:tr w:rsidR="008F5F5F" w:rsidRPr="001E392A" w14:paraId="24717FCE" w14:textId="77777777" w:rsidTr="00035A1E">
        <w:trPr>
          <w:cantSplit/>
        </w:trPr>
        <w:tc>
          <w:tcPr>
            <w:tcW w:w="2579" w:type="dxa"/>
            <w:vMerge w:val="restart"/>
            <w:shd w:val="clear" w:color="auto" w:fill="auto"/>
          </w:tcPr>
          <w:p w14:paraId="03E7C55B" w14:textId="673643B0" w:rsidR="008F5F5F" w:rsidRPr="00750B34" w:rsidRDefault="008F5F5F" w:rsidP="008F5F5F">
            <w:pPr>
              <w:spacing w:before="40" w:after="120"/>
              <w:ind w:right="113"/>
            </w:pPr>
            <w:r>
              <w:t xml:space="preserve">Свидетельство </w:t>
            </w:r>
            <w:r w:rsidR="00E22B94">
              <w:br/>
            </w:r>
            <w:r>
              <w:t xml:space="preserve">о допущении танкера </w:t>
            </w:r>
            <w:r w:rsidR="00E22B94">
              <w:br/>
            </w:r>
            <w:r>
              <w:t>типа C</w:t>
            </w:r>
          </w:p>
        </w:tc>
        <w:tc>
          <w:tcPr>
            <w:tcW w:w="2008" w:type="dxa"/>
            <w:vMerge w:val="restart"/>
            <w:shd w:val="clear" w:color="auto" w:fill="auto"/>
          </w:tcPr>
          <w:p w14:paraId="6D8ADE2A" w14:textId="77777777" w:rsidR="008F5F5F" w:rsidRPr="003511DB" w:rsidRDefault="008F5F5F" w:rsidP="008F5F5F">
            <w:pPr>
              <w:spacing w:before="40" w:after="120"/>
              <w:ind w:right="113"/>
            </w:pPr>
            <w:r>
              <w:t>Жидкие химические грузы</w:t>
            </w:r>
          </w:p>
        </w:tc>
        <w:tc>
          <w:tcPr>
            <w:tcW w:w="4736" w:type="dxa"/>
            <w:shd w:val="clear" w:color="auto" w:fill="auto"/>
          </w:tcPr>
          <w:p w14:paraId="0379F49C" w14:textId="77777777" w:rsidR="008F5F5F" w:rsidRPr="00750B34" w:rsidRDefault="008F5F5F" w:rsidP="008F5F5F">
            <w:pPr>
              <w:spacing w:before="40" w:after="120"/>
              <w:ind w:right="113"/>
            </w:pPr>
            <w:r>
              <w:t>Международное свидетельство о пригодности судна для перевозки опасных химических грузов наливом</w:t>
            </w:r>
          </w:p>
        </w:tc>
        <w:tc>
          <w:tcPr>
            <w:tcW w:w="4453" w:type="dxa"/>
            <w:shd w:val="clear" w:color="auto" w:fill="auto"/>
          </w:tcPr>
          <w:p w14:paraId="78A9C82E" w14:textId="468C7B55" w:rsidR="008F5F5F" w:rsidRPr="00750B34" w:rsidRDefault="008F5F5F" w:rsidP="008F5F5F">
            <w:pPr>
              <w:spacing w:before="40" w:after="120"/>
              <w:ind w:right="113"/>
            </w:pPr>
            <w:r>
              <w:t>Международный кодекс постройки и оборудования судов, перевозящих опасные химические грузы наливом (Кодекс МКХ)</w:t>
            </w:r>
          </w:p>
        </w:tc>
      </w:tr>
      <w:tr w:rsidR="008F5F5F" w:rsidRPr="001E392A" w14:paraId="311B8503" w14:textId="77777777" w:rsidTr="00035A1E">
        <w:trPr>
          <w:cantSplit/>
        </w:trPr>
        <w:tc>
          <w:tcPr>
            <w:tcW w:w="2579" w:type="dxa"/>
            <w:vMerge/>
            <w:shd w:val="clear" w:color="auto" w:fill="auto"/>
          </w:tcPr>
          <w:p w14:paraId="3140B550" w14:textId="77777777" w:rsidR="008F5F5F" w:rsidRPr="00750B34" w:rsidRDefault="008F5F5F" w:rsidP="008F5F5F">
            <w:pPr>
              <w:spacing w:before="40" w:after="120"/>
              <w:ind w:right="113"/>
            </w:pPr>
          </w:p>
        </w:tc>
        <w:tc>
          <w:tcPr>
            <w:tcW w:w="2008" w:type="dxa"/>
            <w:vMerge/>
            <w:shd w:val="clear" w:color="auto" w:fill="auto"/>
          </w:tcPr>
          <w:p w14:paraId="1A788FBD" w14:textId="77777777" w:rsidR="008F5F5F" w:rsidRPr="00750B34" w:rsidRDefault="008F5F5F" w:rsidP="008F5F5F">
            <w:pPr>
              <w:spacing w:before="40" w:after="120"/>
              <w:ind w:right="113"/>
            </w:pPr>
          </w:p>
        </w:tc>
        <w:tc>
          <w:tcPr>
            <w:tcW w:w="4736" w:type="dxa"/>
            <w:shd w:val="clear" w:color="auto" w:fill="auto"/>
          </w:tcPr>
          <w:p w14:paraId="1E2EF8B0" w14:textId="77777777" w:rsidR="008F5F5F" w:rsidRPr="00750B34" w:rsidRDefault="008F5F5F" w:rsidP="008F5F5F">
            <w:pPr>
              <w:spacing w:before="40" w:after="120"/>
              <w:ind w:right="113"/>
            </w:pPr>
            <w:r>
              <w:t>Международное свидетельство о предотвращении загрязнения при перевозке вредных жидких веществ наливом (Свидетельство NLS)</w:t>
            </w:r>
          </w:p>
        </w:tc>
        <w:tc>
          <w:tcPr>
            <w:tcW w:w="4453" w:type="dxa"/>
            <w:shd w:val="clear" w:color="auto" w:fill="auto"/>
          </w:tcPr>
          <w:p w14:paraId="0B07462B" w14:textId="77777777" w:rsidR="008F5F5F" w:rsidRPr="00750B34" w:rsidRDefault="008F5F5F" w:rsidP="008F5F5F">
            <w:pPr>
              <w:spacing w:before="40" w:after="120"/>
              <w:ind w:right="113"/>
            </w:pPr>
            <w:r>
              <w:t>Приложение II к Конвенции МАРПОЛ</w:t>
            </w:r>
          </w:p>
        </w:tc>
      </w:tr>
      <w:tr w:rsidR="008F5F5F" w:rsidRPr="001E392A" w14:paraId="3CCE6834" w14:textId="77777777" w:rsidTr="00035A1E">
        <w:trPr>
          <w:cantSplit/>
        </w:trPr>
        <w:tc>
          <w:tcPr>
            <w:tcW w:w="2579" w:type="dxa"/>
            <w:tcBorders>
              <w:bottom w:val="single" w:sz="12" w:space="0" w:color="auto"/>
            </w:tcBorders>
            <w:shd w:val="clear" w:color="auto" w:fill="auto"/>
          </w:tcPr>
          <w:p w14:paraId="07CA9012" w14:textId="63B23447" w:rsidR="008F5F5F" w:rsidRPr="00750B34" w:rsidRDefault="008F5F5F" w:rsidP="008F5F5F">
            <w:pPr>
              <w:spacing w:before="40" w:after="120"/>
              <w:ind w:right="113"/>
            </w:pPr>
            <w:r>
              <w:t xml:space="preserve">Свидетельство </w:t>
            </w:r>
            <w:r w:rsidR="00E22B94">
              <w:br/>
            </w:r>
            <w:r>
              <w:t xml:space="preserve">о допущении танкера </w:t>
            </w:r>
            <w:r w:rsidR="00E22B94">
              <w:br/>
            </w:r>
            <w:r>
              <w:t>типа G</w:t>
            </w:r>
          </w:p>
        </w:tc>
        <w:tc>
          <w:tcPr>
            <w:tcW w:w="2008" w:type="dxa"/>
            <w:tcBorders>
              <w:bottom w:val="single" w:sz="12" w:space="0" w:color="auto"/>
            </w:tcBorders>
            <w:shd w:val="clear" w:color="auto" w:fill="auto"/>
          </w:tcPr>
          <w:p w14:paraId="0105BD10" w14:textId="77777777" w:rsidR="008F5F5F" w:rsidRPr="003511DB" w:rsidRDefault="008F5F5F" w:rsidP="008F5F5F">
            <w:pPr>
              <w:spacing w:before="40" w:after="120"/>
              <w:ind w:right="113"/>
            </w:pPr>
            <w:r>
              <w:t>Газы</w:t>
            </w:r>
          </w:p>
        </w:tc>
        <w:tc>
          <w:tcPr>
            <w:tcW w:w="4736" w:type="dxa"/>
            <w:tcBorders>
              <w:bottom w:val="single" w:sz="12" w:space="0" w:color="auto"/>
            </w:tcBorders>
            <w:shd w:val="clear" w:color="auto" w:fill="auto"/>
          </w:tcPr>
          <w:p w14:paraId="5432BCF8" w14:textId="77777777" w:rsidR="008F5F5F" w:rsidRPr="00750B34" w:rsidRDefault="008F5F5F" w:rsidP="008F5F5F">
            <w:pPr>
              <w:spacing w:before="40" w:after="120"/>
              <w:ind w:right="113"/>
            </w:pPr>
            <w:r>
              <w:t>Международное свидетельство о пригодности судна для перевозки сжиженных газов наливом</w:t>
            </w:r>
          </w:p>
        </w:tc>
        <w:tc>
          <w:tcPr>
            <w:tcW w:w="4453" w:type="dxa"/>
            <w:tcBorders>
              <w:bottom w:val="single" w:sz="12" w:space="0" w:color="auto"/>
            </w:tcBorders>
            <w:shd w:val="clear" w:color="auto" w:fill="auto"/>
          </w:tcPr>
          <w:p w14:paraId="39884BBD" w14:textId="77777777" w:rsidR="008F5F5F" w:rsidRPr="00750B34" w:rsidRDefault="008F5F5F" w:rsidP="008F5F5F">
            <w:pPr>
              <w:spacing w:before="40" w:after="120"/>
              <w:ind w:right="113"/>
            </w:pPr>
            <w:r>
              <w:t xml:space="preserve">Международный кодекс постройки и оборудования судов, перевозящих сжиженные </w:t>
            </w:r>
            <w:proofErr w:type="spellStart"/>
            <w:r>
              <w:t>газы</w:t>
            </w:r>
            <w:proofErr w:type="spellEnd"/>
            <w:r>
              <w:t xml:space="preserve"> наливом (Кодекс МКГ)»</w:t>
            </w:r>
          </w:p>
        </w:tc>
      </w:tr>
    </w:tbl>
    <w:p w14:paraId="2DCFE5DF" w14:textId="5ED3FA9F" w:rsidR="00E12C5F" w:rsidRPr="008F5F5F" w:rsidRDefault="008F5F5F" w:rsidP="008F5F5F">
      <w:pPr>
        <w:pStyle w:val="SingleTxtG"/>
        <w:spacing w:before="240" w:after="0"/>
        <w:jc w:val="center"/>
      </w:pPr>
      <w:r w:rsidRPr="00750B34">
        <w:rPr>
          <w:u w:val="single"/>
        </w:rPr>
        <w:tab/>
      </w:r>
      <w:r w:rsidRPr="00750B34">
        <w:rPr>
          <w:u w:val="single"/>
        </w:rPr>
        <w:tab/>
      </w:r>
      <w:r w:rsidRPr="00750B34">
        <w:rPr>
          <w:u w:val="single"/>
        </w:rPr>
        <w:tab/>
      </w:r>
      <w:r w:rsidRPr="00750B34">
        <w:rPr>
          <w:u w:val="single"/>
        </w:rPr>
        <w:tab/>
      </w:r>
    </w:p>
    <w:sectPr w:rsidR="00E12C5F" w:rsidRPr="008F5F5F" w:rsidSect="008F5F5F">
      <w:headerReference w:type="even" r:id="rId13"/>
      <w:headerReference w:type="default" r:id="rId14"/>
      <w:footerReference w:type="even" r:id="rId15"/>
      <w:footerReference w:type="default" r:id="rId16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95E51" w14:textId="77777777" w:rsidR="005D7B14" w:rsidRPr="00A312BC" w:rsidRDefault="005D7B14" w:rsidP="00A312BC"/>
  </w:endnote>
  <w:endnote w:type="continuationSeparator" w:id="0">
    <w:p w14:paraId="0457B129" w14:textId="77777777" w:rsidR="005D7B14" w:rsidRPr="00A312BC" w:rsidRDefault="005D7B1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01762" w14:textId="2683E296" w:rsidR="00416723" w:rsidRPr="00416723" w:rsidRDefault="00416723">
    <w:pPr>
      <w:pStyle w:val="a8"/>
    </w:pPr>
    <w:r w:rsidRPr="00416723">
      <w:rPr>
        <w:b/>
        <w:sz w:val="18"/>
      </w:rPr>
      <w:fldChar w:fldCharType="begin"/>
    </w:r>
    <w:r w:rsidRPr="00416723">
      <w:rPr>
        <w:b/>
        <w:sz w:val="18"/>
      </w:rPr>
      <w:instrText xml:space="preserve"> PAGE  \* MERGEFORMAT </w:instrText>
    </w:r>
    <w:r w:rsidRPr="00416723">
      <w:rPr>
        <w:b/>
        <w:sz w:val="18"/>
      </w:rPr>
      <w:fldChar w:fldCharType="separate"/>
    </w:r>
    <w:r w:rsidRPr="00416723">
      <w:rPr>
        <w:b/>
        <w:noProof/>
        <w:sz w:val="18"/>
      </w:rPr>
      <w:t>2</w:t>
    </w:r>
    <w:r w:rsidRPr="00416723">
      <w:rPr>
        <w:b/>
        <w:sz w:val="18"/>
      </w:rPr>
      <w:fldChar w:fldCharType="end"/>
    </w:r>
    <w:r>
      <w:rPr>
        <w:b/>
        <w:sz w:val="18"/>
      </w:rPr>
      <w:tab/>
    </w:r>
    <w:r>
      <w:t>GE.21-16585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FD3A0" w14:textId="1E51002F" w:rsidR="00416723" w:rsidRPr="00416723" w:rsidRDefault="00416723" w:rsidP="00416723">
    <w:pPr>
      <w:pStyle w:val="a8"/>
      <w:tabs>
        <w:tab w:val="clear" w:pos="9639"/>
        <w:tab w:val="right" w:pos="9638"/>
      </w:tabs>
      <w:rPr>
        <w:b/>
        <w:sz w:val="18"/>
      </w:rPr>
    </w:pPr>
    <w:r>
      <w:t>GE.21-16585</w:t>
    </w:r>
    <w:r>
      <w:tab/>
    </w:r>
    <w:r w:rsidRPr="00416723">
      <w:rPr>
        <w:b/>
        <w:sz w:val="18"/>
      </w:rPr>
      <w:fldChar w:fldCharType="begin"/>
    </w:r>
    <w:r w:rsidRPr="00416723">
      <w:rPr>
        <w:b/>
        <w:sz w:val="18"/>
      </w:rPr>
      <w:instrText xml:space="preserve"> PAGE  \* MERGEFORMAT </w:instrText>
    </w:r>
    <w:r w:rsidRPr="00416723">
      <w:rPr>
        <w:b/>
        <w:sz w:val="18"/>
      </w:rPr>
      <w:fldChar w:fldCharType="separate"/>
    </w:r>
    <w:r w:rsidRPr="00416723">
      <w:rPr>
        <w:b/>
        <w:noProof/>
        <w:sz w:val="18"/>
      </w:rPr>
      <w:t>3</w:t>
    </w:r>
    <w:r w:rsidRPr="0041672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07AFC" w14:textId="1AA5243F" w:rsidR="00042B72" w:rsidRPr="00416723" w:rsidRDefault="00416723" w:rsidP="0041672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B40E9AB" wp14:editId="2FC9341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21-16585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2DB38CD" wp14:editId="37E4B9B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2311  251121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ADC40" w14:textId="3373011A" w:rsidR="008F5F5F" w:rsidRPr="008F5F5F" w:rsidRDefault="008F5F5F" w:rsidP="008F5F5F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FE1876" wp14:editId="28768795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925420D" w14:textId="77777777" w:rsidR="008F5F5F" w:rsidRPr="00416723" w:rsidRDefault="008F5F5F" w:rsidP="008F5F5F">
                          <w:pPr>
                            <w:pStyle w:val="a8"/>
                          </w:pPr>
                          <w:r w:rsidRPr="00416723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416723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416723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  <w:r w:rsidRPr="00416723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GE.21-16585</w:t>
                          </w:r>
                        </w:p>
                        <w:p w14:paraId="4633D6D6" w14:textId="77777777" w:rsidR="008F5F5F" w:rsidRDefault="008F5F5F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FE1876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6925420D" w14:textId="77777777" w:rsidR="008F5F5F" w:rsidRPr="00416723" w:rsidRDefault="008F5F5F" w:rsidP="008F5F5F">
                    <w:pPr>
                      <w:pStyle w:val="a8"/>
                    </w:pPr>
                    <w:r w:rsidRPr="00416723">
                      <w:rPr>
                        <w:b/>
                        <w:sz w:val="18"/>
                      </w:rPr>
                      <w:fldChar w:fldCharType="begin"/>
                    </w:r>
                    <w:r w:rsidRPr="00416723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416723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4</w:t>
                    </w:r>
                    <w:r w:rsidRPr="00416723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GE.21-16585</w:t>
                    </w:r>
                  </w:p>
                  <w:p w14:paraId="4633D6D6" w14:textId="77777777" w:rsidR="008F5F5F" w:rsidRDefault="008F5F5F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C6709" w14:textId="3513C325" w:rsidR="008F5F5F" w:rsidRPr="008F5F5F" w:rsidRDefault="008F5F5F" w:rsidP="008F5F5F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323802" wp14:editId="4B428B96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E2BD6B3" w14:textId="77777777" w:rsidR="008F5F5F" w:rsidRPr="00416723" w:rsidRDefault="008F5F5F" w:rsidP="008F5F5F">
                          <w:pPr>
                            <w:pStyle w:val="a8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GE.21-16585</w:t>
                          </w:r>
                          <w:r>
                            <w:tab/>
                          </w:r>
                          <w:r w:rsidRPr="00416723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416723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416723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  <w:r w:rsidRPr="00416723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039ACD74" w14:textId="77777777" w:rsidR="008F5F5F" w:rsidRDefault="008F5F5F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323802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9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0E2BD6B3" w14:textId="77777777" w:rsidR="008F5F5F" w:rsidRPr="00416723" w:rsidRDefault="008F5F5F" w:rsidP="008F5F5F">
                    <w:pPr>
                      <w:pStyle w:val="a8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GE.21-16585</w:t>
                    </w:r>
                    <w:r>
                      <w:tab/>
                    </w:r>
                    <w:r w:rsidRPr="00416723">
                      <w:rPr>
                        <w:b/>
                        <w:sz w:val="18"/>
                      </w:rPr>
                      <w:fldChar w:fldCharType="begin"/>
                    </w:r>
                    <w:r w:rsidRPr="00416723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416723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5</w:t>
                    </w:r>
                    <w:r w:rsidRPr="00416723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039ACD74" w14:textId="77777777" w:rsidR="008F5F5F" w:rsidRDefault="008F5F5F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01104" w14:textId="77777777" w:rsidR="005D7B14" w:rsidRPr="001075E9" w:rsidRDefault="005D7B1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8F2BAB3" w14:textId="77777777" w:rsidR="005D7B14" w:rsidRDefault="005D7B1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41B7AEC" w14:textId="77777777" w:rsidR="001A4673" w:rsidRPr="00D51931" w:rsidRDefault="001A4673" w:rsidP="001A4673">
      <w:pPr>
        <w:pStyle w:val="ad"/>
      </w:pPr>
      <w:r>
        <w:tab/>
      </w:r>
      <w:r w:rsidRPr="001A4673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CCNR-ZKR/ADN/WP.15/AC.2/2022/13.</w:t>
      </w:r>
    </w:p>
  </w:footnote>
  <w:footnote w:id="2">
    <w:p w14:paraId="6E6F874F" w14:textId="24065C7E" w:rsidR="001A4673" w:rsidRPr="00CF60BB" w:rsidRDefault="001A4673" w:rsidP="001A4673">
      <w:pPr>
        <w:pStyle w:val="ad"/>
      </w:pPr>
      <w:r>
        <w:tab/>
      </w:r>
      <w:r w:rsidRPr="001A4673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CC05A" w14:textId="298D54AD" w:rsidR="00416723" w:rsidRPr="00416723" w:rsidRDefault="00416723">
    <w:pPr>
      <w:pStyle w:val="a5"/>
    </w:pPr>
    <w:fldSimple w:instr=" TITLE  \* MERGEFORMAT ">
      <w:r w:rsidR="003C6A59">
        <w:t>ECE/TRANS/WP.15/AC.2/2022/13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62C5E" w14:textId="58D91EEF" w:rsidR="00416723" w:rsidRPr="00416723" w:rsidRDefault="00416723" w:rsidP="00416723">
    <w:pPr>
      <w:pStyle w:val="a5"/>
      <w:jc w:val="right"/>
    </w:pPr>
    <w:fldSimple w:instr=" TITLE  \* MERGEFORMAT ">
      <w:r w:rsidR="003C6A59">
        <w:t>ECE/TRANS/WP.15/AC.2/2022/13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134A8" w14:textId="43F662C4" w:rsidR="008F5F5F" w:rsidRPr="008F5F5F" w:rsidRDefault="008F5F5F" w:rsidP="008F5F5F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37BF2F" wp14:editId="15FC8C8D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4E0E5EB" w14:textId="24893D1D" w:rsidR="008F5F5F" w:rsidRPr="00416723" w:rsidRDefault="008F5F5F" w:rsidP="008F5F5F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3C6A59">
                            <w:t>ECE/TRANS/WP.15/AC.2/2022/13</w:t>
                          </w:r>
                          <w:r>
                            <w:fldChar w:fldCharType="end"/>
                          </w:r>
                        </w:p>
                        <w:p w14:paraId="143216E6" w14:textId="77777777" w:rsidR="008F5F5F" w:rsidRDefault="008F5F5F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37BF2F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782.35pt;margin-top:0;width:17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44E0E5EB" w14:textId="24893D1D" w:rsidR="008F5F5F" w:rsidRPr="00416723" w:rsidRDefault="008F5F5F" w:rsidP="008F5F5F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 w:rsidR="003C6A59">
                      <w:t>ECE/TRANS/WP.15/AC.2/2022/13</w:t>
                    </w:r>
                    <w:r>
                      <w:fldChar w:fldCharType="end"/>
                    </w:r>
                  </w:p>
                  <w:p w14:paraId="143216E6" w14:textId="77777777" w:rsidR="008F5F5F" w:rsidRDefault="008F5F5F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5BFF1" w14:textId="55963BB2" w:rsidR="008F5F5F" w:rsidRPr="008F5F5F" w:rsidRDefault="008F5F5F" w:rsidP="008F5F5F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7D02D6" wp14:editId="3A9955C9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FA33AA" w14:textId="7F06CC48" w:rsidR="008F5F5F" w:rsidRPr="00416723" w:rsidRDefault="008F5F5F" w:rsidP="008F5F5F">
                          <w:pPr>
                            <w:pStyle w:val="a5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3C6A59">
                            <w:t>ECE/TRANS/WP.15/AC.2/2022/13</w:t>
                          </w:r>
                          <w:r>
                            <w:fldChar w:fldCharType="end"/>
                          </w:r>
                        </w:p>
                        <w:p w14:paraId="23CD934A" w14:textId="77777777" w:rsidR="008F5F5F" w:rsidRDefault="008F5F5F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7D02D6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margin-left:782.35pt;margin-top:0;width:17pt;height:48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" fillcolor="#4f81bd [3204]" stroked="f" strokeweight=".5pt">
              <v:fill opacity="0"/>
              <v:path arrowok="t"/>
              <v:textbox style="layout-flow:vertical" inset="0,0,0,0">
                <w:txbxContent>
                  <w:p w14:paraId="7FFA33AA" w14:textId="7F06CC48" w:rsidR="008F5F5F" w:rsidRPr="00416723" w:rsidRDefault="008F5F5F" w:rsidP="008F5F5F">
                    <w:pPr>
                      <w:pStyle w:val="a5"/>
                      <w:jc w:val="right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 w:rsidR="003C6A59">
                      <w:t>ECE/TRANS/WP.15/AC.2/2022/13</w:t>
                    </w:r>
                    <w:r>
                      <w:fldChar w:fldCharType="end"/>
                    </w:r>
                  </w:p>
                  <w:p w14:paraId="23CD934A" w14:textId="77777777" w:rsidR="008F5F5F" w:rsidRDefault="008F5F5F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TabNum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D07B2"/>
    <w:multiLevelType w:val="hybridMultilevel"/>
    <w:tmpl w:val="D7D47906"/>
    <w:lvl w:ilvl="0" w:tplc="3B64B33E">
      <w:start w:val="1"/>
      <w:numFmt w:val="bullet"/>
      <w:pStyle w:val="ParaNo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7"/>
  </w:num>
  <w:num w:numId="23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14"/>
    <w:rsid w:val="00006BD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4673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4341"/>
    <w:rsid w:val="00381C24"/>
    <w:rsid w:val="00387CD4"/>
    <w:rsid w:val="003958D0"/>
    <w:rsid w:val="003A0D43"/>
    <w:rsid w:val="003A48CE"/>
    <w:rsid w:val="003B00E5"/>
    <w:rsid w:val="003C6A59"/>
    <w:rsid w:val="003E0B46"/>
    <w:rsid w:val="00407B78"/>
    <w:rsid w:val="00416723"/>
    <w:rsid w:val="00424203"/>
    <w:rsid w:val="004462B2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D7B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5C16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5F5F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04698"/>
    <w:rsid w:val="00E12C5F"/>
    <w:rsid w:val="00E14CFE"/>
    <w:rsid w:val="00E22B94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A13A4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570379"/>
  <w15:docId w15:val="{8245F305-B55C-4485-8C91-98837DC6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uiPriority w:val="99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uiPriority w:val="99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1A4673"/>
    <w:rPr>
      <w:lang w:val="ru-RU" w:eastAsia="en-US"/>
    </w:rPr>
  </w:style>
  <w:style w:type="character" w:customStyle="1" w:styleId="HChGChar">
    <w:name w:val="_ H _Ch_G Char"/>
    <w:link w:val="HChG"/>
    <w:uiPriority w:val="99"/>
    <w:rsid w:val="001A4673"/>
    <w:rPr>
      <w:b/>
      <w:sz w:val="28"/>
      <w:lang w:val="ru-RU" w:eastAsia="ru-RU"/>
    </w:rPr>
  </w:style>
  <w:style w:type="character" w:customStyle="1" w:styleId="H1GChar">
    <w:name w:val="_ H_1_G Char"/>
    <w:link w:val="H1G"/>
    <w:uiPriority w:val="99"/>
    <w:locked/>
    <w:rsid w:val="001A4673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3D9AEB-4EC0-4634-9C25-EBE48120FB1D}"/>
</file>

<file path=customXml/itemProps2.xml><?xml version="1.0" encoding="utf-8"?>
<ds:datastoreItem xmlns:ds="http://schemas.openxmlformats.org/officeDocument/2006/customXml" ds:itemID="{F9CEDCC6-7D30-4ED1-BABA-EBEA22DD924B}"/>
</file>

<file path=customXml/itemProps3.xml><?xml version="1.0" encoding="utf-8"?>
<ds:datastoreItem xmlns:ds="http://schemas.openxmlformats.org/officeDocument/2006/customXml" ds:itemID="{13D1E348-4340-435C-8BB8-6A49DC462061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734</Words>
  <Characters>4964</Characters>
  <Application>Microsoft Office Word</Application>
  <DocSecurity>0</DocSecurity>
  <Lines>147</Lines>
  <Paragraphs>69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ECE/TRANS/WP.15/AC.2/2022/13</vt:lpstr>
      <vt:lpstr>A/</vt:lpstr>
      <vt:lpstr>A/</vt:lpstr>
    </vt:vector>
  </TitlesOfParts>
  <Company>DCM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ECE/TRANS/WP.15/AC.2/2022/13</dc:title>
  <dc:subject/>
  <dc:creator>Ekaterina SALYNSKAYA</dc:creator>
  <cp:keywords/>
  <cp:lastModifiedBy>Ekaterina SALYNSKAYA</cp:lastModifiedBy>
  <cp:revision>3</cp:revision>
  <cp:lastPrinted>2021-11-25T11:53:00Z</cp:lastPrinted>
  <dcterms:created xsi:type="dcterms:W3CDTF">2021-11-25T11:53:00Z</dcterms:created>
  <dcterms:modified xsi:type="dcterms:W3CDTF">2021-11-25T11:54:00Z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