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6F2E205" w14:textId="77777777" w:rsidTr="000D1B89">
        <w:trPr>
          <w:cantSplit/>
          <w:trHeight w:hRule="exact" w:val="851"/>
        </w:trPr>
        <w:tc>
          <w:tcPr>
            <w:tcW w:w="1276" w:type="dxa"/>
            <w:tcBorders>
              <w:bottom w:val="single" w:sz="4" w:space="0" w:color="auto"/>
            </w:tcBorders>
            <w:vAlign w:val="bottom"/>
          </w:tcPr>
          <w:p w14:paraId="51C412E0" w14:textId="77777777" w:rsidR="00717266" w:rsidRDefault="00717266" w:rsidP="000D1B89">
            <w:pPr>
              <w:spacing w:after="80"/>
            </w:pPr>
          </w:p>
        </w:tc>
        <w:tc>
          <w:tcPr>
            <w:tcW w:w="2268" w:type="dxa"/>
            <w:tcBorders>
              <w:bottom w:val="single" w:sz="4" w:space="0" w:color="auto"/>
            </w:tcBorders>
            <w:vAlign w:val="bottom"/>
          </w:tcPr>
          <w:p w14:paraId="6A150B2A"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5A4AC3" w14:textId="77777777" w:rsidR="00717266" w:rsidRPr="00D47EEA" w:rsidRDefault="001F0B94" w:rsidP="001F0B94">
            <w:pPr>
              <w:suppressAutoHyphens w:val="0"/>
              <w:spacing w:after="20" w:line="240" w:lineRule="atLeast"/>
              <w:jc w:val="right"/>
            </w:pPr>
            <w:r w:rsidRPr="001F0B94">
              <w:rPr>
                <w:sz w:val="40"/>
              </w:rPr>
              <w:t>ECE</w:t>
            </w:r>
            <w:r>
              <w:t>/TRANS/WP.15/AC.2/2022/13</w:t>
            </w:r>
          </w:p>
        </w:tc>
      </w:tr>
      <w:tr w:rsidR="00717266" w14:paraId="04AD939D" w14:textId="77777777" w:rsidTr="000D1B89">
        <w:trPr>
          <w:cantSplit/>
          <w:trHeight w:hRule="exact" w:val="2835"/>
        </w:trPr>
        <w:tc>
          <w:tcPr>
            <w:tcW w:w="1276" w:type="dxa"/>
            <w:tcBorders>
              <w:top w:val="single" w:sz="4" w:space="0" w:color="auto"/>
              <w:bottom w:val="single" w:sz="12" w:space="0" w:color="auto"/>
            </w:tcBorders>
          </w:tcPr>
          <w:p w14:paraId="3ED5C916" w14:textId="77777777" w:rsidR="00717266" w:rsidRDefault="00717266" w:rsidP="000D1B89">
            <w:pPr>
              <w:spacing w:before="120"/>
            </w:pPr>
            <w:r>
              <w:rPr>
                <w:noProof/>
                <w:lang w:val="fr-CH" w:eastAsia="fr-CH"/>
              </w:rPr>
              <w:drawing>
                <wp:inline distT="0" distB="0" distL="0" distR="0" wp14:anchorId="45F07538" wp14:editId="34CDAC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9020B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43F082" w14:textId="77777777" w:rsidR="00717266" w:rsidRDefault="001F0B94" w:rsidP="001F0B94">
            <w:pPr>
              <w:spacing w:before="240"/>
            </w:pPr>
            <w:r>
              <w:t>Distr.: General</w:t>
            </w:r>
          </w:p>
          <w:p w14:paraId="276E97E0" w14:textId="77777777" w:rsidR="001F0B94" w:rsidRDefault="001F0B94" w:rsidP="001F0B94">
            <w:pPr>
              <w:suppressAutoHyphens w:val="0"/>
            </w:pPr>
            <w:r>
              <w:t>12 November 2021</w:t>
            </w:r>
          </w:p>
          <w:p w14:paraId="58C52E89" w14:textId="759DA413" w:rsidR="001F0B94" w:rsidRDefault="001F0B94" w:rsidP="001F0B94">
            <w:pPr>
              <w:suppressAutoHyphens w:val="0"/>
            </w:pPr>
            <w:r>
              <w:t>English</w:t>
            </w:r>
          </w:p>
          <w:p w14:paraId="1F972686" w14:textId="77777777" w:rsidR="001F0B94" w:rsidRDefault="001F0B94" w:rsidP="001F0B94">
            <w:pPr>
              <w:suppressAutoHyphens w:val="0"/>
              <w:spacing w:line="240" w:lineRule="atLeast"/>
            </w:pPr>
            <w:r>
              <w:t>Original: French</w:t>
            </w:r>
          </w:p>
        </w:tc>
      </w:tr>
    </w:tbl>
    <w:p w14:paraId="69364464" w14:textId="77777777" w:rsidR="00373755" w:rsidRDefault="00373755">
      <w:pPr>
        <w:spacing w:before="120"/>
        <w:rPr>
          <w:b/>
          <w:sz w:val="28"/>
          <w:szCs w:val="28"/>
        </w:rPr>
      </w:pPr>
      <w:r>
        <w:rPr>
          <w:b/>
          <w:sz w:val="28"/>
          <w:szCs w:val="28"/>
        </w:rPr>
        <w:t>Economic Commission for Europe</w:t>
      </w:r>
    </w:p>
    <w:p w14:paraId="61EAA9EF" w14:textId="77777777" w:rsidR="00373755" w:rsidRDefault="00373755">
      <w:pPr>
        <w:spacing w:before="120"/>
        <w:rPr>
          <w:sz w:val="28"/>
          <w:szCs w:val="28"/>
        </w:rPr>
      </w:pPr>
      <w:r>
        <w:rPr>
          <w:sz w:val="28"/>
          <w:szCs w:val="28"/>
        </w:rPr>
        <w:t>Inland Transport Committee</w:t>
      </w:r>
    </w:p>
    <w:p w14:paraId="02862E76" w14:textId="2C411586" w:rsidR="00373755" w:rsidRDefault="00373755">
      <w:pPr>
        <w:spacing w:before="120"/>
        <w:rPr>
          <w:b/>
          <w:sz w:val="24"/>
          <w:szCs w:val="24"/>
        </w:rPr>
      </w:pPr>
      <w:r>
        <w:rPr>
          <w:b/>
          <w:sz w:val="24"/>
          <w:szCs w:val="24"/>
        </w:rPr>
        <w:t xml:space="preserve">Working Party on the Transport of </w:t>
      </w:r>
      <w:r w:rsidRPr="00373755">
        <w:rPr>
          <w:b/>
          <w:sz w:val="24"/>
          <w:szCs w:val="24"/>
        </w:rPr>
        <w:t>Dangerous Goods</w:t>
      </w:r>
    </w:p>
    <w:p w14:paraId="4D8E6CD3" w14:textId="3DD94C43" w:rsidR="00373755" w:rsidRPr="00CB4BA1" w:rsidRDefault="00373755" w:rsidP="00373755">
      <w:pPr>
        <w:spacing w:before="120"/>
        <w:rPr>
          <w:b/>
          <w:lang w:val="en-US"/>
        </w:rPr>
      </w:pPr>
      <w:r w:rsidRPr="00CB4BA1">
        <w:rPr>
          <w:b/>
          <w:bCs/>
        </w:rPr>
        <w:t xml:space="preserve">Joint Meeting of Experts on the Regulations annexed to the </w:t>
      </w:r>
      <w:r w:rsidR="00D322B7">
        <w:rPr>
          <w:b/>
          <w:bCs/>
        </w:rPr>
        <w:br/>
      </w:r>
      <w:r w:rsidRPr="00CB4BA1">
        <w:rPr>
          <w:b/>
          <w:bCs/>
        </w:rPr>
        <w:t xml:space="preserve">European Agreement concerning the International Carriage </w:t>
      </w:r>
      <w:r w:rsidR="00D322B7">
        <w:rPr>
          <w:b/>
          <w:bCs/>
        </w:rPr>
        <w:br/>
      </w:r>
      <w:r w:rsidRPr="00CB4BA1">
        <w:rPr>
          <w:b/>
          <w:bCs/>
        </w:rPr>
        <w:t xml:space="preserve">of Dangerous Goods by Inland Waterways (ADN) </w:t>
      </w:r>
      <w:r w:rsidR="00D322B7">
        <w:rPr>
          <w:b/>
          <w:bCs/>
        </w:rPr>
        <w:br/>
      </w:r>
      <w:r w:rsidRPr="00CB4BA1">
        <w:rPr>
          <w:b/>
          <w:bCs/>
        </w:rPr>
        <w:t>(ADN Safety Committee)</w:t>
      </w:r>
    </w:p>
    <w:p w14:paraId="6BF1ACEC" w14:textId="77777777" w:rsidR="00373755" w:rsidRPr="00CB4BA1" w:rsidRDefault="00373755" w:rsidP="00373755">
      <w:pPr>
        <w:tabs>
          <w:tab w:val="left" w:pos="4030"/>
        </w:tabs>
        <w:spacing w:before="120"/>
        <w:rPr>
          <w:b/>
          <w:lang w:val="en-US"/>
        </w:rPr>
      </w:pPr>
      <w:r w:rsidRPr="00CB4BA1">
        <w:rPr>
          <w:b/>
          <w:bCs/>
        </w:rPr>
        <w:t>Thirty-ninth session</w:t>
      </w:r>
    </w:p>
    <w:p w14:paraId="3183C482" w14:textId="77777777" w:rsidR="00373755" w:rsidRPr="00CB4BA1" w:rsidRDefault="00373755" w:rsidP="00373755">
      <w:pPr>
        <w:rPr>
          <w:bCs/>
          <w:lang w:val="en-US"/>
        </w:rPr>
      </w:pPr>
      <w:r w:rsidRPr="00CB4BA1">
        <w:t>Geneva, 24–28 January 2022</w:t>
      </w:r>
    </w:p>
    <w:p w14:paraId="271682EC" w14:textId="77777777" w:rsidR="00373755" w:rsidRPr="00CB4BA1" w:rsidRDefault="00373755" w:rsidP="00373755">
      <w:pPr>
        <w:rPr>
          <w:lang w:val="en-US"/>
        </w:rPr>
      </w:pPr>
      <w:r w:rsidRPr="00CB4BA1">
        <w:t>Item 5 (b) of the provisional agenda</w:t>
      </w:r>
    </w:p>
    <w:p w14:paraId="6FD8CD2F" w14:textId="07D5C352" w:rsidR="00373755" w:rsidRPr="00CB4BA1" w:rsidRDefault="00373755" w:rsidP="00D322B7">
      <w:pPr>
        <w:rPr>
          <w:lang w:val="en-US"/>
        </w:rPr>
      </w:pPr>
      <w:r w:rsidRPr="00CB4BA1">
        <w:rPr>
          <w:b/>
          <w:bCs/>
        </w:rPr>
        <w:t>Proposals for amendments to the Regulations annexed to ADN:</w:t>
      </w:r>
      <w:r w:rsidR="00D322B7">
        <w:rPr>
          <w:b/>
          <w:bCs/>
        </w:rPr>
        <w:br/>
      </w:r>
      <w:r w:rsidRPr="00CB4BA1">
        <w:rPr>
          <w:b/>
          <w:bCs/>
        </w:rPr>
        <w:t>Other proposals</w:t>
      </w:r>
    </w:p>
    <w:p w14:paraId="6B44804E" w14:textId="77777777" w:rsidR="00373755" w:rsidRPr="00CB4BA1" w:rsidRDefault="00373755" w:rsidP="00373755">
      <w:pPr>
        <w:pStyle w:val="HChG"/>
        <w:keepNext w:val="0"/>
        <w:keepLines w:val="0"/>
        <w:rPr>
          <w:lang w:val="en-US"/>
        </w:rPr>
      </w:pPr>
      <w:r w:rsidRPr="00CB4BA1">
        <w:tab/>
      </w:r>
      <w:r w:rsidRPr="00CB4BA1">
        <w:tab/>
      </w:r>
      <w:r w:rsidRPr="00CB4BA1">
        <w:rPr>
          <w:bCs/>
        </w:rPr>
        <w:t>Certificate of approval and seagoing vessels</w:t>
      </w:r>
    </w:p>
    <w:p w14:paraId="3DFB1078" w14:textId="12DC163D" w:rsidR="00373755" w:rsidRDefault="00373755" w:rsidP="00373755">
      <w:pPr>
        <w:pStyle w:val="H1G"/>
        <w:rPr>
          <w:b w:val="0"/>
          <w:sz w:val="20"/>
        </w:rPr>
      </w:pPr>
      <w:r w:rsidRPr="00CB4BA1">
        <w:tab/>
      </w:r>
      <w:r w:rsidRPr="00CB4BA1">
        <w:tab/>
      </w:r>
      <w:r w:rsidRPr="00CB4BA1">
        <w:rPr>
          <w:bCs/>
        </w:rPr>
        <w:t>Transmitted by the Government of France</w:t>
      </w:r>
      <w:r w:rsidRPr="009F0A63">
        <w:rPr>
          <w:rStyle w:val="FootnoteReference"/>
          <w:b w:val="0"/>
          <w:sz w:val="20"/>
          <w:vertAlign w:val="baseline"/>
        </w:rPr>
        <w:footnoteReference w:customMarkFollows="1" w:id="1"/>
        <w:t>*</w:t>
      </w:r>
      <w:r w:rsidR="00063812" w:rsidRPr="009F0A63">
        <w:rPr>
          <w:rStyle w:val="FootnoteReference"/>
          <w:b w:val="0"/>
          <w:position w:val="8"/>
          <w:sz w:val="20"/>
          <w:vertAlign w:val="baseline"/>
        </w:rPr>
        <w:t>,</w:t>
      </w:r>
      <w:r w:rsidR="00063812" w:rsidRPr="009F0A63">
        <w:rPr>
          <w:b w:val="0"/>
          <w:position w:val="8"/>
          <w:sz w:val="20"/>
        </w:rPr>
        <w:t xml:space="preserve"> </w:t>
      </w:r>
      <w:r w:rsidR="00063812" w:rsidRPr="009F0A63">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2557"/>
        <w:gridCol w:w="7072"/>
      </w:tblGrid>
      <w:tr w:rsidR="00FA1620" w14:paraId="69C065C7" w14:textId="77777777" w:rsidTr="0077199A">
        <w:trPr>
          <w:jc w:val="center"/>
        </w:trPr>
        <w:tc>
          <w:tcPr>
            <w:tcW w:w="2557" w:type="dxa"/>
            <w:tcBorders>
              <w:bottom w:val="nil"/>
              <w:right w:val="nil"/>
            </w:tcBorders>
          </w:tcPr>
          <w:p w14:paraId="0370F8B5" w14:textId="77777777" w:rsidR="00FA1620" w:rsidRPr="00FA1620" w:rsidRDefault="00FA1620" w:rsidP="00FA1620">
            <w:pPr>
              <w:tabs>
                <w:tab w:val="left" w:pos="255"/>
              </w:tabs>
              <w:suppressAutoHyphens w:val="0"/>
              <w:spacing w:before="240" w:after="120"/>
              <w:rPr>
                <w:sz w:val="24"/>
              </w:rPr>
            </w:pPr>
            <w:r>
              <w:tab/>
            </w:r>
            <w:r>
              <w:rPr>
                <w:i/>
                <w:sz w:val="24"/>
              </w:rPr>
              <w:t>Summary</w:t>
            </w:r>
          </w:p>
        </w:tc>
        <w:tc>
          <w:tcPr>
            <w:tcW w:w="7072" w:type="dxa"/>
            <w:tcBorders>
              <w:left w:val="nil"/>
              <w:bottom w:val="nil"/>
            </w:tcBorders>
          </w:tcPr>
          <w:p w14:paraId="2E937370" w14:textId="6C3E21D6" w:rsidR="00FA1620" w:rsidRPr="006B4B7C" w:rsidRDefault="006B4B7C" w:rsidP="004A23B9">
            <w:pPr>
              <w:pStyle w:val="SingleTxtG"/>
              <w:ind w:left="0"/>
            </w:pPr>
            <w:r w:rsidRPr="006B4B7C">
              <w:t>France is proposing an amendment to Chapter 1.16 in respect of seagoing vessels.</w:t>
            </w:r>
          </w:p>
        </w:tc>
      </w:tr>
      <w:tr w:rsidR="002647CC" w14:paraId="40C86456" w14:textId="77777777" w:rsidTr="0077199A">
        <w:trPr>
          <w:jc w:val="center"/>
        </w:trPr>
        <w:tc>
          <w:tcPr>
            <w:tcW w:w="2557" w:type="dxa"/>
            <w:tcBorders>
              <w:top w:val="nil"/>
              <w:bottom w:val="nil"/>
              <w:right w:val="nil"/>
            </w:tcBorders>
            <w:shd w:val="clear" w:color="auto" w:fill="auto"/>
          </w:tcPr>
          <w:p w14:paraId="2050315B" w14:textId="5DC6D358" w:rsidR="002647CC" w:rsidRPr="002647CC" w:rsidRDefault="002647CC" w:rsidP="0022099B">
            <w:pPr>
              <w:pStyle w:val="SingleTxtG"/>
              <w:ind w:left="284" w:right="0"/>
              <w:rPr>
                <w:b/>
                <w:bCs/>
              </w:rPr>
            </w:pPr>
            <w:r w:rsidRPr="002647CC">
              <w:rPr>
                <w:b/>
                <w:bCs/>
              </w:rPr>
              <w:t>Executive summary:</w:t>
            </w:r>
          </w:p>
        </w:tc>
        <w:tc>
          <w:tcPr>
            <w:tcW w:w="7072" w:type="dxa"/>
            <w:tcBorders>
              <w:top w:val="nil"/>
              <w:left w:val="nil"/>
              <w:bottom w:val="nil"/>
            </w:tcBorders>
            <w:shd w:val="clear" w:color="auto" w:fill="auto"/>
          </w:tcPr>
          <w:p w14:paraId="150D782F" w14:textId="4C152A8B" w:rsidR="002647CC" w:rsidRDefault="00192B63" w:rsidP="004A23B9">
            <w:pPr>
              <w:pStyle w:val="SingleTxtG"/>
              <w:ind w:left="0"/>
            </w:pPr>
            <w:r w:rsidRPr="00192B63">
              <w:t>France wishes to make it possible to exempt seagoing vessels navigating on inland waterways from the requirement to hold a certificate of approval, provided that such vessels are in possession of the relevant certificates applicable to maritime navigation.</w:t>
            </w:r>
          </w:p>
        </w:tc>
      </w:tr>
      <w:tr w:rsidR="002647CC" w14:paraId="3854AD65" w14:textId="77777777" w:rsidTr="0077199A">
        <w:trPr>
          <w:jc w:val="center"/>
        </w:trPr>
        <w:tc>
          <w:tcPr>
            <w:tcW w:w="2557" w:type="dxa"/>
            <w:tcBorders>
              <w:top w:val="nil"/>
              <w:bottom w:val="nil"/>
              <w:right w:val="nil"/>
            </w:tcBorders>
            <w:shd w:val="clear" w:color="auto" w:fill="auto"/>
          </w:tcPr>
          <w:p w14:paraId="67A903F3" w14:textId="2FA6ACD7" w:rsidR="002647CC" w:rsidRPr="002647CC" w:rsidRDefault="002647CC" w:rsidP="006B4B7C">
            <w:pPr>
              <w:pStyle w:val="SingleTxtG"/>
              <w:ind w:left="284" w:right="0"/>
              <w:rPr>
                <w:b/>
                <w:bCs/>
              </w:rPr>
            </w:pPr>
            <w:r w:rsidRPr="002647CC">
              <w:rPr>
                <w:b/>
                <w:bCs/>
              </w:rPr>
              <w:t>Action to be taken:</w:t>
            </w:r>
          </w:p>
        </w:tc>
        <w:tc>
          <w:tcPr>
            <w:tcW w:w="7072" w:type="dxa"/>
            <w:tcBorders>
              <w:top w:val="nil"/>
              <w:left w:val="nil"/>
              <w:bottom w:val="nil"/>
            </w:tcBorders>
            <w:shd w:val="clear" w:color="auto" w:fill="auto"/>
          </w:tcPr>
          <w:p w14:paraId="5A097830" w14:textId="5764496A" w:rsidR="002647CC" w:rsidRDefault="00192B63" w:rsidP="004A23B9">
            <w:pPr>
              <w:pStyle w:val="SingleTxtG"/>
              <w:ind w:left="0"/>
            </w:pPr>
            <w:r w:rsidRPr="00192B63">
              <w:t>See paragraphs 5 to 7, and the annex.</w:t>
            </w:r>
          </w:p>
        </w:tc>
      </w:tr>
      <w:tr w:rsidR="002647CC" w14:paraId="075FC5FD" w14:textId="77777777" w:rsidTr="0077199A">
        <w:trPr>
          <w:jc w:val="center"/>
        </w:trPr>
        <w:tc>
          <w:tcPr>
            <w:tcW w:w="2557" w:type="dxa"/>
            <w:tcBorders>
              <w:top w:val="nil"/>
              <w:bottom w:val="nil"/>
              <w:right w:val="nil"/>
            </w:tcBorders>
            <w:shd w:val="clear" w:color="auto" w:fill="auto"/>
          </w:tcPr>
          <w:p w14:paraId="43CB2327" w14:textId="28416DBA" w:rsidR="002647CC" w:rsidRPr="002647CC" w:rsidRDefault="002647CC" w:rsidP="006B4B7C">
            <w:pPr>
              <w:pStyle w:val="SingleTxtG"/>
              <w:ind w:left="284" w:right="0"/>
              <w:rPr>
                <w:b/>
                <w:bCs/>
              </w:rPr>
            </w:pPr>
            <w:r w:rsidRPr="002647CC">
              <w:rPr>
                <w:b/>
                <w:bCs/>
              </w:rPr>
              <w:t>Related documents:</w:t>
            </w:r>
          </w:p>
        </w:tc>
        <w:tc>
          <w:tcPr>
            <w:tcW w:w="7072" w:type="dxa"/>
            <w:tcBorders>
              <w:top w:val="nil"/>
              <w:left w:val="nil"/>
              <w:bottom w:val="nil"/>
            </w:tcBorders>
            <w:shd w:val="clear" w:color="auto" w:fill="auto"/>
          </w:tcPr>
          <w:p w14:paraId="63106782" w14:textId="6A56BF1A" w:rsidR="002647CC" w:rsidRDefault="00192B63" w:rsidP="004A23B9">
            <w:pPr>
              <w:pStyle w:val="SingleTxtG"/>
              <w:ind w:left="0"/>
            </w:pPr>
            <w:r w:rsidRPr="00192B63">
              <w:t>None.</w:t>
            </w:r>
          </w:p>
        </w:tc>
      </w:tr>
      <w:tr w:rsidR="00FA1620" w14:paraId="31D5B677" w14:textId="77777777" w:rsidTr="0077199A">
        <w:trPr>
          <w:jc w:val="center"/>
        </w:trPr>
        <w:tc>
          <w:tcPr>
            <w:tcW w:w="2557" w:type="dxa"/>
            <w:tcBorders>
              <w:top w:val="nil"/>
              <w:right w:val="nil"/>
            </w:tcBorders>
          </w:tcPr>
          <w:p w14:paraId="0E570651" w14:textId="77777777" w:rsidR="00FA1620" w:rsidRDefault="00FA1620" w:rsidP="00FA1620">
            <w:pPr>
              <w:suppressAutoHyphens w:val="0"/>
            </w:pPr>
          </w:p>
        </w:tc>
        <w:tc>
          <w:tcPr>
            <w:tcW w:w="7072" w:type="dxa"/>
            <w:tcBorders>
              <w:top w:val="nil"/>
              <w:left w:val="nil"/>
            </w:tcBorders>
          </w:tcPr>
          <w:p w14:paraId="62BE1919" w14:textId="06AF4E2F" w:rsidR="00FA1620" w:rsidRDefault="00FA1620" w:rsidP="00FA1620">
            <w:pPr>
              <w:suppressAutoHyphens w:val="0"/>
              <w:spacing w:line="240" w:lineRule="atLeast"/>
            </w:pPr>
          </w:p>
        </w:tc>
      </w:tr>
    </w:tbl>
    <w:p w14:paraId="12DA1F30" w14:textId="08962C03" w:rsidR="00C11B89" w:rsidRPr="00CB4BA1" w:rsidRDefault="00EA25BE" w:rsidP="00EA25BE">
      <w:pPr>
        <w:pStyle w:val="HChG"/>
        <w:rPr>
          <w:lang w:val="en-US"/>
        </w:rPr>
      </w:pPr>
      <w:r>
        <w:tab/>
      </w:r>
      <w:r w:rsidR="00C11B89" w:rsidRPr="00CB4BA1">
        <w:t>I.</w:t>
      </w:r>
      <w:r w:rsidR="00C11B89" w:rsidRPr="00CB4BA1">
        <w:tab/>
      </w:r>
      <w:r w:rsidR="00C11B89" w:rsidRPr="00EA25BE">
        <w:t>Analysis</w:t>
      </w:r>
      <w:r w:rsidR="00C11B89" w:rsidRPr="00CB4BA1">
        <w:t xml:space="preserve"> of the problem</w:t>
      </w:r>
    </w:p>
    <w:p w14:paraId="54EB22E4" w14:textId="77777777" w:rsidR="00C11B89" w:rsidRPr="00CB4BA1" w:rsidRDefault="00C11B89" w:rsidP="00C11B89">
      <w:pPr>
        <w:pStyle w:val="SingleTxtG"/>
        <w:rPr>
          <w:lang w:val="en-US"/>
        </w:rPr>
      </w:pPr>
      <w:r w:rsidRPr="00CB4BA1">
        <w:t>1.</w:t>
      </w:r>
      <w:r w:rsidRPr="00CB4BA1">
        <w:tab/>
        <w:t>In the ADN Agreement currently in force and the Regulations annexed to the Agreement, there are only a few specific provisions applicable to seagoing vessels:</w:t>
      </w:r>
    </w:p>
    <w:p w14:paraId="5BA67658" w14:textId="75375845" w:rsidR="00C11B89" w:rsidRPr="00CB4BA1" w:rsidRDefault="00C60DDA" w:rsidP="00C60DDA">
      <w:pPr>
        <w:pStyle w:val="Bullet1G"/>
        <w:numPr>
          <w:ilvl w:val="0"/>
          <w:numId w:val="0"/>
        </w:numPr>
        <w:tabs>
          <w:tab w:val="left" w:pos="1701"/>
        </w:tabs>
        <w:ind w:left="1701" w:hanging="170"/>
        <w:rPr>
          <w:lang w:val="en-US"/>
        </w:rPr>
      </w:pPr>
      <w:r w:rsidRPr="00CB4BA1">
        <w:rPr>
          <w:lang w:val="en-US"/>
        </w:rPr>
        <w:t>•</w:t>
      </w:r>
      <w:r w:rsidRPr="00CB4BA1">
        <w:rPr>
          <w:lang w:val="en-US"/>
        </w:rPr>
        <w:tab/>
      </w:r>
      <w:r w:rsidR="00C11B89" w:rsidRPr="00CB4BA1">
        <w:t xml:space="preserve">Article 1 (2) of ADN provides that the Agreement does not apply </w:t>
      </w:r>
      <w:r w:rsidR="00A44CF4">
        <w:t>“</w:t>
      </w:r>
      <w:r w:rsidR="00C11B89" w:rsidRPr="00CB4BA1">
        <w:t xml:space="preserve">to the carriage of dangerous goods by seagoing vessels on maritime waterways </w:t>
      </w:r>
      <w:r w:rsidR="00C11B89" w:rsidRPr="00EA25BE">
        <w:t>forming</w:t>
      </w:r>
      <w:r w:rsidR="00C11B89" w:rsidRPr="00CB4BA1">
        <w:t xml:space="preserve"> part of inland waterways</w:t>
      </w:r>
      <w:r w:rsidR="00A44CF4">
        <w:t>”</w:t>
      </w:r>
      <w:r w:rsidR="00C11B89" w:rsidRPr="00CB4BA1">
        <w:t>.</w:t>
      </w:r>
    </w:p>
    <w:p w14:paraId="1C16EEEE" w14:textId="327CB4F8" w:rsidR="00C11B89" w:rsidRPr="00CB4BA1" w:rsidRDefault="00C60DDA" w:rsidP="00C60DDA">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CB4BA1">
        <w:rPr>
          <w:lang w:val="en-US"/>
        </w:rPr>
        <w:lastRenderedPageBreak/>
        <w:t>•</w:t>
      </w:r>
      <w:r w:rsidRPr="00CB4BA1">
        <w:rPr>
          <w:lang w:val="en-US"/>
        </w:rPr>
        <w:tab/>
      </w:r>
      <w:r w:rsidR="00C11B89" w:rsidRPr="00CB4BA1">
        <w:t xml:space="preserve">Article 3 (e) of ADN defines maritime waterways as </w:t>
      </w:r>
      <w:r w:rsidR="00A44CF4">
        <w:t>“</w:t>
      </w:r>
      <w:r w:rsidR="00C11B89" w:rsidRPr="00CB4BA1">
        <w:t>inland waterways linked to the sea, basically used for the traffic of seagoing vessels and designated as such under national law</w:t>
      </w:r>
      <w:r w:rsidR="00A44CF4">
        <w:t>”</w:t>
      </w:r>
      <w:r w:rsidR="00C11B89" w:rsidRPr="00CB4BA1">
        <w:t>.</w:t>
      </w:r>
    </w:p>
    <w:p w14:paraId="36D8D596" w14:textId="0CD7163C" w:rsidR="00C11B89" w:rsidRPr="00CB4BA1" w:rsidRDefault="00C60DDA" w:rsidP="00C60DDA">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CB4BA1">
        <w:rPr>
          <w:lang w:val="en-US"/>
        </w:rPr>
        <w:t>•</w:t>
      </w:r>
      <w:r w:rsidRPr="00CB4BA1">
        <w:rPr>
          <w:lang w:val="en-US"/>
        </w:rPr>
        <w:tab/>
      </w:r>
      <w:r w:rsidR="00C11B89" w:rsidRPr="00CB4BA1">
        <w:t>In the annexed Regulations, apart from a few requirements in Chapters 7.1 and 7.2 applicable to seagoing vessels, the main reference to seagoing vessels, in section 9.2.0, concerns their construction.</w:t>
      </w:r>
    </w:p>
    <w:p w14:paraId="3786AD04" w14:textId="2632AAD5" w:rsidR="00C11B89" w:rsidRPr="00CB4BA1" w:rsidRDefault="00C11B89" w:rsidP="00C11B89">
      <w:pPr>
        <w:pStyle w:val="SingleTxtG"/>
        <w:rPr>
          <w:lang w:val="en-US"/>
        </w:rPr>
      </w:pPr>
      <w:r w:rsidRPr="00CB4BA1">
        <w:t>2.</w:t>
      </w:r>
      <w:r w:rsidRPr="00CB4BA1">
        <w:tab/>
        <w:t xml:space="preserve">In both article 3 (a) of ADN and section 1.2.1 of the annexed Regulations, the definition of </w:t>
      </w:r>
      <w:r w:rsidR="00A44CF4">
        <w:t>“</w:t>
      </w:r>
      <w:r w:rsidRPr="00CB4BA1">
        <w:t>vessel</w:t>
      </w:r>
      <w:r w:rsidR="00A44CF4">
        <w:t>”</w:t>
      </w:r>
      <w:r w:rsidRPr="00CB4BA1">
        <w:t xml:space="preserve"> includes seagoing vessels.</w:t>
      </w:r>
    </w:p>
    <w:p w14:paraId="44A83DE8" w14:textId="77777777" w:rsidR="00C11B89" w:rsidRPr="00CB4BA1" w:rsidRDefault="00C11B89" w:rsidP="00C11B89">
      <w:pPr>
        <w:pStyle w:val="SingleTxtG"/>
        <w:rPr>
          <w:lang w:val="en-US"/>
        </w:rPr>
      </w:pPr>
      <w:r w:rsidRPr="00CB4BA1">
        <w:t>3.</w:t>
      </w:r>
      <w:r w:rsidRPr="00CB4BA1">
        <w:tab/>
        <w:t>In view of the above, a strict application of 1.16.1.1.1 of the annexed Regulations makes it necessary for a seagoing vessel carrying dangerous goods to hold a certificate of approval when navigating on an inland waterway that cannot be considered a maritime waterway.</w:t>
      </w:r>
    </w:p>
    <w:p w14:paraId="055BC3C1" w14:textId="637E878B" w:rsidR="00C11B89" w:rsidRPr="00CB4BA1" w:rsidRDefault="00C11B89" w:rsidP="00C11B89">
      <w:pPr>
        <w:pStyle w:val="SingleTxtG"/>
        <w:rPr>
          <w:lang w:val="en-US"/>
        </w:rPr>
      </w:pPr>
      <w:r w:rsidRPr="00CB4BA1">
        <w:t>4.</w:t>
      </w:r>
      <w:r w:rsidRPr="00CB4BA1">
        <w:tab/>
        <w:t xml:space="preserve">However, the various relevant instruments of the International Maritime Organization (IMO) provide for </w:t>
      </w:r>
      <w:r w:rsidR="00A44CF4">
        <w:t>“</w:t>
      </w:r>
      <w:r w:rsidRPr="00CB4BA1">
        <w:t>certificates of fitness</w:t>
      </w:r>
      <w:r w:rsidR="00A44CF4">
        <w:t>”</w:t>
      </w:r>
      <w:r w:rsidRPr="00CB4BA1">
        <w:t xml:space="preserve"> for the carriage of dangerous goods by sea and for the mandatory issue of such certificates. The correspondence between </w:t>
      </w:r>
      <w:r w:rsidR="00A44CF4">
        <w:t>“</w:t>
      </w:r>
      <w:r w:rsidRPr="00CB4BA1">
        <w:t>maritime certificates</w:t>
      </w:r>
      <w:r w:rsidR="00A44CF4">
        <w:t>”</w:t>
      </w:r>
      <w:r w:rsidRPr="00CB4BA1">
        <w:t xml:space="preserve"> and </w:t>
      </w:r>
      <w:r w:rsidR="00A44CF4">
        <w:t>“</w:t>
      </w:r>
      <w:r w:rsidRPr="00CB4BA1">
        <w:t>certificates of approval</w:t>
      </w:r>
      <w:r w:rsidR="00A44CF4">
        <w:t>”</w:t>
      </w:r>
      <w:r w:rsidRPr="00CB4BA1">
        <w:t xml:space="preserve"> under ADN is relatively simple to establish.</w:t>
      </w:r>
    </w:p>
    <w:p w14:paraId="2C7167C1" w14:textId="5DA40614" w:rsidR="00C11B89" w:rsidRPr="00CB4BA1" w:rsidRDefault="00EA25BE" w:rsidP="00EA25BE">
      <w:pPr>
        <w:pStyle w:val="HChG"/>
        <w:rPr>
          <w:lang w:val="en-US"/>
        </w:rPr>
      </w:pPr>
      <w:r>
        <w:tab/>
      </w:r>
      <w:r w:rsidR="00C11B89" w:rsidRPr="00CB4BA1">
        <w:t>II.</w:t>
      </w:r>
      <w:r w:rsidR="00C11B89" w:rsidRPr="00CB4BA1">
        <w:tab/>
      </w:r>
      <w:r w:rsidR="00C11B89" w:rsidRPr="00EA25BE">
        <w:t>Proposal</w:t>
      </w:r>
    </w:p>
    <w:p w14:paraId="15A62A23" w14:textId="77777777" w:rsidR="00C11B89" w:rsidRPr="00CB4BA1" w:rsidRDefault="00C11B89" w:rsidP="00C11B89">
      <w:pPr>
        <w:pStyle w:val="SingleTxtG"/>
        <w:rPr>
          <w:lang w:val="en-US"/>
        </w:rPr>
      </w:pPr>
      <w:r w:rsidRPr="00CB4BA1">
        <w:t>5.</w:t>
      </w:r>
      <w:r w:rsidRPr="00CB4BA1">
        <w:tab/>
        <w:t>It is proposed in the present submission to insert in the Regulations annexed to ADN an article 1.16.1.1.3, the text of which is contained in the annex to the submission.</w:t>
      </w:r>
    </w:p>
    <w:p w14:paraId="22AB3E15" w14:textId="1CE1650C" w:rsidR="00C11B89" w:rsidRPr="00CB4BA1" w:rsidRDefault="00C11B89" w:rsidP="00C11B89">
      <w:pPr>
        <w:pStyle w:val="SingleTxtG"/>
        <w:rPr>
          <w:rStyle w:val="SingleTxtGChar"/>
          <w:lang w:val="en-US"/>
        </w:rPr>
      </w:pPr>
      <w:r w:rsidRPr="00CB4BA1">
        <w:t>6.</w:t>
      </w:r>
      <w:r w:rsidRPr="00CB4BA1">
        <w:tab/>
        <w:t xml:space="preserve">The safety certificates referred to in the first indent of the proposed new article 1.16.1.1.3 are the counterpart of the </w:t>
      </w:r>
      <w:r w:rsidR="00A44CF4">
        <w:t>“</w:t>
      </w:r>
      <w:r w:rsidRPr="00CB4BA1">
        <w:t>vessel certificate</w:t>
      </w:r>
      <w:r w:rsidR="00A44CF4">
        <w:t>”</w:t>
      </w:r>
      <w:r w:rsidRPr="00CB4BA1">
        <w:t xml:space="preserve"> referred to in the annexed Regulations.</w:t>
      </w:r>
    </w:p>
    <w:p w14:paraId="1E797C67" w14:textId="77777777" w:rsidR="00C11B89" w:rsidRPr="00CB4BA1" w:rsidRDefault="00C11B89" w:rsidP="00C11B89">
      <w:pPr>
        <w:pStyle w:val="SingleTxtG"/>
        <w:rPr>
          <w:lang w:val="en-US"/>
        </w:rPr>
      </w:pPr>
      <w:r w:rsidRPr="00CB4BA1">
        <w:t>7.</w:t>
      </w:r>
      <w:r w:rsidRPr="00CB4BA1">
        <w:tab/>
        <w:t>In making the proposal contained in the annex, France considers that the problem raised can be addressed most effectively, and in a harmonized manner, in the annexed Regulations. However, some Contracting Parties may prefer to adopt national solutions or approaches, depending on their laws and regulations.</w:t>
      </w:r>
    </w:p>
    <w:p w14:paraId="35A64DEA" w14:textId="788A0873" w:rsidR="00C11B89" w:rsidRPr="00CB4BA1" w:rsidRDefault="00EA25BE" w:rsidP="00EA25BE">
      <w:pPr>
        <w:pStyle w:val="HChG"/>
        <w:rPr>
          <w:lang w:val="en-US"/>
        </w:rPr>
      </w:pPr>
      <w:r>
        <w:tab/>
      </w:r>
      <w:r w:rsidR="00C11B89" w:rsidRPr="00CB4BA1">
        <w:t>III.</w:t>
      </w:r>
      <w:r w:rsidR="00C11B89" w:rsidRPr="00CB4BA1">
        <w:tab/>
        <w:t>Action to be taken</w:t>
      </w:r>
    </w:p>
    <w:p w14:paraId="3DB5C37D" w14:textId="4807E352" w:rsidR="001F0B94" w:rsidRDefault="00C11B89" w:rsidP="00EA25BE">
      <w:pPr>
        <w:pStyle w:val="SingleTxtG"/>
      </w:pPr>
      <w:r w:rsidRPr="00CB4BA1">
        <w:t>8.</w:t>
      </w:r>
      <w:r w:rsidRPr="00CB4BA1">
        <w:tab/>
        <w:t xml:space="preserve">The ADN Safety Committee is invited to apprise itself of paragraphs 5 to 7 above, and the annex below, and to </w:t>
      </w:r>
      <w:proofErr w:type="gramStart"/>
      <w:r w:rsidRPr="00CB4BA1">
        <w:t>take action</w:t>
      </w:r>
      <w:proofErr w:type="gramEnd"/>
      <w:r w:rsidRPr="00CB4BA1">
        <w:t xml:space="preserve"> as appropriate.</w:t>
      </w:r>
    </w:p>
    <w:p w14:paraId="4D833103" w14:textId="77777777" w:rsidR="00C11B89" w:rsidRDefault="00C11B89" w:rsidP="00FC04AB">
      <w:pPr>
        <w:sectPr w:rsidR="00C11B8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28E47534" w14:textId="77777777" w:rsidR="00C11B89" w:rsidRPr="00CB4BA1" w:rsidRDefault="00C11B89" w:rsidP="00A44CF4">
      <w:pPr>
        <w:pStyle w:val="HChG"/>
        <w:rPr>
          <w:lang w:val="en-US"/>
        </w:rPr>
      </w:pPr>
      <w:r w:rsidRPr="00A44CF4">
        <w:lastRenderedPageBreak/>
        <w:t>Annex</w:t>
      </w:r>
    </w:p>
    <w:p w14:paraId="5F710BE1" w14:textId="08CB3147" w:rsidR="00C11B89" w:rsidRPr="00CB4BA1" w:rsidRDefault="00A44CF4" w:rsidP="00C11B89">
      <w:pPr>
        <w:pStyle w:val="SingleTxtG"/>
        <w:ind w:left="1701"/>
        <w:rPr>
          <w:lang w:val="en-US"/>
        </w:rPr>
      </w:pPr>
      <w:r>
        <w:t>“</w:t>
      </w:r>
      <w:r w:rsidR="00C11B89" w:rsidRPr="00CB4BA1">
        <w:t xml:space="preserve">1.16.1.1.3 </w:t>
      </w:r>
      <w:r w:rsidR="00C11B89" w:rsidRPr="00CB4BA1">
        <w:tab/>
        <w:t>Notwithstanding the provisions of 1.16.1.1.1, a seagoing vessel carrying dangerous goods on an inland waterway may be exempted from the requirement to hold a certificate of approval, subject to compliance with the following provisions:</w:t>
      </w:r>
    </w:p>
    <w:p w14:paraId="0EE1953A" w14:textId="65E13C67" w:rsidR="00C11B89" w:rsidRPr="00CB4BA1" w:rsidRDefault="00C60DDA" w:rsidP="00C60DDA">
      <w:pPr>
        <w:pStyle w:val="Bullet2G"/>
        <w:numPr>
          <w:ilvl w:val="0"/>
          <w:numId w:val="0"/>
        </w:numPr>
        <w:tabs>
          <w:tab w:val="left" w:pos="2268"/>
        </w:tabs>
        <w:kinsoku w:val="0"/>
        <w:overflowPunct w:val="0"/>
        <w:autoSpaceDE w:val="0"/>
        <w:autoSpaceDN w:val="0"/>
        <w:adjustRightInd w:val="0"/>
        <w:snapToGrid w:val="0"/>
        <w:ind w:left="3005" w:hanging="170"/>
        <w:rPr>
          <w:lang w:val="en-US"/>
        </w:rPr>
      </w:pPr>
      <w:r w:rsidRPr="00CB4BA1">
        <w:rPr>
          <w:lang w:val="en-US"/>
        </w:rPr>
        <w:t>•</w:t>
      </w:r>
      <w:r w:rsidRPr="00CB4BA1">
        <w:rPr>
          <w:lang w:val="en-US"/>
        </w:rPr>
        <w:tab/>
      </w:r>
      <w:r w:rsidR="00C11B89" w:rsidRPr="00CB4BA1">
        <w:t xml:space="preserve">The seagoing vessel is in possession of its safety certificates, issued under the International Convention for the Safety of Life at Sea, 1974 (SOLAS 74), as amended by the 1988 Protocol </w:t>
      </w:r>
      <w:proofErr w:type="gramStart"/>
      <w:r w:rsidR="00C11B89" w:rsidRPr="00CB4BA1">
        <w:t>thereto;</w:t>
      </w:r>
      <w:proofErr w:type="gramEnd"/>
      <w:r w:rsidR="00C11B89" w:rsidRPr="00CB4BA1">
        <w:t xml:space="preserve"> and</w:t>
      </w:r>
    </w:p>
    <w:p w14:paraId="7F26876A" w14:textId="08E575B4" w:rsidR="00C11B89" w:rsidRPr="00CB4BA1" w:rsidRDefault="00C60DDA" w:rsidP="00C60DDA">
      <w:pPr>
        <w:pStyle w:val="Bullet2G"/>
        <w:numPr>
          <w:ilvl w:val="0"/>
          <w:numId w:val="0"/>
        </w:numPr>
        <w:tabs>
          <w:tab w:val="left" w:pos="2268"/>
        </w:tabs>
        <w:kinsoku w:val="0"/>
        <w:overflowPunct w:val="0"/>
        <w:autoSpaceDE w:val="0"/>
        <w:autoSpaceDN w:val="0"/>
        <w:adjustRightInd w:val="0"/>
        <w:snapToGrid w:val="0"/>
        <w:ind w:left="3005" w:hanging="170"/>
        <w:rPr>
          <w:lang w:val="en-US"/>
        </w:rPr>
      </w:pPr>
      <w:r w:rsidRPr="00CB4BA1">
        <w:rPr>
          <w:lang w:val="en-US"/>
        </w:rPr>
        <w:t>•</w:t>
      </w:r>
      <w:r w:rsidRPr="00CB4BA1">
        <w:rPr>
          <w:lang w:val="en-US"/>
        </w:rPr>
        <w:tab/>
      </w:r>
      <w:r w:rsidR="00C11B89" w:rsidRPr="00CB4BA1">
        <w:t>The seagoing vessel is in possession of a document of compliance or a certificate of fitness, in accordance with the following table of correspondence:</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15"/>
        <w:gridCol w:w="1802"/>
        <w:gridCol w:w="4248"/>
        <w:gridCol w:w="3994"/>
      </w:tblGrid>
      <w:tr w:rsidR="00C11B89" w:rsidRPr="00E77026" w14:paraId="4489407A" w14:textId="77777777" w:rsidTr="00E77026">
        <w:trPr>
          <w:cantSplit/>
          <w:tblHeader/>
        </w:trPr>
        <w:tc>
          <w:tcPr>
            <w:tcW w:w="2579" w:type="dxa"/>
            <w:tcBorders>
              <w:top w:val="single" w:sz="4" w:space="0" w:color="auto"/>
              <w:bottom w:val="single" w:sz="12" w:space="0" w:color="auto"/>
            </w:tcBorders>
            <w:shd w:val="clear" w:color="auto" w:fill="auto"/>
            <w:vAlign w:val="bottom"/>
          </w:tcPr>
          <w:p w14:paraId="0425FA4D" w14:textId="77777777" w:rsidR="00C11B89" w:rsidRPr="00E77026" w:rsidRDefault="00C11B89" w:rsidP="00E77026">
            <w:pPr>
              <w:suppressAutoHyphens w:val="0"/>
              <w:spacing w:before="80" w:after="80" w:line="200" w:lineRule="exact"/>
              <w:ind w:right="113"/>
              <w:rPr>
                <w:i/>
                <w:sz w:val="16"/>
              </w:rPr>
            </w:pPr>
            <w:r w:rsidRPr="00E77026">
              <w:rPr>
                <w:i/>
                <w:iCs/>
                <w:sz w:val="16"/>
              </w:rPr>
              <w:t>Regulations annexed to ADN</w:t>
            </w:r>
          </w:p>
        </w:tc>
        <w:tc>
          <w:tcPr>
            <w:tcW w:w="2008" w:type="dxa"/>
            <w:tcBorders>
              <w:top w:val="single" w:sz="4" w:space="0" w:color="auto"/>
              <w:bottom w:val="single" w:sz="12" w:space="0" w:color="auto"/>
            </w:tcBorders>
            <w:shd w:val="clear" w:color="auto" w:fill="auto"/>
            <w:vAlign w:val="bottom"/>
          </w:tcPr>
          <w:p w14:paraId="40001B23" w14:textId="77777777" w:rsidR="00C11B89" w:rsidRPr="00E77026" w:rsidRDefault="00C11B89" w:rsidP="00E77026">
            <w:pPr>
              <w:suppressAutoHyphens w:val="0"/>
              <w:spacing w:before="80" w:after="80" w:line="200" w:lineRule="exact"/>
              <w:ind w:right="113"/>
              <w:rPr>
                <w:i/>
                <w:sz w:val="16"/>
              </w:rPr>
            </w:pPr>
            <w:r w:rsidRPr="00E77026">
              <w:rPr>
                <w:i/>
                <w:iCs/>
                <w:sz w:val="16"/>
              </w:rPr>
              <w:t>Type of cargo</w:t>
            </w:r>
          </w:p>
        </w:tc>
        <w:tc>
          <w:tcPr>
            <w:tcW w:w="4736" w:type="dxa"/>
            <w:tcBorders>
              <w:top w:val="single" w:sz="4" w:space="0" w:color="auto"/>
              <w:bottom w:val="single" w:sz="12" w:space="0" w:color="auto"/>
            </w:tcBorders>
            <w:shd w:val="clear" w:color="auto" w:fill="auto"/>
            <w:vAlign w:val="bottom"/>
          </w:tcPr>
          <w:p w14:paraId="5F1DEC46" w14:textId="77777777" w:rsidR="00C11B89" w:rsidRPr="00E77026" w:rsidRDefault="00C11B89" w:rsidP="00E77026">
            <w:pPr>
              <w:suppressAutoHyphens w:val="0"/>
              <w:spacing w:before="80" w:after="80" w:line="200" w:lineRule="exact"/>
              <w:ind w:right="113"/>
              <w:rPr>
                <w:i/>
                <w:sz w:val="16"/>
              </w:rPr>
            </w:pPr>
            <w:r w:rsidRPr="00E77026">
              <w:rPr>
                <w:i/>
                <w:iCs/>
                <w:sz w:val="16"/>
              </w:rPr>
              <w:t>Title of IMO document</w:t>
            </w:r>
          </w:p>
        </w:tc>
        <w:tc>
          <w:tcPr>
            <w:tcW w:w="4453" w:type="dxa"/>
            <w:tcBorders>
              <w:top w:val="single" w:sz="4" w:space="0" w:color="auto"/>
              <w:bottom w:val="single" w:sz="12" w:space="0" w:color="auto"/>
            </w:tcBorders>
            <w:shd w:val="clear" w:color="auto" w:fill="auto"/>
            <w:vAlign w:val="bottom"/>
          </w:tcPr>
          <w:p w14:paraId="19FE1C1D" w14:textId="77777777" w:rsidR="00C11B89" w:rsidRPr="00E77026" w:rsidRDefault="00C11B89" w:rsidP="00E77026">
            <w:pPr>
              <w:suppressAutoHyphens w:val="0"/>
              <w:spacing w:before="80" w:after="80" w:line="200" w:lineRule="exact"/>
              <w:ind w:right="113"/>
              <w:rPr>
                <w:i/>
                <w:sz w:val="16"/>
              </w:rPr>
            </w:pPr>
            <w:r w:rsidRPr="00E77026">
              <w:rPr>
                <w:i/>
                <w:iCs/>
                <w:sz w:val="16"/>
              </w:rPr>
              <w:t>Relevant IMO instrument</w:t>
            </w:r>
          </w:p>
        </w:tc>
      </w:tr>
      <w:tr w:rsidR="00C11B89" w:rsidRPr="00CB4BA1" w14:paraId="5FB76C14" w14:textId="77777777" w:rsidTr="00E77026">
        <w:trPr>
          <w:cantSplit/>
          <w:trHeight w:hRule="exact" w:val="113"/>
        </w:trPr>
        <w:tc>
          <w:tcPr>
            <w:tcW w:w="2579" w:type="dxa"/>
            <w:tcBorders>
              <w:top w:val="single" w:sz="12" w:space="0" w:color="auto"/>
            </w:tcBorders>
            <w:shd w:val="clear" w:color="auto" w:fill="auto"/>
          </w:tcPr>
          <w:p w14:paraId="607B6E25" w14:textId="77777777" w:rsidR="00C11B89" w:rsidRPr="00CB4BA1" w:rsidRDefault="00C11B89" w:rsidP="00DB37A0">
            <w:pPr>
              <w:suppressAutoHyphens w:val="0"/>
              <w:spacing w:before="40" w:after="120"/>
              <w:ind w:right="113"/>
              <w:rPr>
                <w:lang w:val="fr-FR"/>
              </w:rPr>
            </w:pPr>
          </w:p>
        </w:tc>
        <w:tc>
          <w:tcPr>
            <w:tcW w:w="2008" w:type="dxa"/>
            <w:tcBorders>
              <w:top w:val="single" w:sz="12" w:space="0" w:color="auto"/>
            </w:tcBorders>
            <w:shd w:val="clear" w:color="auto" w:fill="auto"/>
          </w:tcPr>
          <w:p w14:paraId="7A3D7BDF" w14:textId="77777777" w:rsidR="00C11B89" w:rsidRPr="00CB4BA1" w:rsidRDefault="00C11B89" w:rsidP="00DB37A0">
            <w:pPr>
              <w:suppressAutoHyphens w:val="0"/>
              <w:spacing w:before="40" w:after="120"/>
              <w:ind w:right="113"/>
              <w:rPr>
                <w:lang w:val="fr-FR"/>
              </w:rPr>
            </w:pPr>
          </w:p>
        </w:tc>
        <w:tc>
          <w:tcPr>
            <w:tcW w:w="4736" w:type="dxa"/>
            <w:tcBorders>
              <w:top w:val="single" w:sz="12" w:space="0" w:color="auto"/>
            </w:tcBorders>
            <w:shd w:val="clear" w:color="auto" w:fill="auto"/>
          </w:tcPr>
          <w:p w14:paraId="23C61293" w14:textId="77777777" w:rsidR="00C11B89" w:rsidRPr="00CB4BA1" w:rsidRDefault="00C11B89" w:rsidP="00DB37A0">
            <w:pPr>
              <w:suppressAutoHyphens w:val="0"/>
              <w:spacing w:before="40" w:after="120"/>
              <w:ind w:right="113"/>
              <w:rPr>
                <w:lang w:val="fr-FR"/>
              </w:rPr>
            </w:pPr>
          </w:p>
        </w:tc>
        <w:tc>
          <w:tcPr>
            <w:tcW w:w="4453" w:type="dxa"/>
            <w:tcBorders>
              <w:top w:val="single" w:sz="12" w:space="0" w:color="auto"/>
            </w:tcBorders>
            <w:shd w:val="clear" w:color="auto" w:fill="auto"/>
          </w:tcPr>
          <w:p w14:paraId="00C34EEC" w14:textId="77777777" w:rsidR="00C11B89" w:rsidRPr="00CB4BA1" w:rsidRDefault="00C11B89" w:rsidP="00DB37A0">
            <w:pPr>
              <w:suppressAutoHyphens w:val="0"/>
              <w:spacing w:before="40" w:after="120"/>
              <w:ind w:right="113"/>
              <w:rPr>
                <w:lang w:val="fr-FR"/>
              </w:rPr>
            </w:pPr>
          </w:p>
        </w:tc>
      </w:tr>
      <w:tr w:rsidR="00C11B89" w:rsidRPr="00CB4BA1" w14:paraId="613ED5C1" w14:textId="77777777" w:rsidTr="00E77026">
        <w:trPr>
          <w:cantSplit/>
        </w:trPr>
        <w:tc>
          <w:tcPr>
            <w:tcW w:w="2579" w:type="dxa"/>
            <w:shd w:val="clear" w:color="auto" w:fill="auto"/>
          </w:tcPr>
          <w:p w14:paraId="1ABA2BE3" w14:textId="77777777" w:rsidR="00C11B89" w:rsidRPr="00CB4BA1" w:rsidRDefault="00C11B89" w:rsidP="00DB37A0">
            <w:pPr>
              <w:suppressAutoHyphens w:val="0"/>
              <w:spacing w:before="40" w:after="120"/>
              <w:ind w:right="113"/>
              <w:rPr>
                <w:lang w:val="en-US"/>
              </w:rPr>
            </w:pPr>
            <w:r w:rsidRPr="00CB4BA1">
              <w:t>Certificate of approval for dry cargo vessels</w:t>
            </w:r>
          </w:p>
        </w:tc>
        <w:tc>
          <w:tcPr>
            <w:tcW w:w="2008" w:type="dxa"/>
            <w:shd w:val="clear" w:color="auto" w:fill="auto"/>
          </w:tcPr>
          <w:p w14:paraId="733262A0" w14:textId="77777777" w:rsidR="00C11B89" w:rsidRPr="00CB4BA1" w:rsidRDefault="00C11B89" w:rsidP="00DB37A0">
            <w:pPr>
              <w:suppressAutoHyphens w:val="0"/>
              <w:spacing w:before="40" w:after="120"/>
              <w:ind w:right="113"/>
            </w:pPr>
            <w:r w:rsidRPr="00CB4BA1">
              <w:t>Packages</w:t>
            </w:r>
          </w:p>
        </w:tc>
        <w:tc>
          <w:tcPr>
            <w:tcW w:w="4736" w:type="dxa"/>
            <w:shd w:val="clear" w:color="auto" w:fill="auto"/>
          </w:tcPr>
          <w:p w14:paraId="6EFE990C" w14:textId="77777777" w:rsidR="00C11B89" w:rsidRPr="00CB4BA1" w:rsidRDefault="00C11B89" w:rsidP="00DB37A0">
            <w:pPr>
              <w:suppressAutoHyphens w:val="0"/>
              <w:spacing w:before="40" w:after="120"/>
              <w:ind w:right="113"/>
              <w:rPr>
                <w:lang w:val="en-US"/>
              </w:rPr>
            </w:pPr>
            <w:r w:rsidRPr="00CB4BA1">
              <w:t>Document of compliance with the special requirements for ships carrying dangerous goods</w:t>
            </w:r>
          </w:p>
        </w:tc>
        <w:tc>
          <w:tcPr>
            <w:tcW w:w="4453" w:type="dxa"/>
            <w:shd w:val="clear" w:color="auto" w:fill="auto"/>
          </w:tcPr>
          <w:p w14:paraId="38424431" w14:textId="77777777" w:rsidR="00C11B89" w:rsidRPr="00CB4BA1" w:rsidRDefault="00C11B89" w:rsidP="00DB37A0">
            <w:pPr>
              <w:suppressAutoHyphens w:val="0"/>
              <w:spacing w:before="40" w:after="120"/>
              <w:ind w:right="113"/>
              <w:rPr>
                <w:lang w:val="en-US"/>
              </w:rPr>
            </w:pPr>
            <w:r w:rsidRPr="00CB4BA1">
              <w:t>SOLAS Regulation II-2/19 (or SOLAS Regulation II-2/54 for ships built before 1 July 2002)</w:t>
            </w:r>
          </w:p>
        </w:tc>
      </w:tr>
      <w:tr w:rsidR="00C11B89" w:rsidRPr="00CB4BA1" w14:paraId="5A0395AB" w14:textId="77777777" w:rsidTr="00E77026">
        <w:trPr>
          <w:cantSplit/>
        </w:trPr>
        <w:tc>
          <w:tcPr>
            <w:tcW w:w="2579" w:type="dxa"/>
            <w:shd w:val="clear" w:color="auto" w:fill="auto"/>
          </w:tcPr>
          <w:p w14:paraId="429B31AB" w14:textId="77777777" w:rsidR="00C11B89" w:rsidRPr="00CB4BA1" w:rsidRDefault="00C11B89" w:rsidP="00DB37A0">
            <w:pPr>
              <w:suppressAutoHyphens w:val="0"/>
              <w:spacing w:before="40" w:after="120"/>
              <w:ind w:right="113"/>
              <w:rPr>
                <w:lang w:val="en-US"/>
              </w:rPr>
            </w:pPr>
            <w:r w:rsidRPr="00CB4BA1">
              <w:t>Certificate of approval for dry cargo vessels</w:t>
            </w:r>
          </w:p>
        </w:tc>
        <w:tc>
          <w:tcPr>
            <w:tcW w:w="2008" w:type="dxa"/>
            <w:shd w:val="clear" w:color="auto" w:fill="auto"/>
          </w:tcPr>
          <w:p w14:paraId="56CD3DD1" w14:textId="77777777" w:rsidR="00C11B89" w:rsidRPr="00CB4BA1" w:rsidRDefault="00C11B89" w:rsidP="00DB37A0">
            <w:pPr>
              <w:suppressAutoHyphens w:val="0"/>
              <w:spacing w:before="40" w:after="120"/>
              <w:ind w:right="113"/>
            </w:pPr>
            <w:r w:rsidRPr="00CB4BA1">
              <w:t>Solid bulk</w:t>
            </w:r>
          </w:p>
        </w:tc>
        <w:tc>
          <w:tcPr>
            <w:tcW w:w="4736" w:type="dxa"/>
            <w:shd w:val="clear" w:color="auto" w:fill="auto"/>
          </w:tcPr>
          <w:p w14:paraId="1AC96CD2" w14:textId="77777777" w:rsidR="00C11B89" w:rsidRPr="00CB4BA1" w:rsidRDefault="00C11B89" w:rsidP="00DB37A0">
            <w:pPr>
              <w:suppressAutoHyphens w:val="0"/>
              <w:spacing w:before="40" w:after="120"/>
              <w:ind w:right="113"/>
              <w:rPr>
                <w:lang w:val="en-US"/>
              </w:rPr>
            </w:pPr>
            <w:r w:rsidRPr="00CB4BA1">
              <w:t>Document of compliance with the special requirements for ships carrying dangerous goods</w:t>
            </w:r>
          </w:p>
        </w:tc>
        <w:tc>
          <w:tcPr>
            <w:tcW w:w="4453" w:type="dxa"/>
            <w:shd w:val="clear" w:color="auto" w:fill="auto"/>
          </w:tcPr>
          <w:p w14:paraId="3C606B5D" w14:textId="77777777" w:rsidR="00C11B89" w:rsidRPr="00CB4BA1" w:rsidRDefault="00C11B89" w:rsidP="00DB37A0">
            <w:pPr>
              <w:suppressAutoHyphens w:val="0"/>
              <w:spacing w:before="40" w:after="120"/>
              <w:ind w:right="113"/>
              <w:rPr>
                <w:lang w:val="en-US"/>
              </w:rPr>
            </w:pPr>
            <w:r w:rsidRPr="00CB4BA1">
              <w:t>SOLAS Regulation II-2/19 (or SOLAS Regulation II-2/54 for ships built before 1 July 2002)</w:t>
            </w:r>
          </w:p>
        </w:tc>
      </w:tr>
      <w:tr w:rsidR="00C11B89" w:rsidRPr="00CB4BA1" w14:paraId="124471CE" w14:textId="77777777" w:rsidTr="00E77026">
        <w:trPr>
          <w:cantSplit/>
        </w:trPr>
        <w:tc>
          <w:tcPr>
            <w:tcW w:w="2579" w:type="dxa"/>
            <w:shd w:val="clear" w:color="auto" w:fill="auto"/>
          </w:tcPr>
          <w:p w14:paraId="56919484" w14:textId="77777777" w:rsidR="00C11B89" w:rsidRPr="00CB4BA1" w:rsidRDefault="00C11B89" w:rsidP="00DB37A0">
            <w:pPr>
              <w:suppressAutoHyphens w:val="0"/>
              <w:spacing w:before="40" w:after="120"/>
              <w:ind w:right="113"/>
              <w:rPr>
                <w:lang w:val="en-US"/>
              </w:rPr>
            </w:pPr>
            <w:r w:rsidRPr="00CB4BA1">
              <w:t>Certificate of approval for tank vessels type N</w:t>
            </w:r>
          </w:p>
        </w:tc>
        <w:tc>
          <w:tcPr>
            <w:tcW w:w="2008" w:type="dxa"/>
            <w:shd w:val="clear" w:color="auto" w:fill="auto"/>
          </w:tcPr>
          <w:p w14:paraId="29FB6C2A" w14:textId="77777777" w:rsidR="00C11B89" w:rsidRPr="00CB4BA1" w:rsidRDefault="00C11B89" w:rsidP="00DB37A0">
            <w:pPr>
              <w:suppressAutoHyphens w:val="0"/>
              <w:spacing w:before="40" w:after="120"/>
              <w:ind w:right="113"/>
            </w:pPr>
            <w:r w:rsidRPr="00CB4BA1">
              <w:t>Oils</w:t>
            </w:r>
          </w:p>
        </w:tc>
        <w:tc>
          <w:tcPr>
            <w:tcW w:w="4736" w:type="dxa"/>
            <w:shd w:val="clear" w:color="auto" w:fill="auto"/>
          </w:tcPr>
          <w:p w14:paraId="2D71436D" w14:textId="77777777" w:rsidR="00C11B89" w:rsidRPr="00CB4BA1" w:rsidRDefault="00C11B89" w:rsidP="00DB37A0">
            <w:pPr>
              <w:suppressAutoHyphens w:val="0"/>
              <w:spacing w:before="40" w:after="120"/>
              <w:ind w:right="113"/>
              <w:rPr>
                <w:lang w:val="en-US"/>
              </w:rPr>
            </w:pPr>
            <w:r w:rsidRPr="00CB4BA1">
              <w:t>International Oil Pollution Prevention Certificate (IOPP) + Supplement Form B (Record of construction and equipment for oil tankers)</w:t>
            </w:r>
          </w:p>
        </w:tc>
        <w:tc>
          <w:tcPr>
            <w:tcW w:w="4453" w:type="dxa"/>
            <w:shd w:val="clear" w:color="auto" w:fill="auto"/>
          </w:tcPr>
          <w:p w14:paraId="6D3480F7" w14:textId="77777777" w:rsidR="00C11B89" w:rsidRPr="00CB4BA1" w:rsidRDefault="00C11B89" w:rsidP="00DB37A0">
            <w:pPr>
              <w:suppressAutoHyphens w:val="0"/>
              <w:spacing w:before="40" w:after="120"/>
              <w:ind w:right="113"/>
            </w:pPr>
            <w:r w:rsidRPr="00CB4BA1">
              <w:t>MARPOL Annex I</w:t>
            </w:r>
          </w:p>
        </w:tc>
      </w:tr>
      <w:tr w:rsidR="00C11B89" w:rsidRPr="00CB4BA1" w14:paraId="0915356E" w14:textId="77777777" w:rsidTr="00E77026">
        <w:trPr>
          <w:cantSplit/>
        </w:trPr>
        <w:tc>
          <w:tcPr>
            <w:tcW w:w="2579" w:type="dxa"/>
            <w:vMerge w:val="restart"/>
            <w:shd w:val="clear" w:color="auto" w:fill="auto"/>
          </w:tcPr>
          <w:p w14:paraId="66CE98DE" w14:textId="77777777" w:rsidR="00C11B89" w:rsidRPr="00CB4BA1" w:rsidRDefault="00C11B89" w:rsidP="00DB37A0">
            <w:pPr>
              <w:suppressAutoHyphens w:val="0"/>
              <w:spacing w:before="40" w:after="120"/>
              <w:ind w:right="113"/>
            </w:pPr>
            <w:r w:rsidRPr="00CB4BA1">
              <w:t>Certificate of approval for tank vessels type C</w:t>
            </w:r>
          </w:p>
        </w:tc>
        <w:tc>
          <w:tcPr>
            <w:tcW w:w="2008" w:type="dxa"/>
            <w:vMerge w:val="restart"/>
            <w:shd w:val="clear" w:color="auto" w:fill="auto"/>
          </w:tcPr>
          <w:p w14:paraId="1ECB5CDC" w14:textId="77777777" w:rsidR="00C11B89" w:rsidRPr="00CB4BA1" w:rsidRDefault="00C11B89" w:rsidP="00DB37A0">
            <w:pPr>
              <w:suppressAutoHyphens w:val="0"/>
              <w:spacing w:before="40" w:after="120"/>
              <w:ind w:right="113"/>
            </w:pPr>
            <w:r w:rsidRPr="00CB4BA1">
              <w:t>Liquid chemical substances</w:t>
            </w:r>
          </w:p>
        </w:tc>
        <w:tc>
          <w:tcPr>
            <w:tcW w:w="4736" w:type="dxa"/>
            <w:shd w:val="clear" w:color="auto" w:fill="auto"/>
          </w:tcPr>
          <w:p w14:paraId="7AB62016" w14:textId="77777777" w:rsidR="00C11B89" w:rsidRPr="00CB4BA1" w:rsidRDefault="00C11B89" w:rsidP="00DB37A0">
            <w:pPr>
              <w:suppressAutoHyphens w:val="0"/>
              <w:spacing w:before="40" w:after="120"/>
              <w:ind w:right="113"/>
              <w:rPr>
                <w:lang w:val="en-US"/>
              </w:rPr>
            </w:pPr>
            <w:r w:rsidRPr="00CB4BA1">
              <w:t>International certificate of fitness for the carriage of dangerous chemicals in bulk</w:t>
            </w:r>
          </w:p>
        </w:tc>
        <w:tc>
          <w:tcPr>
            <w:tcW w:w="4453" w:type="dxa"/>
            <w:shd w:val="clear" w:color="auto" w:fill="auto"/>
          </w:tcPr>
          <w:p w14:paraId="37F9E6BA" w14:textId="77777777" w:rsidR="00C11B89" w:rsidRPr="00CB4BA1" w:rsidRDefault="00C11B89" w:rsidP="00DB37A0">
            <w:pPr>
              <w:suppressAutoHyphens w:val="0"/>
              <w:spacing w:before="40" w:after="120"/>
              <w:ind w:right="113"/>
              <w:rPr>
                <w:lang w:val="en-US"/>
              </w:rPr>
            </w:pPr>
            <w:r w:rsidRPr="00CB4BA1">
              <w:t>International Code for the Construction and Equipment of Ships Carrying Dangerous Chemicals in Bulk (IBC Code)</w:t>
            </w:r>
          </w:p>
        </w:tc>
      </w:tr>
      <w:tr w:rsidR="00C11B89" w:rsidRPr="00CB4BA1" w14:paraId="38FF73AB" w14:textId="77777777" w:rsidTr="00E77026">
        <w:trPr>
          <w:cantSplit/>
        </w:trPr>
        <w:tc>
          <w:tcPr>
            <w:tcW w:w="2579" w:type="dxa"/>
            <w:vMerge/>
            <w:shd w:val="clear" w:color="auto" w:fill="auto"/>
          </w:tcPr>
          <w:p w14:paraId="0DAF77DC" w14:textId="77777777" w:rsidR="00C11B89" w:rsidRPr="00CB4BA1" w:rsidRDefault="00C11B89" w:rsidP="00DB37A0">
            <w:pPr>
              <w:suppressAutoHyphens w:val="0"/>
              <w:spacing w:before="40" w:after="120"/>
              <w:ind w:right="113"/>
              <w:rPr>
                <w:lang w:val="en-US"/>
              </w:rPr>
            </w:pPr>
          </w:p>
        </w:tc>
        <w:tc>
          <w:tcPr>
            <w:tcW w:w="2008" w:type="dxa"/>
            <w:vMerge/>
            <w:shd w:val="clear" w:color="auto" w:fill="auto"/>
          </w:tcPr>
          <w:p w14:paraId="1F95DD8F" w14:textId="77777777" w:rsidR="00C11B89" w:rsidRPr="00CB4BA1" w:rsidRDefault="00C11B89" w:rsidP="00DB37A0">
            <w:pPr>
              <w:suppressAutoHyphens w:val="0"/>
              <w:spacing w:before="40" w:after="120"/>
              <w:ind w:right="113"/>
              <w:rPr>
                <w:lang w:val="en-US"/>
              </w:rPr>
            </w:pPr>
          </w:p>
        </w:tc>
        <w:tc>
          <w:tcPr>
            <w:tcW w:w="4736" w:type="dxa"/>
            <w:shd w:val="clear" w:color="auto" w:fill="auto"/>
          </w:tcPr>
          <w:p w14:paraId="536177FC" w14:textId="77777777" w:rsidR="00C11B89" w:rsidRPr="00CB4BA1" w:rsidRDefault="00C11B89" w:rsidP="00DB37A0">
            <w:pPr>
              <w:suppressAutoHyphens w:val="0"/>
              <w:spacing w:before="40" w:after="120"/>
              <w:ind w:right="113"/>
              <w:rPr>
                <w:lang w:val="en-US"/>
              </w:rPr>
            </w:pPr>
            <w:r w:rsidRPr="00CB4BA1">
              <w:t>International Pollution Prevention Certificate for the Carriage of Noxious Liquid Substances in Bulk (NLS Certificate)</w:t>
            </w:r>
          </w:p>
        </w:tc>
        <w:tc>
          <w:tcPr>
            <w:tcW w:w="4453" w:type="dxa"/>
            <w:shd w:val="clear" w:color="auto" w:fill="auto"/>
          </w:tcPr>
          <w:p w14:paraId="5D44F1DC" w14:textId="77777777" w:rsidR="00C11B89" w:rsidRPr="00CB4BA1" w:rsidRDefault="00C11B89" w:rsidP="00DB37A0">
            <w:pPr>
              <w:suppressAutoHyphens w:val="0"/>
              <w:spacing w:before="40" w:after="120"/>
              <w:ind w:right="113"/>
            </w:pPr>
            <w:r w:rsidRPr="00CB4BA1">
              <w:t>MARPOL Annex II</w:t>
            </w:r>
          </w:p>
        </w:tc>
      </w:tr>
      <w:tr w:rsidR="00C11B89" w:rsidRPr="00AB385D" w14:paraId="7E5ACE6D" w14:textId="77777777" w:rsidTr="00E77026">
        <w:trPr>
          <w:cantSplit/>
        </w:trPr>
        <w:tc>
          <w:tcPr>
            <w:tcW w:w="2579" w:type="dxa"/>
            <w:tcBorders>
              <w:bottom w:val="single" w:sz="12" w:space="0" w:color="auto"/>
            </w:tcBorders>
            <w:shd w:val="clear" w:color="auto" w:fill="auto"/>
          </w:tcPr>
          <w:p w14:paraId="3B052C6E" w14:textId="77777777" w:rsidR="00C11B89" w:rsidRPr="00CB4BA1" w:rsidRDefault="00C11B89" w:rsidP="00DB37A0">
            <w:pPr>
              <w:suppressAutoHyphens w:val="0"/>
              <w:spacing w:before="40" w:after="120"/>
              <w:ind w:right="113"/>
              <w:rPr>
                <w:lang w:val="en-US"/>
              </w:rPr>
            </w:pPr>
            <w:r w:rsidRPr="00CB4BA1">
              <w:t>Certificate of approval for tank vessels type G</w:t>
            </w:r>
          </w:p>
        </w:tc>
        <w:tc>
          <w:tcPr>
            <w:tcW w:w="2008" w:type="dxa"/>
            <w:tcBorders>
              <w:bottom w:val="single" w:sz="12" w:space="0" w:color="auto"/>
            </w:tcBorders>
            <w:shd w:val="clear" w:color="auto" w:fill="auto"/>
          </w:tcPr>
          <w:p w14:paraId="50865279" w14:textId="77777777" w:rsidR="00C11B89" w:rsidRPr="00CB4BA1" w:rsidRDefault="00C11B89" w:rsidP="00DB37A0">
            <w:pPr>
              <w:suppressAutoHyphens w:val="0"/>
              <w:spacing w:before="40" w:after="120"/>
              <w:ind w:right="113"/>
            </w:pPr>
            <w:r w:rsidRPr="00CB4BA1">
              <w:t>Gases</w:t>
            </w:r>
          </w:p>
        </w:tc>
        <w:tc>
          <w:tcPr>
            <w:tcW w:w="4736" w:type="dxa"/>
            <w:tcBorders>
              <w:bottom w:val="single" w:sz="12" w:space="0" w:color="auto"/>
            </w:tcBorders>
            <w:shd w:val="clear" w:color="auto" w:fill="auto"/>
          </w:tcPr>
          <w:p w14:paraId="4C16D5FB" w14:textId="77777777" w:rsidR="00C11B89" w:rsidRPr="00CB4BA1" w:rsidRDefault="00C11B89" w:rsidP="00DB37A0">
            <w:pPr>
              <w:suppressAutoHyphens w:val="0"/>
              <w:spacing w:before="40" w:after="120"/>
              <w:ind w:right="113"/>
              <w:rPr>
                <w:lang w:val="en-US"/>
              </w:rPr>
            </w:pPr>
            <w:r w:rsidRPr="00CB4BA1">
              <w:t>International certificate of fitness for the carriage of liquefied gases in bulk</w:t>
            </w:r>
          </w:p>
        </w:tc>
        <w:tc>
          <w:tcPr>
            <w:tcW w:w="4453" w:type="dxa"/>
            <w:tcBorders>
              <w:bottom w:val="single" w:sz="12" w:space="0" w:color="auto"/>
            </w:tcBorders>
            <w:shd w:val="clear" w:color="auto" w:fill="auto"/>
          </w:tcPr>
          <w:p w14:paraId="231BD8D9" w14:textId="6110154F" w:rsidR="00C11B89" w:rsidRPr="008F2BCE" w:rsidRDefault="00C11B89" w:rsidP="00DB37A0">
            <w:pPr>
              <w:suppressAutoHyphens w:val="0"/>
              <w:spacing w:before="40" w:after="120"/>
              <w:ind w:right="113"/>
              <w:rPr>
                <w:lang w:val="en-US"/>
              </w:rPr>
            </w:pPr>
            <w:r w:rsidRPr="00CB4BA1">
              <w:t>International Code for the Construction and Equipment of Ships Carrying Liquified Gases in Bulk (IGC Code)</w:t>
            </w:r>
            <w:r w:rsidR="00A44CF4">
              <w:t>”</w:t>
            </w:r>
          </w:p>
        </w:tc>
      </w:tr>
    </w:tbl>
    <w:p w14:paraId="7CAE2461" w14:textId="77777777" w:rsidR="00C11B89" w:rsidRPr="008F2BCE" w:rsidRDefault="00C11B89" w:rsidP="00C11B89">
      <w:pPr>
        <w:pStyle w:val="SingleTxtG"/>
        <w:spacing w:before="240" w:after="0"/>
        <w:jc w:val="center"/>
        <w:rPr>
          <w:lang w:val="en-US"/>
        </w:rPr>
      </w:pPr>
      <w:r w:rsidRPr="008F2BCE">
        <w:rPr>
          <w:u w:val="single"/>
          <w:lang w:val="en-US"/>
        </w:rPr>
        <w:tab/>
      </w:r>
      <w:r w:rsidRPr="008F2BCE">
        <w:rPr>
          <w:u w:val="single"/>
          <w:lang w:val="en-US"/>
        </w:rPr>
        <w:tab/>
      </w:r>
      <w:r w:rsidRPr="008F2BCE">
        <w:rPr>
          <w:u w:val="single"/>
          <w:lang w:val="en-US"/>
        </w:rPr>
        <w:tab/>
      </w:r>
      <w:r w:rsidRPr="008F2BCE">
        <w:rPr>
          <w:u w:val="single"/>
          <w:lang w:val="en-US"/>
        </w:rPr>
        <w:tab/>
      </w:r>
    </w:p>
    <w:sectPr w:rsidR="00C11B89" w:rsidRPr="008F2BCE" w:rsidSect="00972778">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D797" w14:textId="77777777" w:rsidR="00D22ECF" w:rsidRPr="00FB1744" w:rsidRDefault="00D22ECF" w:rsidP="00FB1744">
      <w:pPr>
        <w:pStyle w:val="Footer"/>
      </w:pPr>
    </w:p>
  </w:endnote>
  <w:endnote w:type="continuationSeparator" w:id="0">
    <w:p w14:paraId="4567D41A" w14:textId="77777777" w:rsidR="00D22ECF" w:rsidRPr="00FB1744" w:rsidRDefault="00D22EC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A61" w14:textId="77777777" w:rsidR="001F0B94" w:rsidRDefault="001F0B94" w:rsidP="001F0B94">
    <w:pPr>
      <w:pStyle w:val="Footer"/>
      <w:tabs>
        <w:tab w:val="right" w:pos="9638"/>
      </w:tabs>
    </w:pPr>
    <w:r w:rsidRPr="001F0B94">
      <w:rPr>
        <w:b/>
        <w:bCs/>
        <w:sz w:val="18"/>
      </w:rPr>
      <w:fldChar w:fldCharType="begin"/>
    </w:r>
    <w:r w:rsidRPr="001F0B94">
      <w:rPr>
        <w:b/>
        <w:bCs/>
        <w:sz w:val="18"/>
      </w:rPr>
      <w:instrText xml:space="preserve"> PAGE  \* MERGEFORMAT </w:instrText>
    </w:r>
    <w:r w:rsidRPr="001F0B94">
      <w:rPr>
        <w:b/>
        <w:bCs/>
        <w:sz w:val="18"/>
      </w:rPr>
      <w:fldChar w:fldCharType="separate"/>
    </w:r>
    <w:r w:rsidRPr="001F0B94">
      <w:rPr>
        <w:b/>
        <w:bCs/>
        <w:noProof/>
        <w:sz w:val="18"/>
      </w:rPr>
      <w:t>2</w:t>
    </w:r>
    <w:r w:rsidRPr="001F0B94">
      <w:rPr>
        <w:b/>
        <w:bCs/>
        <w:sz w:val="18"/>
      </w:rPr>
      <w:fldChar w:fldCharType="end"/>
    </w:r>
    <w:r>
      <w:tab/>
      <w:t>GE.21-16585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3AB2" w14:textId="77777777" w:rsidR="001F0B94" w:rsidRDefault="001F0B94" w:rsidP="001F0B94">
    <w:pPr>
      <w:pStyle w:val="Footer"/>
      <w:tabs>
        <w:tab w:val="right" w:pos="9638"/>
      </w:tabs>
    </w:pPr>
    <w:r>
      <w:t>GE.21-16585</w:t>
    </w:r>
    <w:r>
      <w:tab/>
    </w:r>
    <w:r w:rsidRPr="001F0B94">
      <w:rPr>
        <w:b/>
        <w:bCs/>
        <w:sz w:val="18"/>
      </w:rPr>
      <w:fldChar w:fldCharType="begin"/>
    </w:r>
    <w:r w:rsidRPr="001F0B94">
      <w:rPr>
        <w:b/>
        <w:bCs/>
        <w:sz w:val="18"/>
      </w:rPr>
      <w:instrText xml:space="preserve"> PAGE  \* MERGEFORMAT </w:instrText>
    </w:r>
    <w:r w:rsidRPr="001F0B94">
      <w:rPr>
        <w:b/>
        <w:bCs/>
        <w:sz w:val="18"/>
      </w:rPr>
      <w:fldChar w:fldCharType="separate"/>
    </w:r>
    <w:r w:rsidRPr="001F0B94">
      <w:rPr>
        <w:b/>
        <w:bCs/>
        <w:noProof/>
        <w:sz w:val="18"/>
      </w:rPr>
      <w:t>3</w:t>
    </w:r>
    <w:r w:rsidRPr="001F0B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7399" w14:textId="77777777" w:rsidR="00C448F7" w:rsidRDefault="001F0B94">
    <w:pPr>
      <w:pStyle w:val="Footer"/>
      <w:rPr>
        <w:sz w:val="20"/>
      </w:rPr>
    </w:pPr>
    <w:r w:rsidRPr="0027112F">
      <w:rPr>
        <w:noProof/>
        <w:lang w:val="en-US"/>
      </w:rPr>
      <w:drawing>
        <wp:anchor distT="0" distB="0" distL="114300" distR="114300" simplePos="0" relativeHeight="251659264" behindDoc="0" locked="1" layoutInCell="1" allowOverlap="1" wp14:anchorId="3E91BA7A" wp14:editId="77ABA4A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D0A892" w14:textId="74C4C87E" w:rsidR="001F0B94" w:rsidRPr="001F0B94" w:rsidRDefault="001F0B94" w:rsidP="001F0B94">
    <w:pPr>
      <w:pStyle w:val="Footer"/>
      <w:tabs>
        <w:tab w:val="right" w:pos="7370"/>
      </w:tabs>
      <w:suppressAutoHyphens/>
      <w:rPr>
        <w:sz w:val="20"/>
      </w:rPr>
    </w:pPr>
    <w:r>
      <w:rPr>
        <w:sz w:val="20"/>
      </w:rPr>
      <w:t>GE.21-</w:t>
    </w:r>
    <w:proofErr w:type="gramStart"/>
    <w:r>
      <w:rPr>
        <w:sz w:val="20"/>
      </w:rPr>
      <w:t>16585  (</w:t>
    </w:r>
    <w:proofErr w:type="gramEnd"/>
    <w:r>
      <w:rPr>
        <w:sz w:val="20"/>
      </w:rPr>
      <w:t>E)</w:t>
    </w:r>
    <w:r>
      <w:rPr>
        <w:noProof/>
        <w:sz w:val="20"/>
      </w:rPr>
      <w:drawing>
        <wp:anchor distT="0" distB="0" distL="114300" distR="114300" simplePos="0" relativeHeight="251660288" behindDoc="0" locked="0" layoutInCell="1" allowOverlap="1" wp14:anchorId="0ED85557" wp14:editId="1C4EA6C7">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5BE">
      <w:rPr>
        <w:sz w:val="20"/>
      </w:rPr>
      <w:t xml:space="preserve">    071221    071221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C78F" w14:textId="77777777" w:rsidR="00972778" w:rsidRPr="00972778" w:rsidRDefault="00545E1C" w:rsidP="00972778">
    <w:pPr>
      <w:pStyle w:val="Footer"/>
    </w:pPr>
    <w:r>
      <w:rPr>
        <w:noProof/>
      </w:rPr>
      <mc:AlternateContent>
        <mc:Choice Requires="wps">
          <w:drawing>
            <wp:anchor distT="0" distB="0" distL="114300" distR="114300" simplePos="0" relativeHeight="251669504" behindDoc="0" locked="0" layoutInCell="1" allowOverlap="1" wp14:anchorId="3D6FBA07" wp14:editId="02406D12">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876757" w14:textId="77777777" w:rsidR="00972778" w:rsidRPr="008575FB" w:rsidRDefault="00545E1C" w:rsidP="00972778">
                          <w:pPr>
                            <w:pStyle w:val="Footer"/>
                            <w:tabs>
                              <w:tab w:val="right" w:pos="9638"/>
                            </w:tabs>
                            <w:rPr>
                              <w:sz w:val="18"/>
                            </w:rPr>
                          </w:pP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4</w:t>
                          </w:r>
                          <w:r w:rsidRPr="008575FB">
                            <w:rPr>
                              <w:b/>
                              <w:sz w:val="18"/>
                            </w:rPr>
                            <w:fldChar w:fldCharType="end"/>
                          </w:r>
                          <w:r>
                            <w:rPr>
                              <w:sz w:val="18"/>
                            </w:rPr>
                            <w:tab/>
                          </w:r>
                        </w:p>
                        <w:p w14:paraId="50946BBE" w14:textId="77777777" w:rsidR="00972778" w:rsidRDefault="00545E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6FBA07" id="_x0000_t202" coordsize="21600,21600" o:spt="202" path="m,l,21600r21600,l21600,xe">
              <v:stroke joinstyle="miter"/>
              <v:path gradientshapeok="t" o:connecttype="rect"/>
            </v:shapetype>
            <v:shape id="Text Box 10" o:spid="_x0000_s1028"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85Sm54kCAAAtBQAADgAAAAAAAAAAAAAAAAAuAgAAZHJzL2Uyb0RvYy54bWxQSwECLQAUAAYACAAA&#10;ACEAkl4qvNsAAAAIAQAADwAAAAAAAAAAAAAAAADjBAAAZHJzL2Rvd25yZXYueG1sUEsFBgAAAAAE&#10;AAQA8wAAAOsFAAAAAA==&#10;" fillcolor="#4f81bd [3204]" stroked="f" strokeweight=".5pt">
              <v:fill opacity="0"/>
              <v:stroke joinstyle="round"/>
              <v:textbox style="layout-flow:vertical" inset="0,0,0,0">
                <w:txbxContent>
                  <w:p w14:paraId="67876757" w14:textId="77777777" w:rsidR="00972778" w:rsidRPr="008575FB" w:rsidRDefault="00545E1C" w:rsidP="00972778">
                    <w:pPr>
                      <w:pStyle w:val="Footer"/>
                      <w:tabs>
                        <w:tab w:val="right" w:pos="9638"/>
                      </w:tabs>
                      <w:rPr>
                        <w:sz w:val="18"/>
                      </w:rPr>
                    </w:pP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4</w:t>
                    </w:r>
                    <w:r w:rsidRPr="008575FB">
                      <w:rPr>
                        <w:b/>
                        <w:sz w:val="18"/>
                      </w:rPr>
                      <w:fldChar w:fldCharType="end"/>
                    </w:r>
                    <w:r>
                      <w:rPr>
                        <w:sz w:val="18"/>
                      </w:rPr>
                      <w:tab/>
                    </w:r>
                  </w:p>
                  <w:p w14:paraId="50946BBE" w14:textId="77777777" w:rsidR="00972778" w:rsidRDefault="00545E1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F06D" w14:textId="77777777" w:rsidR="00972778" w:rsidRPr="00972778" w:rsidRDefault="00545E1C" w:rsidP="00972778">
    <w:pPr>
      <w:pStyle w:val="Footer"/>
    </w:pPr>
    <w:r>
      <w:rPr>
        <w:noProof/>
      </w:rPr>
      <mc:AlternateContent>
        <mc:Choice Requires="wps">
          <w:drawing>
            <wp:anchor distT="0" distB="0" distL="114300" distR="114300" simplePos="0" relativeHeight="251667456" behindDoc="0" locked="0" layoutInCell="1" allowOverlap="1" wp14:anchorId="7CA50CCC" wp14:editId="62E8F654">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F62A84" w14:textId="75B2AFB5" w:rsidR="00972778" w:rsidRPr="008575FB" w:rsidRDefault="00545E1C" w:rsidP="00972778">
                          <w:pPr>
                            <w:pStyle w:val="Footer"/>
                            <w:tabs>
                              <w:tab w:val="right" w:pos="9638"/>
                            </w:tabs>
                            <w:rPr>
                              <w:b/>
                              <w:sz w:val="18"/>
                            </w:rPr>
                          </w:pPr>
                          <w:r>
                            <w:t>GE.21-16585</w:t>
                          </w:r>
                          <w:r>
                            <w:tab/>
                          </w: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3</w:t>
                          </w:r>
                          <w:r w:rsidRPr="008575FB">
                            <w:rPr>
                              <w:b/>
                              <w:sz w:val="18"/>
                            </w:rPr>
                            <w:fldChar w:fldCharType="end"/>
                          </w:r>
                        </w:p>
                        <w:p w14:paraId="46CA09A1" w14:textId="77777777" w:rsidR="00972778" w:rsidRDefault="00545E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A50CCC" id="_x0000_t202" coordsize="21600,21600" o:spt="202" path="m,l,21600r21600,l21600,xe">
              <v:stroke joinstyle="miter"/>
              <v:path gradientshapeok="t" o:connecttype="rect"/>
            </v:shapetype>
            <v:shape id="Text Box 11" o:spid="_x0000_s1029"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PE2v&#10;EIYCAAAmBQAADgAAAAAAAAAAAAAAAAAuAgAAZHJzL2Uyb0RvYy54bWxQSwECLQAUAAYACAAAACEA&#10;kl4qvNsAAAAIAQAADwAAAAAAAAAAAAAAAADgBAAAZHJzL2Rvd25yZXYueG1sUEsFBgAAAAAEAAQA&#10;8wAAAOgFAAAAAA==&#10;" fillcolor="#4f81bd [3204]" stroked="f" strokeweight=".5pt">
              <v:fill opacity="0"/>
              <v:stroke joinstyle="round"/>
              <v:textbox style="layout-flow:vertical" inset="0,0,0,0">
                <w:txbxContent>
                  <w:p w14:paraId="68F62A84" w14:textId="75B2AFB5" w:rsidR="00972778" w:rsidRPr="008575FB" w:rsidRDefault="00545E1C" w:rsidP="00972778">
                    <w:pPr>
                      <w:pStyle w:val="Footer"/>
                      <w:tabs>
                        <w:tab w:val="right" w:pos="9638"/>
                      </w:tabs>
                      <w:rPr>
                        <w:b/>
                        <w:sz w:val="18"/>
                      </w:rPr>
                    </w:pPr>
                    <w:r>
                      <w:t>GE.21-16585</w:t>
                    </w:r>
                    <w:r>
                      <w:tab/>
                    </w:r>
                    <w:r w:rsidRPr="008575FB">
                      <w:rPr>
                        <w:b/>
                        <w:sz w:val="18"/>
                      </w:rPr>
                      <w:fldChar w:fldCharType="begin"/>
                    </w:r>
                    <w:r w:rsidRPr="008575FB">
                      <w:rPr>
                        <w:b/>
                        <w:sz w:val="18"/>
                      </w:rPr>
                      <w:instrText xml:space="preserve"> PAGE  \* MERGEFORMAT </w:instrText>
                    </w:r>
                    <w:r w:rsidRPr="008575FB">
                      <w:rPr>
                        <w:b/>
                        <w:sz w:val="18"/>
                      </w:rPr>
                      <w:fldChar w:fldCharType="separate"/>
                    </w:r>
                    <w:r>
                      <w:rPr>
                        <w:b/>
                        <w:sz w:val="18"/>
                      </w:rPr>
                      <w:t>3</w:t>
                    </w:r>
                    <w:r w:rsidRPr="008575FB">
                      <w:rPr>
                        <w:b/>
                        <w:sz w:val="18"/>
                      </w:rPr>
                      <w:fldChar w:fldCharType="end"/>
                    </w:r>
                  </w:p>
                  <w:p w14:paraId="46CA09A1" w14:textId="77777777" w:rsidR="00972778" w:rsidRDefault="00545E1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365C7" w14:textId="77777777" w:rsidR="00D22ECF" w:rsidRPr="00FB1744" w:rsidRDefault="00D22ECF" w:rsidP="00FB1744">
      <w:pPr>
        <w:tabs>
          <w:tab w:val="right" w:pos="2155"/>
        </w:tabs>
        <w:spacing w:after="80"/>
        <w:ind w:left="680"/>
      </w:pPr>
      <w:r>
        <w:rPr>
          <w:u w:val="single"/>
        </w:rPr>
        <w:tab/>
      </w:r>
    </w:p>
  </w:footnote>
  <w:footnote w:type="continuationSeparator" w:id="0">
    <w:p w14:paraId="4ED536A5" w14:textId="77777777" w:rsidR="00D22ECF" w:rsidRPr="00FB1744" w:rsidRDefault="00D22ECF" w:rsidP="00FB1744">
      <w:pPr>
        <w:tabs>
          <w:tab w:val="right" w:pos="2155"/>
        </w:tabs>
        <w:spacing w:after="80"/>
        <w:ind w:left="680"/>
      </w:pPr>
      <w:r>
        <w:rPr>
          <w:u w:val="single"/>
        </w:rPr>
        <w:tab/>
      </w:r>
    </w:p>
  </w:footnote>
  <w:footnote w:id="1">
    <w:p w14:paraId="23FC065B" w14:textId="5AA54D6E" w:rsidR="00373755" w:rsidRPr="00373755" w:rsidRDefault="00373755">
      <w:pPr>
        <w:pStyle w:val="FootnoteText"/>
      </w:pPr>
      <w:r>
        <w:rPr>
          <w:rStyle w:val="FootnoteReference"/>
        </w:rPr>
        <w:tab/>
      </w:r>
      <w:r w:rsidRPr="00373755">
        <w:rPr>
          <w:rStyle w:val="FootnoteReference"/>
          <w:sz w:val="20"/>
          <w:vertAlign w:val="baseline"/>
        </w:rPr>
        <w:t>*</w:t>
      </w:r>
      <w:r>
        <w:rPr>
          <w:rStyle w:val="FootnoteReference"/>
          <w:sz w:val="20"/>
          <w:vertAlign w:val="baseline"/>
        </w:rPr>
        <w:tab/>
      </w:r>
      <w:r w:rsidR="00063812">
        <w:t>Distributed in German by the Central Commission for the Navigation of the Rhine under the symbol CCNR-ZKR/ADN/WP.15/AC.2/2022/13.</w:t>
      </w:r>
    </w:p>
  </w:footnote>
  <w:footnote w:id="2">
    <w:p w14:paraId="34D253D6" w14:textId="501886E8" w:rsidR="00063812" w:rsidRPr="00063812" w:rsidRDefault="00063812">
      <w:pPr>
        <w:pStyle w:val="FootnoteText"/>
      </w:pPr>
      <w:r>
        <w:rPr>
          <w:rStyle w:val="FootnoteReference"/>
        </w:rPr>
        <w:tab/>
      </w:r>
      <w:r w:rsidRPr="00063812">
        <w:rPr>
          <w:rStyle w:val="FootnoteReference"/>
          <w:sz w:val="20"/>
          <w:vertAlign w:val="baseline"/>
        </w:rPr>
        <w:t>**</w:t>
      </w:r>
      <w:r>
        <w:rPr>
          <w:rStyle w:val="FootnoteReference"/>
          <w:sz w:val="20"/>
          <w:vertAlign w:val="baseline"/>
        </w:rPr>
        <w:tab/>
      </w:r>
      <w:r>
        <w:t>In accordance with the programme of work of the Inland Transport Committee for 2021 as outlined in the proposed programme budget for 2021 (A/75/6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6559" w14:textId="77777777" w:rsidR="001F0B94" w:rsidRDefault="001F0B94" w:rsidP="001F0B94">
    <w:pPr>
      <w:pStyle w:val="Header"/>
    </w:pPr>
    <w:r>
      <w:t>ECE/TRANS/WP.15/AC.2/2022/13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A0F7" w14:textId="77777777" w:rsidR="001F0B94" w:rsidRDefault="001F0B94" w:rsidP="001F0B94">
    <w:pPr>
      <w:pStyle w:val="Header"/>
      <w:jc w:val="right"/>
    </w:pPr>
    <w:r>
      <w:t>ECE/TRANS/WP.15/AC.2/2022/13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531C" w14:textId="77777777" w:rsidR="00972778" w:rsidRPr="00972778" w:rsidRDefault="00545E1C" w:rsidP="00972778">
    <w:r>
      <w:rPr>
        <w:noProof/>
      </w:rPr>
      <mc:AlternateContent>
        <mc:Choice Requires="wps">
          <w:drawing>
            <wp:anchor distT="0" distB="0" distL="114300" distR="114300" simplePos="0" relativeHeight="251668480" behindDoc="0" locked="0" layoutInCell="1" allowOverlap="1" wp14:anchorId="77EE7599" wp14:editId="12227202">
              <wp:simplePos x="0" y="0"/>
              <wp:positionH relativeFrom="page">
                <wp:posOffset>9935845</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AA356BB" w14:textId="77777777" w:rsidR="00972778" w:rsidRPr="008575FB" w:rsidRDefault="00545E1C" w:rsidP="00972778">
                          <w:pPr>
                            <w:pStyle w:val="Header"/>
                          </w:pPr>
                          <w:r>
                            <w:t>ECE/TRANS/WP.15/AC.2/2022/13</w:t>
                          </w:r>
                        </w:p>
                        <w:p w14:paraId="47431A67" w14:textId="77777777" w:rsidR="00972778" w:rsidRDefault="00545E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EE7599" id="_x0000_t202" coordsize="21600,21600" o:spt="202" path="m,l,21600r21600,l21600,xe">
              <v:stroke joinstyle="miter"/>
              <v:path gradientshapeok="t" o:connecttype="rect"/>
            </v:shapetype>
            <v:shape id="Text Box 8" o:spid="_x0000_s1026"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T5dw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5AA356BB" w14:textId="77777777" w:rsidR="00972778" w:rsidRPr="008575FB" w:rsidRDefault="00545E1C" w:rsidP="00972778">
                    <w:pPr>
                      <w:pStyle w:val="Header"/>
                    </w:pPr>
                    <w:r>
                      <w:t>ECE/TRANS/WP.15/AC.2/2022/13</w:t>
                    </w:r>
                  </w:p>
                  <w:p w14:paraId="47431A67" w14:textId="77777777" w:rsidR="00972778" w:rsidRDefault="00545E1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7CF6" w14:textId="77777777" w:rsidR="00972778" w:rsidRPr="00972778" w:rsidRDefault="00545E1C" w:rsidP="00972778">
    <w:r>
      <w:rPr>
        <w:noProof/>
      </w:rPr>
      <mc:AlternateContent>
        <mc:Choice Requires="wps">
          <w:drawing>
            <wp:anchor distT="0" distB="0" distL="114300" distR="114300" simplePos="0" relativeHeight="251666432" behindDoc="0" locked="0" layoutInCell="1" allowOverlap="1" wp14:anchorId="4E7C8148" wp14:editId="197876BC">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58AC6B" w14:textId="77777777" w:rsidR="00972778" w:rsidRPr="008575FB" w:rsidRDefault="00545E1C" w:rsidP="00972778">
                          <w:pPr>
                            <w:pStyle w:val="Header"/>
                            <w:jc w:val="right"/>
                          </w:pPr>
                          <w:r>
                            <w:t>ECE/TRANS/WP.15/AC.2/2022/13</w:t>
                          </w:r>
                        </w:p>
                        <w:p w14:paraId="08DB7E42" w14:textId="77777777" w:rsidR="00972778" w:rsidRDefault="00545E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7C8148" id="_x0000_t202" coordsize="21600,21600" o:spt="202" path="m,l,21600r21600,l21600,xe">
              <v:stroke joinstyle="miter"/>
              <v:path gradientshapeok="t" o:connecttype="rect"/>
            </v:shapetype>
            <v:shape id="Text Box 9" o:spid="_x0000_s1027"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MF+K52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458AC6B" w14:textId="77777777" w:rsidR="00972778" w:rsidRPr="008575FB" w:rsidRDefault="00545E1C" w:rsidP="00972778">
                    <w:pPr>
                      <w:pStyle w:val="Header"/>
                      <w:jc w:val="right"/>
                    </w:pPr>
                    <w:r>
                      <w:t>ECE/TRANS/WP.15/AC.2/2022/13</w:t>
                    </w:r>
                  </w:p>
                  <w:p w14:paraId="08DB7E42" w14:textId="77777777" w:rsidR="00972778" w:rsidRDefault="00545E1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8"/>
  </w:num>
  <w:num w:numId="9">
    <w:abstractNumId w:val="4"/>
  </w:num>
  <w:num w:numId="10">
    <w:abstractNumId w:val="3"/>
  </w:num>
  <w:num w:numId="11">
    <w:abstractNumId w:val="2"/>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22ECF"/>
    <w:rsid w:val="00046E92"/>
    <w:rsid w:val="00063812"/>
    <w:rsid w:val="000D1B89"/>
    <w:rsid w:val="000F6E29"/>
    <w:rsid w:val="001170DC"/>
    <w:rsid w:val="00192B63"/>
    <w:rsid w:val="001F0B94"/>
    <w:rsid w:val="0022099B"/>
    <w:rsid w:val="00247E2C"/>
    <w:rsid w:val="002647CC"/>
    <w:rsid w:val="002D6C53"/>
    <w:rsid w:val="002F5595"/>
    <w:rsid w:val="00334F6A"/>
    <w:rsid w:val="00342AC8"/>
    <w:rsid w:val="00373755"/>
    <w:rsid w:val="003B4550"/>
    <w:rsid w:val="0043448D"/>
    <w:rsid w:val="00461253"/>
    <w:rsid w:val="004A23B9"/>
    <w:rsid w:val="005042C2"/>
    <w:rsid w:val="00506C12"/>
    <w:rsid w:val="00545E1C"/>
    <w:rsid w:val="0056599A"/>
    <w:rsid w:val="00585AE1"/>
    <w:rsid w:val="00587690"/>
    <w:rsid w:val="00671529"/>
    <w:rsid w:val="006A5598"/>
    <w:rsid w:val="006B4B7C"/>
    <w:rsid w:val="006E076F"/>
    <w:rsid w:val="00717266"/>
    <w:rsid w:val="007268F9"/>
    <w:rsid w:val="0077199A"/>
    <w:rsid w:val="007C52B0"/>
    <w:rsid w:val="00842913"/>
    <w:rsid w:val="009411B4"/>
    <w:rsid w:val="00996D79"/>
    <w:rsid w:val="009B0EC3"/>
    <w:rsid w:val="009D0139"/>
    <w:rsid w:val="009E465A"/>
    <w:rsid w:val="009F0A63"/>
    <w:rsid w:val="009F5CDC"/>
    <w:rsid w:val="00A12B59"/>
    <w:rsid w:val="00A429CD"/>
    <w:rsid w:val="00A44CF4"/>
    <w:rsid w:val="00A775CF"/>
    <w:rsid w:val="00AB3C7E"/>
    <w:rsid w:val="00B06045"/>
    <w:rsid w:val="00BD41F3"/>
    <w:rsid w:val="00C11B89"/>
    <w:rsid w:val="00C35A27"/>
    <w:rsid w:val="00C448F7"/>
    <w:rsid w:val="00C60DDA"/>
    <w:rsid w:val="00D22ECF"/>
    <w:rsid w:val="00D322B7"/>
    <w:rsid w:val="00E02C2B"/>
    <w:rsid w:val="00E665C4"/>
    <w:rsid w:val="00E77026"/>
    <w:rsid w:val="00E929D6"/>
    <w:rsid w:val="00EA25BE"/>
    <w:rsid w:val="00EA5FF3"/>
    <w:rsid w:val="00ED6C48"/>
    <w:rsid w:val="00EE66B8"/>
    <w:rsid w:val="00EF76C5"/>
    <w:rsid w:val="00F65F5D"/>
    <w:rsid w:val="00F86A3A"/>
    <w:rsid w:val="00FA1620"/>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D727AD"/>
  <w15:docId w15:val="{FD6675C2-1D96-454C-9CAA-BD27646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F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44CF4"/>
    <w:pPr>
      <w:spacing w:after="0"/>
      <w:ind w:right="0"/>
      <w:jc w:val="left"/>
      <w:outlineLvl w:val="0"/>
    </w:pPr>
  </w:style>
  <w:style w:type="paragraph" w:styleId="Heading2">
    <w:name w:val="heading 2"/>
    <w:basedOn w:val="Normal"/>
    <w:next w:val="Normal"/>
    <w:link w:val="Heading2Char"/>
    <w:semiHidden/>
    <w:rsid w:val="00A44CF4"/>
    <w:pPr>
      <w:outlineLvl w:val="1"/>
    </w:pPr>
  </w:style>
  <w:style w:type="paragraph" w:styleId="Heading3">
    <w:name w:val="heading 3"/>
    <w:basedOn w:val="Normal"/>
    <w:next w:val="Normal"/>
    <w:link w:val="Heading3Char"/>
    <w:semiHidden/>
    <w:rsid w:val="00A44CF4"/>
    <w:pPr>
      <w:outlineLvl w:val="2"/>
    </w:pPr>
  </w:style>
  <w:style w:type="paragraph" w:styleId="Heading4">
    <w:name w:val="heading 4"/>
    <w:basedOn w:val="Normal"/>
    <w:next w:val="Normal"/>
    <w:link w:val="Heading4Char"/>
    <w:semiHidden/>
    <w:rsid w:val="00A44CF4"/>
    <w:pPr>
      <w:outlineLvl w:val="3"/>
    </w:pPr>
  </w:style>
  <w:style w:type="paragraph" w:styleId="Heading5">
    <w:name w:val="heading 5"/>
    <w:basedOn w:val="Normal"/>
    <w:next w:val="Normal"/>
    <w:link w:val="Heading5Char"/>
    <w:semiHidden/>
    <w:rsid w:val="00A44CF4"/>
    <w:pPr>
      <w:outlineLvl w:val="4"/>
    </w:pPr>
  </w:style>
  <w:style w:type="paragraph" w:styleId="Heading6">
    <w:name w:val="heading 6"/>
    <w:basedOn w:val="Normal"/>
    <w:next w:val="Normal"/>
    <w:link w:val="Heading6Char"/>
    <w:semiHidden/>
    <w:rsid w:val="00A44CF4"/>
    <w:pPr>
      <w:outlineLvl w:val="5"/>
    </w:pPr>
  </w:style>
  <w:style w:type="paragraph" w:styleId="Heading7">
    <w:name w:val="heading 7"/>
    <w:basedOn w:val="Normal"/>
    <w:next w:val="Normal"/>
    <w:link w:val="Heading7Char"/>
    <w:semiHidden/>
    <w:rsid w:val="00A44CF4"/>
    <w:pPr>
      <w:outlineLvl w:val="6"/>
    </w:pPr>
  </w:style>
  <w:style w:type="paragraph" w:styleId="Heading8">
    <w:name w:val="heading 8"/>
    <w:basedOn w:val="Normal"/>
    <w:next w:val="Normal"/>
    <w:link w:val="Heading8Char"/>
    <w:semiHidden/>
    <w:rsid w:val="00A44CF4"/>
    <w:pPr>
      <w:outlineLvl w:val="7"/>
    </w:pPr>
  </w:style>
  <w:style w:type="paragraph" w:styleId="Heading9">
    <w:name w:val="heading 9"/>
    <w:basedOn w:val="Normal"/>
    <w:next w:val="Normal"/>
    <w:link w:val="Heading9Char"/>
    <w:semiHidden/>
    <w:rsid w:val="00A44CF4"/>
    <w:pPr>
      <w:outlineLvl w:val="8"/>
    </w:pPr>
  </w:style>
  <w:style w:type="character" w:default="1" w:styleId="DefaultParagraphFont">
    <w:name w:val="Default Paragraph Font"/>
    <w:uiPriority w:val="1"/>
    <w:semiHidden/>
    <w:unhideWhenUsed/>
    <w:rsid w:val="00A44C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CF4"/>
  </w:style>
  <w:style w:type="paragraph" w:styleId="Header">
    <w:name w:val="header"/>
    <w:aliases w:val="6_G"/>
    <w:basedOn w:val="Normal"/>
    <w:link w:val="HeaderChar"/>
    <w:rsid w:val="00A44CF4"/>
    <w:pPr>
      <w:pBdr>
        <w:bottom w:val="single" w:sz="4" w:space="4" w:color="auto"/>
      </w:pBdr>
    </w:pPr>
    <w:rPr>
      <w:b/>
      <w:sz w:val="18"/>
    </w:rPr>
  </w:style>
  <w:style w:type="character" w:customStyle="1" w:styleId="HeaderChar">
    <w:name w:val="Header Char"/>
    <w:aliases w:val="6_G Char"/>
    <w:basedOn w:val="DefaultParagraphFont"/>
    <w:link w:val="Header"/>
    <w:rsid w:val="00A44CF4"/>
    <w:rPr>
      <w:rFonts w:ascii="Times New Roman" w:hAnsi="Times New Roman" w:cs="Times New Roman"/>
      <w:b/>
      <w:sz w:val="18"/>
      <w:szCs w:val="20"/>
    </w:rPr>
  </w:style>
  <w:style w:type="paragraph" w:styleId="Footer">
    <w:name w:val="footer"/>
    <w:aliases w:val="3_G"/>
    <w:basedOn w:val="Normal"/>
    <w:link w:val="FooterChar"/>
    <w:rsid w:val="00A44CF4"/>
    <w:rPr>
      <w:sz w:val="16"/>
    </w:rPr>
  </w:style>
  <w:style w:type="character" w:customStyle="1" w:styleId="FooterChar">
    <w:name w:val="Footer Char"/>
    <w:aliases w:val="3_G Char"/>
    <w:basedOn w:val="DefaultParagraphFont"/>
    <w:link w:val="Footer"/>
    <w:rsid w:val="00A44CF4"/>
    <w:rPr>
      <w:rFonts w:ascii="Times New Roman" w:hAnsi="Times New Roman" w:cs="Times New Roman"/>
      <w:sz w:val="16"/>
      <w:szCs w:val="20"/>
    </w:rPr>
  </w:style>
  <w:style w:type="paragraph" w:customStyle="1" w:styleId="HMG">
    <w:name w:val="_ H __M_G"/>
    <w:basedOn w:val="Normal"/>
    <w:next w:val="Normal"/>
    <w:rsid w:val="00A44C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4CF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44C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44C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44C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44CF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44CF4"/>
    <w:pPr>
      <w:tabs>
        <w:tab w:val="left" w:pos="1701"/>
        <w:tab w:val="left" w:pos="2268"/>
      </w:tabs>
      <w:spacing w:after="120" w:line="240" w:lineRule="atLeast"/>
      <w:ind w:left="1134" w:right="1134"/>
      <w:jc w:val="both"/>
    </w:pPr>
  </w:style>
  <w:style w:type="paragraph" w:customStyle="1" w:styleId="SLG">
    <w:name w:val="__S_L_G"/>
    <w:basedOn w:val="Normal"/>
    <w:next w:val="Normal"/>
    <w:rsid w:val="00A44CF4"/>
    <w:pPr>
      <w:keepNext/>
      <w:keepLines/>
      <w:spacing w:before="240" w:after="240" w:line="580" w:lineRule="exact"/>
      <w:ind w:left="1134" w:right="1134"/>
    </w:pPr>
    <w:rPr>
      <w:b/>
      <w:sz w:val="56"/>
    </w:rPr>
  </w:style>
  <w:style w:type="paragraph" w:customStyle="1" w:styleId="SMG">
    <w:name w:val="__S_M_G"/>
    <w:basedOn w:val="Normal"/>
    <w:next w:val="Normal"/>
    <w:rsid w:val="00A44CF4"/>
    <w:pPr>
      <w:keepNext/>
      <w:keepLines/>
      <w:spacing w:before="240" w:after="240" w:line="420" w:lineRule="exact"/>
      <w:ind w:left="1134" w:right="1134"/>
    </w:pPr>
    <w:rPr>
      <w:b/>
      <w:sz w:val="40"/>
    </w:rPr>
  </w:style>
  <w:style w:type="paragraph" w:customStyle="1" w:styleId="SSG">
    <w:name w:val="__S_S_G"/>
    <w:basedOn w:val="Normal"/>
    <w:next w:val="Normal"/>
    <w:rsid w:val="00A44CF4"/>
    <w:pPr>
      <w:keepNext/>
      <w:keepLines/>
      <w:spacing w:before="240" w:after="240" w:line="300" w:lineRule="exact"/>
      <w:ind w:left="1134" w:right="1134"/>
    </w:pPr>
    <w:rPr>
      <w:b/>
      <w:sz w:val="28"/>
    </w:rPr>
  </w:style>
  <w:style w:type="paragraph" w:customStyle="1" w:styleId="XLargeG">
    <w:name w:val="__XLarge_G"/>
    <w:basedOn w:val="Normal"/>
    <w:next w:val="Normal"/>
    <w:rsid w:val="00A44CF4"/>
    <w:pPr>
      <w:keepNext/>
      <w:keepLines/>
      <w:spacing w:before="240" w:after="240" w:line="420" w:lineRule="exact"/>
      <w:ind w:left="1134" w:right="1134"/>
    </w:pPr>
    <w:rPr>
      <w:b/>
      <w:sz w:val="40"/>
    </w:rPr>
  </w:style>
  <w:style w:type="paragraph" w:customStyle="1" w:styleId="Bullet1G">
    <w:name w:val="_Bullet 1_G"/>
    <w:basedOn w:val="Normal"/>
    <w:qFormat/>
    <w:rsid w:val="00A44CF4"/>
    <w:pPr>
      <w:numPr>
        <w:numId w:val="10"/>
      </w:numPr>
      <w:spacing w:after="120"/>
      <w:ind w:right="1134"/>
      <w:jc w:val="both"/>
    </w:pPr>
  </w:style>
  <w:style w:type="paragraph" w:customStyle="1" w:styleId="Bullet2G">
    <w:name w:val="_Bullet 2_G"/>
    <w:basedOn w:val="Normal"/>
    <w:qFormat/>
    <w:rsid w:val="00A44CF4"/>
    <w:pPr>
      <w:numPr>
        <w:numId w:val="11"/>
      </w:numPr>
      <w:spacing w:after="120"/>
      <w:ind w:right="1134"/>
      <w:jc w:val="both"/>
    </w:pPr>
  </w:style>
  <w:style w:type="paragraph" w:customStyle="1" w:styleId="ParaNoG">
    <w:name w:val="_ParaNo._G"/>
    <w:basedOn w:val="SingleTxtG"/>
    <w:rsid w:val="00A44CF4"/>
    <w:pPr>
      <w:numPr>
        <w:numId w:val="12"/>
      </w:numPr>
    </w:pPr>
  </w:style>
  <w:style w:type="numbering" w:styleId="111111">
    <w:name w:val="Outline List 2"/>
    <w:basedOn w:val="NoList"/>
    <w:semiHidden/>
    <w:rsid w:val="00A44CF4"/>
    <w:pPr>
      <w:numPr>
        <w:numId w:val="13"/>
      </w:numPr>
    </w:pPr>
  </w:style>
  <w:style w:type="numbering" w:styleId="1ai">
    <w:name w:val="Outline List 1"/>
    <w:basedOn w:val="NoList"/>
    <w:semiHidden/>
    <w:rsid w:val="00A44CF4"/>
    <w:pPr>
      <w:numPr>
        <w:numId w:val="14"/>
      </w:numPr>
    </w:pPr>
  </w:style>
  <w:style w:type="character" w:styleId="EndnoteReference">
    <w:name w:val="endnote reference"/>
    <w:aliases w:val="1_G"/>
    <w:rsid w:val="00A44CF4"/>
    <w:rPr>
      <w:rFonts w:ascii="Times New Roman" w:hAnsi="Times New Roman"/>
      <w:sz w:val="18"/>
      <w:vertAlign w:val="superscript"/>
    </w:rPr>
  </w:style>
  <w:style w:type="paragraph" w:styleId="FootnoteText">
    <w:name w:val="footnote text"/>
    <w:aliases w:val="5_G"/>
    <w:basedOn w:val="Normal"/>
    <w:link w:val="FootnoteTextChar"/>
    <w:rsid w:val="00A44CF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44CF4"/>
    <w:rPr>
      <w:rFonts w:ascii="Times New Roman" w:hAnsi="Times New Roman" w:cs="Times New Roman"/>
      <w:sz w:val="18"/>
      <w:szCs w:val="20"/>
    </w:rPr>
  </w:style>
  <w:style w:type="paragraph" w:styleId="EndnoteText">
    <w:name w:val="endnote text"/>
    <w:aliases w:val="2_G"/>
    <w:basedOn w:val="FootnoteText"/>
    <w:link w:val="EndnoteTextChar"/>
    <w:rsid w:val="00A44CF4"/>
  </w:style>
  <w:style w:type="character" w:customStyle="1" w:styleId="EndnoteTextChar">
    <w:name w:val="Endnote Text Char"/>
    <w:aliases w:val="2_G Char"/>
    <w:basedOn w:val="DefaultParagraphFont"/>
    <w:link w:val="EndnoteText"/>
    <w:rsid w:val="00A44CF4"/>
    <w:rPr>
      <w:rFonts w:ascii="Times New Roman" w:hAnsi="Times New Roman" w:cs="Times New Roman"/>
      <w:sz w:val="18"/>
      <w:szCs w:val="20"/>
    </w:rPr>
  </w:style>
  <w:style w:type="character" w:styleId="FootnoteReference">
    <w:name w:val="footnote reference"/>
    <w:aliases w:val="4_G"/>
    <w:rsid w:val="00A44CF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44CF4"/>
    <w:rPr>
      <w:rFonts w:ascii="Times New Roman" w:hAnsi="Times New Roman" w:cs="Times New Roman"/>
      <w:sz w:val="20"/>
      <w:szCs w:val="20"/>
    </w:rPr>
  </w:style>
  <w:style w:type="character" w:customStyle="1" w:styleId="Heading2Char">
    <w:name w:val="Heading 2 Char"/>
    <w:basedOn w:val="DefaultParagraphFont"/>
    <w:link w:val="Heading2"/>
    <w:semiHidden/>
    <w:rsid w:val="00A44CF4"/>
    <w:rPr>
      <w:rFonts w:ascii="Times New Roman" w:hAnsi="Times New Roman" w:cs="Times New Roman"/>
      <w:sz w:val="20"/>
      <w:szCs w:val="20"/>
    </w:rPr>
  </w:style>
  <w:style w:type="character" w:customStyle="1" w:styleId="Heading3Char">
    <w:name w:val="Heading 3 Char"/>
    <w:basedOn w:val="DefaultParagraphFont"/>
    <w:link w:val="Heading3"/>
    <w:semiHidden/>
    <w:rsid w:val="00A44CF4"/>
    <w:rPr>
      <w:rFonts w:ascii="Times New Roman" w:hAnsi="Times New Roman" w:cs="Times New Roman"/>
      <w:sz w:val="20"/>
      <w:szCs w:val="20"/>
    </w:rPr>
  </w:style>
  <w:style w:type="character" w:customStyle="1" w:styleId="Heading4Char">
    <w:name w:val="Heading 4 Char"/>
    <w:basedOn w:val="DefaultParagraphFont"/>
    <w:link w:val="Heading4"/>
    <w:semiHidden/>
    <w:rsid w:val="00A44CF4"/>
    <w:rPr>
      <w:rFonts w:ascii="Times New Roman" w:hAnsi="Times New Roman" w:cs="Times New Roman"/>
      <w:sz w:val="20"/>
      <w:szCs w:val="20"/>
    </w:rPr>
  </w:style>
  <w:style w:type="character" w:customStyle="1" w:styleId="Heading5Char">
    <w:name w:val="Heading 5 Char"/>
    <w:basedOn w:val="DefaultParagraphFont"/>
    <w:link w:val="Heading5"/>
    <w:semiHidden/>
    <w:rsid w:val="00A44CF4"/>
    <w:rPr>
      <w:rFonts w:ascii="Times New Roman" w:hAnsi="Times New Roman" w:cs="Times New Roman"/>
      <w:sz w:val="20"/>
      <w:szCs w:val="20"/>
    </w:rPr>
  </w:style>
  <w:style w:type="character" w:customStyle="1" w:styleId="Heading6Char">
    <w:name w:val="Heading 6 Char"/>
    <w:basedOn w:val="DefaultParagraphFont"/>
    <w:link w:val="Heading6"/>
    <w:semiHidden/>
    <w:rsid w:val="00A44CF4"/>
    <w:rPr>
      <w:rFonts w:ascii="Times New Roman" w:hAnsi="Times New Roman" w:cs="Times New Roman"/>
      <w:sz w:val="20"/>
      <w:szCs w:val="20"/>
    </w:rPr>
  </w:style>
  <w:style w:type="character" w:customStyle="1" w:styleId="Heading7Char">
    <w:name w:val="Heading 7 Char"/>
    <w:basedOn w:val="DefaultParagraphFont"/>
    <w:link w:val="Heading7"/>
    <w:semiHidden/>
    <w:rsid w:val="00A44CF4"/>
    <w:rPr>
      <w:rFonts w:ascii="Times New Roman" w:hAnsi="Times New Roman" w:cs="Times New Roman"/>
      <w:sz w:val="20"/>
      <w:szCs w:val="20"/>
    </w:rPr>
  </w:style>
  <w:style w:type="character" w:customStyle="1" w:styleId="Heading8Char">
    <w:name w:val="Heading 8 Char"/>
    <w:basedOn w:val="DefaultParagraphFont"/>
    <w:link w:val="Heading8"/>
    <w:semiHidden/>
    <w:rsid w:val="00A44CF4"/>
    <w:rPr>
      <w:rFonts w:ascii="Times New Roman" w:hAnsi="Times New Roman" w:cs="Times New Roman"/>
      <w:sz w:val="20"/>
      <w:szCs w:val="20"/>
    </w:rPr>
  </w:style>
  <w:style w:type="character" w:customStyle="1" w:styleId="Heading9Char">
    <w:name w:val="Heading 9 Char"/>
    <w:basedOn w:val="DefaultParagraphFont"/>
    <w:link w:val="Heading9"/>
    <w:semiHidden/>
    <w:rsid w:val="00A44CF4"/>
    <w:rPr>
      <w:rFonts w:ascii="Times New Roman" w:hAnsi="Times New Roman" w:cs="Times New Roman"/>
      <w:sz w:val="20"/>
      <w:szCs w:val="20"/>
    </w:rPr>
  </w:style>
  <w:style w:type="character" w:styleId="PageNumber">
    <w:name w:val="page number"/>
    <w:aliases w:val="7_G"/>
    <w:semiHidden/>
    <w:rsid w:val="00A44CF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4CF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CF4"/>
    <w:rPr>
      <w:rFonts w:ascii="Tahoma" w:hAnsi="Tahoma" w:cs="Tahoma"/>
      <w:sz w:val="16"/>
      <w:szCs w:val="16"/>
    </w:rPr>
  </w:style>
  <w:style w:type="character" w:customStyle="1" w:styleId="BalloonTextChar">
    <w:name w:val="Balloon Text Char"/>
    <w:basedOn w:val="DefaultParagraphFont"/>
    <w:link w:val="BalloonText"/>
    <w:uiPriority w:val="99"/>
    <w:semiHidden/>
    <w:rsid w:val="00A44CF4"/>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373755"/>
    <w:rPr>
      <w:rFonts w:ascii="Times New Roman" w:hAnsi="Times New Roman" w:cs="Times New Roman"/>
      <w:b/>
      <w:sz w:val="28"/>
      <w:szCs w:val="20"/>
    </w:rPr>
  </w:style>
  <w:style w:type="character" w:customStyle="1" w:styleId="H1GChar">
    <w:name w:val="_ H_1_G Char"/>
    <w:link w:val="H1G"/>
    <w:locked/>
    <w:rsid w:val="00373755"/>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A898AD94-0197-42C2-971B-CD6B7782877B}"/>
</file>

<file path=customXml/itemProps3.xml><?xml version="1.0" encoding="utf-8"?>
<ds:datastoreItem xmlns:ds="http://schemas.openxmlformats.org/officeDocument/2006/customXml" ds:itemID="{0BCFD2B6-0B9D-4598-8F48-03874FE0CE95}"/>
</file>

<file path=customXml/itemProps4.xml><?xml version="1.0" encoding="utf-8"?>
<ds:datastoreItem xmlns:ds="http://schemas.openxmlformats.org/officeDocument/2006/customXml" ds:itemID="{0A04FB1B-8EA1-45A5-8B76-CE613FECB164}"/>
</file>

<file path=docProps/app.xml><?xml version="1.0" encoding="utf-8"?>
<Properties xmlns="http://schemas.openxmlformats.org/officeDocument/2006/extended-properties" xmlns:vt="http://schemas.openxmlformats.org/officeDocument/2006/docPropsVTypes">
  <Template>CESCR.dotm</Template>
  <TotalTime>0</TotalTime>
  <Pages>3</Pages>
  <Words>838</Words>
  <Characters>4655</Characters>
  <Application>Microsoft Office Word</Application>
  <DocSecurity>0</DocSecurity>
  <Lines>135</Lines>
  <Paragraphs>69</Paragraphs>
  <ScaleCrop>false</ScaleCrop>
  <HeadingPairs>
    <vt:vector size="2" baseType="variant">
      <vt:variant>
        <vt:lpstr>Title</vt:lpstr>
      </vt:variant>
      <vt:variant>
        <vt:i4>1</vt:i4>
      </vt:variant>
    </vt:vector>
  </HeadingPairs>
  <TitlesOfParts>
    <vt:vector size="1" baseType="lpstr">
      <vt:lpstr>ECE/TRANS/WP.15/AC.2/2022/13</vt:lpstr>
    </vt:vector>
  </TitlesOfParts>
  <Company>DCM</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ECE/TRANS/WP.15/AC.2/2022/13</dc:title>
  <dc:subject>2116585</dc:subject>
  <dc:creator>pae</dc:creator>
  <cp:keywords/>
  <dc:description>final</dc:description>
  <cp:lastModifiedBy>Pauline Anne Princesa ESCALANTE</cp:lastModifiedBy>
  <cp:revision>2</cp:revision>
  <cp:lastPrinted>2021-12-07T08:10:00Z</cp:lastPrinted>
  <dcterms:created xsi:type="dcterms:W3CDTF">2021-12-07T08:11:00Z</dcterms:created>
  <dcterms:modified xsi:type="dcterms:W3CDTF">2021-12-07T08:11:00Z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