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DA78A2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29E611" w14:textId="77777777" w:rsidR="002D5AAC" w:rsidRDefault="002D5AAC" w:rsidP="005F17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D6BD46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C005B2" w14:textId="6FB72138" w:rsidR="002D5AAC" w:rsidRDefault="005F174B" w:rsidP="005F174B">
            <w:pPr>
              <w:jc w:val="right"/>
            </w:pPr>
            <w:r w:rsidRPr="005F174B">
              <w:rPr>
                <w:sz w:val="40"/>
              </w:rPr>
              <w:t>ECE</w:t>
            </w:r>
            <w:r>
              <w:t>/TRANS/WP.15/AC.2/2022/10</w:t>
            </w:r>
          </w:p>
        </w:tc>
      </w:tr>
      <w:tr w:rsidR="002D5AAC" w:rsidRPr="00EC5EAE" w14:paraId="351315B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6BEA2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A36D78" wp14:editId="49AB8FB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03FC3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EBA8BC8" w14:textId="77777777" w:rsidR="002D5AAC" w:rsidRDefault="005F174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EF5478" w14:textId="77777777" w:rsidR="005F174B" w:rsidRDefault="005F174B" w:rsidP="005F17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November 2021</w:t>
            </w:r>
          </w:p>
          <w:p w14:paraId="41D45FBD" w14:textId="77777777" w:rsidR="005F174B" w:rsidRDefault="005F174B" w:rsidP="005F17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EECBF4" w14:textId="71112C93" w:rsidR="005F174B" w:rsidRPr="008D53B6" w:rsidRDefault="005F174B" w:rsidP="005F17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34478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E720474" w14:textId="77777777" w:rsidR="005F174B" w:rsidRPr="00114F06" w:rsidRDefault="005F174B" w:rsidP="005F174B">
      <w:pPr>
        <w:spacing w:before="120"/>
        <w:rPr>
          <w:sz w:val="28"/>
          <w:szCs w:val="28"/>
        </w:rPr>
      </w:pPr>
      <w:r w:rsidRPr="00114F06">
        <w:rPr>
          <w:sz w:val="28"/>
          <w:szCs w:val="28"/>
        </w:rPr>
        <w:t>Комитет по внутреннему</w:t>
      </w:r>
      <w:r>
        <w:rPr>
          <w:sz w:val="28"/>
          <w:szCs w:val="28"/>
        </w:rPr>
        <w:t xml:space="preserve"> </w:t>
      </w:r>
      <w:r w:rsidRPr="00114F06">
        <w:rPr>
          <w:sz w:val="28"/>
          <w:szCs w:val="28"/>
        </w:rPr>
        <w:t>транспорту</w:t>
      </w:r>
    </w:p>
    <w:p w14:paraId="7721C388" w14:textId="77777777" w:rsidR="005F174B" w:rsidRPr="00114F06" w:rsidRDefault="005F174B" w:rsidP="005F174B">
      <w:pPr>
        <w:spacing w:before="120"/>
        <w:rPr>
          <w:b/>
          <w:sz w:val="24"/>
          <w:szCs w:val="24"/>
        </w:rPr>
      </w:pPr>
      <w:r w:rsidRPr="00114F06">
        <w:rPr>
          <w:b/>
          <w:bCs/>
          <w:sz w:val="24"/>
          <w:szCs w:val="24"/>
        </w:rPr>
        <w:t>Рабочая группа по перевозкам опасных грузов</w:t>
      </w:r>
    </w:p>
    <w:p w14:paraId="65574019" w14:textId="3E770F44" w:rsidR="005F174B" w:rsidRPr="00114F06" w:rsidRDefault="005F174B" w:rsidP="005F174B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A13AD6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A13AD6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A13AD6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5F42FD7C" w14:textId="77777777" w:rsidR="005F174B" w:rsidRPr="00114F06" w:rsidRDefault="005F174B" w:rsidP="005F174B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2803684C" w14:textId="77777777" w:rsidR="005F174B" w:rsidRPr="00114F06" w:rsidRDefault="005F174B" w:rsidP="005F174B">
      <w:pPr>
        <w:spacing w:before="120"/>
        <w:rPr>
          <w:b/>
        </w:rPr>
      </w:pPr>
      <w:r>
        <w:rPr>
          <w:b/>
          <w:bCs/>
        </w:rPr>
        <w:t>Тридцать девятая сессия</w:t>
      </w:r>
    </w:p>
    <w:p w14:paraId="25C4F4D1" w14:textId="77777777" w:rsidR="005F174B" w:rsidRPr="00114F06" w:rsidRDefault="005F174B" w:rsidP="005F174B">
      <w:r>
        <w:t>Женева, 24–28 января 2022 года</w:t>
      </w:r>
    </w:p>
    <w:p w14:paraId="0FF0BB2A" w14:textId="77777777" w:rsidR="005F174B" w:rsidRPr="00114F06" w:rsidRDefault="005F174B" w:rsidP="005F174B">
      <w:r>
        <w:t>Пункт 4 c) предварительной повестки дня</w:t>
      </w:r>
    </w:p>
    <w:p w14:paraId="4E882C4E" w14:textId="64E9017B" w:rsidR="00E12C5F" w:rsidRDefault="005F174B" w:rsidP="005F174B">
      <w:r>
        <w:rPr>
          <w:b/>
          <w:bCs/>
        </w:rPr>
        <w:t xml:space="preserve">Применение Европейского соглашения </w:t>
      </w:r>
      <w:r w:rsidR="00A13AD6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A13AD6">
        <w:rPr>
          <w:b/>
          <w:bCs/>
        </w:rPr>
        <w:br/>
      </w:r>
      <w:r>
        <w:rPr>
          <w:b/>
          <w:bCs/>
        </w:rPr>
        <w:t xml:space="preserve">по внутренним водным путям (ВОПОГ): </w:t>
      </w:r>
      <w:r w:rsidR="00A13AD6">
        <w:rPr>
          <w:b/>
          <w:bCs/>
        </w:rPr>
        <w:br/>
      </w:r>
      <w:r>
        <w:rPr>
          <w:b/>
          <w:bCs/>
        </w:rPr>
        <w:t>толкование Правил, прилагаемых к ВОПОГ</w:t>
      </w:r>
    </w:p>
    <w:p w14:paraId="1BFBBDD0" w14:textId="77777777" w:rsidR="005F174B" w:rsidRPr="00114F06" w:rsidRDefault="005F174B" w:rsidP="005F174B">
      <w:pPr>
        <w:pStyle w:val="HChG"/>
      </w:pPr>
      <w:r>
        <w:tab/>
      </w:r>
      <w:r>
        <w:tab/>
        <w:t>Толкование пункта 9.3.x.12.2</w:t>
      </w:r>
    </w:p>
    <w:p w14:paraId="06064CB5" w14:textId="4A5C7337" w:rsidR="005F174B" w:rsidRDefault="005F174B" w:rsidP="005F174B">
      <w:pPr>
        <w:pStyle w:val="H1G"/>
      </w:pPr>
      <w:r>
        <w:tab/>
      </w:r>
      <w:r>
        <w:tab/>
        <w:t>Передано Рекомендованными классификационными обществами ВОПОГ</w:t>
      </w:r>
      <w:r w:rsidRPr="005F174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5F174B">
        <w:rPr>
          <w:b w:val="0"/>
          <w:bCs/>
          <w:sz w:val="20"/>
        </w:rPr>
        <w:t xml:space="preserve"> </w:t>
      </w:r>
      <w:r w:rsidRPr="005F174B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5F174B" w:rsidRPr="005F174B" w14:paraId="001A2354" w14:textId="77777777" w:rsidTr="005F174B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6E319B27" w14:textId="77777777" w:rsidR="005F174B" w:rsidRPr="005F174B" w:rsidRDefault="005F174B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F174B">
              <w:rPr>
                <w:rFonts w:cs="Times New Roman"/>
              </w:rPr>
              <w:tab/>
            </w:r>
            <w:r w:rsidRPr="005F174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F174B" w:rsidRPr="005F174B" w14:paraId="3178233E" w14:textId="77777777" w:rsidTr="005F174B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48D854E" w14:textId="77777777" w:rsidR="005F174B" w:rsidRPr="00114F06" w:rsidRDefault="005F174B" w:rsidP="00EC5EAE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ind w:left="3969" w:hanging="3685"/>
              <w:rPr>
                <w:bCs/>
              </w:rPr>
            </w:pPr>
            <w:r>
              <w:rPr>
                <w:b/>
                <w:bCs/>
              </w:rPr>
              <w:t>Соответствующие решения:</w:t>
            </w:r>
            <w:r>
              <w:tab/>
              <w:t>Пункт 21 доклада о работе тридцать пятой сессии Комитета по вопросам безопасности ВОПОГ (ECE/TRANS/WP.15/AC.2/72) гласит следующее:</w:t>
            </w:r>
          </w:p>
          <w:p w14:paraId="043FD14A" w14:textId="28CAED65" w:rsidR="005F174B" w:rsidRPr="00114F06" w:rsidRDefault="005F174B" w:rsidP="005F174B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ind w:left="3969" w:hanging="2835"/>
              <w:rPr>
                <w:bCs/>
              </w:rPr>
            </w:pPr>
            <w:r>
              <w:tab/>
              <w:t>«21.</w:t>
            </w:r>
            <w:r>
              <w:tab/>
              <w:t>Что касается толкования пункта 9.3.3.12.2, то Комитет по вопросам безопасности принял приводимое ниже решение по этому вопросу, которое подлежит окончательному рассмотрению Рекомендованными классификационными обществами ВОПОГ на следующей сессии:</w:t>
            </w:r>
          </w:p>
          <w:p w14:paraId="1F4CB018" w14:textId="77777777" w:rsidR="005F174B" w:rsidRPr="00114F06" w:rsidRDefault="005F174B" w:rsidP="005F174B">
            <w:pPr>
              <w:pStyle w:val="Bullet2G"/>
              <w:numPr>
                <w:ilvl w:val="0"/>
                <w:numId w:val="22"/>
              </w:numPr>
              <w:tabs>
                <w:tab w:val="clear" w:pos="2268"/>
              </w:tabs>
              <w:ind w:left="4253" w:hanging="284"/>
            </w:pPr>
            <w:r>
              <w:t>системы вентиляции не означают, строго говоря, активные системы, поэтому устанавливать вентиляторы не нужно;</w:t>
            </w:r>
          </w:p>
          <w:p w14:paraId="5C0C42A3" w14:textId="77777777" w:rsidR="005F174B" w:rsidRPr="00114F06" w:rsidRDefault="005F174B" w:rsidP="005F174B">
            <w:pPr>
              <w:pStyle w:val="Bullet2G"/>
              <w:numPr>
                <w:ilvl w:val="0"/>
                <w:numId w:val="22"/>
              </w:numPr>
              <w:tabs>
                <w:tab w:val="clear" w:pos="2268"/>
              </w:tabs>
              <w:ind w:left="4253" w:hanging="284"/>
            </w:pPr>
            <w:r>
              <w:lastRenderedPageBreak/>
              <w:t>да, крышки люков могут быть использованы в качестве подходящей “системы вентиляции”;</w:t>
            </w:r>
          </w:p>
          <w:p w14:paraId="5D6550B6" w14:textId="6F78D079" w:rsidR="005F174B" w:rsidRPr="00114F06" w:rsidRDefault="005F174B" w:rsidP="005F174B">
            <w:pPr>
              <w:pStyle w:val="Bullet2G"/>
              <w:numPr>
                <w:ilvl w:val="0"/>
                <w:numId w:val="22"/>
              </w:numPr>
              <w:tabs>
                <w:tab w:val="clear" w:pos="2268"/>
              </w:tabs>
              <w:ind w:left="4253" w:hanging="284"/>
            </w:pPr>
            <w:r>
              <w:t xml:space="preserve">да, S-образная часть </w:t>
            </w:r>
            <w:r w:rsidR="00A13AD6" w:rsidRPr="00213ED0">
              <w:t>—</w:t>
            </w:r>
            <w:r>
              <w:t xml:space="preserve"> это подходящая “система вентиляции”;</w:t>
            </w:r>
          </w:p>
          <w:p w14:paraId="12D64CBB" w14:textId="77777777" w:rsidR="005F174B" w:rsidRPr="00114F06" w:rsidRDefault="005F174B" w:rsidP="005F174B">
            <w:pPr>
              <w:pStyle w:val="Bullet2G"/>
              <w:numPr>
                <w:ilvl w:val="0"/>
                <w:numId w:val="22"/>
              </w:numPr>
              <w:tabs>
                <w:tab w:val="clear" w:pos="2268"/>
              </w:tabs>
              <w:ind w:left="4253" w:hanging="284"/>
            </w:pPr>
            <w:r>
              <w:t>да, два надлежащим образом расположенных вентиляционных отверстия (например, вентиляционные вытяжки) в каждом помещении считаются подходящими “системами вентиляции”;</w:t>
            </w:r>
          </w:p>
          <w:p w14:paraId="424A6A04" w14:textId="77777777" w:rsidR="005F174B" w:rsidRPr="00114F06" w:rsidRDefault="005F174B" w:rsidP="005F174B">
            <w:pPr>
              <w:pStyle w:val="Bullet2G"/>
              <w:numPr>
                <w:ilvl w:val="0"/>
                <w:numId w:val="22"/>
              </w:numPr>
              <w:tabs>
                <w:tab w:val="clear" w:pos="2268"/>
              </w:tabs>
              <w:ind w:left="4253" w:hanging="284"/>
              <w:rPr>
                <w:b/>
              </w:rPr>
            </w:pPr>
            <w:r>
              <w:t>нет, нет необходимости устанавливать пламегасители в вентиляционных отверстиях танкеров открытого типа N с пламегасителями и танкеров закрытого типа N.».</w:t>
            </w:r>
          </w:p>
          <w:p w14:paraId="05CA003F" w14:textId="0266E307" w:rsidR="005F174B" w:rsidRPr="005F174B" w:rsidRDefault="005F174B" w:rsidP="00EC5EAE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ind w:left="3969" w:hanging="3685"/>
            </w:pPr>
            <w:r>
              <w:rPr>
                <w:b/>
                <w:bCs/>
              </w:rPr>
              <w:t>Справочные документы:</w:t>
            </w:r>
            <w:r>
              <w:tab/>
              <w:t>Неофициальные документы INF.28 (Австрия) тридцать пятой сессии и INF.9 (Рекомендованные классификационные общества ВОПОГ) тридцать шестой сессии.</w:t>
            </w:r>
          </w:p>
        </w:tc>
      </w:tr>
      <w:tr w:rsidR="005F174B" w:rsidRPr="005F174B" w14:paraId="5E6BEBB9" w14:textId="77777777" w:rsidTr="005F174B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68ECC5C4" w14:textId="77777777" w:rsidR="005F174B" w:rsidRPr="005F174B" w:rsidRDefault="005F174B" w:rsidP="00850215">
            <w:pPr>
              <w:rPr>
                <w:rFonts w:cs="Times New Roman"/>
              </w:rPr>
            </w:pPr>
          </w:p>
        </w:tc>
      </w:tr>
    </w:tbl>
    <w:p w14:paraId="3672E9C0" w14:textId="77777777" w:rsidR="005F174B" w:rsidRPr="00114F06" w:rsidRDefault="005F174B" w:rsidP="005F174B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717E37B3" w14:textId="77777777" w:rsidR="005F174B" w:rsidRPr="00114F06" w:rsidRDefault="005F174B" w:rsidP="005F174B">
      <w:pPr>
        <w:pStyle w:val="SingleTxtG"/>
      </w:pPr>
      <w:r>
        <w:t>1.</w:t>
      </w:r>
      <w:r>
        <w:tab/>
        <w:t>На тридцать пятой сессии Комитета по вопросам безопасности ВОПОГ был обсужден неофициальный документ INF.28, и Комитет по вопросам безопасности согласовал ряд толкований и просил Группу Рекомендованных классификационных обществ ВОПОГ рассмотреть эти толкования на своем следующем совещании.</w:t>
      </w:r>
    </w:p>
    <w:p w14:paraId="122BBCC6" w14:textId="77777777" w:rsidR="005F174B" w:rsidRPr="00114F06" w:rsidRDefault="005F174B" w:rsidP="005F174B">
      <w:pPr>
        <w:pStyle w:val="SingleTxtG"/>
      </w:pPr>
      <w:r>
        <w:t>2.</w:t>
      </w:r>
      <w:r>
        <w:tab/>
        <w:t>Рекомендованные классификационные общества обсудили эти толкования на своем восемнадцатом совещании. В результате этого обсуждения у Группы появились оговорки в отношении того, чтобы следовать толкованию, предложенному Комитетом по вопросам безопасности ВОПОГ во втором абзаце, который гласит, что «... крышки люков могут быть использованы в качестве подходящей “системы вентиляции”», поскольку:</w:t>
      </w:r>
    </w:p>
    <w:p w14:paraId="32F5BD64" w14:textId="77777777" w:rsidR="005F174B" w:rsidRPr="00114F06" w:rsidRDefault="005F174B" w:rsidP="005F174B">
      <w:pPr>
        <w:pStyle w:val="Bullet1G"/>
        <w:numPr>
          <w:ilvl w:val="0"/>
          <w:numId w:val="28"/>
        </w:numPr>
      </w:pPr>
      <w:r>
        <w:tab/>
        <w:t>правила классификации требуют наличия вентиляционной трубы в пустых помещениях; и</w:t>
      </w:r>
    </w:p>
    <w:p w14:paraId="186F676B" w14:textId="77608402" w:rsidR="005F174B" w:rsidRPr="00114F06" w:rsidRDefault="005F174B" w:rsidP="005F174B">
      <w:pPr>
        <w:pStyle w:val="Bullet1G"/>
        <w:numPr>
          <w:ilvl w:val="0"/>
          <w:numId w:val="28"/>
        </w:numPr>
      </w:pPr>
      <w:r>
        <w:tab/>
        <w:t xml:space="preserve">открытая крышка люка </w:t>
      </w:r>
      <w:r w:rsidR="00213ED0" w:rsidRPr="00213ED0">
        <w:t>—</w:t>
      </w:r>
      <w:r>
        <w:t xml:space="preserve"> это неопределенное отверстие (неопределенная ситуация) с точки зрения расчета остойчивости.</w:t>
      </w:r>
    </w:p>
    <w:p w14:paraId="04DF2F4B" w14:textId="77777777" w:rsidR="005F174B" w:rsidRPr="00114F06" w:rsidRDefault="005F174B" w:rsidP="005F174B">
      <w:pPr>
        <w:pStyle w:val="SingleTxtG"/>
      </w:pPr>
      <w:r>
        <w:t>3.</w:t>
      </w:r>
      <w:r>
        <w:tab/>
        <w:t>На своем двадцатом совещании Группа Рекомендованных классификационных обществ ВОПОГ обсудила и подготовила документ ECE/TRANS/WP.15/AC.2/2021/10 (13 ноября 2020 года) с толкованием пункта 9.3.3.12.2, который был направлен Комитету по вопросам безопасности ВОПОГ без каких-либо изменений.</w:t>
      </w:r>
    </w:p>
    <w:p w14:paraId="0126054D" w14:textId="77777777" w:rsidR="005F174B" w:rsidRPr="00114F06" w:rsidRDefault="005F174B" w:rsidP="005F174B">
      <w:pPr>
        <w:pStyle w:val="SingleTxtG"/>
      </w:pPr>
      <w:r>
        <w:t>4.</w:t>
      </w:r>
      <w:r>
        <w:tab/>
        <w:t>На своей тридцать восьмой сессии Комитет по вопросам безопасности ВОПОГ вновь просил Рекомендованные классификационные общества ВОПОГ представить в рабочем документе для январской сессии 2022 года любые необходимые поправки для уточнения текста ВОПОГ.</w:t>
      </w:r>
    </w:p>
    <w:p w14:paraId="2AA5FF2A" w14:textId="77777777" w:rsidR="005F174B" w:rsidRPr="00114F06" w:rsidRDefault="005F174B" w:rsidP="005F174B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3D3ABDD5" w14:textId="38479152" w:rsidR="005F174B" w:rsidRPr="00114F06" w:rsidRDefault="005F174B" w:rsidP="005F174B">
      <w:pPr>
        <w:pStyle w:val="SingleTxtG"/>
      </w:pPr>
      <w:r>
        <w:t>5.</w:t>
      </w:r>
      <w:r>
        <w:tab/>
        <w:t>В связи с этим Группа Рекомендованных классификационных обществ ВОПОГ просит Комитет по вопросам безопасности пересмотреть свое толкование крышек люков в качестве системы вентиляции и, по возможности, исключить этот пункт из списка согласованных толкований для пункта 9.3.</w:t>
      </w:r>
      <w:r w:rsidR="00EC5EAE">
        <w:rPr>
          <w:lang w:val="en-US"/>
        </w:rPr>
        <w:t>x</w:t>
      </w:r>
      <w:r>
        <w:t>.12.2.</w:t>
      </w:r>
    </w:p>
    <w:p w14:paraId="119175FA" w14:textId="77777777" w:rsidR="005F174B" w:rsidRPr="00114F06" w:rsidRDefault="005F174B" w:rsidP="005F174B">
      <w:pPr>
        <w:pStyle w:val="SingleTxtG"/>
      </w:pPr>
      <w:r>
        <w:t>6.</w:t>
      </w:r>
      <w:r>
        <w:tab/>
        <w:t>Вносить изменения в переходные положения</w:t>
      </w:r>
      <w:r w:rsidRPr="00D62B3D">
        <w:t xml:space="preserve"> </w:t>
      </w:r>
      <w:r>
        <w:t>нет необходимости.</w:t>
      </w:r>
    </w:p>
    <w:p w14:paraId="1467AEAC" w14:textId="77777777" w:rsidR="005F174B" w:rsidRPr="00114F06" w:rsidRDefault="005F174B" w:rsidP="005F174B">
      <w:pPr>
        <w:pStyle w:val="SingleTxtG"/>
      </w:pPr>
      <w:r>
        <w:lastRenderedPageBreak/>
        <w:t>7.</w:t>
      </w:r>
      <w:r>
        <w:tab/>
        <w:t xml:space="preserve">Окончательный предлагаемый текст толкования гласит следующее: </w:t>
      </w:r>
    </w:p>
    <w:p w14:paraId="68A4AE76" w14:textId="77777777" w:rsidR="005F174B" w:rsidRPr="00114F06" w:rsidRDefault="005F174B" w:rsidP="005F174B">
      <w:pPr>
        <w:pStyle w:val="Bullet1G"/>
        <w:numPr>
          <w:ilvl w:val="0"/>
          <w:numId w:val="28"/>
        </w:numPr>
      </w:pPr>
      <w:r>
        <w:t>«системы вентиляции не означают, строго говоря, активные системы, поэтому устанавливать вентиляторы не нужно;</w:t>
      </w:r>
    </w:p>
    <w:p w14:paraId="10C5C4A1" w14:textId="77777777" w:rsidR="005F174B" w:rsidRPr="00114F06" w:rsidRDefault="005F174B" w:rsidP="005F174B">
      <w:pPr>
        <w:pStyle w:val="Bullet1G"/>
        <w:numPr>
          <w:ilvl w:val="0"/>
          <w:numId w:val="28"/>
        </w:numPr>
      </w:pPr>
      <w:r>
        <w:t>правила классификации требуют наличия вентиляционной трубы в пустых помещениях;</w:t>
      </w:r>
    </w:p>
    <w:p w14:paraId="0E150D36" w14:textId="4CAB66BA" w:rsidR="005F174B" w:rsidRPr="00114F06" w:rsidRDefault="005F174B" w:rsidP="005F174B">
      <w:pPr>
        <w:pStyle w:val="Bullet1G"/>
        <w:numPr>
          <w:ilvl w:val="0"/>
          <w:numId w:val="28"/>
        </w:numPr>
      </w:pPr>
      <w:r>
        <w:t xml:space="preserve">открытая крышка люка </w:t>
      </w:r>
      <w:r w:rsidR="005F1193" w:rsidRPr="005F1193">
        <w:t>—</w:t>
      </w:r>
      <w:r>
        <w:t xml:space="preserve"> это неопределенное отверстие (неопределенная ситуация) с точки зрения расчета остойчивости и не может рассматриваться как подходящее решение для вентиляции пустых помещений;</w:t>
      </w:r>
    </w:p>
    <w:p w14:paraId="58A89759" w14:textId="77777777" w:rsidR="005F174B" w:rsidRPr="00114F06" w:rsidRDefault="005F174B" w:rsidP="005F174B">
      <w:pPr>
        <w:pStyle w:val="Bullet1G"/>
        <w:numPr>
          <w:ilvl w:val="0"/>
          <w:numId w:val="28"/>
        </w:numPr>
      </w:pPr>
      <w:r>
        <w:t>два надлежащим образом расположенных вентиляционных отверстия (например, вентиляционные вытяжки) в каждом помещении с точки зрения требования в отношении остойчивости считаются подходящими “системами вентиляции”;</w:t>
      </w:r>
    </w:p>
    <w:p w14:paraId="56C31D27" w14:textId="2AE1BF7B" w:rsidR="005F174B" w:rsidRPr="00114F06" w:rsidRDefault="005F174B" w:rsidP="005F174B">
      <w:pPr>
        <w:pStyle w:val="Bullet1G"/>
        <w:numPr>
          <w:ilvl w:val="0"/>
          <w:numId w:val="28"/>
        </w:numPr>
      </w:pPr>
      <w:r>
        <w:t xml:space="preserve">S-образная часть </w:t>
      </w:r>
      <w:r w:rsidR="00A13AD6" w:rsidRPr="00A13AD6">
        <w:t>—</w:t>
      </w:r>
      <w:r>
        <w:t xml:space="preserve"> это подходящая “система вентиляции”;</w:t>
      </w:r>
    </w:p>
    <w:p w14:paraId="62449DED" w14:textId="1642499F" w:rsidR="005F174B" w:rsidRDefault="005F174B" w:rsidP="005F174B">
      <w:pPr>
        <w:pStyle w:val="Bullet1G"/>
        <w:numPr>
          <w:ilvl w:val="0"/>
          <w:numId w:val="28"/>
        </w:numPr>
      </w:pPr>
      <w:r>
        <w:t>нет необходимости устанавливать пламегасители в вентиляционных отверстиях танкеров открытого типа N с пламегасителями и танкеров закрытого типа N.».</w:t>
      </w:r>
    </w:p>
    <w:p w14:paraId="0643B2DE" w14:textId="485C5490" w:rsidR="005F174B" w:rsidRPr="005F174B" w:rsidRDefault="005F174B" w:rsidP="005F174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174B" w:rsidRPr="005F174B" w:rsidSect="005F17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8C03A" w14:textId="77777777" w:rsidR="00531D77" w:rsidRPr="00A312BC" w:rsidRDefault="00531D77" w:rsidP="00A312BC"/>
  </w:endnote>
  <w:endnote w:type="continuationSeparator" w:id="0">
    <w:p w14:paraId="79C4675E" w14:textId="77777777" w:rsidR="00531D77" w:rsidRPr="00A312BC" w:rsidRDefault="00531D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55076" w14:textId="14C45CCB" w:rsidR="005F174B" w:rsidRPr="005F174B" w:rsidRDefault="005F174B">
    <w:pPr>
      <w:pStyle w:val="a8"/>
    </w:pPr>
    <w:r w:rsidRPr="005F174B">
      <w:rPr>
        <w:b/>
        <w:sz w:val="18"/>
      </w:rPr>
      <w:fldChar w:fldCharType="begin"/>
    </w:r>
    <w:r w:rsidRPr="005F174B">
      <w:rPr>
        <w:b/>
        <w:sz w:val="18"/>
      </w:rPr>
      <w:instrText xml:space="preserve"> PAGE  \* MERGEFORMAT </w:instrText>
    </w:r>
    <w:r w:rsidRPr="005F174B">
      <w:rPr>
        <w:b/>
        <w:sz w:val="18"/>
      </w:rPr>
      <w:fldChar w:fldCharType="separate"/>
    </w:r>
    <w:r w:rsidRPr="005F174B">
      <w:rPr>
        <w:b/>
        <w:noProof/>
        <w:sz w:val="18"/>
      </w:rPr>
      <w:t>2</w:t>
    </w:r>
    <w:r w:rsidRPr="005F174B">
      <w:rPr>
        <w:b/>
        <w:sz w:val="18"/>
      </w:rPr>
      <w:fldChar w:fldCharType="end"/>
    </w:r>
    <w:r>
      <w:rPr>
        <w:b/>
        <w:sz w:val="18"/>
      </w:rPr>
      <w:tab/>
    </w:r>
    <w:r>
      <w:t>GE.21-16506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DC3F0" w14:textId="305C719E" w:rsidR="005F174B" w:rsidRPr="005F174B" w:rsidRDefault="005F174B" w:rsidP="005F174B">
    <w:pPr>
      <w:pStyle w:val="a8"/>
      <w:tabs>
        <w:tab w:val="clear" w:pos="9639"/>
        <w:tab w:val="right" w:pos="9638"/>
      </w:tabs>
      <w:rPr>
        <w:b/>
        <w:sz w:val="18"/>
      </w:rPr>
    </w:pPr>
    <w:r>
      <w:t>GE.21-16506</w:t>
    </w:r>
    <w:r>
      <w:tab/>
    </w:r>
    <w:r w:rsidRPr="005F174B">
      <w:rPr>
        <w:b/>
        <w:sz w:val="18"/>
      </w:rPr>
      <w:fldChar w:fldCharType="begin"/>
    </w:r>
    <w:r w:rsidRPr="005F174B">
      <w:rPr>
        <w:b/>
        <w:sz w:val="18"/>
      </w:rPr>
      <w:instrText xml:space="preserve"> PAGE  \* MERGEFORMAT </w:instrText>
    </w:r>
    <w:r w:rsidRPr="005F174B">
      <w:rPr>
        <w:b/>
        <w:sz w:val="18"/>
      </w:rPr>
      <w:fldChar w:fldCharType="separate"/>
    </w:r>
    <w:r w:rsidRPr="005F174B">
      <w:rPr>
        <w:b/>
        <w:noProof/>
        <w:sz w:val="18"/>
      </w:rPr>
      <w:t>3</w:t>
    </w:r>
    <w:r w:rsidRPr="005F17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CC08" w14:textId="3F41EE72" w:rsidR="00042B72" w:rsidRPr="005F1193" w:rsidRDefault="005F174B" w:rsidP="005F174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65D847" wp14:editId="18E6767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21-16506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923E2E7" wp14:editId="4DE34D7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193">
      <w:rPr>
        <w:lang w:val="en-US"/>
      </w:rPr>
      <w:t xml:space="preserve">  151121  151121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4B093" w14:textId="77777777" w:rsidR="00531D77" w:rsidRPr="001075E9" w:rsidRDefault="00531D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A535CC" w14:textId="77777777" w:rsidR="00531D77" w:rsidRDefault="00531D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3263ADB" w14:textId="77777777" w:rsidR="005F174B" w:rsidRPr="00942F1E" w:rsidRDefault="005F174B" w:rsidP="005F174B">
      <w:pPr>
        <w:pStyle w:val="ad"/>
      </w:pPr>
      <w:r>
        <w:tab/>
      </w:r>
      <w:r w:rsidRPr="00A13AD6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CCNR-ZKR/ADN/WP.15/AC.2/2022/10.</w:t>
      </w:r>
    </w:p>
  </w:footnote>
  <w:footnote w:id="2">
    <w:p w14:paraId="7CACC809" w14:textId="77777777" w:rsidR="005F174B" w:rsidRPr="00A707D7" w:rsidRDefault="005F174B" w:rsidP="005F174B">
      <w:pPr>
        <w:pStyle w:val="ad"/>
      </w:pPr>
      <w:r>
        <w:tab/>
      </w:r>
      <w:r w:rsidRPr="00A13AD6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F087" w14:textId="370FE1FE" w:rsidR="005F174B" w:rsidRPr="005F174B" w:rsidRDefault="00C7134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98586" w14:textId="5E6DDA61" w:rsidR="005F174B" w:rsidRPr="005F174B" w:rsidRDefault="00C71347" w:rsidP="005F174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20"/>
  </w:num>
  <w:num w:numId="23">
    <w:abstractNumId w:val="10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6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7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3ED0"/>
    <w:rsid w:val="00255343"/>
    <w:rsid w:val="0027151D"/>
    <w:rsid w:val="002A29D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1D77"/>
    <w:rsid w:val="005639C1"/>
    <w:rsid w:val="005709E0"/>
    <w:rsid w:val="00572E19"/>
    <w:rsid w:val="005961C8"/>
    <w:rsid w:val="005966F1"/>
    <w:rsid w:val="005D7914"/>
    <w:rsid w:val="005E2B41"/>
    <w:rsid w:val="005F0B42"/>
    <w:rsid w:val="005F1193"/>
    <w:rsid w:val="005F174B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784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3AD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347"/>
    <w:rsid w:val="00C71E84"/>
    <w:rsid w:val="00C76467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0900"/>
    <w:rsid w:val="00E12C5F"/>
    <w:rsid w:val="00E73F76"/>
    <w:rsid w:val="00EA2C9F"/>
    <w:rsid w:val="00EA420E"/>
    <w:rsid w:val="00EC5EA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85A3B"/>
  <w15:docId w15:val="{9A21BF20-713C-42F1-8C29-309E0DF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uiPriority w:val="99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5F174B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5F174B"/>
    <w:rPr>
      <w:lang w:val="ru-RU" w:eastAsia="en-US"/>
    </w:rPr>
  </w:style>
  <w:style w:type="paragraph" w:customStyle="1" w:styleId="ParNoG">
    <w:name w:val="_ParNo_G"/>
    <w:basedOn w:val="SingleTxtG"/>
    <w:qFormat/>
    <w:rsid w:val="005F174B"/>
    <w:pPr>
      <w:numPr>
        <w:numId w:val="23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ée un document." ma:contentTypeScope="" ma:versionID="4c98e1731cdb18c236385bf9f2886f14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766801eeed04e6a5522fa87adb5b290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4BFF2-4095-4940-9588-52DB5037E6FB}"/>
</file>

<file path=customXml/itemProps2.xml><?xml version="1.0" encoding="utf-8"?>
<ds:datastoreItem xmlns:ds="http://schemas.openxmlformats.org/officeDocument/2006/customXml" ds:itemID="{77602D7C-926B-42C1-A7C1-690B1381A4B4}"/>
</file>

<file path=customXml/itemProps3.xml><?xml version="1.0" encoding="utf-8"?>
<ds:datastoreItem xmlns:ds="http://schemas.openxmlformats.org/officeDocument/2006/customXml" ds:itemID="{DD39F51A-D259-4451-BA64-9FEC141DC8C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551</Words>
  <Characters>4095</Characters>
  <Application>Microsoft Office Word</Application>
  <DocSecurity>0</DocSecurity>
  <Lines>104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ECE/TRANS/WP.15/AC.2/2022/10</vt:lpstr>
      <vt:lpstr>A/</vt:lpstr>
      <vt:lpstr>A/</vt:lpstr>
    </vt:vector>
  </TitlesOfParts>
  <Company>DCM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ECE/TRANS/WP.15/AC.2/2022/10</dc:title>
  <dc:subject/>
  <dc:creator>Marina KOROTKOVA</dc:creator>
  <cp:keywords/>
  <cp:lastModifiedBy>Anna Blagodatskikh</cp:lastModifiedBy>
  <cp:revision>3</cp:revision>
  <cp:lastPrinted>2021-11-15T07:57:00Z</cp:lastPrinted>
  <dcterms:created xsi:type="dcterms:W3CDTF">2021-11-15T07:57:00Z</dcterms:created>
  <dcterms:modified xsi:type="dcterms:W3CDTF">2021-11-15T07:58:00Z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