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C5793" w14:paraId="076CF86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32BCBB9" w14:textId="77777777" w:rsidR="00F35BAF" w:rsidRPr="004C5793" w:rsidRDefault="00F35BAF" w:rsidP="004144E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33509F" w14:textId="77777777" w:rsidR="00F35BAF" w:rsidRPr="004C5793" w:rsidRDefault="00F35BAF" w:rsidP="00C97039">
            <w:pPr>
              <w:spacing w:after="80" w:line="300" w:lineRule="exact"/>
              <w:rPr>
                <w:rFonts w:asciiTheme="majorBidi" w:hAnsiTheme="majorBidi" w:cstheme="majorBidi"/>
                <w:sz w:val="28"/>
              </w:rPr>
            </w:pPr>
            <w:r w:rsidRPr="004C5793">
              <w:rPr>
                <w:rFonts w:asciiTheme="majorBidi" w:hAnsiTheme="majorBidi" w:cstheme="majorBidi"/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A8CA7E" w14:textId="7FDF14B7" w:rsidR="00F35BAF" w:rsidRPr="00AE4020" w:rsidRDefault="00AE4020" w:rsidP="00AE4020">
            <w:pPr>
              <w:jc w:val="right"/>
              <w:rPr>
                <w:rFonts w:asciiTheme="majorBidi" w:hAnsiTheme="majorBidi" w:cstheme="majorBidi"/>
              </w:rPr>
            </w:pPr>
            <w:r w:rsidRPr="00AE4020">
              <w:rPr>
                <w:rFonts w:asciiTheme="majorBidi" w:hAnsiTheme="majorBidi" w:cstheme="majorBidi"/>
                <w:sz w:val="40"/>
              </w:rPr>
              <w:t>ECE</w:t>
            </w:r>
            <w:r>
              <w:rPr>
                <w:rFonts w:asciiTheme="majorBidi" w:hAnsiTheme="majorBidi" w:cstheme="majorBidi"/>
              </w:rPr>
              <w:t>/ADN/2022/1</w:t>
            </w:r>
          </w:p>
        </w:tc>
      </w:tr>
      <w:tr w:rsidR="00F35BAF" w:rsidRPr="004C5793" w14:paraId="5C1B375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8141FB" w14:textId="77777777" w:rsidR="00F35BAF" w:rsidRPr="004C5793" w:rsidRDefault="00F35BAF" w:rsidP="00C97039">
            <w:pPr>
              <w:spacing w:before="120"/>
              <w:jc w:val="center"/>
              <w:rPr>
                <w:rFonts w:asciiTheme="majorBidi" w:hAnsiTheme="majorBidi" w:cstheme="majorBidi"/>
              </w:rPr>
            </w:pPr>
            <w:r w:rsidRPr="004C5793">
              <w:rPr>
                <w:rFonts w:asciiTheme="majorBidi" w:hAnsiTheme="majorBidi" w:cstheme="majorBidi"/>
                <w:noProof/>
                <w:lang w:val="en-GB" w:eastAsia="en-GB"/>
              </w:rPr>
              <w:drawing>
                <wp:inline distT="0" distB="0" distL="0" distR="0" wp14:anchorId="7BE24348" wp14:editId="323C257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CD227C" w14:textId="77777777" w:rsidR="00F35BAF" w:rsidRPr="004C5793" w:rsidRDefault="00F35BAF" w:rsidP="00C97039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4C5793">
              <w:rPr>
                <w:rFonts w:asciiTheme="majorBidi" w:hAnsiTheme="majorBidi" w:cstheme="majorBidi"/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B0C2E5" w14:textId="77777777" w:rsidR="00F35BAF" w:rsidRPr="004C5793" w:rsidRDefault="004144E0" w:rsidP="00C97039">
            <w:pPr>
              <w:spacing w:before="240"/>
              <w:rPr>
                <w:rFonts w:asciiTheme="majorBidi" w:hAnsiTheme="majorBidi" w:cstheme="majorBidi"/>
              </w:rPr>
            </w:pPr>
            <w:proofErr w:type="spellStart"/>
            <w:r w:rsidRPr="004C5793">
              <w:rPr>
                <w:rFonts w:asciiTheme="majorBidi" w:hAnsiTheme="majorBidi" w:cstheme="majorBidi"/>
              </w:rPr>
              <w:t>Distr</w:t>
            </w:r>
            <w:proofErr w:type="spellEnd"/>
            <w:r w:rsidRPr="004C5793">
              <w:rPr>
                <w:rFonts w:asciiTheme="majorBidi" w:hAnsiTheme="majorBidi" w:cstheme="majorBidi"/>
              </w:rPr>
              <w:t xml:space="preserve">. </w:t>
            </w:r>
            <w:r w:rsidR="00C9308E" w:rsidRPr="004C5793">
              <w:rPr>
                <w:rFonts w:asciiTheme="majorBidi" w:hAnsiTheme="majorBidi" w:cstheme="majorBidi"/>
              </w:rPr>
              <w:t>général</w:t>
            </w:r>
            <w:r w:rsidR="00BB0B16" w:rsidRPr="004C5793">
              <w:rPr>
                <w:rFonts w:asciiTheme="majorBidi" w:hAnsiTheme="majorBidi" w:cstheme="majorBidi"/>
              </w:rPr>
              <w:t>e</w:t>
            </w:r>
          </w:p>
          <w:p w14:paraId="7331887B" w14:textId="3181A049" w:rsidR="004144E0" w:rsidRPr="004C5793" w:rsidRDefault="00C00E69" w:rsidP="004144E0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622A92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875FC9" w:rsidRPr="004C5793">
              <w:rPr>
                <w:rFonts w:asciiTheme="majorBidi" w:hAnsiTheme="majorBidi" w:cstheme="majorBidi"/>
              </w:rPr>
              <w:t>novembre</w:t>
            </w:r>
            <w:r w:rsidR="004144E0" w:rsidRPr="004C5793">
              <w:rPr>
                <w:rFonts w:asciiTheme="majorBidi" w:hAnsiTheme="majorBidi" w:cstheme="majorBidi"/>
              </w:rPr>
              <w:t xml:space="preserve"> </w:t>
            </w:r>
            <w:r w:rsidR="00D31EFF" w:rsidRPr="004C5793">
              <w:rPr>
                <w:rFonts w:asciiTheme="majorBidi" w:hAnsiTheme="majorBidi" w:cstheme="majorBidi"/>
              </w:rPr>
              <w:t>20</w:t>
            </w:r>
            <w:r w:rsidR="00D31EFF">
              <w:rPr>
                <w:rFonts w:asciiTheme="majorBidi" w:hAnsiTheme="majorBidi" w:cstheme="majorBidi"/>
              </w:rPr>
              <w:t>21</w:t>
            </w:r>
          </w:p>
          <w:p w14:paraId="4E4DC6DA" w14:textId="77777777" w:rsidR="004144E0" w:rsidRPr="004C5793" w:rsidRDefault="004144E0" w:rsidP="004144E0">
            <w:pPr>
              <w:spacing w:line="240" w:lineRule="exact"/>
              <w:rPr>
                <w:rFonts w:asciiTheme="majorBidi" w:hAnsiTheme="majorBidi" w:cstheme="majorBidi"/>
              </w:rPr>
            </w:pPr>
            <w:r w:rsidRPr="004C5793">
              <w:rPr>
                <w:rFonts w:asciiTheme="majorBidi" w:hAnsiTheme="majorBidi" w:cstheme="majorBidi"/>
              </w:rPr>
              <w:t>Français</w:t>
            </w:r>
          </w:p>
          <w:p w14:paraId="18D26FE4" w14:textId="77777777" w:rsidR="004144E0" w:rsidRPr="004C5793" w:rsidRDefault="004144E0" w:rsidP="004144E0">
            <w:pPr>
              <w:spacing w:line="240" w:lineRule="exact"/>
              <w:rPr>
                <w:rFonts w:asciiTheme="majorBidi" w:hAnsiTheme="majorBidi" w:cstheme="majorBidi"/>
              </w:rPr>
            </w:pPr>
            <w:r w:rsidRPr="004C5793">
              <w:rPr>
                <w:rFonts w:asciiTheme="majorBidi" w:hAnsiTheme="majorBidi" w:cstheme="majorBidi"/>
              </w:rPr>
              <w:t>Original</w:t>
            </w:r>
            <w:r w:rsidR="0077351F" w:rsidRPr="004C5793">
              <w:rPr>
                <w:rFonts w:asciiTheme="majorBidi" w:hAnsiTheme="majorBidi" w:cstheme="majorBidi"/>
              </w:rPr>
              <w:t>:</w:t>
            </w:r>
            <w:r w:rsidRPr="004C5793">
              <w:rPr>
                <w:rFonts w:asciiTheme="majorBidi" w:hAnsiTheme="majorBidi" w:cstheme="majorBidi"/>
              </w:rPr>
              <w:t xml:space="preserve"> anglais</w:t>
            </w:r>
            <w:r w:rsidR="00C9308E" w:rsidRPr="004C5793">
              <w:rPr>
                <w:rFonts w:asciiTheme="majorBidi" w:hAnsiTheme="majorBidi" w:cstheme="majorBidi"/>
              </w:rPr>
              <w:t xml:space="preserve"> et français</w:t>
            </w:r>
          </w:p>
        </w:tc>
      </w:tr>
    </w:tbl>
    <w:p w14:paraId="1B282489" w14:textId="77777777" w:rsidR="001A0E75" w:rsidRPr="004C5793" w:rsidRDefault="001A0E75" w:rsidP="001A0E75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4C5793">
        <w:rPr>
          <w:rFonts w:asciiTheme="majorBidi" w:hAnsiTheme="majorBidi" w:cstheme="majorBidi"/>
          <w:b/>
          <w:sz w:val="28"/>
          <w:szCs w:val="28"/>
        </w:rPr>
        <w:t>Commission économique pour l’Europe</w:t>
      </w:r>
    </w:p>
    <w:p w14:paraId="6E0E5A42" w14:textId="77777777" w:rsidR="001A0E75" w:rsidRPr="004C5793" w:rsidRDefault="001A0E75" w:rsidP="001A0E75">
      <w:pPr>
        <w:spacing w:before="120"/>
        <w:rPr>
          <w:rFonts w:asciiTheme="majorBidi" w:hAnsiTheme="majorBidi" w:cstheme="majorBidi"/>
          <w:b/>
        </w:rPr>
      </w:pPr>
      <w:r w:rsidRPr="004C5793">
        <w:rPr>
          <w:rFonts w:asciiTheme="majorBidi" w:hAnsiTheme="majorBidi" w:cstheme="majorBidi"/>
          <w:b/>
        </w:rPr>
        <w:t xml:space="preserve">Comité d'administration de l’Accord européen </w:t>
      </w:r>
      <w:r w:rsidRPr="004C5793">
        <w:rPr>
          <w:rFonts w:asciiTheme="majorBidi" w:hAnsiTheme="majorBidi" w:cstheme="majorBidi"/>
          <w:b/>
        </w:rPr>
        <w:br/>
        <w:t>relatif au transport international</w:t>
      </w:r>
      <w:r w:rsidRPr="004C5793">
        <w:rPr>
          <w:rFonts w:asciiTheme="majorBidi" w:hAnsiTheme="majorBidi" w:cstheme="majorBidi"/>
          <w:b/>
        </w:rPr>
        <w:br/>
        <w:t xml:space="preserve">des marchandises </w:t>
      </w:r>
      <w:r w:rsidRPr="004C5793">
        <w:rPr>
          <w:rFonts w:asciiTheme="majorBidi" w:hAnsiTheme="majorBidi" w:cstheme="majorBidi"/>
          <w:b/>
          <w:bCs/>
          <w:iCs/>
        </w:rPr>
        <w:t xml:space="preserve">dangereuses par voies de </w:t>
      </w:r>
      <w:r w:rsidRPr="004C5793">
        <w:rPr>
          <w:rFonts w:asciiTheme="majorBidi" w:hAnsiTheme="majorBidi" w:cstheme="majorBidi"/>
          <w:b/>
          <w:bCs/>
          <w:iCs/>
        </w:rPr>
        <w:br/>
        <w:t>navigation intérieures (ADN)</w:t>
      </w:r>
    </w:p>
    <w:p w14:paraId="37A9828C" w14:textId="3968C34B" w:rsidR="007F2FE0" w:rsidRPr="004C5793" w:rsidRDefault="007F2FE0" w:rsidP="007F2FE0">
      <w:pPr>
        <w:spacing w:before="120"/>
        <w:rPr>
          <w:rFonts w:asciiTheme="majorBidi" w:hAnsiTheme="majorBidi" w:cstheme="majorBidi"/>
          <w:b/>
          <w:bCs/>
        </w:rPr>
      </w:pPr>
      <w:r w:rsidRPr="004C5793">
        <w:rPr>
          <w:rFonts w:asciiTheme="majorBidi" w:hAnsiTheme="majorBidi" w:cstheme="majorBidi"/>
          <w:b/>
          <w:bCs/>
          <w:lang w:val="fr-FR"/>
        </w:rPr>
        <w:t>Vingt-</w:t>
      </w:r>
      <w:r w:rsidR="00891E27">
        <w:rPr>
          <w:rFonts w:asciiTheme="majorBidi" w:hAnsiTheme="majorBidi" w:cstheme="majorBidi"/>
          <w:b/>
          <w:bCs/>
          <w:lang w:val="fr-FR"/>
        </w:rPr>
        <w:t>septi</w:t>
      </w:r>
      <w:r w:rsidR="00891E27" w:rsidRPr="004C5793">
        <w:rPr>
          <w:rFonts w:asciiTheme="majorBidi" w:hAnsiTheme="majorBidi" w:cstheme="majorBidi"/>
          <w:b/>
          <w:bCs/>
          <w:lang w:val="fr-FR"/>
        </w:rPr>
        <w:t xml:space="preserve">ème </w:t>
      </w:r>
      <w:r w:rsidRPr="004C5793">
        <w:rPr>
          <w:rFonts w:asciiTheme="majorBidi" w:hAnsiTheme="majorBidi" w:cstheme="majorBidi"/>
          <w:b/>
          <w:bCs/>
        </w:rPr>
        <w:t>session</w:t>
      </w:r>
    </w:p>
    <w:p w14:paraId="7D021656" w14:textId="2E4D1A97" w:rsidR="001A0E75" w:rsidRPr="004C5793" w:rsidRDefault="007F2FE0" w:rsidP="001A0E75">
      <w:pPr>
        <w:rPr>
          <w:rFonts w:asciiTheme="majorBidi" w:hAnsiTheme="majorBidi" w:cstheme="majorBidi"/>
        </w:rPr>
      </w:pPr>
      <w:r w:rsidRPr="004C5793">
        <w:rPr>
          <w:rFonts w:asciiTheme="majorBidi" w:hAnsiTheme="majorBidi" w:cstheme="majorBidi"/>
        </w:rPr>
        <w:t xml:space="preserve">Genève, </w:t>
      </w:r>
      <w:r w:rsidR="00891E27">
        <w:rPr>
          <w:rFonts w:asciiTheme="majorBidi" w:hAnsiTheme="majorBidi" w:cstheme="majorBidi"/>
        </w:rPr>
        <w:t>28</w:t>
      </w:r>
      <w:r w:rsidR="00891E27" w:rsidRPr="004C5793">
        <w:rPr>
          <w:rFonts w:asciiTheme="majorBidi" w:hAnsiTheme="majorBidi" w:cstheme="majorBidi"/>
        </w:rPr>
        <w:t xml:space="preserve"> </w:t>
      </w:r>
      <w:r w:rsidRPr="004C5793">
        <w:rPr>
          <w:rFonts w:asciiTheme="majorBidi" w:hAnsiTheme="majorBidi" w:cstheme="majorBidi"/>
        </w:rPr>
        <w:t xml:space="preserve">janvier </w:t>
      </w:r>
      <w:r w:rsidR="00891E27" w:rsidRPr="004C5793">
        <w:rPr>
          <w:rFonts w:asciiTheme="majorBidi" w:hAnsiTheme="majorBidi" w:cstheme="majorBidi"/>
        </w:rPr>
        <w:t>20</w:t>
      </w:r>
      <w:r w:rsidR="00891E27">
        <w:rPr>
          <w:rFonts w:asciiTheme="majorBidi" w:hAnsiTheme="majorBidi" w:cstheme="majorBidi"/>
        </w:rPr>
        <w:t>2</w:t>
      </w:r>
      <w:r w:rsidR="00013E92">
        <w:rPr>
          <w:rFonts w:asciiTheme="majorBidi" w:hAnsiTheme="majorBidi" w:cstheme="majorBidi"/>
        </w:rPr>
        <w:t>2</w:t>
      </w:r>
      <w:r w:rsidR="001A0E75" w:rsidRPr="004C5793">
        <w:rPr>
          <w:rFonts w:asciiTheme="majorBidi" w:hAnsiTheme="majorBidi" w:cstheme="majorBidi"/>
        </w:rPr>
        <w:br/>
        <w:t>Point 5 de l'ordre du jour provisoire</w:t>
      </w:r>
    </w:p>
    <w:p w14:paraId="541FED82" w14:textId="77777777" w:rsidR="001A0E75" w:rsidRPr="004C5793" w:rsidRDefault="001A0E75" w:rsidP="001A0E75">
      <w:pPr>
        <w:pStyle w:val="SingleTxtG"/>
        <w:ind w:left="0"/>
        <w:rPr>
          <w:rFonts w:asciiTheme="majorBidi" w:hAnsiTheme="majorBidi" w:cstheme="majorBidi"/>
          <w:b/>
        </w:rPr>
      </w:pPr>
      <w:r w:rsidRPr="004C5793">
        <w:rPr>
          <w:rFonts w:asciiTheme="majorBidi" w:hAnsiTheme="majorBidi" w:cstheme="majorBidi"/>
          <w:b/>
        </w:rPr>
        <w:t>Travaux du Comité de sécurité</w:t>
      </w:r>
    </w:p>
    <w:p w14:paraId="67E76F43" w14:textId="6D7D4E26" w:rsidR="00AA3826" w:rsidRPr="004C5793" w:rsidRDefault="00AA3826" w:rsidP="00AA3826">
      <w:pPr>
        <w:pStyle w:val="HChG"/>
        <w:rPr>
          <w:rFonts w:asciiTheme="majorBidi" w:hAnsiTheme="majorBidi" w:cstheme="majorBidi"/>
        </w:rPr>
      </w:pPr>
      <w:r w:rsidRPr="004C5793">
        <w:rPr>
          <w:rFonts w:asciiTheme="majorBidi" w:hAnsiTheme="majorBidi" w:cstheme="majorBidi"/>
        </w:rPr>
        <w:tab/>
      </w:r>
      <w:r w:rsidRPr="004C5793">
        <w:rPr>
          <w:rFonts w:asciiTheme="majorBidi" w:hAnsiTheme="majorBidi" w:cstheme="majorBidi"/>
        </w:rPr>
        <w:tab/>
        <w:t>Pro</w:t>
      </w:r>
      <w:r w:rsidR="00BB0B16" w:rsidRPr="004C5793">
        <w:rPr>
          <w:rFonts w:asciiTheme="majorBidi" w:hAnsiTheme="majorBidi" w:cstheme="majorBidi"/>
        </w:rPr>
        <w:t>jet</w:t>
      </w:r>
      <w:r w:rsidRPr="004C5793">
        <w:rPr>
          <w:rFonts w:asciiTheme="majorBidi" w:hAnsiTheme="majorBidi" w:cstheme="majorBidi"/>
        </w:rPr>
        <w:t xml:space="preserve"> d’amendements au Règlement annexé à l’ADN pour </w:t>
      </w:r>
      <w:proofErr w:type="spellStart"/>
      <w:r w:rsidRPr="004C5793">
        <w:rPr>
          <w:rFonts w:asciiTheme="majorBidi" w:hAnsiTheme="majorBidi" w:cstheme="majorBidi"/>
        </w:rPr>
        <w:t>entrée</w:t>
      </w:r>
      <w:proofErr w:type="spellEnd"/>
      <w:r w:rsidRPr="004C5793">
        <w:rPr>
          <w:rFonts w:asciiTheme="majorBidi" w:hAnsiTheme="majorBidi" w:cstheme="majorBidi"/>
        </w:rPr>
        <w:t xml:space="preserve"> en vigueur le 1</w:t>
      </w:r>
      <w:r w:rsidRPr="004C5793">
        <w:rPr>
          <w:rFonts w:asciiTheme="majorBidi" w:hAnsiTheme="majorBidi" w:cstheme="majorBidi"/>
          <w:vertAlign w:val="superscript"/>
        </w:rPr>
        <w:t>er</w:t>
      </w:r>
      <w:r w:rsidR="00701043" w:rsidRPr="004C5793">
        <w:rPr>
          <w:rFonts w:asciiTheme="majorBidi" w:hAnsiTheme="majorBidi" w:cstheme="majorBidi"/>
        </w:rPr>
        <w:t> </w:t>
      </w:r>
      <w:r w:rsidRPr="004C5793">
        <w:rPr>
          <w:rFonts w:asciiTheme="majorBidi" w:hAnsiTheme="majorBidi" w:cstheme="majorBidi"/>
        </w:rPr>
        <w:t xml:space="preserve">janvier </w:t>
      </w:r>
      <w:r w:rsidR="0032099B" w:rsidRPr="004C5793">
        <w:rPr>
          <w:rFonts w:asciiTheme="majorBidi" w:hAnsiTheme="majorBidi" w:cstheme="majorBidi"/>
        </w:rPr>
        <w:t>20</w:t>
      </w:r>
      <w:r w:rsidR="0032099B">
        <w:rPr>
          <w:rFonts w:asciiTheme="majorBidi" w:hAnsiTheme="majorBidi" w:cstheme="majorBidi"/>
        </w:rPr>
        <w:t>23</w:t>
      </w:r>
    </w:p>
    <w:p w14:paraId="34A451C8" w14:textId="77777777" w:rsidR="001A0E75" w:rsidRPr="004C5793" w:rsidRDefault="001A0E75" w:rsidP="001A0E75">
      <w:pPr>
        <w:pStyle w:val="H1G"/>
        <w:rPr>
          <w:rFonts w:asciiTheme="majorBidi" w:hAnsiTheme="majorBidi" w:cstheme="majorBidi"/>
        </w:rPr>
      </w:pPr>
      <w:r w:rsidRPr="004C5793">
        <w:rPr>
          <w:rFonts w:asciiTheme="majorBidi" w:hAnsiTheme="majorBidi" w:cstheme="majorBidi"/>
        </w:rPr>
        <w:tab/>
      </w:r>
      <w:r w:rsidRPr="004C5793">
        <w:rPr>
          <w:rFonts w:asciiTheme="majorBidi" w:hAnsiTheme="majorBidi" w:cstheme="majorBidi"/>
        </w:rPr>
        <w:tab/>
        <w:t>Note du secrétariat</w:t>
      </w:r>
      <w:r w:rsidR="00875FC9" w:rsidRPr="004C5793">
        <w:rPr>
          <w:rStyle w:val="Appelnotedebasdep"/>
          <w:rFonts w:asciiTheme="majorBidi" w:hAnsiTheme="majorBidi" w:cstheme="majorBidi"/>
        </w:rPr>
        <w:footnoteReference w:customMarkFollows="1" w:id="2"/>
        <w:t>*</w:t>
      </w:r>
    </w:p>
    <w:p w14:paraId="1EE22379" w14:textId="20AF2FCE" w:rsidR="001A0E75" w:rsidRPr="004C5793" w:rsidRDefault="001A0E75" w:rsidP="001A0E75">
      <w:pPr>
        <w:spacing w:after="120"/>
        <w:ind w:left="1134" w:right="1134"/>
        <w:jc w:val="both"/>
        <w:rPr>
          <w:rFonts w:asciiTheme="majorBidi" w:hAnsiTheme="majorBidi" w:cstheme="majorBidi"/>
        </w:rPr>
      </w:pPr>
      <w:r w:rsidRPr="004C5793">
        <w:rPr>
          <w:rFonts w:asciiTheme="majorBidi" w:hAnsiTheme="majorBidi" w:cstheme="majorBidi"/>
        </w:rPr>
        <w:t>1.</w:t>
      </w:r>
      <w:r w:rsidRPr="004C5793">
        <w:rPr>
          <w:rFonts w:asciiTheme="majorBidi" w:hAnsiTheme="majorBidi" w:cstheme="majorBidi"/>
        </w:rPr>
        <w:tab/>
        <w:t xml:space="preserve">À sa </w:t>
      </w:r>
      <w:r w:rsidR="00463667" w:rsidRPr="004C5793">
        <w:rPr>
          <w:rFonts w:asciiTheme="majorBidi" w:hAnsiTheme="majorBidi" w:cstheme="majorBidi"/>
          <w:lang w:val="fr-FR"/>
        </w:rPr>
        <w:t>vingt-</w:t>
      </w:r>
      <w:r w:rsidR="006E482D">
        <w:rPr>
          <w:rFonts w:asciiTheme="majorBidi" w:hAnsiTheme="majorBidi" w:cstheme="majorBidi"/>
          <w:lang w:val="fr-FR"/>
        </w:rPr>
        <w:t>sixi</w:t>
      </w:r>
      <w:r w:rsidR="006E482D" w:rsidRPr="004C5793">
        <w:rPr>
          <w:rFonts w:asciiTheme="majorBidi" w:hAnsiTheme="majorBidi" w:cstheme="majorBidi"/>
          <w:lang w:val="fr-FR"/>
        </w:rPr>
        <w:t>ème</w:t>
      </w:r>
      <w:r w:rsidR="00D33F44" w:rsidRPr="004C5793">
        <w:rPr>
          <w:rFonts w:asciiTheme="majorBidi" w:hAnsiTheme="majorBidi" w:cstheme="majorBidi"/>
          <w:b/>
          <w:bCs/>
          <w:lang w:val="fr-FR"/>
        </w:rPr>
        <w:t xml:space="preserve"> </w:t>
      </w:r>
      <w:r w:rsidRPr="004C5793">
        <w:rPr>
          <w:rFonts w:asciiTheme="majorBidi" w:hAnsiTheme="majorBidi" w:cstheme="majorBidi"/>
        </w:rPr>
        <w:t xml:space="preserve">session, le Comité d'administration de l’ADN a prié le secrétariat de consolider dans un même document tous les projets d’amendements adoptés en </w:t>
      </w:r>
      <w:r w:rsidR="00767CAC" w:rsidRPr="004C5793">
        <w:rPr>
          <w:rFonts w:asciiTheme="majorBidi" w:hAnsiTheme="majorBidi" w:cstheme="majorBidi"/>
        </w:rPr>
        <w:t>20</w:t>
      </w:r>
      <w:r w:rsidR="00767CAC">
        <w:rPr>
          <w:rFonts w:asciiTheme="majorBidi" w:hAnsiTheme="majorBidi" w:cstheme="majorBidi"/>
        </w:rPr>
        <w:t>20</w:t>
      </w:r>
      <w:r w:rsidR="00767CAC" w:rsidRPr="004C5793">
        <w:rPr>
          <w:rFonts w:asciiTheme="majorBidi" w:hAnsiTheme="majorBidi" w:cstheme="majorBidi"/>
        </w:rPr>
        <w:t xml:space="preserve"> </w:t>
      </w:r>
      <w:r w:rsidRPr="004C5793">
        <w:rPr>
          <w:rFonts w:asciiTheme="majorBidi" w:hAnsiTheme="majorBidi" w:cstheme="majorBidi"/>
        </w:rPr>
        <w:t xml:space="preserve">et </w:t>
      </w:r>
      <w:r w:rsidR="00767CAC" w:rsidRPr="004C5793">
        <w:rPr>
          <w:rFonts w:asciiTheme="majorBidi" w:hAnsiTheme="majorBidi" w:cstheme="majorBidi"/>
        </w:rPr>
        <w:t>20</w:t>
      </w:r>
      <w:r w:rsidR="00767CAC">
        <w:rPr>
          <w:rFonts w:asciiTheme="majorBidi" w:hAnsiTheme="majorBidi" w:cstheme="majorBidi"/>
        </w:rPr>
        <w:t>21</w:t>
      </w:r>
      <w:r w:rsidR="00767CAC" w:rsidRPr="004C5793">
        <w:rPr>
          <w:rFonts w:asciiTheme="majorBidi" w:hAnsiTheme="majorBidi" w:cstheme="majorBidi"/>
        </w:rPr>
        <w:t xml:space="preserve"> </w:t>
      </w:r>
      <w:r w:rsidRPr="004C5793">
        <w:rPr>
          <w:rFonts w:asciiTheme="majorBidi" w:hAnsiTheme="majorBidi" w:cstheme="majorBidi"/>
        </w:rPr>
        <w:t>qui n’ont pas encore été entérinés par le Comité d’administration (voir ECE/ADN/</w:t>
      </w:r>
      <w:r w:rsidR="00767CAC" w:rsidRPr="004C5793">
        <w:rPr>
          <w:rFonts w:asciiTheme="majorBidi" w:hAnsiTheme="majorBidi" w:cstheme="majorBidi"/>
        </w:rPr>
        <w:t>5</w:t>
      </w:r>
      <w:r w:rsidR="00767CAC">
        <w:rPr>
          <w:rFonts w:asciiTheme="majorBidi" w:hAnsiTheme="majorBidi" w:cstheme="majorBidi"/>
        </w:rPr>
        <w:t>8</w:t>
      </w:r>
      <w:r w:rsidRPr="004C5793">
        <w:rPr>
          <w:rFonts w:asciiTheme="majorBidi" w:hAnsiTheme="majorBidi" w:cstheme="majorBidi"/>
        </w:rPr>
        <w:t>, par.</w:t>
      </w:r>
      <w:r w:rsidR="003C551D">
        <w:rPr>
          <w:rFonts w:asciiTheme="majorBidi" w:hAnsiTheme="majorBidi" w:cstheme="majorBidi"/>
        </w:rPr>
        <w:t> </w:t>
      </w:r>
      <w:r w:rsidR="008E361A">
        <w:rPr>
          <w:rFonts w:asciiTheme="majorBidi" w:hAnsiTheme="majorBidi" w:cstheme="majorBidi"/>
        </w:rPr>
        <w:t>14</w:t>
      </w:r>
      <w:r w:rsidRPr="004C5793">
        <w:rPr>
          <w:rFonts w:asciiTheme="majorBidi" w:hAnsiTheme="majorBidi" w:cstheme="majorBidi"/>
        </w:rPr>
        <w:t>).</w:t>
      </w:r>
    </w:p>
    <w:p w14:paraId="6477AD2D" w14:textId="6C5D2F4E" w:rsidR="001A0E75" w:rsidRPr="004C5793" w:rsidRDefault="001A0E75" w:rsidP="001A0E75">
      <w:pPr>
        <w:spacing w:after="120"/>
        <w:ind w:left="1134" w:right="1134"/>
        <w:jc w:val="both"/>
        <w:rPr>
          <w:rFonts w:asciiTheme="majorBidi" w:hAnsiTheme="majorBidi" w:cstheme="majorBidi"/>
        </w:rPr>
      </w:pPr>
      <w:r w:rsidRPr="004C5793">
        <w:rPr>
          <w:rFonts w:asciiTheme="majorBidi" w:hAnsiTheme="majorBidi" w:cstheme="majorBidi"/>
        </w:rPr>
        <w:t>2.</w:t>
      </w:r>
      <w:r w:rsidRPr="004C5793">
        <w:rPr>
          <w:rFonts w:asciiTheme="majorBidi" w:hAnsiTheme="majorBidi" w:cstheme="majorBidi"/>
        </w:rPr>
        <w:tab/>
        <w:t xml:space="preserve">Le présent document est une consolidation des projets d’amendements au Règlement annexé à l’ADN adoptés par le Comité de sécurité pour </w:t>
      </w:r>
      <w:proofErr w:type="spellStart"/>
      <w:r w:rsidRPr="004C5793">
        <w:rPr>
          <w:rFonts w:asciiTheme="majorBidi" w:hAnsiTheme="majorBidi" w:cstheme="majorBidi"/>
        </w:rPr>
        <w:t>entrée</w:t>
      </w:r>
      <w:proofErr w:type="spellEnd"/>
      <w:r w:rsidRPr="004C5793">
        <w:rPr>
          <w:rFonts w:asciiTheme="majorBidi" w:hAnsiTheme="majorBidi" w:cstheme="majorBidi"/>
        </w:rPr>
        <w:t xml:space="preserve"> en vigueur le </w:t>
      </w:r>
      <w:r w:rsidRPr="004C5793">
        <w:rPr>
          <w:rFonts w:asciiTheme="majorBidi" w:hAnsiTheme="majorBidi" w:cstheme="majorBidi"/>
        </w:rPr>
        <w:br/>
        <w:t xml:space="preserve">1 janvier </w:t>
      </w:r>
      <w:r w:rsidR="00767CAC" w:rsidRPr="004C5793">
        <w:rPr>
          <w:rFonts w:asciiTheme="majorBidi" w:hAnsiTheme="majorBidi" w:cstheme="majorBidi"/>
        </w:rPr>
        <w:t>202</w:t>
      </w:r>
      <w:r w:rsidR="00767CAC">
        <w:rPr>
          <w:rFonts w:asciiTheme="majorBidi" w:hAnsiTheme="majorBidi" w:cstheme="majorBidi"/>
        </w:rPr>
        <w:t>3</w:t>
      </w:r>
      <w:r w:rsidRPr="004C5793">
        <w:rPr>
          <w:rFonts w:asciiTheme="majorBidi" w:hAnsiTheme="majorBidi" w:cstheme="majorBidi"/>
        </w:rPr>
        <w:t>:</w:t>
      </w:r>
    </w:p>
    <w:p w14:paraId="5E3B777B" w14:textId="05DB50D0" w:rsidR="001A0E75" w:rsidRPr="00BB7CCC" w:rsidRDefault="001A0E75" w:rsidP="00572F10">
      <w:pPr>
        <w:pStyle w:val="SingleTxtG"/>
        <w:numPr>
          <w:ilvl w:val="0"/>
          <w:numId w:val="27"/>
        </w:numPr>
        <w:kinsoku/>
        <w:overflowPunct/>
        <w:autoSpaceDE/>
        <w:autoSpaceDN/>
        <w:adjustRightInd/>
        <w:snapToGrid/>
        <w:ind w:left="1134" w:firstLine="567"/>
        <w:rPr>
          <w:rFonts w:eastAsia="SimSun"/>
          <w:lang w:eastAsia="zh-CN"/>
        </w:rPr>
      </w:pPr>
      <w:r w:rsidRPr="00BB7CCC">
        <w:rPr>
          <w:rFonts w:eastAsia="SimSun"/>
          <w:lang w:eastAsia="zh-CN"/>
        </w:rPr>
        <w:t xml:space="preserve">à sa </w:t>
      </w:r>
      <w:r w:rsidR="003077BF" w:rsidRPr="00BB7CCC">
        <w:rPr>
          <w:rFonts w:eastAsia="SimSun"/>
          <w:lang w:eastAsia="zh-CN"/>
        </w:rPr>
        <w:t>trente-</w:t>
      </w:r>
      <w:r w:rsidR="00A365BA" w:rsidRPr="00BB7CCC">
        <w:rPr>
          <w:rFonts w:eastAsia="SimSun"/>
          <w:lang w:eastAsia="zh-CN"/>
        </w:rPr>
        <w:t xml:space="preserve">huitième </w:t>
      </w:r>
      <w:r w:rsidRPr="00BB7CCC">
        <w:rPr>
          <w:rFonts w:eastAsia="SimSun"/>
          <w:lang w:eastAsia="zh-CN"/>
        </w:rPr>
        <w:t>session (ECE/TRANS/WP.15/AC.2/</w:t>
      </w:r>
      <w:r w:rsidR="00A365BA" w:rsidRPr="00BB7CCC">
        <w:rPr>
          <w:rFonts w:eastAsia="SimSun"/>
          <w:lang w:eastAsia="zh-CN"/>
        </w:rPr>
        <w:t>78</w:t>
      </w:r>
      <w:r w:rsidRPr="00BB7CCC">
        <w:rPr>
          <w:rFonts w:eastAsia="SimSun"/>
          <w:lang w:eastAsia="zh-CN"/>
        </w:rPr>
        <w:t>, annexe I);</w:t>
      </w:r>
    </w:p>
    <w:p w14:paraId="2A63853F" w14:textId="2E743CC4" w:rsidR="001A0E75" w:rsidRPr="00F85647" w:rsidRDefault="001A0E75" w:rsidP="00052FDB">
      <w:pPr>
        <w:pStyle w:val="SingleTxtG"/>
        <w:numPr>
          <w:ilvl w:val="0"/>
          <w:numId w:val="27"/>
        </w:numPr>
        <w:kinsoku/>
        <w:overflowPunct/>
        <w:autoSpaceDE/>
        <w:autoSpaceDN/>
        <w:adjustRightInd/>
        <w:snapToGrid/>
        <w:ind w:left="1134" w:firstLine="567"/>
        <w:rPr>
          <w:rFonts w:asciiTheme="majorBidi" w:hAnsiTheme="majorBidi" w:cstheme="majorBidi"/>
          <w:bCs/>
        </w:rPr>
      </w:pPr>
      <w:r w:rsidRPr="00F85647">
        <w:rPr>
          <w:rFonts w:asciiTheme="majorBidi" w:hAnsiTheme="majorBidi" w:cstheme="majorBidi"/>
        </w:rPr>
        <w:t xml:space="preserve">à sa </w:t>
      </w:r>
      <w:r w:rsidR="003077BF" w:rsidRPr="00BB7CCC">
        <w:rPr>
          <w:rFonts w:eastAsia="SimSun"/>
          <w:lang w:eastAsia="zh-CN"/>
        </w:rPr>
        <w:t>trente</w:t>
      </w:r>
      <w:r w:rsidR="003077BF" w:rsidRPr="00F85647">
        <w:rPr>
          <w:rFonts w:asciiTheme="majorBidi" w:hAnsiTheme="majorBidi" w:cstheme="majorBidi"/>
          <w:bCs/>
        </w:rPr>
        <w:t>-</w:t>
      </w:r>
      <w:r w:rsidR="0014731D">
        <w:rPr>
          <w:rFonts w:asciiTheme="majorBidi" w:hAnsiTheme="majorBidi" w:cstheme="majorBidi"/>
          <w:bCs/>
        </w:rPr>
        <w:t>septi</w:t>
      </w:r>
      <w:r w:rsidR="0014731D" w:rsidRPr="00F85647">
        <w:rPr>
          <w:rFonts w:asciiTheme="majorBidi" w:hAnsiTheme="majorBidi" w:cstheme="majorBidi"/>
          <w:bCs/>
        </w:rPr>
        <w:t xml:space="preserve">ème </w:t>
      </w:r>
      <w:r w:rsidRPr="00F85647">
        <w:rPr>
          <w:rFonts w:asciiTheme="majorBidi" w:hAnsiTheme="majorBidi" w:cstheme="majorBidi"/>
          <w:bCs/>
        </w:rPr>
        <w:t>session (</w:t>
      </w:r>
      <w:bookmarkStart w:id="0" w:name="_Hlk24551281"/>
      <w:r w:rsidRPr="00F85647">
        <w:rPr>
          <w:rFonts w:asciiTheme="majorBidi" w:hAnsiTheme="majorBidi" w:cstheme="majorBidi"/>
          <w:bCs/>
        </w:rPr>
        <w:t>ECE/TRANS/WP.15/AC.2/</w:t>
      </w:r>
      <w:r w:rsidR="0014731D" w:rsidRPr="00F85647">
        <w:rPr>
          <w:rFonts w:asciiTheme="majorBidi" w:hAnsiTheme="majorBidi" w:cstheme="majorBidi"/>
          <w:bCs/>
        </w:rPr>
        <w:t>7</w:t>
      </w:r>
      <w:r w:rsidR="0014731D">
        <w:rPr>
          <w:rFonts w:asciiTheme="majorBidi" w:hAnsiTheme="majorBidi" w:cstheme="majorBidi"/>
          <w:bCs/>
        </w:rPr>
        <w:t>6</w:t>
      </w:r>
      <w:r w:rsidRPr="00F85647">
        <w:rPr>
          <w:rFonts w:asciiTheme="majorBidi" w:hAnsiTheme="majorBidi" w:cstheme="majorBidi"/>
          <w:bCs/>
        </w:rPr>
        <w:t>, annexe I</w:t>
      </w:r>
      <w:bookmarkEnd w:id="0"/>
      <w:r w:rsidR="00270B49" w:rsidRPr="00F85647">
        <w:rPr>
          <w:rFonts w:asciiTheme="majorBidi" w:hAnsiTheme="majorBidi" w:cstheme="majorBidi"/>
          <w:bCs/>
        </w:rPr>
        <w:t xml:space="preserve"> </w:t>
      </w:r>
      <w:r w:rsidRPr="00F85647">
        <w:rPr>
          <w:rFonts w:asciiTheme="majorBidi" w:hAnsiTheme="majorBidi" w:cstheme="majorBidi"/>
          <w:bCs/>
        </w:rPr>
        <w:t>);</w:t>
      </w:r>
    </w:p>
    <w:p w14:paraId="3D5E4292" w14:textId="77777777" w:rsidR="001A0E75" w:rsidRPr="004C5793" w:rsidRDefault="001A0E75" w:rsidP="001A0E75">
      <w:pPr>
        <w:spacing w:after="120"/>
        <w:ind w:left="1134" w:right="1134"/>
        <w:jc w:val="both"/>
        <w:rPr>
          <w:rFonts w:asciiTheme="majorBidi" w:hAnsiTheme="majorBidi" w:cstheme="majorBidi"/>
        </w:rPr>
      </w:pPr>
      <w:r w:rsidRPr="004C5793">
        <w:rPr>
          <w:rFonts w:asciiTheme="majorBidi" w:hAnsiTheme="majorBidi" w:cstheme="majorBidi"/>
        </w:rPr>
        <w:t>3.</w:t>
      </w:r>
      <w:r w:rsidRPr="004C5793">
        <w:rPr>
          <w:rFonts w:asciiTheme="majorBidi" w:hAnsiTheme="majorBidi" w:cstheme="majorBidi"/>
        </w:rPr>
        <w:tab/>
        <w:t>Chaque proposition d’amendement est suivie par une référence au document d’où provi</w:t>
      </w:r>
      <w:r w:rsidR="00880EBC" w:rsidRPr="004C5793">
        <w:rPr>
          <w:rFonts w:asciiTheme="majorBidi" w:hAnsiTheme="majorBidi" w:cstheme="majorBidi"/>
        </w:rPr>
        <w:t>ent la proposition d’amendement.</w:t>
      </w:r>
    </w:p>
    <w:p w14:paraId="642CB1E1" w14:textId="08C0622E" w:rsidR="001A0E75" w:rsidRPr="004C5793" w:rsidRDefault="001A0E75" w:rsidP="00C25BC5">
      <w:pPr>
        <w:spacing w:after="120"/>
        <w:ind w:left="1134" w:right="1134"/>
        <w:jc w:val="both"/>
        <w:rPr>
          <w:rFonts w:asciiTheme="majorBidi" w:hAnsiTheme="majorBidi" w:cstheme="majorBidi"/>
        </w:rPr>
      </w:pPr>
      <w:r w:rsidRPr="004C5793">
        <w:rPr>
          <w:rFonts w:asciiTheme="majorBidi" w:hAnsiTheme="majorBidi" w:cstheme="majorBidi"/>
        </w:rPr>
        <w:t>4.</w:t>
      </w:r>
      <w:r w:rsidRPr="004C5793">
        <w:rPr>
          <w:rFonts w:asciiTheme="majorBidi" w:hAnsiTheme="majorBidi" w:cstheme="majorBidi"/>
        </w:rPr>
        <w:tab/>
        <w:t xml:space="preserve">Il est prévu que le Comité de sécurité vérifie à sa </w:t>
      </w:r>
      <w:r w:rsidR="00880EBC" w:rsidRPr="004C5793">
        <w:rPr>
          <w:rFonts w:asciiTheme="majorBidi" w:hAnsiTheme="majorBidi" w:cstheme="majorBidi"/>
        </w:rPr>
        <w:t>trente-</w:t>
      </w:r>
      <w:r w:rsidR="00461F48">
        <w:rPr>
          <w:rFonts w:asciiTheme="majorBidi" w:hAnsiTheme="majorBidi" w:cstheme="majorBidi"/>
        </w:rPr>
        <w:t>neuv</w:t>
      </w:r>
      <w:r w:rsidR="00461F48" w:rsidRPr="004C5793">
        <w:rPr>
          <w:rFonts w:asciiTheme="majorBidi" w:hAnsiTheme="majorBidi" w:cstheme="majorBidi"/>
        </w:rPr>
        <w:t xml:space="preserve">ième </w:t>
      </w:r>
      <w:r w:rsidRPr="004C5793">
        <w:rPr>
          <w:rFonts w:asciiTheme="majorBidi" w:hAnsiTheme="majorBidi" w:cstheme="majorBidi"/>
        </w:rPr>
        <w:t>session les projets d’amendements qui sont toujours entre crochets</w:t>
      </w:r>
      <w:r w:rsidR="00C25BC5" w:rsidRPr="004C5793">
        <w:rPr>
          <w:rFonts w:asciiTheme="majorBidi" w:hAnsiTheme="majorBidi" w:cstheme="majorBidi"/>
        </w:rPr>
        <w:t>, le cas échéant</w:t>
      </w:r>
      <w:r w:rsidRPr="004C5793">
        <w:rPr>
          <w:rFonts w:asciiTheme="majorBidi" w:hAnsiTheme="majorBidi" w:cstheme="majorBidi"/>
        </w:rPr>
        <w:t xml:space="preserve"> et qu’il transmettra ses conclusions au Comité d’administration qui sera donc invité à entériner tous les amendements proposés.</w:t>
      </w:r>
    </w:p>
    <w:p w14:paraId="208DF083" w14:textId="65B1C862" w:rsidR="00D50293" w:rsidRPr="00A66193" w:rsidRDefault="00D50293" w:rsidP="00453C68">
      <w:pPr>
        <w:pStyle w:val="H23G"/>
        <w:pageBreakBefore/>
        <w:rPr>
          <w:lang w:val="fr-FR"/>
        </w:rPr>
      </w:pPr>
      <w:r w:rsidRPr="00A66193">
        <w:rPr>
          <w:lang w:val="fr-FR"/>
        </w:rPr>
        <w:lastRenderedPageBreak/>
        <w:tab/>
      </w:r>
      <w:r w:rsidRPr="00A66193">
        <w:rPr>
          <w:lang w:val="fr-FR"/>
        </w:rPr>
        <w:tab/>
        <w:t>Chapitre 1.6</w:t>
      </w:r>
    </w:p>
    <w:p w14:paraId="0050825F" w14:textId="77777777" w:rsidR="00D50293" w:rsidRPr="00E9099B" w:rsidRDefault="00D50293" w:rsidP="00D50293">
      <w:pPr>
        <w:pStyle w:val="SingleTxtG"/>
        <w:ind w:left="2268" w:hanging="1134"/>
        <w:rPr>
          <w:color w:val="000000"/>
          <w:lang w:val="fr-FR"/>
        </w:rPr>
      </w:pPr>
      <w:r>
        <w:rPr>
          <w:lang w:val="fr-FR"/>
        </w:rPr>
        <w:t>1.6.7.2.1.1</w:t>
      </w:r>
      <w:r>
        <w:rPr>
          <w:lang w:val="fr-FR"/>
        </w:rPr>
        <w:tab/>
        <w:t>Ajouter la nouvelle mesure transitoire suivante :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562"/>
        <w:gridCol w:w="3832"/>
      </w:tblGrid>
      <w:tr w:rsidR="00D50293" w:rsidRPr="00E9099B" w14:paraId="1DC46677" w14:textId="77777777" w:rsidTr="00F0081A">
        <w:tc>
          <w:tcPr>
            <w:tcW w:w="977" w:type="dxa"/>
            <w:shd w:val="clear" w:color="auto" w:fill="auto"/>
          </w:tcPr>
          <w:p w14:paraId="2BA63381" w14:textId="77777777" w:rsidR="00D50293" w:rsidRPr="007629AC" w:rsidRDefault="00D50293" w:rsidP="00F0081A">
            <w:pPr>
              <w:spacing w:before="60" w:after="60"/>
              <w:ind w:left="57" w:right="57"/>
              <w:jc w:val="both"/>
              <w:rPr>
                <w:bCs/>
                <w:color w:val="000000"/>
              </w:rPr>
            </w:pPr>
            <w:r>
              <w:rPr>
                <w:lang w:val="fr-FR"/>
              </w:rPr>
              <w:t>8.6.1.1</w:t>
            </w:r>
          </w:p>
        </w:tc>
        <w:tc>
          <w:tcPr>
            <w:tcW w:w="2562" w:type="dxa"/>
            <w:shd w:val="clear" w:color="auto" w:fill="auto"/>
          </w:tcPr>
          <w:p w14:paraId="2212B029" w14:textId="41162531" w:rsidR="00D50293" w:rsidRPr="00E9099B" w:rsidRDefault="00D50293" w:rsidP="00F0081A">
            <w:pPr>
              <w:spacing w:before="60" w:after="60"/>
              <w:ind w:left="57" w:right="57"/>
              <w:rPr>
                <w:bCs/>
                <w:color w:val="000000"/>
                <w:lang w:val="fr-FR"/>
              </w:rPr>
            </w:pPr>
            <w:r>
              <w:rPr>
                <w:lang w:val="fr-FR"/>
              </w:rPr>
              <w:t>Modification du certificat d’agrément</w:t>
            </w:r>
            <w:r w:rsidR="008A347C">
              <w:rPr>
                <w:lang w:val="fr-FR"/>
              </w:rPr>
              <w:t>,</w:t>
            </w:r>
            <w:r>
              <w:rPr>
                <w:lang w:val="fr-FR"/>
              </w:rPr>
              <w:t xml:space="preserve"> numéros 4 et 8</w:t>
            </w:r>
          </w:p>
        </w:tc>
        <w:tc>
          <w:tcPr>
            <w:tcW w:w="3832" w:type="dxa"/>
            <w:shd w:val="clear" w:color="auto" w:fill="auto"/>
          </w:tcPr>
          <w:p w14:paraId="41FCE405" w14:textId="77777777" w:rsidR="00D50293" w:rsidRPr="00E9099B" w:rsidRDefault="00D50293" w:rsidP="009024B4">
            <w:pPr>
              <w:spacing w:before="120" w:after="120"/>
              <w:ind w:left="57" w:right="57"/>
              <w:jc w:val="center"/>
              <w:rPr>
                <w:bCs/>
                <w:color w:val="000000"/>
                <w:lang w:val="fr-FR"/>
              </w:rPr>
            </w:pPr>
            <w:r>
              <w:rPr>
                <w:lang w:val="fr-FR"/>
              </w:rPr>
              <w:t>N.R.T. à partir du 1</w:t>
            </w:r>
            <w:r w:rsidRPr="005F4332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janvier 2023 </w:t>
            </w:r>
            <w:r>
              <w:rPr>
                <w:lang w:val="fr-FR"/>
              </w:rPr>
              <w:br/>
              <w:t xml:space="preserve">Renouvellement du certificat d’agrément après le 31 décembre 2022 </w:t>
            </w:r>
          </w:p>
        </w:tc>
      </w:tr>
    </w:tbl>
    <w:p w14:paraId="129BA41F" w14:textId="093AD338" w:rsidR="00D50293" w:rsidRPr="00E9099B" w:rsidRDefault="00D50293" w:rsidP="00D50293">
      <w:pPr>
        <w:pStyle w:val="SingleTxtG"/>
        <w:spacing w:before="240"/>
        <w:rPr>
          <w:lang w:val="fr-FR"/>
        </w:rPr>
      </w:pPr>
      <w:r w:rsidRPr="007F2FC3">
        <w:rPr>
          <w:i/>
          <w:iCs/>
          <w:lang w:val="fr-FR"/>
        </w:rPr>
        <w:t xml:space="preserve">(Document de référence: </w:t>
      </w:r>
      <w:r w:rsidRPr="007F2FC3">
        <w:rPr>
          <w:i/>
        </w:rPr>
        <w:t>ECE/TRANS/WP.15/AC.2/78)</w:t>
      </w:r>
    </w:p>
    <w:p w14:paraId="676A1C64" w14:textId="77777777" w:rsidR="00D63B71" w:rsidRPr="00F10460" w:rsidRDefault="00D63B71" w:rsidP="00D63B71">
      <w:pPr>
        <w:pStyle w:val="SingleTxtG"/>
        <w:rPr>
          <w:lang w:val="fr-FR"/>
        </w:rPr>
      </w:pPr>
      <w:r w:rsidRPr="00F10460">
        <w:rPr>
          <w:lang w:val="fr-FR"/>
        </w:rPr>
        <w:t>1.6.7.2.2.2</w:t>
      </w:r>
      <w:r w:rsidRPr="00F10460">
        <w:rPr>
          <w:lang w:val="fr-FR"/>
        </w:rPr>
        <w:tab/>
        <w:t>Ajouter deux nouvelles dispositions transitoires, libellées comme suit :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3223"/>
        <w:gridCol w:w="2396"/>
      </w:tblGrid>
      <w:tr w:rsidR="00D63B71" w:rsidRPr="005F2624" w14:paraId="77F0A880" w14:textId="77777777" w:rsidTr="00F0081A">
        <w:trPr>
          <w:trHeight w:val="200"/>
        </w:trPr>
        <w:tc>
          <w:tcPr>
            <w:tcW w:w="1752" w:type="dxa"/>
          </w:tcPr>
          <w:p w14:paraId="6CD017AB" w14:textId="77777777" w:rsidR="00D63B71" w:rsidRPr="005F2624" w:rsidRDefault="00D63B71" w:rsidP="009024B4">
            <w:pPr>
              <w:suppressAutoHyphens w:val="0"/>
              <w:kinsoku/>
              <w:overflowPunct/>
              <w:snapToGrid/>
              <w:spacing w:before="120" w:after="120"/>
              <w:ind w:left="57" w:right="57"/>
              <w:rPr>
                <w:rFonts w:eastAsia="SimSun"/>
                <w:lang w:eastAsia="zh-CN"/>
              </w:rPr>
            </w:pPr>
            <w:r w:rsidRPr="005F2624">
              <w:rPr>
                <w:rFonts w:eastAsia="SimSun"/>
                <w:lang w:val="fr-FR" w:eastAsia="zh-CN"/>
              </w:rPr>
              <w:t xml:space="preserve">1.6.7.5.1 d) </w:t>
            </w:r>
          </w:p>
        </w:tc>
        <w:tc>
          <w:tcPr>
            <w:tcW w:w="3223" w:type="dxa"/>
          </w:tcPr>
          <w:p w14:paraId="0628F82E" w14:textId="77777777" w:rsidR="00D63B71" w:rsidRPr="005F2624" w:rsidRDefault="00D63B71" w:rsidP="009024B4">
            <w:pPr>
              <w:suppressAutoHyphens w:val="0"/>
              <w:kinsoku/>
              <w:overflowPunct/>
              <w:snapToGrid/>
              <w:spacing w:before="120" w:after="120"/>
              <w:ind w:left="57" w:right="57"/>
              <w:rPr>
                <w:rFonts w:eastAsia="SimSun"/>
                <w:lang w:val="fr-FR" w:eastAsia="zh-CN"/>
              </w:rPr>
            </w:pPr>
            <w:r w:rsidRPr="005F2624">
              <w:rPr>
                <w:rFonts w:eastAsia="SimSun"/>
                <w:lang w:val="fr-FR" w:eastAsia="zh-CN"/>
              </w:rPr>
              <w:t xml:space="preserve">Mention des dispositions transitoires effectivement appliquées </w:t>
            </w:r>
          </w:p>
        </w:tc>
        <w:tc>
          <w:tcPr>
            <w:tcW w:w="2396" w:type="dxa"/>
          </w:tcPr>
          <w:p w14:paraId="6CC5B654" w14:textId="77777777" w:rsidR="00D63B71" w:rsidRPr="005F2624" w:rsidRDefault="00D63B71" w:rsidP="009024B4">
            <w:pPr>
              <w:suppressAutoHyphens w:val="0"/>
              <w:kinsoku/>
              <w:overflowPunct/>
              <w:snapToGrid/>
              <w:spacing w:before="120" w:after="120"/>
              <w:ind w:left="57" w:right="57"/>
              <w:rPr>
                <w:rFonts w:eastAsia="SimSun"/>
                <w:lang w:val="fr-FR" w:eastAsia="zh-CN"/>
              </w:rPr>
            </w:pPr>
            <w:r w:rsidRPr="005F2624">
              <w:rPr>
                <w:rFonts w:eastAsia="SimSun"/>
                <w:lang w:val="fr-FR" w:eastAsia="zh-CN"/>
              </w:rPr>
              <w:t>Renouvellement du certificat d’agrément après le 31</w:t>
            </w:r>
            <w:r>
              <w:rPr>
                <w:rFonts w:eastAsia="SimSun"/>
                <w:lang w:val="fr-FR" w:eastAsia="zh-CN"/>
              </w:rPr>
              <w:t> </w:t>
            </w:r>
            <w:r w:rsidRPr="005F2624">
              <w:rPr>
                <w:rFonts w:eastAsia="SimSun"/>
                <w:lang w:val="fr-FR" w:eastAsia="zh-CN"/>
              </w:rPr>
              <w:t xml:space="preserve">décembre 2022 </w:t>
            </w:r>
          </w:p>
        </w:tc>
      </w:tr>
      <w:tr w:rsidR="00D63B71" w:rsidRPr="005F2624" w14:paraId="4D6B29CF" w14:textId="77777777" w:rsidTr="00F0081A">
        <w:trPr>
          <w:trHeight w:val="531"/>
        </w:trPr>
        <w:tc>
          <w:tcPr>
            <w:tcW w:w="1752" w:type="dxa"/>
          </w:tcPr>
          <w:p w14:paraId="667D3D98" w14:textId="77777777" w:rsidR="00D63B71" w:rsidRPr="005F2624" w:rsidRDefault="00D63B71" w:rsidP="009024B4">
            <w:pPr>
              <w:suppressAutoHyphens w:val="0"/>
              <w:kinsoku/>
              <w:overflowPunct/>
              <w:snapToGrid/>
              <w:spacing w:before="120" w:after="120"/>
              <w:ind w:left="57" w:right="57"/>
              <w:rPr>
                <w:rFonts w:eastAsia="SimSun"/>
                <w:lang w:eastAsia="zh-CN"/>
              </w:rPr>
            </w:pPr>
            <w:r w:rsidRPr="005F2624">
              <w:rPr>
                <w:rFonts w:eastAsia="SimSun"/>
                <w:lang w:val="fr-FR" w:eastAsia="zh-CN"/>
              </w:rPr>
              <w:t xml:space="preserve">1.16.1.4.2 e) </w:t>
            </w:r>
          </w:p>
        </w:tc>
        <w:tc>
          <w:tcPr>
            <w:tcW w:w="3223" w:type="dxa"/>
          </w:tcPr>
          <w:p w14:paraId="6DB0DD3D" w14:textId="77777777" w:rsidR="00D63B71" w:rsidRPr="005F2624" w:rsidRDefault="00D63B71" w:rsidP="009024B4">
            <w:pPr>
              <w:suppressAutoHyphens w:val="0"/>
              <w:kinsoku/>
              <w:overflowPunct/>
              <w:snapToGrid/>
              <w:spacing w:before="120" w:after="120"/>
              <w:ind w:left="57" w:right="57"/>
              <w:rPr>
                <w:rFonts w:eastAsia="SimSun"/>
                <w:lang w:val="fr-FR" w:eastAsia="zh-CN"/>
              </w:rPr>
            </w:pPr>
            <w:r w:rsidRPr="005F2624">
              <w:rPr>
                <w:rFonts w:eastAsia="SimSun"/>
                <w:lang w:val="fr-FR" w:eastAsia="zh-CN"/>
              </w:rPr>
              <w:t xml:space="preserve">Date d’applicabilité des dispositions transitoires dans l’annexe au certificat d’agrément en cas de transformation </w:t>
            </w:r>
          </w:p>
        </w:tc>
        <w:tc>
          <w:tcPr>
            <w:tcW w:w="2396" w:type="dxa"/>
          </w:tcPr>
          <w:p w14:paraId="35245204" w14:textId="77777777" w:rsidR="00D63B71" w:rsidRPr="005F2624" w:rsidRDefault="00D63B71" w:rsidP="009024B4">
            <w:pPr>
              <w:suppressAutoHyphens w:val="0"/>
              <w:kinsoku/>
              <w:overflowPunct/>
              <w:snapToGrid/>
              <w:spacing w:before="120" w:after="120"/>
              <w:ind w:left="57" w:right="57"/>
              <w:rPr>
                <w:rFonts w:eastAsia="SimSun"/>
                <w:lang w:val="fr-FR" w:eastAsia="zh-CN"/>
              </w:rPr>
            </w:pPr>
            <w:r w:rsidRPr="005F2624">
              <w:rPr>
                <w:rFonts w:eastAsia="SimSun"/>
                <w:lang w:val="fr-FR" w:eastAsia="zh-CN"/>
              </w:rPr>
              <w:t>Renouvellement du certificat d’agrément après le 31</w:t>
            </w:r>
            <w:r>
              <w:rPr>
                <w:rFonts w:eastAsia="SimSun"/>
                <w:lang w:val="fr-FR" w:eastAsia="zh-CN"/>
              </w:rPr>
              <w:t> </w:t>
            </w:r>
            <w:r w:rsidRPr="005F2624">
              <w:rPr>
                <w:rFonts w:eastAsia="SimSun"/>
                <w:lang w:val="fr-FR" w:eastAsia="zh-CN"/>
              </w:rPr>
              <w:t xml:space="preserve">décembre 2022 </w:t>
            </w:r>
          </w:p>
        </w:tc>
      </w:tr>
    </w:tbl>
    <w:p w14:paraId="232FD98B" w14:textId="77777777" w:rsidR="00D63B71" w:rsidRPr="00F10460" w:rsidRDefault="00D63B71" w:rsidP="00D63B71">
      <w:pPr>
        <w:pStyle w:val="SingleTxtG"/>
        <w:spacing w:before="240"/>
        <w:rPr>
          <w:rFonts w:eastAsia="Calibri"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77F3F846" w14:textId="7B48C387" w:rsidR="00D50293" w:rsidRPr="00A66193" w:rsidRDefault="00D50293" w:rsidP="00D50293">
      <w:pPr>
        <w:pStyle w:val="SingleTxtG"/>
        <w:ind w:left="2268" w:hanging="1134"/>
        <w:rPr>
          <w:lang w:val="fr-FR"/>
        </w:rPr>
      </w:pPr>
      <w:r w:rsidRPr="001E3969">
        <w:rPr>
          <w:lang w:val="fr-FR"/>
        </w:rPr>
        <w:t>1.6.7.2.2.2</w:t>
      </w:r>
      <w:r w:rsidRPr="001E3969">
        <w:rPr>
          <w:lang w:val="fr-FR"/>
        </w:rPr>
        <w:tab/>
        <w:t xml:space="preserve">Renuméroter la disposition transitoire pour les 9.3.1.0.3 d), 9.3.2.0.3 d) et 9.3.3.0.3 d) « Matériaux des logements et de la timonerie difficilement inflammables » </w:t>
      </w:r>
      <w:r w:rsidRPr="008D4C83">
        <w:rPr>
          <w:lang w:val="fr-FR"/>
        </w:rPr>
        <w:t>en tant que</w:t>
      </w:r>
      <w:r w:rsidRPr="001E3969">
        <w:rPr>
          <w:lang w:val="fr-FR"/>
        </w:rPr>
        <w:t xml:space="preserve"> 9.3.1.0.6, 9.3.2.0.6 et 9.3.3.0.6.</w:t>
      </w:r>
    </w:p>
    <w:p w14:paraId="65888C6A" w14:textId="6D1D448F" w:rsidR="00D50293" w:rsidRDefault="00D50293" w:rsidP="00D50293">
      <w:pPr>
        <w:pStyle w:val="SingleTxtG"/>
        <w:ind w:left="2268" w:hanging="1134"/>
        <w:rPr>
          <w:i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09E13411" w14:textId="77777777" w:rsidR="00BF0D24" w:rsidRPr="00F10460" w:rsidRDefault="00BF0D24" w:rsidP="00BF0D24">
      <w:pPr>
        <w:pStyle w:val="SingleTxtG"/>
        <w:keepNext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1.6.7.5.1 d)</w:t>
      </w:r>
      <w:r w:rsidRPr="00F10460">
        <w:rPr>
          <w:rFonts w:eastAsia="Calibri"/>
          <w:lang w:val="fr-FR"/>
        </w:rPr>
        <w:tab/>
        <w:t>Modifier le début pour lire comme suit :</w:t>
      </w:r>
    </w:p>
    <w:p w14:paraId="1F971B43" w14:textId="77777777" w:rsidR="00BF0D24" w:rsidRPr="00F10460" w:rsidRDefault="00BF0D24" w:rsidP="00BF0D24">
      <w:pPr>
        <w:pStyle w:val="SingleTxtG"/>
        <w:rPr>
          <w:lang w:val="fr-FR"/>
        </w:rPr>
      </w:pPr>
      <w:r w:rsidRPr="00F10460">
        <w:rPr>
          <w:lang w:val="fr-FR"/>
        </w:rPr>
        <w:t>« L</w:t>
      </w:r>
      <w:r>
        <w:rPr>
          <w:lang w:val="fr-FR"/>
        </w:rPr>
        <w:t>’</w:t>
      </w:r>
      <w:r w:rsidRPr="00F10460">
        <w:rPr>
          <w:lang w:val="fr-FR"/>
        </w:rPr>
        <w:t>application de la présente sous-section, y compris les dispositions transitoires effectivement appliquées, doit être consignée... ». Le reste demeure inchangé.</w:t>
      </w:r>
    </w:p>
    <w:p w14:paraId="16DC06F5" w14:textId="02FD9DD4" w:rsidR="00617EBD" w:rsidRPr="00A66193" w:rsidRDefault="00BF0D24" w:rsidP="00BF0D24">
      <w:pPr>
        <w:pStyle w:val="SingleTxtG"/>
        <w:ind w:left="2268" w:hanging="1134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427FA96E" w14:textId="77777777" w:rsidR="00D50293" w:rsidRPr="00A66193" w:rsidRDefault="00D50293" w:rsidP="00D50293">
      <w:pPr>
        <w:pStyle w:val="SingleTxtG"/>
        <w:ind w:left="2268" w:hanging="1134"/>
        <w:rPr>
          <w:lang w:val="fr-FR"/>
        </w:rPr>
      </w:pPr>
      <w:r w:rsidRPr="00A66193">
        <w:rPr>
          <w:lang w:val="fr-FR"/>
        </w:rPr>
        <w:t>1.6.8.1</w:t>
      </w:r>
      <w:r w:rsidRPr="00A66193">
        <w:rPr>
          <w:lang w:val="fr-FR"/>
        </w:rPr>
        <w:tab/>
        <w:t>Supprimer et remplacer par «</w:t>
      </w:r>
      <w:r>
        <w:rPr>
          <w:lang w:val="fr-FR"/>
        </w:rPr>
        <w:t> </w:t>
      </w:r>
      <w:r w:rsidRPr="00A66193">
        <w:rPr>
          <w:lang w:val="fr-FR"/>
        </w:rPr>
        <w:t>1.6.8.1</w:t>
      </w:r>
      <w:r w:rsidRPr="00A66193">
        <w:rPr>
          <w:lang w:val="fr-FR"/>
        </w:rPr>
        <w:tab/>
        <w:t>Supprimé</w:t>
      </w:r>
      <w:r>
        <w:rPr>
          <w:lang w:val="fr-FR"/>
        </w:rPr>
        <w:t> »</w:t>
      </w:r>
      <w:r w:rsidRPr="00A66193">
        <w:rPr>
          <w:lang w:val="fr-FR"/>
        </w:rPr>
        <w:t>.</w:t>
      </w:r>
    </w:p>
    <w:p w14:paraId="3693C285" w14:textId="7B7B88B2" w:rsidR="00D50293" w:rsidRDefault="00D50293" w:rsidP="00D50293">
      <w:pPr>
        <w:pStyle w:val="SingleTxtG"/>
        <w:ind w:left="2268" w:hanging="1134"/>
        <w:rPr>
          <w:i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68594FA8" w14:textId="721A8B83" w:rsidR="00815447" w:rsidRPr="00F10460" w:rsidRDefault="00815447" w:rsidP="00815447">
      <w:pPr>
        <w:pStyle w:val="H23G"/>
        <w:rPr>
          <w:i/>
          <w:iCs/>
          <w:lang w:val="fr-FR"/>
        </w:rPr>
      </w:pPr>
      <w:r w:rsidRPr="00F10460">
        <w:rPr>
          <w:lang w:val="fr-FR"/>
        </w:rPr>
        <w:tab/>
      </w:r>
      <w:r w:rsidRPr="00F10460">
        <w:rPr>
          <w:lang w:val="fr-FR"/>
        </w:rPr>
        <w:tab/>
        <w:t>Chapitre 1.16</w:t>
      </w:r>
    </w:p>
    <w:p w14:paraId="4551C5A2" w14:textId="77777777" w:rsidR="00815447" w:rsidRPr="00F10460" w:rsidRDefault="00815447" w:rsidP="00815447">
      <w:pPr>
        <w:pStyle w:val="SingleTxtG"/>
        <w:keepNext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1.16.1.4.2</w:t>
      </w:r>
      <w:r w:rsidRPr="00F10460">
        <w:rPr>
          <w:rFonts w:eastAsia="Calibri"/>
          <w:lang w:val="fr-FR"/>
        </w:rPr>
        <w:tab/>
        <w:t>Insérer un nouveau sous-paragraphe e), libellé comme suit :</w:t>
      </w:r>
    </w:p>
    <w:p w14:paraId="6D17BD61" w14:textId="77777777" w:rsidR="00815447" w:rsidRPr="00F10460" w:rsidRDefault="00815447" w:rsidP="00C55023">
      <w:pPr>
        <w:pStyle w:val="SingleTxtG"/>
        <w:keepNext/>
        <w:ind w:left="2835" w:hanging="567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« e)</w:t>
      </w:r>
      <w:r w:rsidRPr="00F10460">
        <w:rPr>
          <w:rFonts w:eastAsia="Calibri"/>
          <w:lang w:val="fr-FR"/>
        </w:rPr>
        <w:tab/>
        <w:t xml:space="preserve">Par </w:t>
      </w:r>
      <w:r w:rsidRPr="00BB7CCC">
        <w:rPr>
          <w:rFonts w:eastAsia="SimSun"/>
          <w:lang w:eastAsia="zh-CN"/>
        </w:rPr>
        <w:t>dérogation</w:t>
      </w:r>
      <w:r w:rsidRPr="00F10460">
        <w:rPr>
          <w:rFonts w:eastAsia="Calibri"/>
          <w:lang w:val="fr-FR"/>
        </w:rPr>
        <w:t xml:space="preserve"> aux dispositions des sous-paragraphes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a) à d), la date de présentation pour la première visite aux fins de la délivrance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un nouveau certificat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agrément après une modification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un type de bateau-citerne,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un type de citerne à cargaison ou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une conception de citerne à cargaison existants en un autre type ou conception plus élevé. ».</w:t>
      </w:r>
    </w:p>
    <w:p w14:paraId="42C910CC" w14:textId="77777777" w:rsidR="00815447" w:rsidRPr="00F10460" w:rsidRDefault="00815447" w:rsidP="00815447">
      <w:pPr>
        <w:pStyle w:val="SingleTxtG"/>
        <w:rPr>
          <w:rFonts w:eastAsia="Calibri"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5D9A2ED3" w14:textId="61B94C46" w:rsidR="00D50293" w:rsidRPr="007C77A4" w:rsidRDefault="00D50293" w:rsidP="00D5029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Chapitre 3.2, tableau A</w:t>
      </w:r>
    </w:p>
    <w:p w14:paraId="19B59809" w14:textId="77777777" w:rsidR="00A30117" w:rsidRPr="00F10460" w:rsidRDefault="00A30117" w:rsidP="00A30117">
      <w:pPr>
        <w:pStyle w:val="SingleTxtG"/>
        <w:rPr>
          <w:lang w:val="fr-FR"/>
        </w:rPr>
      </w:pPr>
      <w:r w:rsidRPr="00F10460">
        <w:rPr>
          <w:lang w:val="fr-FR"/>
        </w:rPr>
        <w:t>Pour le N</w:t>
      </w:r>
      <w:r w:rsidRPr="00D45B4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10460">
        <w:rPr>
          <w:lang w:val="fr-FR"/>
        </w:rPr>
        <w:t>ONU 1408, dans la colonne (6), insérer « 802 ».</w:t>
      </w:r>
    </w:p>
    <w:p w14:paraId="6696439F" w14:textId="77777777" w:rsidR="00A30117" w:rsidRPr="00F10460" w:rsidRDefault="00A30117" w:rsidP="00A30117">
      <w:pPr>
        <w:pStyle w:val="SingleTxtG"/>
        <w:rPr>
          <w:rFonts w:eastAsia="Calibri"/>
          <w:i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2DAD0700" w14:textId="77777777" w:rsidR="00A30117" w:rsidRPr="00F10460" w:rsidRDefault="00A30117" w:rsidP="00A30117">
      <w:pPr>
        <w:pStyle w:val="SingleTxtG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Pour le N</w:t>
      </w:r>
      <w:r w:rsidRPr="00D45B40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ONU 1694, dans la colonne (6), supprimer « 302 » et insérer « 802 ».</w:t>
      </w:r>
    </w:p>
    <w:p w14:paraId="61F2557A" w14:textId="77777777" w:rsidR="00A30117" w:rsidRPr="00F10460" w:rsidRDefault="00A30117" w:rsidP="00A30117">
      <w:pPr>
        <w:pStyle w:val="SingleTxtG"/>
        <w:rPr>
          <w:rFonts w:eastAsia="Calibri"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28C6184A" w14:textId="77777777" w:rsidR="00A30117" w:rsidRPr="00F10460" w:rsidRDefault="00A30117" w:rsidP="00A30117">
      <w:pPr>
        <w:pStyle w:val="SingleTxtG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Pour le N</w:t>
      </w:r>
      <w:r w:rsidRPr="00D45B40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ONU 1872 : dans la colonne (6), supprimer « 802 » ; dans la colonne (9), supprimer « EP ».</w:t>
      </w:r>
    </w:p>
    <w:p w14:paraId="2BC9F23C" w14:textId="77777777" w:rsidR="00A30117" w:rsidRPr="00F10460" w:rsidRDefault="00A30117" w:rsidP="00A30117">
      <w:pPr>
        <w:pStyle w:val="SingleTxtG"/>
        <w:rPr>
          <w:rFonts w:eastAsia="Calibri"/>
          <w:i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7D5EAC94" w14:textId="77777777" w:rsidR="00A30117" w:rsidRPr="00F10460" w:rsidRDefault="00A30117" w:rsidP="00A30117">
      <w:pPr>
        <w:pStyle w:val="SingleTxtG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lastRenderedPageBreak/>
        <w:t>Pour le N</w:t>
      </w:r>
      <w:r w:rsidRPr="00D45B40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ONU 1950, dans la colonne (10), insérer « VE04 ».</w:t>
      </w:r>
    </w:p>
    <w:p w14:paraId="5925C9A5" w14:textId="340FA03A" w:rsidR="00A30117" w:rsidRDefault="00A30117" w:rsidP="00A30117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7F032B91" w14:textId="1C288292" w:rsidR="00D50293" w:rsidRPr="007C77A4" w:rsidRDefault="00D50293" w:rsidP="00D50293">
      <w:pPr>
        <w:pStyle w:val="SingleTxtG"/>
        <w:rPr>
          <w:lang w:val="fr-FR"/>
        </w:rPr>
      </w:pPr>
      <w:r>
        <w:rPr>
          <w:lang w:val="fr-FR"/>
        </w:rPr>
        <w:t>Pour les Nos ONU 2381, 3483, 3543, 3544, 3545, 3546, 3547 et 3548, ajouter « 802 » dans la colonne (6).</w:t>
      </w:r>
    </w:p>
    <w:p w14:paraId="37AB4E7D" w14:textId="4CDB46B1" w:rsidR="00D50293" w:rsidRDefault="00D50293" w:rsidP="00D50293">
      <w:pPr>
        <w:pStyle w:val="SingleTxtG"/>
        <w:rPr>
          <w:i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1CB27CFF" w14:textId="77777777" w:rsidR="00057691" w:rsidRPr="00F10460" w:rsidRDefault="00057691" w:rsidP="00057691">
      <w:pPr>
        <w:pStyle w:val="SingleTxtG"/>
        <w:keepNext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Pour le N</w:t>
      </w:r>
      <w:r w:rsidRPr="00D45B40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ONU 3206, dans la colonne (6), supprimer « 183 » et insérer « 182 ».</w:t>
      </w:r>
    </w:p>
    <w:p w14:paraId="06720BFF" w14:textId="77777777" w:rsidR="00057691" w:rsidRPr="00F10460" w:rsidRDefault="00057691" w:rsidP="00057691">
      <w:pPr>
        <w:pStyle w:val="SingleTxtG"/>
        <w:rPr>
          <w:rFonts w:eastAsia="Calibri"/>
          <w:i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6042E271" w14:textId="77777777" w:rsidR="00057691" w:rsidRPr="00F10460" w:rsidRDefault="00057691" w:rsidP="00057691">
      <w:pPr>
        <w:pStyle w:val="SingleTxtG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Pour le N</w:t>
      </w:r>
      <w:r w:rsidRPr="00D45B40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ONU 3408, dans la colonne (6), insérer « 802 ».</w:t>
      </w:r>
    </w:p>
    <w:p w14:paraId="1333C97F" w14:textId="00F5FAB9" w:rsidR="005E3CD0" w:rsidRPr="007C77A4" w:rsidRDefault="00057691" w:rsidP="00057691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41EEF225" w14:textId="77777777" w:rsidR="00D50293" w:rsidRPr="007C77A4" w:rsidRDefault="00D50293" w:rsidP="00D50293">
      <w:pPr>
        <w:pStyle w:val="SingleTxtG"/>
        <w:rPr>
          <w:lang w:val="fr-FR"/>
        </w:rPr>
      </w:pPr>
      <w:r>
        <w:rPr>
          <w:lang w:val="fr-FR"/>
        </w:rPr>
        <w:t>Pour le No ONU 3440 (toutes les rubriques), ajouter « 563 » dans la colonne (6).</w:t>
      </w:r>
    </w:p>
    <w:p w14:paraId="06CC3C07" w14:textId="77777777" w:rsidR="00D50293" w:rsidRPr="007C77A4" w:rsidRDefault="00D50293" w:rsidP="00D50293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64279010" w14:textId="77777777" w:rsidR="00D50293" w:rsidRPr="007C77A4" w:rsidRDefault="00D50293" w:rsidP="00D50293">
      <w:pPr>
        <w:pStyle w:val="SingleTxtG"/>
        <w:rPr>
          <w:lang w:val="fr-FR"/>
        </w:rPr>
      </w:pPr>
      <w:r>
        <w:rPr>
          <w:lang w:val="fr-FR"/>
        </w:rPr>
        <w:t>Pour le No ONU 3494 (toutes les rubriques), supprimer « 649 » dans la colonne (6).</w:t>
      </w:r>
    </w:p>
    <w:p w14:paraId="5CCEA681" w14:textId="77777777" w:rsidR="00D50293" w:rsidRPr="007C77A4" w:rsidRDefault="00D50293" w:rsidP="00D50293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7ED683E4" w14:textId="77777777" w:rsidR="00D50293" w:rsidRPr="007C77A4" w:rsidRDefault="00D50293" w:rsidP="00D50293">
      <w:pPr>
        <w:pStyle w:val="SingleTxtG"/>
        <w:rPr>
          <w:lang w:val="fr-FR"/>
        </w:rPr>
      </w:pPr>
      <w:r>
        <w:rPr>
          <w:lang w:val="fr-FR"/>
        </w:rPr>
        <w:t>Pour les Nos ONU 3537, 3539, 3540, 3541 et 3542, supprimer « 649 » dans la colonne (6).</w:t>
      </w:r>
    </w:p>
    <w:p w14:paraId="068ECAA7" w14:textId="77777777" w:rsidR="00D50293" w:rsidRPr="007C77A4" w:rsidRDefault="00D50293" w:rsidP="00D50293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2F010FDB" w14:textId="4C4D6925" w:rsidR="00D50293" w:rsidRPr="007C77A4" w:rsidRDefault="00D50293" w:rsidP="00D50293">
      <w:pPr>
        <w:pStyle w:val="H23G"/>
        <w:rPr>
          <w:rStyle w:val="Accentuation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Chapitre 3.2, tableau C</w:t>
      </w:r>
    </w:p>
    <w:p w14:paraId="449AD3AE" w14:textId="77777777" w:rsidR="004320FE" w:rsidRPr="00F10460" w:rsidRDefault="004320FE" w:rsidP="004320FE">
      <w:pPr>
        <w:pStyle w:val="SingleTxtG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Pour le N</w:t>
      </w:r>
      <w:r w:rsidRPr="00D45B40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ONU 1010, BUTADIÈNE-1-2 STABILISÉ, RÉFRIGÉRÉ, modifier la colonne (2) pour lire comme suit : « BUTADIÈNES (BUTADIÈNE-1-2) STABILISÉS, RÉFRIGÉRÉS ».</w:t>
      </w:r>
    </w:p>
    <w:p w14:paraId="02B7A596" w14:textId="77777777" w:rsidR="004320FE" w:rsidRPr="00F10460" w:rsidRDefault="004320FE" w:rsidP="004320FE">
      <w:pPr>
        <w:pStyle w:val="SingleTxtG"/>
        <w:rPr>
          <w:rFonts w:eastAsia="Calibri"/>
          <w:i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5A582A22" w14:textId="77777777" w:rsidR="004320FE" w:rsidRPr="00F10460" w:rsidRDefault="004320FE" w:rsidP="004320FE">
      <w:pPr>
        <w:pStyle w:val="SingleTxtG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Pour le N</w:t>
      </w:r>
      <w:r w:rsidRPr="00D45B40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ONU 1010, BUTADIÈNE-1-3 STABILISÉ, RÉFRIGÉRÉ, modifier la colonne (2) pour lire comme suit : « BUTADIÈNES (BUTADIÈNE-1-3) STABILISÉS, RÉFRIGÉRÉS ».</w:t>
      </w:r>
    </w:p>
    <w:p w14:paraId="03552E81" w14:textId="77777777" w:rsidR="004320FE" w:rsidRPr="00F10460" w:rsidRDefault="004320FE" w:rsidP="004320FE">
      <w:pPr>
        <w:pStyle w:val="SingleTxtG"/>
        <w:rPr>
          <w:rFonts w:eastAsia="Calibri"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75E5AE4D" w14:textId="77777777" w:rsidR="004320FE" w:rsidRPr="00F10460" w:rsidRDefault="004320FE" w:rsidP="004320FE">
      <w:pPr>
        <w:pStyle w:val="SingleTxtG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Pour le N</w:t>
      </w:r>
      <w:r w:rsidRPr="00D45B40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F10460">
        <w:rPr>
          <w:rFonts w:eastAsia="Calibri"/>
          <w:lang w:val="fr-FR"/>
        </w:rPr>
        <w:t>ONU 1010, BUTADIÈNES STABILISÉS ou BUTADIÈNES ET HYDROCARBURES EN MÉLANGE STABILISÉ, qui, à 70 °C, ont une pression de vapeur ne dépassant pas 1,1 MPa (11 bar) et dont la masse volumique à 50 °C n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est pas inférieure à 0,525 kg/l (contient moins de 0,1 % de butadiène-1-3) :</w:t>
      </w:r>
    </w:p>
    <w:p w14:paraId="075CBCF6" w14:textId="099DA471" w:rsidR="004320FE" w:rsidRPr="007F2FC3" w:rsidRDefault="002571E0" w:rsidP="004320FE">
      <w:pPr>
        <w:pStyle w:val="SingleTxtG"/>
        <w:rPr>
          <w:rFonts w:eastAsia="Calibri"/>
          <w:lang w:val="fr-FR"/>
        </w:rPr>
      </w:pPr>
      <w:r>
        <w:rPr>
          <w:rFonts w:eastAsia="Calibri"/>
          <w:lang w:val="fr-FR"/>
        </w:rPr>
        <w:t>m</w:t>
      </w:r>
      <w:r w:rsidR="004320FE" w:rsidRPr="007F2FC3">
        <w:rPr>
          <w:rFonts w:eastAsia="Calibri"/>
          <w:lang w:val="fr-FR"/>
        </w:rPr>
        <w:t>odifier la colonne (2) pour lire : « BUTADIÈNES STABILISÉS, ou BUTADIÈNES ET HYDROCARBURES EN MÉLANGE STABILISÉ, contenant plus de 40 % de butadiènes (contient moins de 0,1 % de butadiène-1-3). ».</w:t>
      </w:r>
    </w:p>
    <w:p w14:paraId="0BC9CCA9" w14:textId="77777777" w:rsidR="004320FE" w:rsidRPr="007F2FC3" w:rsidRDefault="004320FE" w:rsidP="004320FE">
      <w:pPr>
        <w:pStyle w:val="SingleTxtG"/>
        <w:rPr>
          <w:rFonts w:eastAsia="Calibri"/>
          <w:lang w:val="fr-FR"/>
        </w:rPr>
      </w:pPr>
      <w:r w:rsidRPr="007F2FC3">
        <w:rPr>
          <w:i/>
          <w:iCs/>
          <w:lang w:val="fr-FR"/>
        </w:rPr>
        <w:t xml:space="preserve">(Document de référence: </w:t>
      </w:r>
      <w:r w:rsidRPr="007F2FC3">
        <w:rPr>
          <w:i/>
        </w:rPr>
        <w:t>ECE/TRANS/WP.15/AC.2/76)</w:t>
      </w:r>
    </w:p>
    <w:p w14:paraId="57BD3813" w14:textId="77777777" w:rsidR="004320FE" w:rsidRPr="007F2FC3" w:rsidRDefault="004320FE" w:rsidP="004320FE">
      <w:pPr>
        <w:pStyle w:val="SingleTxtG"/>
        <w:rPr>
          <w:rFonts w:eastAsia="Calibri"/>
          <w:lang w:val="fr-FR"/>
        </w:rPr>
      </w:pPr>
      <w:r w:rsidRPr="007F2FC3">
        <w:rPr>
          <w:rFonts w:eastAsia="Calibri"/>
          <w:lang w:val="fr-FR"/>
        </w:rPr>
        <w:t>Pour le N</w:t>
      </w:r>
      <w:r w:rsidRPr="007F2FC3">
        <w:rPr>
          <w:rFonts w:eastAsia="Calibri"/>
          <w:vertAlign w:val="superscript"/>
          <w:lang w:val="fr-FR"/>
        </w:rPr>
        <w:t>o</w:t>
      </w:r>
      <w:r w:rsidRPr="007F2FC3">
        <w:rPr>
          <w:rFonts w:eastAsia="Calibri"/>
          <w:lang w:val="fr-FR"/>
        </w:rPr>
        <w:t xml:space="preserve"> ONU 1010, BUTADIÈNES STABILISÉS ou BUTADIÈNES ET HYDROCARBURES EN MÉLANGE STABILISÉ, RÉFRIGÉRÉS, qui, à 70 °C, ont une pression de vapeur ne dépassant pas 1,1 MPa (11 bar) et dont la masse volumique à 50 °C n’est pas inférieure à 0,525 kg/l (contient moins de 0,1 % de butadiène-1-3) : </w:t>
      </w:r>
    </w:p>
    <w:p w14:paraId="111D1216" w14:textId="6F282E88" w:rsidR="004320FE" w:rsidRPr="007F2FC3" w:rsidRDefault="002571E0" w:rsidP="004320FE">
      <w:pPr>
        <w:pStyle w:val="SingleTxtG"/>
        <w:rPr>
          <w:rFonts w:eastAsia="Calibri"/>
          <w:lang w:val="fr-FR"/>
        </w:rPr>
      </w:pPr>
      <w:r>
        <w:rPr>
          <w:rFonts w:eastAsia="Calibri"/>
          <w:lang w:val="fr-FR"/>
        </w:rPr>
        <w:t>m</w:t>
      </w:r>
      <w:r w:rsidR="004320FE" w:rsidRPr="007F2FC3">
        <w:rPr>
          <w:rFonts w:eastAsia="Calibri"/>
          <w:lang w:val="fr-FR"/>
        </w:rPr>
        <w:t>odifier la colonne (2) pour lire : « BUTADIÈNES STABILISÉS, ou BUTADIÈNES ET HYDROCARBURES EN MÉLANGE STABILISÉ, RÉFRIGÉRÉS, contenant plus de 40 % de butadiènes (contient moins de 0,1 % de butadiène-1-3). ».</w:t>
      </w:r>
    </w:p>
    <w:p w14:paraId="234BA006" w14:textId="77777777" w:rsidR="004320FE" w:rsidRPr="007F2FC3" w:rsidRDefault="004320FE" w:rsidP="004320FE">
      <w:pPr>
        <w:pStyle w:val="SingleTxtG"/>
        <w:rPr>
          <w:rFonts w:eastAsia="Calibri"/>
          <w:lang w:val="fr-FR"/>
        </w:rPr>
      </w:pPr>
      <w:r w:rsidRPr="007F2FC3">
        <w:rPr>
          <w:i/>
          <w:iCs/>
          <w:lang w:val="fr-FR"/>
        </w:rPr>
        <w:t xml:space="preserve">(Document de référence: </w:t>
      </w:r>
      <w:r w:rsidRPr="007F2FC3">
        <w:rPr>
          <w:i/>
        </w:rPr>
        <w:t>ECE/TRANS/WP.15/AC.2/76)</w:t>
      </w:r>
    </w:p>
    <w:p w14:paraId="2746CB57" w14:textId="487868A2" w:rsidR="004320FE" w:rsidRPr="007F2FC3" w:rsidRDefault="004320FE" w:rsidP="00845581">
      <w:pPr>
        <w:pStyle w:val="SingleTxtG"/>
        <w:pageBreakBefore/>
        <w:rPr>
          <w:rFonts w:eastAsia="Calibri"/>
          <w:lang w:val="fr-FR"/>
        </w:rPr>
      </w:pPr>
      <w:r w:rsidRPr="007F2FC3">
        <w:rPr>
          <w:rFonts w:eastAsia="Calibri"/>
          <w:lang w:val="fr-FR"/>
        </w:rPr>
        <w:lastRenderedPageBreak/>
        <w:t>Pour le N</w:t>
      </w:r>
      <w:r w:rsidRPr="007F2FC3">
        <w:rPr>
          <w:rFonts w:eastAsia="Calibri"/>
          <w:vertAlign w:val="superscript"/>
          <w:lang w:val="fr-FR"/>
        </w:rPr>
        <w:t>o</w:t>
      </w:r>
      <w:r w:rsidRPr="007F2FC3">
        <w:rPr>
          <w:rFonts w:eastAsia="Calibri"/>
          <w:lang w:val="fr-FR"/>
        </w:rPr>
        <w:t> ONU 1010, BUTADIÈNES STABILISÉS ou BUTADIÈNES ET HYDROCARBURES EN MÉLANGE STABILISÉ, qui, à 70 °C, ont une pression de vapeur ne dépassant pas 1,1 MPa (11 bar) et dont la masse volumique à 50 °C n’est pas inférieure à 0,525 kg/l (contient au moins 0,1 % de butadiène-1-3) :</w:t>
      </w:r>
    </w:p>
    <w:p w14:paraId="61F3952E" w14:textId="047DD68E" w:rsidR="004320FE" w:rsidRPr="007F2FC3" w:rsidRDefault="002571E0" w:rsidP="004320FE">
      <w:pPr>
        <w:pStyle w:val="SingleTxtG"/>
        <w:rPr>
          <w:rFonts w:eastAsia="Calibri"/>
          <w:lang w:val="fr-FR"/>
        </w:rPr>
      </w:pPr>
      <w:r>
        <w:rPr>
          <w:rFonts w:eastAsia="Calibri"/>
          <w:lang w:val="fr-FR"/>
        </w:rPr>
        <w:t>m</w:t>
      </w:r>
      <w:r w:rsidR="004320FE" w:rsidRPr="007F2FC3">
        <w:rPr>
          <w:rFonts w:eastAsia="Calibri"/>
          <w:lang w:val="fr-FR"/>
        </w:rPr>
        <w:t>odifier la colonne (2) pour lire : « BUTADIÈNES STABILISÉS, ou BUTADIÈNES ET HYDROCARBURES EN MÉLANGE STABILISÉ, contenant plus de 40 % de butadiènes (contient au moins 0,1 % de butadiène-1-3). ».</w:t>
      </w:r>
    </w:p>
    <w:p w14:paraId="58AEF7FA" w14:textId="77777777" w:rsidR="004320FE" w:rsidRPr="007F2FC3" w:rsidRDefault="004320FE" w:rsidP="004320FE">
      <w:pPr>
        <w:pStyle w:val="SingleTxtG"/>
        <w:rPr>
          <w:rFonts w:eastAsia="Calibri"/>
          <w:lang w:val="fr-FR"/>
        </w:rPr>
      </w:pPr>
      <w:r w:rsidRPr="007F2FC3">
        <w:rPr>
          <w:i/>
          <w:iCs/>
          <w:lang w:val="fr-FR"/>
        </w:rPr>
        <w:t xml:space="preserve">(Document de référence: </w:t>
      </w:r>
      <w:r w:rsidRPr="007F2FC3">
        <w:rPr>
          <w:i/>
        </w:rPr>
        <w:t>ECE/TRANS/WP.15/AC.2/76)</w:t>
      </w:r>
    </w:p>
    <w:p w14:paraId="4B6C0BBC" w14:textId="77777777" w:rsidR="004320FE" w:rsidRPr="007F2FC3" w:rsidRDefault="004320FE" w:rsidP="004320FE">
      <w:pPr>
        <w:pStyle w:val="SingleTxtG"/>
        <w:rPr>
          <w:rFonts w:eastAsia="Calibri"/>
          <w:lang w:val="fr-FR"/>
        </w:rPr>
      </w:pPr>
      <w:r w:rsidRPr="007F2FC3">
        <w:rPr>
          <w:rFonts w:eastAsia="Calibri"/>
          <w:lang w:val="fr-FR"/>
        </w:rPr>
        <w:t>Pour le N</w:t>
      </w:r>
      <w:r w:rsidRPr="007F2FC3">
        <w:rPr>
          <w:rFonts w:eastAsia="Calibri"/>
          <w:vertAlign w:val="superscript"/>
          <w:lang w:val="fr-FR"/>
        </w:rPr>
        <w:t>o</w:t>
      </w:r>
      <w:r w:rsidRPr="007F2FC3">
        <w:rPr>
          <w:rFonts w:eastAsia="Calibri"/>
          <w:lang w:val="fr-FR"/>
        </w:rPr>
        <w:t> ONU 1010, BUTADIÈNES STABILISÉS ou BUTADIÈNES ET HYDROCARBURES EN MÉLANGE STABILISÉ, RÉFRIGÉRÉS, qui, à 70 °C, ont une pression de vapeur ne dépassant pas 1,1 MPa (11 bar) et dont la masse volumique à 50 °C n’est pas inférieure à 0,525 kg/l (contient au moins 0,1 % de butadiène-1-3) :</w:t>
      </w:r>
    </w:p>
    <w:p w14:paraId="0B0B03F1" w14:textId="5A520E73" w:rsidR="004320FE" w:rsidRPr="007F2FC3" w:rsidRDefault="002571E0" w:rsidP="004320FE">
      <w:pPr>
        <w:pStyle w:val="SingleTxtG"/>
        <w:rPr>
          <w:rFonts w:eastAsia="Calibri"/>
          <w:lang w:val="fr-FR"/>
        </w:rPr>
      </w:pPr>
      <w:r>
        <w:rPr>
          <w:rFonts w:eastAsia="Calibri"/>
          <w:lang w:val="fr-FR"/>
        </w:rPr>
        <w:t>m</w:t>
      </w:r>
      <w:r w:rsidR="004320FE" w:rsidRPr="007F2FC3">
        <w:rPr>
          <w:rFonts w:eastAsia="Calibri"/>
          <w:lang w:val="fr-FR"/>
        </w:rPr>
        <w:t>odifier la colonne (2) pour lire : « BUTADIÈNES STABILISÉS, ou BUTADIÈNES ET HYDROCARBURES EN MÉLANGE STABILISÉ, RÉFRIGÉRÉS, contenant plus de 40 % de butadiènes (contient au moins 0,1 % de butadiène-1-3). ».</w:t>
      </w:r>
    </w:p>
    <w:p w14:paraId="3DB785F5" w14:textId="40A2E375" w:rsidR="004320FE" w:rsidRPr="007F2FC3" w:rsidRDefault="004320FE" w:rsidP="004320FE">
      <w:pPr>
        <w:pStyle w:val="SingleTxtG"/>
        <w:rPr>
          <w:lang w:val="fr-FR"/>
        </w:rPr>
      </w:pPr>
      <w:r w:rsidRPr="007F2FC3">
        <w:rPr>
          <w:i/>
          <w:iCs/>
          <w:lang w:val="fr-FR"/>
        </w:rPr>
        <w:t xml:space="preserve">(Document de référence: </w:t>
      </w:r>
      <w:r w:rsidRPr="007F2FC3">
        <w:rPr>
          <w:i/>
        </w:rPr>
        <w:t>ECE/TRANS/WP.15/AC.2/76)</w:t>
      </w:r>
    </w:p>
    <w:p w14:paraId="56CA1E52" w14:textId="072F5409" w:rsidR="00D50293" w:rsidRPr="007F2FC3" w:rsidRDefault="00D50293" w:rsidP="00D50293">
      <w:pPr>
        <w:pStyle w:val="SingleTxtG"/>
        <w:rPr>
          <w:lang w:val="fr-FR"/>
        </w:rPr>
      </w:pPr>
      <w:r w:rsidRPr="007F2FC3">
        <w:rPr>
          <w:lang w:val="fr-FR"/>
        </w:rPr>
        <w:t>Pour le numéro d’identification 9004, colonne (5), lire « 9+S ».</w:t>
      </w:r>
    </w:p>
    <w:p w14:paraId="22FA20DC" w14:textId="77777777" w:rsidR="00D50293" w:rsidRPr="007F2FC3" w:rsidRDefault="00D50293" w:rsidP="00D50293">
      <w:pPr>
        <w:pStyle w:val="SingleTxtG"/>
        <w:rPr>
          <w:i/>
          <w:lang w:val="fr-FR"/>
        </w:rPr>
      </w:pPr>
      <w:r w:rsidRPr="007F2FC3">
        <w:rPr>
          <w:i/>
          <w:iCs/>
          <w:lang w:val="fr-FR"/>
        </w:rPr>
        <w:t xml:space="preserve">(Document de référence: </w:t>
      </w:r>
      <w:r w:rsidRPr="007F2FC3">
        <w:rPr>
          <w:i/>
        </w:rPr>
        <w:t>ECE/TRANS/WP.15/AC.2/78)</w:t>
      </w:r>
    </w:p>
    <w:p w14:paraId="70CB4F11" w14:textId="50C78A48" w:rsidR="00D50293" w:rsidRPr="007F2FC3" w:rsidRDefault="00D50293" w:rsidP="00D50293">
      <w:pPr>
        <w:pStyle w:val="H23G"/>
        <w:rPr>
          <w:lang w:val="fr-FR"/>
        </w:rPr>
      </w:pPr>
      <w:r w:rsidRPr="007F2FC3">
        <w:rPr>
          <w:lang w:val="fr-FR"/>
        </w:rPr>
        <w:tab/>
      </w:r>
      <w:r w:rsidRPr="007F2FC3">
        <w:rPr>
          <w:lang w:val="fr-FR"/>
        </w:rPr>
        <w:tab/>
        <w:t>Chapitre 3.2</w:t>
      </w:r>
    </w:p>
    <w:p w14:paraId="42A53364" w14:textId="0887D88F" w:rsidR="00D50293" w:rsidRDefault="00D50293" w:rsidP="00D50293">
      <w:pPr>
        <w:pStyle w:val="SingleTxtG"/>
        <w:ind w:left="2268" w:hanging="1134"/>
        <w:rPr>
          <w:lang w:val="fr-FR"/>
        </w:rPr>
      </w:pPr>
      <w:r w:rsidRPr="007F2FC3">
        <w:rPr>
          <w:lang w:val="fr-FR"/>
        </w:rPr>
        <w:t>3.2.3.3</w:t>
      </w:r>
      <w:r w:rsidRPr="007F2FC3">
        <w:rPr>
          <w:lang w:val="fr-FR"/>
        </w:rPr>
        <w:tab/>
      </w:r>
      <w:r w:rsidR="006B3E71" w:rsidRPr="007F2FC3">
        <w:rPr>
          <w:lang w:val="fr-FR"/>
        </w:rPr>
        <w:t>Modifie</w:t>
      </w:r>
      <w:r w:rsidR="007465B3" w:rsidRPr="007F2FC3">
        <w:rPr>
          <w:lang w:val="fr-FR"/>
        </w:rPr>
        <w:t xml:space="preserve">r </w:t>
      </w:r>
      <w:r w:rsidRPr="007F2FC3">
        <w:rPr>
          <w:lang w:val="fr-FR"/>
        </w:rPr>
        <w:t xml:space="preserve">Schéma B, </w:t>
      </w:r>
      <w:r w:rsidR="0075358F" w:rsidRPr="007F2FC3">
        <w:rPr>
          <w:lang w:val="fr-FR"/>
        </w:rPr>
        <w:t xml:space="preserve">pour </w:t>
      </w:r>
      <w:r w:rsidRPr="007F2FC3">
        <w:rPr>
          <w:lang w:val="fr-FR"/>
        </w:rPr>
        <w:t>lire </w:t>
      </w:r>
      <w:r w:rsidR="00895739" w:rsidRPr="007F2FC3">
        <w:rPr>
          <w:lang w:val="fr-FR"/>
        </w:rPr>
        <w:t>comme sui</w:t>
      </w:r>
      <w:r w:rsidR="00A81F97" w:rsidRPr="007F2FC3">
        <w:rPr>
          <w:lang w:val="fr-FR"/>
        </w:rPr>
        <w:t>t</w:t>
      </w:r>
      <w:r w:rsidRPr="007F2FC3">
        <w:rPr>
          <w:lang w:val="fr-FR"/>
        </w:rPr>
        <w:t>:</w:t>
      </w:r>
    </w:p>
    <w:p w14:paraId="040CA8F0" w14:textId="77777777" w:rsidR="00172A3C" w:rsidRDefault="00172A3C" w:rsidP="00D50293">
      <w:pPr>
        <w:pStyle w:val="SingleTxtG"/>
        <w:ind w:left="2268" w:hanging="1134"/>
        <w:rPr>
          <w:lang w:val="fr-FR"/>
        </w:rPr>
      </w:pPr>
    </w:p>
    <w:p w14:paraId="56B152AD" w14:textId="77777777" w:rsidR="00D50293" w:rsidRDefault="00D50293" w:rsidP="00D50293">
      <w:pPr>
        <w:sectPr w:rsidR="00D50293" w:rsidSect="00F0081A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6BBD9E65" w14:textId="77777777" w:rsidR="00D50293" w:rsidRPr="00A66193" w:rsidRDefault="00D50293" w:rsidP="00D50293">
      <w:pPr>
        <w:pStyle w:val="H1G"/>
        <w:rPr>
          <w:lang w:val="fr-FR"/>
        </w:rPr>
      </w:pPr>
      <w:r w:rsidRPr="00A66193">
        <w:rPr>
          <w:lang w:val="fr-FR"/>
        </w:rPr>
        <w:lastRenderedPageBreak/>
        <w:tab/>
      </w:r>
      <w:r w:rsidRPr="00A66193">
        <w:rPr>
          <w:lang w:val="fr-FR"/>
        </w:rPr>
        <w:tab/>
        <w:t>Schéma B</w:t>
      </w:r>
      <w:r>
        <w:rPr>
          <w:lang w:val="fr-FR"/>
        </w:rPr>
        <w:t> </w:t>
      </w:r>
      <w:r w:rsidRPr="00A66193">
        <w:rPr>
          <w:lang w:val="fr-FR"/>
        </w:rPr>
        <w:t>: Critères pour l</w:t>
      </w:r>
      <w:r>
        <w:rPr>
          <w:lang w:val="fr-FR"/>
        </w:rPr>
        <w:t>’</w:t>
      </w:r>
      <w:r w:rsidRPr="00A66193">
        <w:rPr>
          <w:lang w:val="fr-FR"/>
        </w:rPr>
        <w:t>équipement des bateaux du type N avec des citernes à cargaison fermées</w:t>
      </w:r>
    </w:p>
    <w:p w14:paraId="647289F1" w14:textId="77777777" w:rsidR="00D50293" w:rsidRPr="00A66193" w:rsidRDefault="00D50293" w:rsidP="00D50293">
      <w:pPr>
        <w:pStyle w:val="SingleTxtG"/>
        <w:rPr>
          <w:lang w:val="fr-FR"/>
        </w:rPr>
      </w:pPr>
      <w:r w:rsidRPr="00A66193">
        <w:rPr>
          <w:lang w:val="fr-FR"/>
        </w:rPr>
        <w:t>Déterminer dans les six premières colonnes les caractéristiques de la matière/citerne à cargaison qui sont pertinentes. Choisir la rangée qui convient dans la colonne correspondante. Les critères pour l</w:t>
      </w:r>
      <w:r>
        <w:rPr>
          <w:lang w:val="fr-FR"/>
        </w:rPr>
        <w:t>’</w:t>
      </w:r>
      <w:r w:rsidRPr="00A66193">
        <w:rPr>
          <w:lang w:val="fr-FR"/>
        </w:rPr>
        <w:t>équipement des citernes à cargaison des bateaux de type N − bateaux avec des citernes à cargaison fermées − sont alors décrits sur cette ligne dans la septième colonne. Si plusieurs colonnes sont pertinentes, sélectionner la ligne la plus pertinente dans la septième colonne.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111"/>
        <w:gridCol w:w="1521"/>
        <w:gridCol w:w="1418"/>
        <w:gridCol w:w="2591"/>
        <w:gridCol w:w="2835"/>
        <w:gridCol w:w="2687"/>
      </w:tblGrid>
      <w:tr w:rsidR="00D50293" w:rsidRPr="00B327BE" w14:paraId="748E9CCD" w14:textId="77777777" w:rsidTr="00F0081A">
        <w:trPr>
          <w:trHeight w:val="355"/>
        </w:trPr>
        <w:tc>
          <w:tcPr>
            <w:tcW w:w="11091" w:type="dxa"/>
            <w:gridSpan w:val="6"/>
            <w:tcMar>
              <w:left w:w="0" w:type="dxa"/>
              <w:right w:w="0" w:type="dxa"/>
            </w:tcMar>
            <w:vAlign w:val="center"/>
          </w:tcPr>
          <w:p w14:paraId="1922C921" w14:textId="77777777" w:rsidR="00D50293" w:rsidRPr="00B327BE" w:rsidRDefault="00D50293" w:rsidP="00F0081A">
            <w:pPr>
              <w:spacing w:before="80" w:after="80" w:line="200" w:lineRule="exact"/>
              <w:ind w:left="57" w:right="113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B327BE">
              <w:rPr>
                <w:b/>
                <w:bCs/>
                <w:i/>
                <w:iCs/>
                <w:sz w:val="16"/>
                <w:szCs w:val="16"/>
                <w:lang w:val="fr-FR"/>
              </w:rPr>
              <w:t>Caractéristiques de la matière/citerne à cargaison</w:t>
            </w: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668AC403" w14:textId="77777777" w:rsidR="00D50293" w:rsidRPr="00B327BE" w:rsidRDefault="00D50293" w:rsidP="00F0081A">
            <w:pPr>
              <w:spacing w:before="80" w:after="80" w:line="200" w:lineRule="exact"/>
              <w:ind w:left="57" w:right="113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B327BE">
              <w:rPr>
                <w:b/>
                <w:bCs/>
                <w:i/>
                <w:iCs/>
                <w:sz w:val="16"/>
                <w:szCs w:val="16"/>
                <w:lang w:val="fr-FR"/>
              </w:rPr>
              <w:t>Prescriptions</w:t>
            </w:r>
          </w:p>
        </w:tc>
      </w:tr>
      <w:tr w:rsidR="00D50293" w:rsidRPr="00B327BE" w14:paraId="36EDF2F1" w14:textId="77777777" w:rsidTr="000A666A">
        <w:trPr>
          <w:trHeight w:val="355"/>
        </w:trPr>
        <w:tc>
          <w:tcPr>
            <w:tcW w:w="5665" w:type="dxa"/>
            <w:gridSpan w:val="4"/>
            <w:tcMar>
              <w:left w:w="0" w:type="dxa"/>
              <w:right w:w="0" w:type="dxa"/>
            </w:tcMar>
            <w:vAlign w:val="center"/>
          </w:tcPr>
          <w:p w14:paraId="1E224C07" w14:textId="77777777" w:rsidR="00D50293" w:rsidRPr="00B327BE" w:rsidRDefault="00D50293" w:rsidP="00F0081A">
            <w:pPr>
              <w:spacing w:before="80" w:after="80" w:line="200" w:lineRule="exact"/>
              <w:ind w:left="57" w:right="113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327BE">
              <w:rPr>
                <w:i/>
                <w:iCs/>
                <w:sz w:val="16"/>
                <w:szCs w:val="16"/>
                <w:lang w:val="fr-FR"/>
              </w:rPr>
              <w:t>Classe 3, point d’éclair &lt; 23 °C</w:t>
            </w:r>
          </w:p>
        </w:tc>
        <w:tc>
          <w:tcPr>
            <w:tcW w:w="2591" w:type="dxa"/>
            <w:tcMar>
              <w:left w:w="0" w:type="dxa"/>
              <w:right w:w="0" w:type="dxa"/>
            </w:tcMar>
            <w:vAlign w:val="center"/>
          </w:tcPr>
          <w:p w14:paraId="24CB5D38" w14:textId="77777777" w:rsidR="00D50293" w:rsidRPr="00B327BE" w:rsidRDefault="00D50293" w:rsidP="00F0081A">
            <w:pPr>
              <w:spacing w:before="80" w:after="80" w:line="200" w:lineRule="exact"/>
              <w:ind w:left="57" w:right="113"/>
              <w:rPr>
                <w:i/>
                <w:iCs/>
                <w:sz w:val="16"/>
                <w:szCs w:val="16"/>
                <w:lang w:val="fr-FR"/>
              </w:rPr>
            </w:pPr>
            <w:r w:rsidRPr="00B327BE">
              <w:rPr>
                <w:i/>
                <w:iCs/>
                <w:sz w:val="16"/>
                <w:szCs w:val="16"/>
                <w:lang w:val="fr-FR"/>
              </w:rPr>
              <w:t>Matières corrosives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8C3FB6C" w14:textId="77777777" w:rsidR="00D50293" w:rsidRPr="00B327BE" w:rsidRDefault="00D50293" w:rsidP="00F0081A">
            <w:pPr>
              <w:spacing w:before="80" w:after="80" w:line="200" w:lineRule="exact"/>
              <w:ind w:left="57" w:right="113"/>
              <w:rPr>
                <w:i/>
                <w:iCs/>
                <w:sz w:val="16"/>
                <w:szCs w:val="16"/>
                <w:lang w:val="fr-FR"/>
              </w:rPr>
            </w:pPr>
            <w:r w:rsidRPr="00B327BE">
              <w:rPr>
                <w:i/>
                <w:iCs/>
                <w:sz w:val="16"/>
                <w:szCs w:val="16"/>
                <w:lang w:val="fr-FR"/>
              </w:rPr>
              <w:t>Matières CMR</w:t>
            </w: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01911C0E" w14:textId="77777777" w:rsidR="00D50293" w:rsidRPr="00B327BE" w:rsidRDefault="00D50293" w:rsidP="00C362F9">
            <w:pPr>
              <w:spacing w:before="60" w:after="60" w:line="200" w:lineRule="exact"/>
              <w:ind w:left="57" w:right="113"/>
              <w:rPr>
                <w:i/>
                <w:iCs/>
                <w:sz w:val="16"/>
                <w:szCs w:val="16"/>
                <w:lang w:val="fr-FR"/>
              </w:rPr>
            </w:pPr>
            <w:r w:rsidRPr="00B327BE">
              <w:rPr>
                <w:i/>
                <w:iCs/>
                <w:sz w:val="16"/>
                <w:szCs w:val="16"/>
                <w:lang w:val="fr-FR"/>
              </w:rPr>
              <w:t xml:space="preserve">Équipement de la citerne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B327BE">
              <w:rPr>
                <w:i/>
                <w:iCs/>
                <w:sz w:val="16"/>
                <w:szCs w:val="16"/>
                <w:lang w:val="fr-FR"/>
              </w:rPr>
              <w:t>à cargaison</w:t>
            </w:r>
          </w:p>
        </w:tc>
      </w:tr>
      <w:tr w:rsidR="00D50293" w:rsidRPr="00B327BE" w14:paraId="0CF96BFD" w14:textId="77777777" w:rsidTr="000A666A">
        <w:tc>
          <w:tcPr>
            <w:tcW w:w="1615" w:type="dxa"/>
            <w:tcMar>
              <w:left w:w="0" w:type="dxa"/>
              <w:right w:w="0" w:type="dxa"/>
            </w:tcMar>
          </w:tcPr>
          <w:p w14:paraId="618DE7AF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175 kPa ≤ </w:t>
            </w:r>
            <w:proofErr w:type="spellStart"/>
            <w:r w:rsidRPr="003E0B8E">
              <w:rPr>
                <w:lang w:val="fr-FR"/>
              </w:rPr>
              <w:t>P</w:t>
            </w:r>
            <w:r w:rsidRPr="003E0B8E">
              <w:rPr>
                <w:vertAlign w:val="subscript"/>
                <w:lang w:val="fr-FR"/>
              </w:rPr>
              <w:t>v</w:t>
            </w:r>
            <w:proofErr w:type="spellEnd"/>
            <w:r w:rsidRPr="003E0B8E">
              <w:rPr>
                <w:vertAlign w:val="subscript"/>
                <w:lang w:val="fr-FR"/>
              </w:rPr>
              <w:t xml:space="preserve"> 50</w:t>
            </w:r>
            <w:r w:rsidRPr="003E0B8E">
              <w:rPr>
                <w:lang w:val="fr-FR"/>
              </w:rPr>
              <w:t xml:space="preserve"> </w:t>
            </w:r>
            <w:r w:rsidRPr="003E0B8E">
              <w:rPr>
                <w:lang w:val="fr-FR"/>
              </w:rPr>
              <w:br/>
              <w:t>&lt; 300 kPa, sans réfrigération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14:paraId="1BFE0B9A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14:paraId="7C0FE36A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08945CDC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591" w:type="dxa"/>
            <w:tcMar>
              <w:left w:w="0" w:type="dxa"/>
              <w:right w:w="0" w:type="dxa"/>
            </w:tcMar>
          </w:tcPr>
          <w:p w14:paraId="3EBB276F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14:paraId="2CE49A0D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58F6BE8F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>Citerne à pression (400 kPa)</w:t>
            </w:r>
          </w:p>
        </w:tc>
      </w:tr>
      <w:tr w:rsidR="00D50293" w:rsidRPr="00B327BE" w14:paraId="4BEEE0FD" w14:textId="77777777" w:rsidTr="000A666A">
        <w:tc>
          <w:tcPr>
            <w:tcW w:w="1615" w:type="dxa"/>
            <w:tcMar>
              <w:left w:w="0" w:type="dxa"/>
              <w:right w:w="0" w:type="dxa"/>
            </w:tcMar>
          </w:tcPr>
          <w:p w14:paraId="57B07BEF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175 kPa ≤ </w:t>
            </w:r>
            <w:proofErr w:type="spellStart"/>
            <w:r w:rsidRPr="003E0B8E">
              <w:rPr>
                <w:lang w:val="fr-FR"/>
              </w:rPr>
              <w:t>P</w:t>
            </w:r>
            <w:r w:rsidRPr="003E0B8E">
              <w:rPr>
                <w:vertAlign w:val="subscript"/>
                <w:lang w:val="fr-FR"/>
              </w:rPr>
              <w:t>v</w:t>
            </w:r>
            <w:proofErr w:type="spellEnd"/>
            <w:r w:rsidRPr="003E0B8E">
              <w:rPr>
                <w:vertAlign w:val="subscript"/>
                <w:lang w:val="fr-FR"/>
              </w:rPr>
              <w:t xml:space="preserve"> 50</w:t>
            </w:r>
            <w:r w:rsidRPr="003E0B8E">
              <w:rPr>
                <w:lang w:val="fr-FR"/>
              </w:rPr>
              <w:t xml:space="preserve"> </w:t>
            </w:r>
            <w:r w:rsidRPr="003E0B8E">
              <w:rPr>
                <w:lang w:val="fr-FR"/>
              </w:rPr>
              <w:br/>
              <w:t xml:space="preserve">&lt; 300 kPa, avec réfrigération 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14:paraId="288F746A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strike/>
                <w:lang w:val="fr-FR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14:paraId="2271D243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039C2052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591" w:type="dxa"/>
            <w:tcMar>
              <w:left w:w="0" w:type="dxa"/>
              <w:right w:w="0" w:type="dxa"/>
            </w:tcMar>
          </w:tcPr>
          <w:p w14:paraId="1790A450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14:paraId="22FC3F38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42121CFD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Pression d’ouverture de la soupape de surpression/soupape de dégagement à grande vitesse : 50 kPa (avec réfrigération </w:t>
            </w:r>
            <w:r w:rsidRPr="003E0B8E">
              <w:rPr>
                <w:lang w:val="fr-FR"/>
              </w:rPr>
              <w:br/>
              <w:t>(chiffre 1 à la colonne 9))</w:t>
            </w:r>
          </w:p>
        </w:tc>
      </w:tr>
      <w:tr w:rsidR="00D50293" w:rsidRPr="00B327BE" w14:paraId="12231FE5" w14:textId="77777777" w:rsidTr="000A666A">
        <w:tc>
          <w:tcPr>
            <w:tcW w:w="1615" w:type="dxa"/>
            <w:tcMar>
              <w:left w:w="0" w:type="dxa"/>
              <w:right w:w="0" w:type="dxa"/>
            </w:tcMar>
          </w:tcPr>
          <w:p w14:paraId="263A23E7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14:paraId="1F800E2A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>150 kPa</w:t>
            </w:r>
            <w:r w:rsidRPr="003E0B8E">
              <w:rPr>
                <w:lang w:val="fr-FR"/>
              </w:rPr>
              <w:br/>
              <w:t xml:space="preserve"> ≤ </w:t>
            </w:r>
            <w:proofErr w:type="spellStart"/>
            <w:r w:rsidRPr="003E0B8E">
              <w:rPr>
                <w:lang w:val="fr-FR"/>
              </w:rPr>
              <w:t>P</w:t>
            </w:r>
            <w:r w:rsidRPr="003E0B8E">
              <w:rPr>
                <w:vertAlign w:val="subscript"/>
                <w:lang w:val="fr-FR"/>
              </w:rPr>
              <w:t>v</w:t>
            </w:r>
            <w:proofErr w:type="spellEnd"/>
            <w:r w:rsidRPr="003E0B8E">
              <w:rPr>
                <w:vertAlign w:val="subscript"/>
                <w:lang w:val="fr-FR"/>
              </w:rPr>
              <w:t xml:space="preserve"> 50</w:t>
            </w:r>
            <w:r w:rsidRPr="003E0B8E">
              <w:rPr>
                <w:lang w:val="fr-FR"/>
              </w:rPr>
              <w:t xml:space="preserve"> </w:t>
            </w:r>
            <w:r w:rsidRPr="003E0B8E">
              <w:rPr>
                <w:lang w:val="fr-FR"/>
              </w:rPr>
              <w:br/>
              <w:t xml:space="preserve">&lt; 175 kPa 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14:paraId="0EAC3269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110 kPa ≤ </w:t>
            </w:r>
            <w:proofErr w:type="spellStart"/>
            <w:r w:rsidRPr="003E0B8E">
              <w:rPr>
                <w:lang w:val="fr-FR"/>
              </w:rPr>
              <w:t>P</w:t>
            </w:r>
            <w:r w:rsidRPr="003E0B8E">
              <w:rPr>
                <w:vertAlign w:val="subscript"/>
                <w:lang w:val="fr-FR"/>
              </w:rPr>
              <w:t>v</w:t>
            </w:r>
            <w:proofErr w:type="spellEnd"/>
            <w:r w:rsidRPr="003E0B8E">
              <w:rPr>
                <w:vertAlign w:val="subscript"/>
                <w:lang w:val="fr-FR"/>
              </w:rPr>
              <w:t xml:space="preserve"> 50</w:t>
            </w:r>
            <w:r w:rsidRPr="003E0B8E">
              <w:rPr>
                <w:lang w:val="fr-FR"/>
              </w:rPr>
              <w:t xml:space="preserve"> </w:t>
            </w:r>
            <w:r w:rsidRPr="003E0B8E">
              <w:rPr>
                <w:lang w:val="fr-FR"/>
              </w:rPr>
              <w:br/>
              <w:t>&lt; 150 kPa sans pulvérisation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F168EC1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591" w:type="dxa"/>
            <w:tcMar>
              <w:left w:w="0" w:type="dxa"/>
              <w:right w:w="0" w:type="dxa"/>
            </w:tcMar>
          </w:tcPr>
          <w:p w14:paraId="1F6F6D30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14:paraId="10BC93A5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2D78E62D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Pression d’ouverture de la soupape de surpression/soupape de dégagement à grande vitesse : 50 kPa </w:t>
            </w:r>
          </w:p>
        </w:tc>
      </w:tr>
      <w:tr w:rsidR="00D50293" w:rsidRPr="00B327BE" w14:paraId="1692E199" w14:textId="77777777" w:rsidTr="000A666A">
        <w:tc>
          <w:tcPr>
            <w:tcW w:w="1615" w:type="dxa"/>
            <w:tcMar>
              <w:left w:w="0" w:type="dxa"/>
              <w:right w:w="0" w:type="dxa"/>
            </w:tcMar>
          </w:tcPr>
          <w:p w14:paraId="688B5BF8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14:paraId="455439BF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14:paraId="4B382981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110 kPa ≤ </w:t>
            </w:r>
            <w:proofErr w:type="spellStart"/>
            <w:r w:rsidRPr="003E0B8E">
              <w:rPr>
                <w:lang w:val="fr-FR"/>
              </w:rPr>
              <w:t>P</w:t>
            </w:r>
            <w:r w:rsidRPr="003E0B8E">
              <w:rPr>
                <w:vertAlign w:val="subscript"/>
                <w:lang w:val="fr-FR"/>
              </w:rPr>
              <w:t>v</w:t>
            </w:r>
            <w:proofErr w:type="spellEnd"/>
            <w:r w:rsidRPr="003E0B8E">
              <w:rPr>
                <w:vertAlign w:val="subscript"/>
                <w:lang w:val="fr-FR"/>
              </w:rPr>
              <w:t xml:space="preserve"> 50</w:t>
            </w:r>
            <w:r w:rsidRPr="003E0B8E">
              <w:rPr>
                <w:lang w:val="fr-FR"/>
              </w:rPr>
              <w:t xml:space="preserve"> </w:t>
            </w:r>
            <w:r w:rsidRPr="003E0B8E">
              <w:rPr>
                <w:lang w:val="fr-FR"/>
              </w:rPr>
              <w:br/>
              <w:t xml:space="preserve">&lt; 150 kPa avec pulvérisation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449D20E4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strike/>
                <w:lang w:val="fr-FR"/>
              </w:rPr>
            </w:pPr>
          </w:p>
        </w:tc>
        <w:tc>
          <w:tcPr>
            <w:tcW w:w="2591" w:type="dxa"/>
            <w:tcMar>
              <w:left w:w="0" w:type="dxa"/>
              <w:right w:w="0" w:type="dxa"/>
            </w:tcMar>
          </w:tcPr>
          <w:p w14:paraId="5B039B4D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strike/>
                <w:lang w:val="fr-FR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14:paraId="3469B5F6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Pression de vapeur &gt; 10 kPa </w:t>
            </w:r>
            <w:r w:rsidRPr="003E0B8E">
              <w:rPr>
                <w:lang w:val="fr-FR"/>
              </w:rPr>
              <w:br/>
              <w:t xml:space="preserve">(calcul de la pression de vapeur </w:t>
            </w:r>
            <w:r w:rsidRPr="003E0B8E">
              <w:rPr>
                <w:lang w:val="fr-FR"/>
              </w:rPr>
              <w:br/>
              <w:t>selon la formule pour la colonne 10, avec toutefois v</w:t>
            </w:r>
            <w:r w:rsidRPr="003E0B8E">
              <w:rPr>
                <w:vertAlign w:val="subscript"/>
                <w:lang w:val="fr-FR"/>
              </w:rPr>
              <w:t>a</w:t>
            </w:r>
            <w:r w:rsidRPr="003E0B8E">
              <w:rPr>
                <w:lang w:val="fr-FR"/>
              </w:rPr>
              <w:t xml:space="preserve"> = 0,03)</w:t>
            </w: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567661CD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Pression d’ouverture de la soupape de surpression/soupape de dégagement à grande vitesse : 10 kPa (avec pulvérisation </w:t>
            </w:r>
            <w:r w:rsidRPr="003E0B8E">
              <w:rPr>
                <w:lang w:val="fr-FR"/>
              </w:rPr>
              <w:br/>
              <w:t>(chiffre 3 à la colonne 9))</w:t>
            </w:r>
          </w:p>
        </w:tc>
      </w:tr>
      <w:tr w:rsidR="00D50293" w:rsidRPr="00B327BE" w14:paraId="7E1824C7" w14:textId="77777777" w:rsidTr="000A666A">
        <w:tc>
          <w:tcPr>
            <w:tcW w:w="1615" w:type="dxa"/>
            <w:tcMar>
              <w:left w:w="0" w:type="dxa"/>
              <w:right w:w="0" w:type="dxa"/>
            </w:tcMar>
          </w:tcPr>
          <w:p w14:paraId="1BE5622E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14:paraId="49F45002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14:paraId="3CAE39A3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02E6050D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proofErr w:type="spellStart"/>
            <w:r w:rsidRPr="003E0B8E">
              <w:rPr>
                <w:lang w:val="fr-FR"/>
              </w:rPr>
              <w:t>P</w:t>
            </w:r>
            <w:r w:rsidRPr="003E0B8E">
              <w:rPr>
                <w:vertAlign w:val="subscript"/>
                <w:lang w:val="fr-FR"/>
              </w:rPr>
              <w:t>v</w:t>
            </w:r>
            <w:proofErr w:type="spellEnd"/>
            <w:r w:rsidRPr="003E0B8E">
              <w:rPr>
                <w:vertAlign w:val="subscript"/>
                <w:lang w:val="fr-FR"/>
              </w:rPr>
              <w:t xml:space="preserve"> 50</w:t>
            </w:r>
            <w:r w:rsidRPr="003E0B8E">
              <w:rPr>
                <w:lang w:val="fr-FR"/>
              </w:rPr>
              <w:t xml:space="preserve"> &lt; 110 kPa</w:t>
            </w:r>
          </w:p>
        </w:tc>
        <w:tc>
          <w:tcPr>
            <w:tcW w:w="2591" w:type="dxa"/>
            <w:tcMar>
              <w:left w:w="0" w:type="dxa"/>
              <w:right w:w="0" w:type="dxa"/>
            </w:tcMar>
          </w:tcPr>
          <w:p w14:paraId="4D5C673D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Groupe d’emballage I ou II avec </w:t>
            </w:r>
            <w:proofErr w:type="spellStart"/>
            <w:r w:rsidRPr="003E0B8E">
              <w:rPr>
                <w:lang w:val="fr-FR"/>
              </w:rPr>
              <w:t>P</w:t>
            </w:r>
            <w:r w:rsidRPr="003E0B8E">
              <w:rPr>
                <w:vertAlign w:val="subscript"/>
                <w:lang w:val="fr-FR"/>
              </w:rPr>
              <w:t>v</w:t>
            </w:r>
            <w:proofErr w:type="spellEnd"/>
            <w:r w:rsidRPr="003E0B8E">
              <w:rPr>
                <w:vertAlign w:val="subscript"/>
                <w:lang w:val="fr-FR"/>
              </w:rPr>
              <w:t xml:space="preserve"> 50</w:t>
            </w:r>
            <w:r w:rsidRPr="003E0B8E">
              <w:rPr>
                <w:lang w:val="fr-FR"/>
              </w:rPr>
              <w:t xml:space="preserve"> &gt; 12,5 kPa ou réagissant dangereusement avec l’eau ou avec des gaz en solution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14:paraId="6CF16CBF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 xml:space="preserve">Pression de vapeur ≤ 10 kPa </w:t>
            </w:r>
            <w:r w:rsidRPr="003E0B8E">
              <w:rPr>
                <w:lang w:val="fr-FR"/>
              </w:rPr>
              <w:br/>
              <w:t xml:space="preserve">(calcul de la pression de vapeur </w:t>
            </w:r>
            <w:r w:rsidRPr="003E0B8E">
              <w:rPr>
                <w:lang w:val="fr-FR"/>
              </w:rPr>
              <w:br/>
              <w:t>selon la formule pour la colonne 10, avec toutefois v</w:t>
            </w:r>
            <w:r w:rsidRPr="003E0B8E">
              <w:rPr>
                <w:vertAlign w:val="subscript"/>
                <w:lang w:val="fr-FR"/>
              </w:rPr>
              <w:t>a</w:t>
            </w:r>
            <w:r w:rsidRPr="003E0B8E">
              <w:rPr>
                <w:lang w:val="fr-FR"/>
              </w:rPr>
              <w:t xml:space="preserve"> = 0,03)</w:t>
            </w:r>
          </w:p>
        </w:tc>
        <w:tc>
          <w:tcPr>
            <w:tcW w:w="2687" w:type="dxa"/>
            <w:tcMar>
              <w:left w:w="0" w:type="dxa"/>
              <w:right w:w="0" w:type="dxa"/>
            </w:tcMar>
          </w:tcPr>
          <w:p w14:paraId="04E5C736" w14:textId="77777777" w:rsidR="00D50293" w:rsidRPr="003E0B8E" w:rsidRDefault="00D50293" w:rsidP="00F0081A">
            <w:pPr>
              <w:spacing w:before="60" w:after="60" w:line="220" w:lineRule="atLeast"/>
              <w:ind w:left="57" w:right="113"/>
              <w:rPr>
                <w:lang w:val="fr-FR"/>
              </w:rPr>
            </w:pPr>
            <w:r w:rsidRPr="003E0B8E">
              <w:rPr>
                <w:lang w:val="fr-FR"/>
              </w:rPr>
              <w:t>Pression d’ouverture de la soupape de surpression/ soupape de dégagement à grande vitesse : 10 kPa</w:t>
            </w:r>
          </w:p>
        </w:tc>
      </w:tr>
    </w:tbl>
    <w:p w14:paraId="00DEB071" w14:textId="1EB070A8" w:rsidR="00D50293" w:rsidRDefault="00D50293" w:rsidP="00130356">
      <w:pPr>
        <w:pStyle w:val="SingleTxtG"/>
        <w:spacing w:before="120" w:after="240"/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7A2391A0" w14:textId="235EB652" w:rsidR="00D50293" w:rsidRDefault="00D50293" w:rsidP="00D5029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sectPr w:rsidR="00D50293" w:rsidSect="00F0081A">
          <w:headerReference w:type="even" r:id="rId17"/>
          <w:headerReference w:type="default" r:id="rId18"/>
          <w:footerReference w:type="even" r:id="rId19"/>
          <w:footerReference w:type="default" r:id="rId20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41969845" w14:textId="77777777" w:rsidR="00D50293" w:rsidRPr="007C77A4" w:rsidRDefault="00D50293" w:rsidP="00D50293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>Chapitre 7.2</w:t>
      </w:r>
    </w:p>
    <w:p w14:paraId="495C58B8" w14:textId="77777777" w:rsidR="00D50293" w:rsidRPr="007C77A4" w:rsidRDefault="00D50293" w:rsidP="00D50293">
      <w:pPr>
        <w:pStyle w:val="SingleTxtG"/>
        <w:ind w:left="2268" w:hanging="1134"/>
        <w:rPr>
          <w:lang w:val="fr-FR"/>
        </w:rPr>
      </w:pPr>
      <w:r>
        <w:rPr>
          <w:lang w:val="fr-FR"/>
        </w:rPr>
        <w:t>7.2.4.41</w:t>
      </w:r>
      <w:r>
        <w:rPr>
          <w:lang w:val="fr-FR"/>
        </w:rPr>
        <w:tab/>
        <w:t>Dans la première phrase, après « ou de fumer », ajouter « , y compris des cigarettes électroniques, ».</w:t>
      </w:r>
    </w:p>
    <w:p w14:paraId="76C479E2" w14:textId="77777777" w:rsidR="00D50293" w:rsidRPr="007C77A4" w:rsidRDefault="00D50293" w:rsidP="00D50293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6A84DAA5" w14:textId="77777777" w:rsidR="00D50293" w:rsidRPr="007C77A4" w:rsidRDefault="00D50293" w:rsidP="00D50293">
      <w:pPr>
        <w:pStyle w:val="SingleTxtG"/>
        <w:ind w:left="2268" w:hanging="1134"/>
        <w:rPr>
          <w:lang w:val="fr-FR"/>
        </w:rPr>
      </w:pPr>
      <w:r>
        <w:rPr>
          <w:lang w:val="fr-FR"/>
        </w:rPr>
        <w:t>7.2.5.4.2</w:t>
      </w:r>
      <w:r>
        <w:rPr>
          <w:lang w:val="fr-FR"/>
        </w:rPr>
        <w:tab/>
        <w:t>Modifier le début de la première phrase comme suit :</w:t>
      </w:r>
    </w:p>
    <w:p w14:paraId="05C4DC6A" w14:textId="77777777" w:rsidR="00D50293" w:rsidRPr="007C77A4" w:rsidRDefault="00D50293" w:rsidP="00A0587D">
      <w:pPr>
        <w:pStyle w:val="SingleTxtG"/>
        <w:ind w:left="2268"/>
        <w:rPr>
          <w:lang w:val="fr-FR"/>
        </w:rPr>
      </w:pPr>
      <w:r>
        <w:rPr>
          <w:lang w:val="fr-FR"/>
        </w:rPr>
        <w:t>« Un expert au sens du 8.2.1.2 doit se trouver en permanence à bord... ». Le reste demeure inchangé.</w:t>
      </w:r>
    </w:p>
    <w:p w14:paraId="6C487445" w14:textId="3775563A" w:rsidR="00D50293" w:rsidRDefault="00D50293" w:rsidP="00D50293">
      <w:pPr>
        <w:pStyle w:val="SingleTxtG"/>
        <w:rPr>
          <w:i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027425FC" w14:textId="77777777" w:rsidR="001251D8" w:rsidRPr="00F10460" w:rsidRDefault="001251D8" w:rsidP="001251D8">
      <w:pPr>
        <w:pStyle w:val="H23G"/>
        <w:rPr>
          <w:i/>
          <w:iCs/>
          <w:lang w:val="fr-FR"/>
        </w:rPr>
      </w:pPr>
      <w:r w:rsidRPr="00F10460">
        <w:rPr>
          <w:lang w:val="fr-FR"/>
        </w:rPr>
        <w:tab/>
      </w:r>
      <w:r w:rsidRPr="00F10460">
        <w:rPr>
          <w:lang w:val="fr-FR"/>
        </w:rPr>
        <w:tab/>
        <w:t>Chapitre 7.4</w:t>
      </w:r>
    </w:p>
    <w:p w14:paraId="3CE1DD03" w14:textId="77777777" w:rsidR="001251D8" w:rsidRPr="00F10460" w:rsidRDefault="001251D8" w:rsidP="001251D8">
      <w:pPr>
        <w:pStyle w:val="SingleTxtG"/>
        <w:keepNext/>
        <w:ind w:left="2268" w:hanging="1134"/>
        <w:rPr>
          <w:lang w:val="fr-FR"/>
        </w:rPr>
      </w:pPr>
      <w:r w:rsidRPr="00F10460">
        <w:rPr>
          <w:lang w:val="fr-FR"/>
        </w:rPr>
        <w:t>7.1.4.4.4</w:t>
      </w:r>
      <w:r w:rsidRPr="00F10460">
        <w:rPr>
          <w:lang w:val="fr-FR"/>
        </w:rPr>
        <w:tab/>
        <w:t>Sous « Exemples d</w:t>
      </w:r>
      <w:r>
        <w:rPr>
          <w:lang w:val="fr-FR"/>
        </w:rPr>
        <w:t>’</w:t>
      </w:r>
      <w:r w:rsidRPr="00F10460">
        <w:rPr>
          <w:lang w:val="fr-FR"/>
        </w:rPr>
        <w:t>entreposage et de séparation des conteneurs », « R », modifier la légende comme suit :</w:t>
      </w:r>
    </w:p>
    <w:p w14:paraId="3FE889DC" w14:textId="77777777" w:rsidR="001251D8" w:rsidRPr="00F10460" w:rsidRDefault="001251D8" w:rsidP="00833EC2">
      <w:pPr>
        <w:pStyle w:val="SingleTxtG"/>
        <w:ind w:left="2268"/>
        <w:rPr>
          <w:lang w:val="fr-FR"/>
        </w:rPr>
      </w:pPr>
      <w:r w:rsidRPr="00F10460">
        <w:rPr>
          <w:lang w:val="fr-FR"/>
        </w:rPr>
        <w:t>« </w:t>
      </w:r>
      <w:r w:rsidRPr="00F10460">
        <w:rPr>
          <w:i/>
          <w:iCs/>
          <w:lang w:val="fr-FR"/>
        </w:rPr>
        <w:t>R</w:t>
      </w:r>
      <w:r w:rsidRPr="00F10460">
        <w:rPr>
          <w:lang w:val="fr-FR"/>
        </w:rPr>
        <w:tab/>
        <w:t>Conteneur (frigorifique par exemple) avec un équipement électrique qui ne satisfait pas aux prescriptions énoncées au 7.1.4.4.4 a). ».</w:t>
      </w:r>
    </w:p>
    <w:p w14:paraId="56FDA3F2" w14:textId="77777777" w:rsidR="001251D8" w:rsidRPr="00F10460" w:rsidRDefault="001251D8" w:rsidP="001251D8">
      <w:pPr>
        <w:pStyle w:val="SingleTxtG"/>
        <w:rPr>
          <w:rFonts w:eastAsia="Calibri"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5B8771C0" w14:textId="77777777" w:rsidR="001251D8" w:rsidRPr="00F10460" w:rsidRDefault="001251D8" w:rsidP="001251D8">
      <w:pPr>
        <w:pStyle w:val="SingleTxtG"/>
        <w:keepNext/>
        <w:ind w:left="2268" w:hanging="1134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7.1.4.4.4</w:t>
      </w:r>
      <w:r w:rsidRPr="00F10460">
        <w:rPr>
          <w:rFonts w:eastAsia="Calibri"/>
          <w:lang w:val="fr-FR"/>
        </w:rPr>
        <w:tab/>
        <w:t>Sous « Exemples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entreposage et de séparation des conteneurs », « Z », modifier la légende comme suit :</w:t>
      </w:r>
    </w:p>
    <w:p w14:paraId="7623AFBC" w14:textId="77777777" w:rsidR="001251D8" w:rsidRPr="00F10460" w:rsidRDefault="001251D8" w:rsidP="00833EC2">
      <w:pPr>
        <w:pStyle w:val="SingleTxtG"/>
        <w:ind w:left="2268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« </w:t>
      </w:r>
      <w:r w:rsidRPr="00F10460">
        <w:rPr>
          <w:rFonts w:eastAsia="Calibri"/>
          <w:i/>
          <w:iCs/>
          <w:lang w:val="fr-FR"/>
        </w:rPr>
        <w:t>Z</w:t>
      </w:r>
      <w:r w:rsidRPr="00F10460">
        <w:rPr>
          <w:rFonts w:eastAsia="Calibri"/>
          <w:lang w:val="fr-FR"/>
        </w:rPr>
        <w:tab/>
      </w:r>
      <w:r w:rsidRPr="00833EC2">
        <w:rPr>
          <w:lang w:val="fr-FR"/>
        </w:rPr>
        <w:t>Installations</w:t>
      </w:r>
      <w:r w:rsidRPr="00F10460">
        <w:rPr>
          <w:rFonts w:eastAsia="Calibri"/>
          <w:lang w:val="fr-FR"/>
        </w:rPr>
        <w:t xml:space="preserve"> et équipements électriques qui ne satisfont pas aux prescriptions énoncées au 7.1.4.4.4 a). ».</w:t>
      </w:r>
    </w:p>
    <w:p w14:paraId="5219A918" w14:textId="77777777" w:rsidR="001251D8" w:rsidRPr="00F10460" w:rsidRDefault="001251D8" w:rsidP="001251D8">
      <w:pPr>
        <w:pStyle w:val="SingleTxtG"/>
        <w:rPr>
          <w:rFonts w:eastAsia="Calibri"/>
          <w:i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3D78E9D7" w14:textId="0873B017" w:rsidR="001251D8" w:rsidRPr="00F10460" w:rsidRDefault="001251D8" w:rsidP="001251D8">
      <w:pPr>
        <w:pStyle w:val="H23G"/>
        <w:rPr>
          <w:i/>
          <w:iCs/>
          <w:lang w:val="fr-FR"/>
        </w:rPr>
      </w:pPr>
      <w:r w:rsidRPr="00F10460">
        <w:rPr>
          <w:lang w:val="fr-FR"/>
        </w:rPr>
        <w:tab/>
      </w:r>
      <w:r w:rsidRPr="00F10460">
        <w:rPr>
          <w:lang w:val="fr-FR"/>
        </w:rPr>
        <w:tab/>
        <w:t>Chapitre 8.1</w:t>
      </w:r>
    </w:p>
    <w:p w14:paraId="62AFBB10" w14:textId="77777777" w:rsidR="001251D8" w:rsidRPr="00F10460" w:rsidRDefault="001251D8" w:rsidP="001251D8">
      <w:pPr>
        <w:pStyle w:val="SingleTxtG"/>
        <w:keepNext/>
        <w:ind w:left="2268" w:hanging="1134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8.1.2.9</w:t>
      </w:r>
      <w:r w:rsidRPr="00F10460">
        <w:rPr>
          <w:rFonts w:eastAsia="Calibri"/>
          <w:lang w:val="fr-FR"/>
        </w:rPr>
        <w:tab/>
      </w:r>
      <w:r w:rsidRPr="00F10460">
        <w:rPr>
          <w:rFonts w:eastAsia="Calibri"/>
          <w:lang w:val="fr-FR"/>
        </w:rPr>
        <w:tab/>
      </w:r>
      <w:bookmarkStart w:id="1" w:name="_Hlk63247669"/>
      <w:r w:rsidRPr="00F10460">
        <w:rPr>
          <w:rFonts w:eastAsia="Calibri"/>
          <w:lang w:val="fr-FR"/>
        </w:rPr>
        <w:t>Modifier le début pour lire comme suit :</w:t>
      </w:r>
      <w:bookmarkEnd w:id="1"/>
    </w:p>
    <w:p w14:paraId="0AA84C7A" w14:textId="77777777" w:rsidR="001251D8" w:rsidRPr="00F10460" w:rsidRDefault="001251D8" w:rsidP="001251D8">
      <w:pPr>
        <w:pStyle w:val="SingleTxtG"/>
        <w:ind w:left="2268" w:hanging="1134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« 8.1.2.9</w:t>
      </w:r>
      <w:r w:rsidRPr="00F10460">
        <w:rPr>
          <w:rFonts w:eastAsia="Calibri"/>
          <w:lang w:val="fr-FR"/>
        </w:rPr>
        <w:tab/>
        <w:t>Les prescriptions du 8.1.2.1 b), du 8.1.2.1 g) et du 8.1.2.4 ne sont pas applicables aux bateaux déshuileurs... ». Le reste demeure inchangé.</w:t>
      </w:r>
    </w:p>
    <w:p w14:paraId="2B79C29E" w14:textId="758A9ADD" w:rsidR="00DB0E43" w:rsidRPr="007C77A4" w:rsidRDefault="001251D8" w:rsidP="001251D8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32A169E3" w14:textId="1210BDD5" w:rsidR="00D50293" w:rsidRPr="00A66193" w:rsidRDefault="00D50293" w:rsidP="00D50293">
      <w:pPr>
        <w:pStyle w:val="H23G"/>
        <w:rPr>
          <w:lang w:val="fr-FR"/>
        </w:rPr>
      </w:pPr>
      <w:r w:rsidRPr="00A66193">
        <w:rPr>
          <w:lang w:val="fr-FR"/>
        </w:rPr>
        <w:tab/>
      </w:r>
      <w:r w:rsidRPr="00A66193">
        <w:rPr>
          <w:lang w:val="fr-FR"/>
        </w:rPr>
        <w:tab/>
        <w:t>Chapitre 8.2</w:t>
      </w:r>
    </w:p>
    <w:p w14:paraId="7567F5D0" w14:textId="77777777" w:rsidR="00D50293" w:rsidRPr="00A66193" w:rsidRDefault="00D50293" w:rsidP="00D50293">
      <w:pPr>
        <w:pStyle w:val="SingleTxtG"/>
        <w:ind w:left="2268" w:hanging="1134"/>
        <w:rPr>
          <w:lang w:val="fr-FR"/>
        </w:rPr>
      </w:pPr>
      <w:r w:rsidRPr="00A66193">
        <w:rPr>
          <w:lang w:val="fr-FR"/>
        </w:rPr>
        <w:t>8.2.2.7.2.1</w:t>
      </w:r>
      <w:r w:rsidRPr="00A66193">
        <w:rPr>
          <w:lang w:val="fr-FR"/>
        </w:rPr>
        <w:tab/>
        <w:t>Deuxième phrase, lire</w:t>
      </w:r>
      <w:r>
        <w:rPr>
          <w:lang w:val="fr-FR"/>
        </w:rPr>
        <w:t> </w:t>
      </w:r>
      <w:r w:rsidRPr="00A66193">
        <w:rPr>
          <w:lang w:val="fr-FR"/>
        </w:rPr>
        <w:t xml:space="preserve">: </w:t>
      </w:r>
      <w:r>
        <w:rPr>
          <w:lang w:val="fr-FR"/>
        </w:rPr>
        <w:t>« </w:t>
      </w:r>
      <w:r w:rsidRPr="00A66193">
        <w:rPr>
          <w:lang w:val="fr-FR"/>
        </w:rPr>
        <w:t>Cet examen peut avoir lieu immédiatement après la formation ou dans un délai de six mois suivant la fin de la formation.</w:t>
      </w:r>
      <w:r>
        <w:rPr>
          <w:lang w:val="fr-FR"/>
        </w:rPr>
        <w:t> ».</w:t>
      </w:r>
    </w:p>
    <w:p w14:paraId="304E304A" w14:textId="77777777" w:rsidR="00D50293" w:rsidRDefault="00D50293" w:rsidP="00D50293">
      <w:pPr>
        <w:pStyle w:val="SingleTxtG"/>
        <w:ind w:left="2268" w:hanging="1134"/>
        <w:rPr>
          <w:i/>
          <w:iCs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429F46F2" w14:textId="274F4768" w:rsidR="00D50293" w:rsidRPr="00E9099B" w:rsidRDefault="00D50293" w:rsidP="00D5029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Chapitre 8.6</w:t>
      </w:r>
    </w:p>
    <w:p w14:paraId="7371975D" w14:textId="77777777" w:rsidR="00D50293" w:rsidRPr="00E9099B" w:rsidRDefault="00D50293" w:rsidP="00D50293">
      <w:pPr>
        <w:pStyle w:val="SingleTxtG"/>
        <w:ind w:left="2268" w:hanging="1134"/>
        <w:rPr>
          <w:color w:val="000000"/>
          <w:lang w:val="fr-FR"/>
        </w:rPr>
      </w:pPr>
      <w:r>
        <w:rPr>
          <w:lang w:val="fr-FR"/>
        </w:rPr>
        <w:t>8.6.1.1 et 8.6.1.2</w:t>
      </w:r>
      <w:r>
        <w:rPr>
          <w:lang w:val="fr-FR"/>
        </w:rPr>
        <w:tab/>
        <w:t>Point 4, remplacer « Exigences supplémentaires » par « Exigences ».</w:t>
      </w:r>
    </w:p>
    <w:p w14:paraId="67C8C8BD" w14:textId="77777777" w:rsidR="00D50293" w:rsidRPr="00E9099B" w:rsidRDefault="00D50293" w:rsidP="00D50293">
      <w:pPr>
        <w:pStyle w:val="SingleTxtG"/>
        <w:rPr>
          <w:i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1CC9E18A" w14:textId="77777777" w:rsidR="00D50293" w:rsidRPr="00E9099B" w:rsidRDefault="00D50293" w:rsidP="00D50293">
      <w:pPr>
        <w:pStyle w:val="SingleTxtG"/>
        <w:ind w:left="2268" w:hanging="1134"/>
        <w:rPr>
          <w:iCs/>
          <w:lang w:val="fr-FR"/>
        </w:rPr>
      </w:pPr>
      <w:r>
        <w:rPr>
          <w:lang w:val="fr-FR"/>
        </w:rPr>
        <w:t>8.6.1.1</w:t>
      </w:r>
      <w:r>
        <w:rPr>
          <w:lang w:val="fr-FR"/>
        </w:rPr>
        <w:tab/>
      </w:r>
      <w:r>
        <w:rPr>
          <w:lang w:val="fr-FR"/>
        </w:rPr>
        <w:tab/>
        <w:t>Point 8, phrase d'introduction, lire « Le présent certificat est délivré sur la base : ».</w:t>
      </w:r>
    </w:p>
    <w:p w14:paraId="07DE2DAC" w14:textId="77777777" w:rsidR="00D50293" w:rsidRPr="00E9099B" w:rsidRDefault="00D50293" w:rsidP="00D50293">
      <w:pPr>
        <w:pStyle w:val="SingleTxtG"/>
        <w:rPr>
          <w:iCs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718ADE59" w14:textId="27732F02" w:rsidR="00D50293" w:rsidRPr="00A66193" w:rsidRDefault="00D50293" w:rsidP="00D50293">
      <w:pPr>
        <w:pStyle w:val="H23G"/>
        <w:rPr>
          <w:lang w:val="fr-FR"/>
        </w:rPr>
      </w:pPr>
      <w:r w:rsidRPr="00A66193">
        <w:rPr>
          <w:lang w:val="fr-FR"/>
        </w:rPr>
        <w:tab/>
      </w:r>
      <w:r w:rsidRPr="00A66193">
        <w:rPr>
          <w:lang w:val="fr-FR"/>
        </w:rPr>
        <w:tab/>
      </w:r>
      <w:r w:rsidRPr="00A66193">
        <w:rPr>
          <w:bCs/>
          <w:lang w:val="fr-FR"/>
        </w:rPr>
        <w:t>Chapitre 9.3</w:t>
      </w:r>
    </w:p>
    <w:p w14:paraId="7780E561" w14:textId="77777777" w:rsidR="00D50293" w:rsidRPr="00A66193" w:rsidRDefault="00D50293" w:rsidP="00D50293">
      <w:pPr>
        <w:pStyle w:val="SingleTxtG"/>
        <w:ind w:left="2268" w:hanging="1134"/>
        <w:rPr>
          <w:lang w:val="fr-FR"/>
        </w:rPr>
      </w:pPr>
      <w:r w:rsidRPr="00A66193">
        <w:rPr>
          <w:lang w:val="fr-FR"/>
        </w:rPr>
        <w:t>9.3.1.0</w:t>
      </w:r>
      <w:r w:rsidRPr="00A66193">
        <w:rPr>
          <w:lang w:val="fr-FR"/>
        </w:rPr>
        <w:tab/>
      </w:r>
      <w:r w:rsidRPr="00A66193">
        <w:rPr>
          <w:lang w:val="fr-FR"/>
        </w:rPr>
        <w:tab/>
        <w:t>Modifier comme suit :</w:t>
      </w:r>
    </w:p>
    <w:p w14:paraId="26ECAD8E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>Le premier paragraphe du 9.3.1.0.1</w:t>
      </w:r>
      <w:r>
        <w:rPr>
          <w:lang w:val="fr-FR"/>
        </w:rPr>
        <w:t> </w:t>
      </w:r>
      <w:r w:rsidRPr="00A66193">
        <w:rPr>
          <w:lang w:val="fr-FR"/>
        </w:rPr>
        <w:t xml:space="preserve">a) devient le 9.3.1.0.1.1. À la fin, après </w:t>
      </w:r>
      <w:r w:rsidRPr="00033A88">
        <w:rPr>
          <w:lang w:val="fr-FR"/>
        </w:rPr>
        <w:t>« au moins</w:t>
      </w:r>
      <w:r w:rsidRPr="00A66193">
        <w:rPr>
          <w:lang w:val="fr-FR"/>
        </w:rPr>
        <w:t xml:space="preserve"> équivalente</w:t>
      </w:r>
      <w:r>
        <w:rPr>
          <w:lang w:val="fr-FR"/>
        </w:rPr>
        <w:t> »</w:t>
      </w:r>
      <w:r w:rsidRPr="00A66193">
        <w:rPr>
          <w:lang w:val="fr-FR"/>
        </w:rPr>
        <w:t xml:space="preserve">, ajouter </w:t>
      </w:r>
      <w:r>
        <w:rPr>
          <w:lang w:val="fr-FR"/>
        </w:rPr>
        <w:t>« </w:t>
      </w:r>
      <w:r w:rsidRPr="00A66193">
        <w:rPr>
          <w:lang w:val="fr-FR"/>
        </w:rPr>
        <w:t xml:space="preserve">, sans préjudice des dispositions spéciales énoncées dans la colonne (20) </w:t>
      </w:r>
      <w:r w:rsidRPr="003608B5">
        <w:rPr>
          <w:lang w:val="fr-FR"/>
        </w:rPr>
        <w:t>(</w:t>
      </w:r>
      <w:r w:rsidRPr="003608B5">
        <w:t>“</w:t>
      </w:r>
      <w:r w:rsidRPr="003608B5">
        <w:rPr>
          <w:lang w:val="fr-FR"/>
        </w:rPr>
        <w:t>Exigences supplémentaires/Observations</w:t>
      </w:r>
      <w:r w:rsidRPr="003608B5">
        <w:t>”</w:t>
      </w:r>
      <w:r w:rsidRPr="003608B5">
        <w:rPr>
          <w:lang w:val="fr-FR"/>
        </w:rPr>
        <w:t>)</w:t>
      </w:r>
      <w:r w:rsidRPr="00A66193">
        <w:rPr>
          <w:lang w:val="fr-FR"/>
        </w:rPr>
        <w:t xml:space="preserve"> du tableau C du chapitre 3.2</w:t>
      </w:r>
      <w:r>
        <w:rPr>
          <w:lang w:val="fr-FR"/>
        </w:rPr>
        <w:t> ».</w:t>
      </w:r>
    </w:p>
    <w:p w14:paraId="60CAE90A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>Le second paragraphe du 9.3.1.0.1</w:t>
      </w:r>
      <w:r>
        <w:rPr>
          <w:lang w:val="fr-FR"/>
        </w:rPr>
        <w:t> </w:t>
      </w:r>
      <w:r w:rsidRPr="00A66193">
        <w:rPr>
          <w:lang w:val="fr-FR"/>
        </w:rPr>
        <w:t>a) devient le 9.3.1.0.1.2.</w:t>
      </w:r>
    </w:p>
    <w:p w14:paraId="635B1745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>Le 9.3.1.0.1</w:t>
      </w:r>
      <w:r>
        <w:rPr>
          <w:lang w:val="fr-FR"/>
        </w:rPr>
        <w:t> </w:t>
      </w:r>
      <w:r w:rsidRPr="00A66193">
        <w:rPr>
          <w:lang w:val="fr-FR"/>
        </w:rPr>
        <w:t>b) devient le 9.3.1.0.2.</w:t>
      </w:r>
    </w:p>
    <w:p w14:paraId="3898AED3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lastRenderedPageBreak/>
        <w:t xml:space="preserve">Le 9.3.1.0.2 devient le 9.3.1.0.3. Remplacer </w:t>
      </w:r>
      <w:r>
        <w:rPr>
          <w:lang w:val="fr-FR"/>
        </w:rPr>
        <w:t>« </w:t>
      </w:r>
      <w:r w:rsidRPr="00A66193">
        <w:rPr>
          <w:lang w:val="fr-FR"/>
        </w:rPr>
        <w:t>des matières plastiques ou de caoutchouc</w:t>
      </w:r>
      <w:r>
        <w:rPr>
          <w:lang w:val="fr-FR"/>
        </w:rPr>
        <w:t> »</w:t>
      </w:r>
      <w:r w:rsidRPr="00A66193">
        <w:rPr>
          <w:lang w:val="fr-FR"/>
        </w:rPr>
        <w:t xml:space="preserve"> par </w:t>
      </w:r>
      <w:r>
        <w:rPr>
          <w:lang w:val="fr-FR"/>
        </w:rPr>
        <w:t>« </w:t>
      </w:r>
      <w:r w:rsidRPr="00A66193">
        <w:rPr>
          <w:lang w:val="fr-FR"/>
        </w:rPr>
        <w:t>des matières plastiques, de caoutchouc, de verre ou de matériau composite</w:t>
      </w:r>
      <w:r>
        <w:rPr>
          <w:lang w:val="fr-FR"/>
        </w:rPr>
        <w:t> »</w:t>
      </w:r>
      <w:r w:rsidRPr="00A66193">
        <w:rPr>
          <w:lang w:val="fr-FR"/>
        </w:rPr>
        <w:t>.</w:t>
      </w:r>
    </w:p>
    <w:p w14:paraId="547798B0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 xml:space="preserve">Le 9.3.1.0.3 devient le 9.3.1.0.4. Remplacer </w:t>
      </w:r>
      <w:r>
        <w:rPr>
          <w:lang w:val="fr-FR"/>
        </w:rPr>
        <w:t>« </w:t>
      </w:r>
      <w:r w:rsidRPr="00A66193">
        <w:rPr>
          <w:lang w:val="fr-FR"/>
        </w:rPr>
        <w:t>de matières plastiques ou de caoutchouc</w:t>
      </w:r>
      <w:r>
        <w:rPr>
          <w:lang w:val="fr-FR"/>
        </w:rPr>
        <w:t> »</w:t>
      </w:r>
      <w:r w:rsidRPr="00A66193">
        <w:rPr>
          <w:lang w:val="fr-FR"/>
        </w:rPr>
        <w:t xml:space="preserve"> par </w:t>
      </w:r>
      <w:r>
        <w:rPr>
          <w:lang w:val="fr-FR"/>
        </w:rPr>
        <w:t>« </w:t>
      </w:r>
      <w:r w:rsidRPr="00A66193">
        <w:rPr>
          <w:lang w:val="fr-FR"/>
        </w:rPr>
        <w:t>de matières plastiques, de caoutchouc, de verre ou de matériau composite</w:t>
      </w:r>
      <w:r>
        <w:rPr>
          <w:lang w:val="fr-FR"/>
        </w:rPr>
        <w:t> »</w:t>
      </w:r>
      <w:r w:rsidRPr="00A66193">
        <w:rPr>
          <w:lang w:val="fr-FR"/>
        </w:rPr>
        <w:t>.</w:t>
      </w:r>
    </w:p>
    <w:p w14:paraId="0B296F15" w14:textId="77777777" w:rsidR="00D50293" w:rsidRPr="00A66193" w:rsidRDefault="00D50293" w:rsidP="00D50293">
      <w:pPr>
        <w:pStyle w:val="SingleTxtG"/>
        <w:rPr>
          <w:i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4F97359F" w14:textId="77777777" w:rsidR="00D50293" w:rsidRPr="00A66193" w:rsidRDefault="00D50293" w:rsidP="00D50293">
      <w:pPr>
        <w:pStyle w:val="SingleTxtG"/>
        <w:ind w:left="2268" w:hanging="1134"/>
        <w:rPr>
          <w:lang w:val="fr-FR"/>
        </w:rPr>
      </w:pPr>
      <w:r w:rsidRPr="00A66193">
        <w:rPr>
          <w:lang w:val="fr-FR"/>
        </w:rPr>
        <w:t>9.3.2.0</w:t>
      </w:r>
      <w:r>
        <w:rPr>
          <w:lang w:val="fr-FR"/>
        </w:rPr>
        <w:t xml:space="preserve"> </w:t>
      </w:r>
      <w:r w:rsidRPr="00A66193">
        <w:rPr>
          <w:lang w:val="fr-FR"/>
        </w:rPr>
        <w:t>et 9.3.3.0</w:t>
      </w:r>
      <w:r w:rsidRPr="00A66193">
        <w:rPr>
          <w:lang w:val="fr-FR"/>
        </w:rPr>
        <w:tab/>
        <w:t>Modifier comme suit :</w:t>
      </w:r>
    </w:p>
    <w:p w14:paraId="76F0E90E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>Les premiers paragraphes du 9.3.2.0.1</w:t>
      </w:r>
      <w:r>
        <w:rPr>
          <w:lang w:val="fr-FR"/>
        </w:rPr>
        <w:t> </w:t>
      </w:r>
      <w:r w:rsidRPr="00A66193">
        <w:rPr>
          <w:lang w:val="fr-FR"/>
        </w:rPr>
        <w:t>a) et du 9.3.3.0.1</w:t>
      </w:r>
      <w:r>
        <w:rPr>
          <w:lang w:val="fr-FR"/>
        </w:rPr>
        <w:t> </w:t>
      </w:r>
      <w:r w:rsidRPr="00A66193">
        <w:rPr>
          <w:lang w:val="fr-FR"/>
        </w:rPr>
        <w:t xml:space="preserve">a) deviennent les 9.3.2.0.1.1 et 9.3.3.0.1.1, respectivement. À la fin, après </w:t>
      </w:r>
      <w:r>
        <w:rPr>
          <w:lang w:val="fr-FR"/>
        </w:rPr>
        <w:t>« </w:t>
      </w:r>
      <w:r w:rsidRPr="00A66193">
        <w:rPr>
          <w:lang w:val="fr-FR"/>
        </w:rPr>
        <w:t>au moins équivalente</w:t>
      </w:r>
      <w:r>
        <w:rPr>
          <w:lang w:val="fr-FR"/>
        </w:rPr>
        <w:t> »</w:t>
      </w:r>
      <w:r w:rsidRPr="00A66193">
        <w:rPr>
          <w:lang w:val="fr-FR"/>
        </w:rPr>
        <w:t xml:space="preserve">, ajouter </w:t>
      </w:r>
      <w:r>
        <w:rPr>
          <w:lang w:val="fr-FR"/>
        </w:rPr>
        <w:t>« </w:t>
      </w:r>
      <w:r w:rsidRPr="00A66193">
        <w:rPr>
          <w:lang w:val="fr-FR"/>
        </w:rPr>
        <w:t>, sans préjudice des dispositions spéciales énoncées dans la colonne (20) (</w:t>
      </w:r>
      <w:r w:rsidRPr="0062504C">
        <w:t>“</w:t>
      </w:r>
      <w:r w:rsidRPr="00A66193">
        <w:rPr>
          <w:lang w:val="fr-FR"/>
        </w:rPr>
        <w:t>Exigences supplémentaires/Observations</w:t>
      </w:r>
      <w:r w:rsidRPr="0062504C">
        <w:t>”</w:t>
      </w:r>
      <w:r w:rsidRPr="00A66193">
        <w:rPr>
          <w:lang w:val="fr-FR"/>
        </w:rPr>
        <w:t>) du tableau</w:t>
      </w:r>
      <w:r>
        <w:rPr>
          <w:lang w:val="fr-FR"/>
        </w:rPr>
        <w:t> </w:t>
      </w:r>
      <w:r w:rsidRPr="00A66193">
        <w:rPr>
          <w:lang w:val="fr-FR"/>
        </w:rPr>
        <w:t>C du chapitre 3.2</w:t>
      </w:r>
      <w:r>
        <w:rPr>
          <w:lang w:val="fr-FR"/>
        </w:rPr>
        <w:t> ».</w:t>
      </w:r>
    </w:p>
    <w:p w14:paraId="1329A531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>Les seconds paragraphes du 9.3.2.0.1</w:t>
      </w:r>
      <w:r>
        <w:rPr>
          <w:lang w:val="fr-FR"/>
        </w:rPr>
        <w:t> </w:t>
      </w:r>
      <w:r w:rsidRPr="00A66193">
        <w:rPr>
          <w:lang w:val="fr-FR"/>
        </w:rPr>
        <w:t>a) et du 9.3.3.0.1</w:t>
      </w:r>
      <w:r>
        <w:rPr>
          <w:lang w:val="fr-FR"/>
        </w:rPr>
        <w:t> </w:t>
      </w:r>
      <w:r w:rsidRPr="00A66193">
        <w:rPr>
          <w:lang w:val="fr-FR"/>
        </w:rPr>
        <w:t>a) deviennent les 9.3.2.0.1.2 et 9.3.3.0.1.2, respectivement.</w:t>
      </w:r>
    </w:p>
    <w:p w14:paraId="3FB2F9E1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>Les 9.3.2.0.1</w:t>
      </w:r>
      <w:r>
        <w:rPr>
          <w:lang w:val="fr-FR"/>
        </w:rPr>
        <w:t> </w:t>
      </w:r>
      <w:r w:rsidRPr="00A66193">
        <w:rPr>
          <w:lang w:val="fr-FR"/>
        </w:rPr>
        <w:t>b) et 9.3.3.0.1</w:t>
      </w:r>
      <w:r>
        <w:rPr>
          <w:lang w:val="fr-FR"/>
        </w:rPr>
        <w:t> </w:t>
      </w:r>
      <w:r w:rsidRPr="00A66193">
        <w:rPr>
          <w:lang w:val="fr-FR"/>
        </w:rPr>
        <w:t>b) deviennent les 9.3.2.0.2 et 9.3.3.0.2, respectivement.</w:t>
      </w:r>
    </w:p>
    <w:p w14:paraId="5029059A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 xml:space="preserve">Les 9.3.2.0.2 et 9.3.3.0.2 deviennent les 9.3.2.0.3 et 9.3.3.0.3, respectivement. Remplacer </w:t>
      </w:r>
      <w:r>
        <w:rPr>
          <w:lang w:val="fr-FR"/>
        </w:rPr>
        <w:t>« </w:t>
      </w:r>
      <w:r w:rsidRPr="00A66193">
        <w:rPr>
          <w:lang w:val="fr-FR"/>
        </w:rPr>
        <w:t>des matières plastiques ou de caoutchouc</w:t>
      </w:r>
      <w:r>
        <w:rPr>
          <w:lang w:val="fr-FR"/>
        </w:rPr>
        <w:t> »</w:t>
      </w:r>
      <w:r w:rsidRPr="00A66193">
        <w:rPr>
          <w:lang w:val="fr-FR"/>
        </w:rPr>
        <w:t xml:space="preserve"> par </w:t>
      </w:r>
      <w:r>
        <w:rPr>
          <w:lang w:val="fr-FR"/>
        </w:rPr>
        <w:t>« </w:t>
      </w:r>
      <w:r w:rsidRPr="00A66193">
        <w:rPr>
          <w:lang w:val="fr-FR"/>
        </w:rPr>
        <w:t>des matières plastiques, de caoutchouc, de verre ou de matériau composite</w:t>
      </w:r>
      <w:r>
        <w:rPr>
          <w:lang w:val="fr-FR"/>
        </w:rPr>
        <w:t> »</w:t>
      </w:r>
      <w:r w:rsidRPr="00A66193">
        <w:rPr>
          <w:lang w:val="fr-FR"/>
        </w:rPr>
        <w:t>.</w:t>
      </w:r>
    </w:p>
    <w:p w14:paraId="50C8CF1E" w14:textId="77777777" w:rsidR="00D50293" w:rsidRPr="00A66193" w:rsidRDefault="00D50293" w:rsidP="00D50293">
      <w:pPr>
        <w:pStyle w:val="SingleTxtG"/>
        <w:ind w:left="2268"/>
        <w:rPr>
          <w:lang w:val="fr-FR"/>
        </w:rPr>
      </w:pPr>
      <w:r w:rsidRPr="00A66193">
        <w:rPr>
          <w:lang w:val="fr-FR"/>
        </w:rPr>
        <w:t xml:space="preserve">Les 9.3.2.0.3 et 9.3.3.0.3 deviennent les 9.3.2.0.4 et 9.3.3.0.4, respectivement. Remplacer </w:t>
      </w:r>
      <w:r>
        <w:rPr>
          <w:lang w:val="fr-FR"/>
        </w:rPr>
        <w:t>« </w:t>
      </w:r>
      <w:r w:rsidRPr="00A66193">
        <w:rPr>
          <w:lang w:val="fr-FR"/>
        </w:rPr>
        <w:t>de matières plastiques ou de caoutchouc</w:t>
      </w:r>
      <w:r>
        <w:rPr>
          <w:lang w:val="fr-FR"/>
        </w:rPr>
        <w:t> »</w:t>
      </w:r>
      <w:r w:rsidRPr="00A66193">
        <w:rPr>
          <w:lang w:val="fr-FR"/>
        </w:rPr>
        <w:t xml:space="preserve"> par </w:t>
      </w:r>
      <w:r>
        <w:rPr>
          <w:lang w:val="fr-FR"/>
        </w:rPr>
        <w:t>« </w:t>
      </w:r>
      <w:r w:rsidRPr="00A66193">
        <w:rPr>
          <w:lang w:val="fr-FR"/>
        </w:rPr>
        <w:t>de matières plastiques, de caoutchouc, de verre ou de matériau composit</w:t>
      </w:r>
      <w:r>
        <w:rPr>
          <w:lang w:val="fr-FR"/>
        </w:rPr>
        <w:t>e »</w:t>
      </w:r>
      <w:r w:rsidRPr="00A66193">
        <w:rPr>
          <w:lang w:val="fr-FR"/>
        </w:rPr>
        <w:t>.</w:t>
      </w:r>
    </w:p>
    <w:p w14:paraId="42BE9A80" w14:textId="77777777" w:rsidR="00D50293" w:rsidRPr="00A66193" w:rsidRDefault="00D50293" w:rsidP="00D50293">
      <w:pPr>
        <w:pStyle w:val="SingleTxtG"/>
        <w:rPr>
          <w:i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2539E9DB" w14:textId="77777777" w:rsidR="00D50293" w:rsidRDefault="00D50293" w:rsidP="00D50293">
      <w:pPr>
        <w:pStyle w:val="SingleTxtG"/>
        <w:ind w:left="2268" w:hanging="1134"/>
      </w:pPr>
      <w:r w:rsidRPr="00A66193">
        <w:rPr>
          <w:lang w:val="fr-FR"/>
        </w:rPr>
        <w:t>9.3</w:t>
      </w:r>
      <w:r>
        <w:rPr>
          <w:lang w:val="fr-FR"/>
        </w:rPr>
        <w:t>.</w:t>
      </w:r>
      <w:r w:rsidRPr="00A66193">
        <w:rPr>
          <w:lang w:val="fr-FR"/>
        </w:rPr>
        <w:t>x</w:t>
      </w:r>
      <w:r>
        <w:rPr>
          <w:lang w:val="fr-FR"/>
        </w:rPr>
        <w:t>.</w:t>
      </w:r>
      <w:r w:rsidRPr="00A66193">
        <w:rPr>
          <w:lang w:val="fr-FR"/>
        </w:rPr>
        <w:t>0</w:t>
      </w:r>
      <w:r w:rsidRPr="00A66193">
        <w:rPr>
          <w:lang w:val="fr-FR"/>
        </w:rPr>
        <w:tab/>
      </w:r>
      <w:r w:rsidRPr="00A66193">
        <w:rPr>
          <w:lang w:val="fr-FR"/>
        </w:rPr>
        <w:tab/>
        <w:t>Remplacer le tableau sous le 9.3</w:t>
      </w:r>
      <w:r>
        <w:rPr>
          <w:lang w:val="fr-FR"/>
        </w:rPr>
        <w:t>.</w:t>
      </w:r>
      <w:r w:rsidRPr="00A66193">
        <w:rPr>
          <w:lang w:val="fr-FR"/>
        </w:rPr>
        <w:t>x</w:t>
      </w:r>
      <w:r>
        <w:rPr>
          <w:lang w:val="fr-FR"/>
        </w:rPr>
        <w:t>.</w:t>
      </w:r>
      <w:r w:rsidRPr="00A66193">
        <w:rPr>
          <w:lang w:val="fr-FR"/>
        </w:rPr>
        <w:t>0.4 (anciennement 9.3</w:t>
      </w:r>
      <w:r>
        <w:rPr>
          <w:lang w:val="fr-FR"/>
        </w:rPr>
        <w:t>.</w:t>
      </w:r>
      <w:r w:rsidRPr="00A66193">
        <w:rPr>
          <w:lang w:val="fr-FR"/>
        </w:rPr>
        <w:t>x</w:t>
      </w:r>
      <w:r>
        <w:rPr>
          <w:lang w:val="fr-FR"/>
        </w:rPr>
        <w:t>.</w:t>
      </w:r>
      <w:r w:rsidRPr="00A66193">
        <w:rPr>
          <w:lang w:val="fr-FR"/>
        </w:rPr>
        <w:t>0.3) par le tableau suivant</w:t>
      </w:r>
      <w:r>
        <w:rPr>
          <w:lang w:val="fr-FR"/>
        </w:rPr>
        <w:t> </w:t>
      </w:r>
      <w:r w:rsidRPr="00A66193">
        <w:rPr>
          <w:lang w:val="fr-FR"/>
        </w:rPr>
        <w:t>:</w:t>
      </w:r>
    </w:p>
    <w:p w14:paraId="39CD49BB" w14:textId="77777777" w:rsidR="00D50293" w:rsidRDefault="00D50293" w:rsidP="00D5029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</w:p>
    <w:p w14:paraId="1392563D" w14:textId="77777777" w:rsidR="00D50293" w:rsidRDefault="00D50293" w:rsidP="00D5029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sectPr w:rsidR="00D50293" w:rsidSect="00F0081A">
          <w:headerReference w:type="even" r:id="rId21"/>
          <w:headerReference w:type="default" r:id="rId22"/>
          <w:footerReference w:type="even" r:id="rId23"/>
          <w:footerReference w:type="default" r:id="rId24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70032AB0" w14:textId="77777777" w:rsidR="00D50293" w:rsidRPr="0062504C" w:rsidRDefault="00D50293" w:rsidP="00D50293">
      <w:pPr>
        <w:pStyle w:val="SingleTxtG"/>
        <w:rPr>
          <w:b/>
          <w:bCs/>
          <w:lang w:val="fr-FR"/>
        </w:rPr>
      </w:pPr>
      <w:r w:rsidRPr="0062504C">
        <w:rPr>
          <w:b/>
          <w:bCs/>
          <w:lang w:val="fr-FR"/>
        </w:rPr>
        <w:lastRenderedPageBreak/>
        <w:t>(X signifie «</w:t>
      </w:r>
      <w:r>
        <w:rPr>
          <w:b/>
          <w:bCs/>
          <w:lang w:val="fr-FR"/>
        </w:rPr>
        <w:t> </w:t>
      </w:r>
      <w:r w:rsidRPr="0062504C">
        <w:rPr>
          <w:b/>
          <w:bCs/>
          <w:lang w:val="fr-FR"/>
        </w:rPr>
        <w:t>autorisé</w:t>
      </w:r>
      <w:r>
        <w:rPr>
          <w:b/>
          <w:bCs/>
          <w:lang w:val="fr-FR"/>
        </w:rPr>
        <w:t> </w:t>
      </w:r>
      <w:r w:rsidRPr="0062504C">
        <w:rPr>
          <w:b/>
          <w:bCs/>
          <w:lang w:val="fr-FR"/>
        </w:rPr>
        <w:t>»)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9"/>
        <w:gridCol w:w="1260"/>
        <w:gridCol w:w="1554"/>
        <w:gridCol w:w="1834"/>
        <w:gridCol w:w="1553"/>
        <w:gridCol w:w="1408"/>
      </w:tblGrid>
      <w:tr w:rsidR="00D50293" w:rsidRPr="00A66193" w14:paraId="1D91F37C" w14:textId="77777777" w:rsidTr="00F0081A">
        <w:trPr>
          <w:trHeight w:val="270"/>
          <w:tblHeader/>
        </w:trPr>
        <w:tc>
          <w:tcPr>
            <w:tcW w:w="616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4899B8C" w14:textId="77777777" w:rsidR="00D50293" w:rsidRPr="0062504C" w:rsidRDefault="00D50293" w:rsidP="00F0081A">
            <w:pPr>
              <w:spacing w:before="80" w:after="80" w:line="200" w:lineRule="exact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1C34" w14:textId="77777777" w:rsidR="00D50293" w:rsidRPr="0062504C" w:rsidRDefault="00D50293" w:rsidP="00F0081A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fr-FR"/>
              </w:rPr>
            </w:pPr>
            <w:r w:rsidRPr="0062504C">
              <w:rPr>
                <w:b/>
                <w:bCs/>
                <w:i/>
                <w:iCs/>
                <w:sz w:val="16"/>
                <w:szCs w:val="16"/>
                <w:lang w:val="fr-FR"/>
              </w:rPr>
              <w:t>Bois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743E8A3" w14:textId="77777777" w:rsidR="00D50293" w:rsidRPr="0062504C" w:rsidRDefault="00D50293" w:rsidP="00F0081A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fr-FR"/>
              </w:rPr>
            </w:pPr>
            <w:r w:rsidRPr="0062504C">
              <w:rPr>
                <w:b/>
                <w:bCs/>
                <w:i/>
                <w:iCs/>
                <w:sz w:val="16"/>
                <w:szCs w:val="16"/>
                <w:lang w:val="fr-FR"/>
              </w:rPr>
              <w:t>Alliages d’aluminium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53405E80" w14:textId="77777777" w:rsidR="00D50293" w:rsidRPr="0062504C" w:rsidRDefault="00D50293" w:rsidP="00F0081A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fr-FR"/>
              </w:rPr>
            </w:pPr>
            <w:r w:rsidRPr="0062504C">
              <w:rPr>
                <w:b/>
                <w:bCs/>
                <w:i/>
                <w:iCs/>
                <w:sz w:val="16"/>
                <w:szCs w:val="16"/>
                <w:lang w:val="fr-FR"/>
              </w:rPr>
              <w:t>Matières plastiques/ Matériaux composites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776318F" w14:textId="77777777" w:rsidR="00D50293" w:rsidRPr="0062504C" w:rsidRDefault="00D50293" w:rsidP="00F0081A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fr-FR"/>
              </w:rPr>
            </w:pPr>
            <w:r w:rsidRPr="0062504C">
              <w:rPr>
                <w:b/>
                <w:bCs/>
                <w:i/>
                <w:iCs/>
                <w:sz w:val="16"/>
                <w:szCs w:val="16"/>
                <w:lang w:val="fr-FR"/>
              </w:rPr>
              <w:t>Caoutchouc</w:t>
            </w:r>
          </w:p>
        </w:tc>
        <w:tc>
          <w:tcPr>
            <w:tcW w:w="1408" w:type="dxa"/>
          </w:tcPr>
          <w:p w14:paraId="3C582BB8" w14:textId="77777777" w:rsidR="00D50293" w:rsidRPr="0062504C" w:rsidRDefault="00D50293" w:rsidP="00F0081A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fr-FR"/>
              </w:rPr>
            </w:pPr>
            <w:r w:rsidRPr="0062504C">
              <w:rPr>
                <w:b/>
                <w:bCs/>
                <w:i/>
                <w:iCs/>
                <w:sz w:val="16"/>
                <w:szCs w:val="16"/>
                <w:lang w:val="fr-FR"/>
              </w:rPr>
              <w:t>Verre</w:t>
            </w:r>
          </w:p>
        </w:tc>
      </w:tr>
      <w:tr w:rsidR="00D50293" w:rsidRPr="0062504C" w14:paraId="76C323D8" w14:textId="77777777" w:rsidTr="00E063F2">
        <w:tc>
          <w:tcPr>
            <w:tcW w:w="6169" w:type="dxa"/>
            <w:shd w:val="clear" w:color="auto" w:fill="auto"/>
            <w:vAlign w:val="bottom"/>
          </w:tcPr>
          <w:p w14:paraId="03369406" w14:textId="77777777" w:rsidR="00D50293" w:rsidRPr="0062504C" w:rsidRDefault="00D50293" w:rsidP="00F0081A">
            <w:pPr>
              <w:spacing w:before="60" w:after="60"/>
              <w:rPr>
                <w:b/>
                <w:lang w:val="fr-FR"/>
              </w:rPr>
            </w:pPr>
            <w:r w:rsidRPr="0062504C">
              <w:rPr>
                <w:b/>
                <w:bCs/>
                <w:lang w:val="fr-FR"/>
              </w:rPr>
              <w:t>Éléments fixés à demeure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D95197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2F1BFC87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FB39C62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8835789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408" w:type="dxa"/>
            <w:shd w:val="clear" w:color="auto" w:fill="auto"/>
          </w:tcPr>
          <w:p w14:paraId="31C1E6E1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</w:tr>
      <w:tr w:rsidR="00D50293" w:rsidRPr="0062504C" w14:paraId="4B943412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37431B11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Calage de citernes à cargaison indépendantes de la coque et calage d’installations et équipements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722FE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BA534E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1BEC007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7DA16E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14ACFDE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745346E7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0F9E6B23" w14:textId="159800E3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B82C08">
              <w:rPr>
                <w:lang w:val="fr-FR"/>
              </w:rPr>
              <w:t xml:space="preserve">Mâts et </w:t>
            </w:r>
            <w:r w:rsidRPr="00B82C08" w:rsidDel="00022EA4">
              <w:rPr>
                <w:lang w:val="fr-FR"/>
              </w:rPr>
              <w:t>mâtures</w:t>
            </w:r>
            <w:r w:rsidR="00DD22C7" w:rsidRPr="00B82C08">
              <w:rPr>
                <w:lang w:val="fr-FR"/>
              </w:rPr>
              <w:t xml:space="preserve"> </w:t>
            </w:r>
            <w:r w:rsidRPr="00B82C08">
              <w:rPr>
                <w:lang w:val="fr-FR"/>
              </w:rPr>
              <w:t>similaire</w:t>
            </w:r>
            <w:r w:rsidRPr="00B82C08" w:rsidDel="00640C93">
              <w:rPr>
                <w:lang w:val="fr-FR"/>
              </w:rPr>
              <w:t>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80D3F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85071B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126474D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48A311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6488EF5A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44E12C50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39D40BBF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Parties de machines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D373B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90BA28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5E65F2F9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8271892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5EE651E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5D74E4E2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0D6DDCA5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Habillage de protection de moteurs et de pompes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B668C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2DE750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B3C8C79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CE5CC42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36D9D2B3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3B04D213" w14:textId="77777777" w:rsidTr="00F0081A">
        <w:tc>
          <w:tcPr>
            <w:tcW w:w="6169" w:type="dxa"/>
            <w:shd w:val="clear" w:color="auto" w:fill="auto"/>
          </w:tcPr>
          <w:p w14:paraId="687D935B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Panneaux d’avertissement (accès à bord interdit et interdiction de fumer)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8B016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53C24D45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01B436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0F4CEF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1AB55ED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5A83C8F3" w14:textId="77777777" w:rsidTr="00F0081A">
        <w:tc>
          <w:tcPr>
            <w:tcW w:w="6169" w:type="dxa"/>
            <w:vMerge w:val="restart"/>
            <w:shd w:val="clear" w:color="auto" w:fill="auto"/>
            <w:hideMark/>
          </w:tcPr>
          <w:p w14:paraId="42FBE690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Parties de l’installation électrique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C8FCFA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D9DD46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6AEADF4A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F85129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3F271CA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4A5FF819" w14:textId="77777777" w:rsidTr="00F0081A">
        <w:tc>
          <w:tcPr>
            <w:tcW w:w="6169" w:type="dxa"/>
            <w:vMerge/>
            <w:shd w:val="clear" w:color="auto" w:fill="auto"/>
            <w:vAlign w:val="bottom"/>
          </w:tcPr>
          <w:p w14:paraId="0CC103A6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63B5A3F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Conformément aux normes techniques applicables</w:t>
            </w:r>
          </w:p>
        </w:tc>
      </w:tr>
      <w:tr w:rsidR="00D50293" w:rsidRPr="0062504C" w14:paraId="59E63C9A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5EBDA7DA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Parties de l’installation de chargement et de déchargement comme </w:t>
            </w:r>
            <w:r>
              <w:rPr>
                <w:lang w:val="fr-FR"/>
              </w:rPr>
              <w:br/>
            </w:r>
            <w:r w:rsidRPr="0062504C">
              <w:rPr>
                <w:lang w:val="fr-FR"/>
              </w:rPr>
              <w:t>par exemple joints d’étanchéité etc.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DD4F0E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12EA567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58C27AD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CDAE7B8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54F86FCF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</w:tr>
      <w:tr w:rsidR="00D50293" w:rsidRPr="0062504C" w14:paraId="23B42D4B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70AFC911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Supports ou butées de tous types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C18B5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60A328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00418DA3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DE34E0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4434412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4D8E4F2C" w14:textId="77777777" w:rsidTr="00F0081A">
        <w:tc>
          <w:tcPr>
            <w:tcW w:w="6169" w:type="dxa"/>
            <w:shd w:val="clear" w:color="auto" w:fill="auto"/>
            <w:vAlign w:val="bottom"/>
          </w:tcPr>
          <w:p w14:paraId="523A4B98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Ventilateurs, y compris les tuyauteries flexibles pour la ventilation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72ECA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0ED5B65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CD8094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6E8F5F5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723099EF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53172FBE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678033CF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Parties de l’installation d’aspersion d’eau et de la douche, et installation pour le rinçage des yeux et du visage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506A7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410F7A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49FA744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84B85C3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745745A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3CB6E3DC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3B8F6869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Isolation des citernes à cargaison, des tuyauteries de chargement </w:t>
            </w:r>
            <w:r>
              <w:rPr>
                <w:lang w:val="fr-FR"/>
              </w:rPr>
              <w:br/>
            </w:r>
            <w:r w:rsidRPr="0062504C">
              <w:rPr>
                <w:lang w:val="fr-FR"/>
              </w:rPr>
              <w:t xml:space="preserve">et de déchargement, des conduites d’évacuation de gaz </w:t>
            </w:r>
            <w:r>
              <w:rPr>
                <w:lang w:val="fr-FR"/>
              </w:rPr>
              <w:br/>
            </w:r>
            <w:r w:rsidRPr="0062504C">
              <w:rPr>
                <w:lang w:val="fr-FR"/>
              </w:rPr>
              <w:t>et des conduites de chauffage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A55C9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DDCC0A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48D887CF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5DEFDD2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46BC312A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21856912" w14:textId="77777777" w:rsidTr="00F0081A">
        <w:tc>
          <w:tcPr>
            <w:tcW w:w="6169" w:type="dxa"/>
            <w:shd w:val="clear" w:color="auto" w:fill="auto"/>
            <w:vAlign w:val="bottom"/>
            <w:hideMark/>
          </w:tcPr>
          <w:p w14:paraId="4F505353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Revêtement des citernes à cargaison et tuyauteries de chargement et déchargement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99804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6DAF79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09582C0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69CC9E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17FB5F5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5F303AD9" w14:textId="77777777" w:rsidTr="00F0081A">
        <w:tc>
          <w:tcPr>
            <w:tcW w:w="6169" w:type="dxa"/>
            <w:shd w:val="clear" w:color="auto" w:fill="auto"/>
            <w:vAlign w:val="bottom"/>
          </w:tcPr>
          <w:p w14:paraId="161C9090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Isolation des citernes à cargaison (observation 32 de la colonne (20) </w:t>
            </w:r>
            <w:r>
              <w:rPr>
                <w:lang w:val="fr-FR"/>
              </w:rPr>
              <w:br/>
            </w:r>
            <w:r w:rsidRPr="0062504C">
              <w:rPr>
                <w:lang w:val="fr-FR"/>
              </w:rPr>
              <w:t xml:space="preserve">du tableau C)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E2A08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713642E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49B241AF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68EAA6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3A2CAE8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622DEC4A" w14:textId="77777777" w:rsidTr="00F0081A">
        <w:tc>
          <w:tcPr>
            <w:tcW w:w="6169" w:type="dxa"/>
            <w:vMerge w:val="restart"/>
            <w:shd w:val="clear" w:color="auto" w:fill="auto"/>
            <w:hideMark/>
          </w:tcPr>
          <w:p w14:paraId="584E6D73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Tous types de joints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C9ADB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B1A369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7AE563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62F525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50763722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46306320" w14:textId="77777777" w:rsidTr="00F0081A">
        <w:tc>
          <w:tcPr>
            <w:tcW w:w="6169" w:type="dxa"/>
            <w:vMerge/>
            <w:shd w:val="clear" w:color="auto" w:fill="auto"/>
          </w:tcPr>
          <w:p w14:paraId="16CEC407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1542FEA9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Sous réserve de l’observation 39 a) de la colonne (20) du tableau C</w:t>
            </w:r>
          </w:p>
        </w:tc>
      </w:tr>
      <w:tr w:rsidR="00D50293" w:rsidRPr="0062504C" w14:paraId="3F4EF65D" w14:textId="77777777" w:rsidTr="00F0081A">
        <w:tc>
          <w:tcPr>
            <w:tcW w:w="6169" w:type="dxa"/>
            <w:vMerge w:val="restart"/>
            <w:shd w:val="clear" w:color="auto" w:fill="auto"/>
            <w:hideMark/>
          </w:tcPr>
          <w:p w14:paraId="49579246" w14:textId="77777777" w:rsidR="00D50293" w:rsidRPr="0062504C" w:rsidRDefault="00D50293" w:rsidP="00F0081A">
            <w:pPr>
              <w:keepNext/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lastRenderedPageBreak/>
              <w:t>Câbles pour les appareils électriques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93647E" w14:textId="77777777" w:rsidR="00D50293" w:rsidRPr="0062504C" w:rsidRDefault="00D50293" w:rsidP="00F0081A">
            <w:pPr>
              <w:keepNext/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483002E" w14:textId="77777777" w:rsidR="00D50293" w:rsidRPr="0062504C" w:rsidRDefault="00D50293" w:rsidP="00F0081A">
            <w:pPr>
              <w:keepNext/>
              <w:spacing w:before="60" w:after="60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00AAA65A" w14:textId="77777777" w:rsidR="00D50293" w:rsidRPr="0062504C" w:rsidRDefault="00D50293" w:rsidP="00F0081A">
            <w:pPr>
              <w:keepNext/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DBC82AB" w14:textId="77777777" w:rsidR="00D50293" w:rsidRPr="0062504C" w:rsidRDefault="00D50293" w:rsidP="00F0081A">
            <w:pPr>
              <w:keepNext/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33EDA7E6" w14:textId="77777777" w:rsidR="00D50293" w:rsidRPr="0062504C" w:rsidRDefault="00D50293" w:rsidP="00F0081A">
            <w:pPr>
              <w:keepNext/>
              <w:spacing w:before="60" w:after="60"/>
              <w:rPr>
                <w:bCs/>
                <w:lang w:val="fr-FR"/>
              </w:rPr>
            </w:pPr>
          </w:p>
        </w:tc>
      </w:tr>
      <w:tr w:rsidR="00D50293" w:rsidRPr="0062504C" w14:paraId="41A56951" w14:textId="77777777" w:rsidTr="00F0081A">
        <w:tc>
          <w:tcPr>
            <w:tcW w:w="6169" w:type="dxa"/>
            <w:vMerge/>
            <w:shd w:val="clear" w:color="auto" w:fill="auto"/>
            <w:vAlign w:val="bottom"/>
          </w:tcPr>
          <w:p w14:paraId="534E1AC6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7665FCF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Conformément aux normes techniques applicables</w:t>
            </w:r>
          </w:p>
        </w:tc>
      </w:tr>
      <w:tr w:rsidR="00D50293" w:rsidRPr="0062504C" w14:paraId="6C59ADC6" w14:textId="77777777" w:rsidTr="00F0081A">
        <w:tc>
          <w:tcPr>
            <w:tcW w:w="6169" w:type="dxa"/>
            <w:shd w:val="clear" w:color="auto" w:fill="auto"/>
            <w:vAlign w:val="bottom"/>
          </w:tcPr>
          <w:p w14:paraId="01C61216" w14:textId="3F2BB194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Caisses, armoires ou autres récipients placés sur </w:t>
            </w:r>
            <w:r w:rsidRPr="00AF1784">
              <w:rPr>
                <w:lang w:val="fr-FR"/>
              </w:rPr>
              <w:t>le pont pour le stockage du matériel servant à recueillir des fuites de liquides, des produits de nettoyage</w:t>
            </w:r>
            <w:r w:rsidR="007355FD">
              <w:rPr>
                <w:lang w:val="fr-FR"/>
              </w:rPr>
              <w:t>,</w:t>
            </w:r>
            <w:r w:rsidR="00782C10">
              <w:rPr>
                <w:lang w:val="fr-FR"/>
              </w:rPr>
              <w:t xml:space="preserve"> </w:t>
            </w:r>
            <w:r w:rsidRPr="00AF1784">
              <w:rPr>
                <w:lang w:val="fr-FR"/>
              </w:rPr>
              <w:t>des extincteurs, des manches d’incendie, etc.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B07850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5B044FE2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4F797222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11C64D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3954269A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3EB322E8" w14:textId="77777777" w:rsidTr="00F0081A">
        <w:tc>
          <w:tcPr>
            <w:tcW w:w="6169" w:type="dxa"/>
            <w:vMerge w:val="restart"/>
            <w:shd w:val="clear" w:color="auto" w:fill="auto"/>
          </w:tcPr>
          <w:p w14:paraId="476C6357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Caisses, armoires ou autres récipients placés sur le pont pour le stockage de matériel visant à recueillir les déchets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2BD55A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40A4A1E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6E319D2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162420A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418C4EAD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74E44BDD" w14:textId="77777777" w:rsidTr="00F0081A">
        <w:tc>
          <w:tcPr>
            <w:tcW w:w="6169" w:type="dxa"/>
            <w:vMerge/>
            <w:shd w:val="clear" w:color="auto" w:fill="auto"/>
            <w:vAlign w:val="bottom"/>
          </w:tcPr>
          <w:p w14:paraId="794EF2DF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64C857F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Uniquement pour les récipients résistant au feu utilisés pour le transport </w:t>
            </w:r>
            <w:r>
              <w:rPr>
                <w:lang w:val="fr-FR"/>
              </w:rPr>
              <w:br/>
            </w:r>
            <w:r w:rsidRPr="0062504C">
              <w:rPr>
                <w:lang w:val="fr-FR"/>
              </w:rPr>
              <w:t>de déchets huileux et graisseux (7.2.1.21.6)</w:t>
            </w:r>
          </w:p>
        </w:tc>
      </w:tr>
      <w:tr w:rsidR="00D50293" w:rsidRPr="0062504C" w14:paraId="3DEB3796" w14:textId="77777777" w:rsidTr="00E063F2">
        <w:tc>
          <w:tcPr>
            <w:tcW w:w="6169" w:type="dxa"/>
            <w:shd w:val="clear" w:color="auto" w:fill="auto"/>
            <w:vAlign w:val="bottom"/>
          </w:tcPr>
          <w:p w14:paraId="753F5E02" w14:textId="77777777" w:rsidR="00D50293" w:rsidRPr="0062504C" w:rsidRDefault="00D50293" w:rsidP="00F0081A">
            <w:pPr>
              <w:spacing w:before="60" w:after="60"/>
              <w:rPr>
                <w:b/>
                <w:lang w:val="fr-FR"/>
              </w:rPr>
            </w:pPr>
            <w:r w:rsidRPr="0062504C">
              <w:rPr>
                <w:b/>
                <w:bCs/>
                <w:lang w:val="fr-FR"/>
              </w:rPr>
              <w:t>Équipements mobiles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067554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61CFE211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F209C1C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111DAA1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408" w:type="dxa"/>
            <w:shd w:val="clear" w:color="auto" w:fill="auto"/>
          </w:tcPr>
          <w:p w14:paraId="44FD2117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</w:tr>
      <w:tr w:rsidR="00D50293" w:rsidRPr="0062504C" w14:paraId="40E257F3" w14:textId="77777777" w:rsidTr="00F0081A">
        <w:tc>
          <w:tcPr>
            <w:tcW w:w="6169" w:type="dxa"/>
            <w:vMerge w:val="restart"/>
            <w:shd w:val="clear" w:color="auto" w:fill="auto"/>
            <w:hideMark/>
          </w:tcPr>
          <w:p w14:paraId="03C0533B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Passerelles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45BAD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21D19E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1787AC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60C054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463380D5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4222A682" w14:textId="77777777" w:rsidTr="00F0081A">
        <w:trPr>
          <w:gridAfter w:val="5"/>
          <w:wAfter w:w="7609" w:type="dxa"/>
          <w:trHeight w:val="360"/>
        </w:trPr>
        <w:tc>
          <w:tcPr>
            <w:tcW w:w="6169" w:type="dxa"/>
            <w:vMerge/>
            <w:shd w:val="clear" w:color="auto" w:fill="auto"/>
            <w:vAlign w:val="bottom"/>
          </w:tcPr>
          <w:p w14:paraId="4654E6AF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</w:tr>
      <w:tr w:rsidR="00D50293" w:rsidRPr="0062504C" w14:paraId="15C10FE0" w14:textId="77777777" w:rsidTr="00F0081A">
        <w:tc>
          <w:tcPr>
            <w:tcW w:w="6169" w:type="dxa"/>
            <w:vMerge w:val="restart"/>
            <w:shd w:val="clear" w:color="auto" w:fill="auto"/>
            <w:hideMark/>
          </w:tcPr>
          <w:p w14:paraId="465AA863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Échelles extérieures et passages (passerelles)*)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FAABA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198807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2284F155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12B01C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49EFF61A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284E65C3" w14:textId="77777777" w:rsidTr="00F0081A">
        <w:trPr>
          <w:gridAfter w:val="5"/>
          <w:wAfter w:w="7609" w:type="dxa"/>
          <w:trHeight w:val="360"/>
        </w:trPr>
        <w:tc>
          <w:tcPr>
            <w:tcW w:w="6169" w:type="dxa"/>
            <w:vMerge/>
            <w:shd w:val="clear" w:color="auto" w:fill="auto"/>
            <w:vAlign w:val="bottom"/>
          </w:tcPr>
          <w:p w14:paraId="2A8AC258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</w:tr>
      <w:tr w:rsidR="00D50293" w:rsidRPr="0062504C" w14:paraId="5E000038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vMerge w:val="restart"/>
            <w:shd w:val="clear" w:color="auto" w:fill="auto"/>
          </w:tcPr>
          <w:p w14:paraId="62A2C1BB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Échelles hors-bord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EEFF3F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23C2E55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6E4D8B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45B3229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09A0198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6B914E1C" w14:textId="77777777" w:rsidTr="00F0081A">
        <w:tblPrEx>
          <w:tblLook w:val="0480" w:firstRow="0" w:lastRow="0" w:firstColumn="1" w:lastColumn="0" w:noHBand="0" w:noVBand="1"/>
        </w:tblPrEx>
        <w:trPr>
          <w:gridAfter w:val="5"/>
          <w:wAfter w:w="7609" w:type="dxa"/>
          <w:trHeight w:val="360"/>
        </w:trPr>
        <w:tc>
          <w:tcPr>
            <w:tcW w:w="6169" w:type="dxa"/>
            <w:vMerge/>
            <w:shd w:val="clear" w:color="auto" w:fill="auto"/>
            <w:vAlign w:val="bottom"/>
          </w:tcPr>
          <w:p w14:paraId="41155CAE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</w:tr>
      <w:tr w:rsidR="00D50293" w:rsidRPr="0062504C" w14:paraId="53E6DFB3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406E6C47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Échelles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3CAD0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1DC7634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537697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9D4C9B3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334AB3F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186F1362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  <w:hideMark/>
          </w:tcPr>
          <w:p w14:paraId="5B20AF1E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Matériel de nettoyage tel que balais etc.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EAEA9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237654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6234F8E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53DCB4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4EAB307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59B7BF3F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  <w:hideMark/>
          </w:tcPr>
          <w:p w14:paraId="78475B62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Extincteurs, détecteurs de gaz portatifs,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89B51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1F4076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59CC8CB3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73E952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56ECE91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1E64CE6A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7930B930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Treuils de sauvetage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3D567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152A8F43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CC6BF2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F9F1AE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65D7AF1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665F9BBB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1C4F6FCF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Équipements de protection individuelle et de sécurité, équipements de secours conformes à l’ES-TRIN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810DA0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27F47A29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8FF31D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128C34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33D7518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113F2C07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7CE64027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Gattes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38159A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strike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0AA16B1F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D97443F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F2229B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3CA7ED1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3AF1D462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  <w:hideMark/>
          </w:tcPr>
          <w:p w14:paraId="3F88C383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Défenses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C1508D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F3C3AD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64AB240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492D28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5FA43E2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5FCD1E16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vMerge w:val="restart"/>
            <w:shd w:val="clear" w:color="auto" w:fill="auto"/>
            <w:hideMark/>
          </w:tcPr>
          <w:p w14:paraId="6A6D887E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Amarres, câbles pour annexes, etc.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1A4243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56CBAD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0747996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0D5B899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0217A2C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48EBC887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vMerge/>
            <w:shd w:val="clear" w:color="auto" w:fill="auto"/>
            <w:vAlign w:val="bottom"/>
          </w:tcPr>
          <w:p w14:paraId="5B0811C0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9DE8D6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47FA3DC5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6209B36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conformes </w:t>
            </w:r>
            <w:r>
              <w:rPr>
                <w:lang w:val="fr-FR"/>
              </w:rPr>
              <w:br/>
            </w:r>
            <w:r w:rsidRPr="0062504C">
              <w:rPr>
                <w:lang w:val="fr-FR"/>
              </w:rPr>
              <w:t>au 7</w:t>
            </w:r>
            <w:r>
              <w:rPr>
                <w:lang w:val="fr-FR"/>
              </w:rPr>
              <w:t>.</w:t>
            </w:r>
            <w:r w:rsidRPr="0062504C">
              <w:rPr>
                <w:lang w:val="fr-FR"/>
              </w:rPr>
              <w:t>x</w:t>
            </w:r>
            <w:r>
              <w:rPr>
                <w:lang w:val="fr-FR"/>
              </w:rPr>
              <w:t>.</w:t>
            </w:r>
            <w:r w:rsidRPr="0062504C">
              <w:rPr>
                <w:lang w:val="fr-FR"/>
              </w:rPr>
              <w:t>4.76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BEF4EFF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76B64115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</w:tr>
      <w:tr w:rsidR="00D50293" w:rsidRPr="0062504C" w14:paraId="61A2FA30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1878AD4D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lastRenderedPageBreak/>
              <w:t>Tapis sous le raccordement à terre des tuyauteries de chargement et de déchargement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9D16A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6D7BAB0F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C5E51D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9767475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205E6DB2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1EA4CEB1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4464E9F1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Manches d’incendie, flexibles d’air, tuyauteries flexibles de lavage de pont, etc.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6F889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47D89C2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BEAF867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04873C3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408" w:type="dxa"/>
          </w:tcPr>
          <w:p w14:paraId="568DF2B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5F5104FF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339A13F9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Autres types de tuyauteries</w:t>
            </w: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38FD0FB9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Conformément au 8.1.6.2 et aux normes mentionnées</w:t>
            </w:r>
          </w:p>
        </w:tc>
      </w:tr>
      <w:tr w:rsidR="00D50293" w:rsidRPr="0062504C" w14:paraId="0397EB79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vMerge w:val="restart"/>
            <w:shd w:val="clear" w:color="auto" w:fill="auto"/>
          </w:tcPr>
          <w:p w14:paraId="42398DD8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Sondes en aluminium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035DD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5D3356FF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59D4B55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E5FB56C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48BFDD4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62504C" w14:paraId="63ED4BAC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vMerge/>
            <w:shd w:val="clear" w:color="auto" w:fill="auto"/>
            <w:vAlign w:val="bottom"/>
          </w:tcPr>
          <w:p w14:paraId="763120CC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55C439E1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 xml:space="preserve">Si elles sont munies d’un pied en laiton ou protégées d’une autre manière </w:t>
            </w:r>
            <w:r>
              <w:rPr>
                <w:lang w:val="fr-FR"/>
              </w:rPr>
              <w:br/>
            </w:r>
            <w:r w:rsidRPr="0062504C">
              <w:rPr>
                <w:lang w:val="fr-FR"/>
              </w:rPr>
              <w:t>pour éviter la production d’étincelles</w:t>
            </w:r>
          </w:p>
        </w:tc>
      </w:tr>
      <w:tr w:rsidR="00D50293" w:rsidRPr="0062504C" w14:paraId="335E520F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217CE4A5" w14:textId="77777777" w:rsidR="00D50293" w:rsidRPr="0062504C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62504C">
              <w:rPr>
                <w:lang w:val="fr-FR"/>
              </w:rPr>
              <w:t>Appareils de prélèvement d’échantillons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5C5BA4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25348A4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BA9AE9E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62504C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79CC1A8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03BE375B" w14:textId="77777777" w:rsidR="00D50293" w:rsidRPr="0062504C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E142F2" w14:paraId="48881AFE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</w:tcPr>
          <w:p w14:paraId="671AED4F" w14:textId="77777777" w:rsidR="00D50293" w:rsidRPr="00E142F2" w:rsidRDefault="00D50293" w:rsidP="00F0081A">
            <w:pPr>
              <w:spacing w:before="60" w:after="60"/>
              <w:rPr>
                <w:b/>
                <w:lang w:val="fr-FR"/>
              </w:rPr>
            </w:pPr>
            <w:r w:rsidRPr="00E142F2">
              <w:rPr>
                <w:b/>
                <w:bCs/>
                <w:lang w:val="fr-FR"/>
              </w:rPr>
              <w:t>Récipients pour déchets huileux et graisseux (7.2.4.1)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0EDD2C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4847A2EC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F420B93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3C3106C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0D59C931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E142F2" w14:paraId="1E2E776E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</w:tcPr>
          <w:p w14:paraId="288052F9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FBE5FC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6349" w:type="dxa"/>
            <w:gridSpan w:val="4"/>
            <w:shd w:val="clear" w:color="auto" w:fill="auto"/>
            <w:noWrap/>
            <w:vAlign w:val="center"/>
          </w:tcPr>
          <w:p w14:paraId="23B2D1FC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Récipients résistants au feu (7.2.1.21.6)</w:t>
            </w:r>
          </w:p>
        </w:tc>
      </w:tr>
      <w:tr w:rsidR="00D50293" w:rsidRPr="00E142F2" w14:paraId="0E782EFC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</w:tcPr>
          <w:p w14:paraId="77A88A5A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E142F2">
              <w:rPr>
                <w:lang w:val="fr-FR"/>
              </w:rPr>
              <w:t xml:space="preserve">Récipients pour produits résiduaires et récipients pour </w:t>
            </w:r>
            <w:proofErr w:type="spellStart"/>
            <w:r w:rsidRPr="00E142F2">
              <w:rPr>
                <w:lang w:val="fr-FR"/>
              </w:rPr>
              <w:t>slops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D0A545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3A61043C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6EC462B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14CA754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14BC14D7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E142F2" w14:paraId="1D1F0FE4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</w:tcPr>
          <w:p w14:paraId="33AF39D6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644A9ABC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 xml:space="preserve">Conformes à l’ADR, au RID ou au Code IMDG en ce qui concerne les critères </w:t>
            </w:r>
            <w:r>
              <w:rPr>
                <w:lang w:val="fr-FR"/>
              </w:rPr>
              <w:br/>
            </w:r>
            <w:r w:rsidRPr="00E142F2">
              <w:rPr>
                <w:lang w:val="fr-FR"/>
              </w:rPr>
              <w:t>d’acceptation des matériaux</w:t>
            </w:r>
          </w:p>
        </w:tc>
      </w:tr>
      <w:tr w:rsidR="00D50293" w:rsidRPr="00E142F2" w14:paraId="6E42C61A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vMerge w:val="restart"/>
            <w:shd w:val="clear" w:color="auto" w:fill="auto"/>
          </w:tcPr>
          <w:p w14:paraId="4BB15F64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E142F2">
              <w:rPr>
                <w:lang w:val="fr-FR"/>
              </w:rPr>
              <w:t>Bouteilles de prélèvement d’échantillons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A556B1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57FBBC8F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F7DA851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2AF1A9F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529D0E84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</w:tr>
      <w:tr w:rsidR="00D50293" w:rsidRPr="00E142F2" w14:paraId="1355212B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vMerge/>
            <w:shd w:val="clear" w:color="auto" w:fill="auto"/>
            <w:vAlign w:val="bottom"/>
          </w:tcPr>
          <w:p w14:paraId="12B6BFB8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07E5BB75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Conformes aux critères d’acceptation des matériaux de l’ADR</w:t>
            </w:r>
          </w:p>
        </w:tc>
      </w:tr>
      <w:tr w:rsidR="00D50293" w:rsidRPr="00E142F2" w14:paraId="02F6FC47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43E621CC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E142F2">
              <w:rPr>
                <w:lang w:val="fr-FR"/>
              </w:rPr>
              <w:t xml:space="preserve">Copies photo-optiques de l’intégralité du certificat d’agrément selon </w:t>
            </w:r>
            <w:r>
              <w:rPr>
                <w:lang w:val="fr-FR"/>
              </w:rPr>
              <w:br/>
            </w:r>
            <w:r w:rsidRPr="00E142F2">
              <w:rPr>
                <w:lang w:val="fr-FR"/>
              </w:rPr>
              <w:t xml:space="preserve">le 8.1.2.6 ou le 8.1.2.7 ainsi que du certificat de bateau, du certificat </w:t>
            </w:r>
            <w:r>
              <w:rPr>
                <w:lang w:val="fr-FR"/>
              </w:rPr>
              <w:br/>
            </w:r>
            <w:r w:rsidRPr="00E142F2">
              <w:rPr>
                <w:lang w:val="fr-FR"/>
              </w:rPr>
              <w:t>de jaugeage et des autres documents applicables</w:t>
            </w:r>
            <w:r w:rsidRPr="00E142F2">
              <w:rPr>
                <w:rStyle w:val="Appelnotedebasdep"/>
                <w:szCs w:val="18"/>
              </w:rPr>
              <w:footnoteReference w:id="3"/>
            </w:r>
            <w:r w:rsidRPr="00E142F2">
              <w:rPr>
                <w:lang w:val="fr-FR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AB6B45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413F1FF1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DB92D5B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40DB681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0D1F406B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E142F2" w14:paraId="678CD83C" w14:textId="77777777" w:rsidTr="00F0081A">
        <w:tblPrEx>
          <w:tblLook w:val="0480" w:firstRow="0" w:lastRow="0" w:firstColumn="1" w:lastColumn="0" w:noHBand="0" w:noVBand="1"/>
        </w:tblPrEx>
        <w:tc>
          <w:tcPr>
            <w:tcW w:w="6169" w:type="dxa"/>
            <w:shd w:val="clear" w:color="auto" w:fill="auto"/>
            <w:vAlign w:val="bottom"/>
          </w:tcPr>
          <w:p w14:paraId="5838D422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E142F2">
              <w:rPr>
                <w:lang w:val="fr-FR"/>
              </w:rPr>
              <w:t>Paniers en aluminium pour le stockage des amarres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2EF9DE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00347825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7F1C348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0DDA8EE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</w:tcPr>
          <w:p w14:paraId="22A6796C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E142F2" w14:paraId="5D7CC3CC" w14:textId="77777777" w:rsidTr="00E063F2">
        <w:tblPrEx>
          <w:tblLook w:val="0480" w:firstRow="0" w:lastRow="0" w:firstColumn="1" w:lastColumn="0" w:noHBand="0" w:noVBand="1"/>
        </w:tblPrEx>
        <w:tc>
          <w:tcPr>
            <w:tcW w:w="6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051E3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E142F2">
              <w:rPr>
                <w:lang w:val="fr-FR"/>
              </w:rPr>
              <w:t>Gaffes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22E02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BD393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087DD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924D7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EF73A1A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E142F2" w14:paraId="0232479A" w14:textId="77777777" w:rsidTr="00E063F2">
        <w:tblPrEx>
          <w:tblLook w:val="0480" w:firstRow="0" w:lastRow="0" w:firstColumn="1" w:lastColumn="0" w:noHBand="0" w:noVBand="1"/>
        </w:tblPrEx>
        <w:tc>
          <w:tcPr>
            <w:tcW w:w="6169" w:type="dxa"/>
            <w:vMerge w:val="restart"/>
            <w:shd w:val="clear" w:color="auto" w:fill="auto"/>
            <w:vAlign w:val="bottom"/>
          </w:tcPr>
          <w:p w14:paraId="16704679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E142F2">
              <w:rPr>
                <w:lang w:val="fr-FR"/>
              </w:rPr>
              <w:t>Canots de service</w:t>
            </w:r>
          </w:p>
          <w:p w14:paraId="6C4C4FDE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  <w:r w:rsidRPr="00E142F2">
              <w:rPr>
                <w:lang w:val="fr-FR"/>
              </w:rPr>
              <w:t xml:space="preserve">(Dans les cas, visés aux 7.2.3.29.1 et 7.2.3.31.1, où les canots </w:t>
            </w:r>
            <w:r>
              <w:rPr>
                <w:lang w:val="fr-FR"/>
              </w:rPr>
              <w:br/>
            </w:r>
            <w:r w:rsidRPr="00E142F2">
              <w:rPr>
                <w:lang w:val="fr-FR"/>
              </w:rPr>
              <w:t>sont autorisés dans la zone de cargaison)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A0F587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27F81BE1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452466D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X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364AC93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  <w:tc>
          <w:tcPr>
            <w:tcW w:w="1408" w:type="dxa"/>
            <w:shd w:val="clear" w:color="auto" w:fill="auto"/>
          </w:tcPr>
          <w:p w14:paraId="183D4950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</w:p>
        </w:tc>
      </w:tr>
      <w:tr w:rsidR="00D50293" w:rsidRPr="00E142F2" w14:paraId="4E91AF2A" w14:textId="77777777" w:rsidTr="00E063F2">
        <w:tblPrEx>
          <w:tblLook w:val="0480" w:firstRow="0" w:lastRow="0" w:firstColumn="1" w:lastColumn="0" w:noHBand="0" w:noVBand="1"/>
        </w:tblPrEx>
        <w:tc>
          <w:tcPr>
            <w:tcW w:w="6169" w:type="dxa"/>
            <w:vMerge/>
            <w:shd w:val="clear" w:color="auto" w:fill="auto"/>
            <w:vAlign w:val="bottom"/>
          </w:tcPr>
          <w:p w14:paraId="5DF181A3" w14:textId="77777777" w:rsidR="00D50293" w:rsidRPr="00E142F2" w:rsidRDefault="00D50293" w:rsidP="00F0081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7609" w:type="dxa"/>
            <w:gridSpan w:val="5"/>
            <w:shd w:val="clear" w:color="auto" w:fill="auto"/>
            <w:noWrap/>
            <w:vAlign w:val="center"/>
          </w:tcPr>
          <w:p w14:paraId="150727E1" w14:textId="77777777" w:rsidR="00D50293" w:rsidRPr="00E142F2" w:rsidRDefault="00D50293" w:rsidP="00F0081A">
            <w:pPr>
              <w:spacing w:before="60" w:after="60"/>
              <w:jc w:val="center"/>
              <w:rPr>
                <w:bCs/>
                <w:lang w:val="fr-FR"/>
              </w:rPr>
            </w:pPr>
            <w:r w:rsidRPr="00E142F2">
              <w:rPr>
                <w:lang w:val="fr-FR"/>
              </w:rPr>
              <w:t>Uniquement si les matériaux sont difficilement inflammables</w:t>
            </w:r>
          </w:p>
        </w:tc>
      </w:tr>
    </w:tbl>
    <w:p w14:paraId="19AAD6A7" w14:textId="02667C54" w:rsidR="00D50293" w:rsidRDefault="00D50293" w:rsidP="004A197A">
      <w:pPr>
        <w:pStyle w:val="SingleTxtG"/>
        <w:spacing w:before="120" w:after="240"/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49F97632" w14:textId="77777777" w:rsidR="00D50293" w:rsidRDefault="00D50293" w:rsidP="00D50293">
      <w:pPr>
        <w:sectPr w:rsidR="00D50293" w:rsidSect="00F0081A">
          <w:headerReference w:type="even" r:id="rId25"/>
          <w:headerReference w:type="default" r:id="rId26"/>
          <w:footerReference w:type="even" r:id="rId27"/>
          <w:footerReference w:type="default" r:id="rId28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0238387B" w14:textId="77777777" w:rsidR="00D50293" w:rsidRPr="00A66193" w:rsidRDefault="00D50293" w:rsidP="00D50293">
      <w:pPr>
        <w:pStyle w:val="SingleTxtG"/>
        <w:rPr>
          <w:lang w:val="fr-FR"/>
        </w:rPr>
      </w:pPr>
      <w:r w:rsidRPr="00A66193">
        <w:rPr>
          <w:lang w:val="fr-FR"/>
        </w:rPr>
        <w:lastRenderedPageBreak/>
        <w:t>9.3.x.0</w:t>
      </w:r>
      <w:r w:rsidRPr="00A66193">
        <w:rPr>
          <w:lang w:val="fr-FR"/>
        </w:rPr>
        <w:tab/>
      </w:r>
      <w:r w:rsidRPr="00A66193">
        <w:rPr>
          <w:lang w:val="fr-FR"/>
        </w:rPr>
        <w:tab/>
        <w:t>Remplacer les paragraphes après le tableau par les paragraphes suivants</w:t>
      </w:r>
      <w:r>
        <w:rPr>
          <w:lang w:val="fr-FR"/>
        </w:rPr>
        <w:t> </w:t>
      </w:r>
      <w:r w:rsidRPr="00A66193">
        <w:rPr>
          <w:lang w:val="fr-FR"/>
        </w:rPr>
        <w:t>:</w:t>
      </w:r>
    </w:p>
    <w:p w14:paraId="41DB71C5" w14:textId="77777777" w:rsidR="00D50293" w:rsidRPr="00A66193" w:rsidRDefault="00D50293" w:rsidP="00D50293">
      <w:pPr>
        <w:pStyle w:val="SingleTxtG"/>
        <w:ind w:left="2268" w:hanging="1134"/>
        <w:rPr>
          <w:lang w:val="fr-FR"/>
        </w:rPr>
      </w:pPr>
      <w:r w:rsidRPr="00A66193">
        <w:rPr>
          <w:lang w:val="fr-FR"/>
        </w:rPr>
        <w:t>«</w:t>
      </w:r>
      <w:r>
        <w:rPr>
          <w:lang w:val="fr-FR"/>
        </w:rPr>
        <w:t> </w:t>
      </w:r>
      <w:r w:rsidRPr="00A66193">
        <w:rPr>
          <w:lang w:val="fr-FR"/>
        </w:rPr>
        <w:t>9.3.x.0.5</w:t>
      </w:r>
      <w:r w:rsidRPr="00A66193">
        <w:rPr>
          <w:lang w:val="fr-FR"/>
        </w:rPr>
        <w:tab/>
        <w:t>La peinture utilisée dans la zone de cargaison ne doit pas être susceptible de produire des étincelles, notamment en cas de choc.</w:t>
      </w:r>
    </w:p>
    <w:p w14:paraId="1AA8570E" w14:textId="77777777" w:rsidR="00D50293" w:rsidRPr="00A66193" w:rsidRDefault="00D50293" w:rsidP="00D50293">
      <w:pPr>
        <w:pStyle w:val="SingleTxtG"/>
        <w:ind w:left="2268" w:hanging="1134"/>
        <w:rPr>
          <w:lang w:val="fr-FR"/>
        </w:rPr>
      </w:pPr>
      <w:r w:rsidRPr="00A66193">
        <w:rPr>
          <w:lang w:val="fr-FR"/>
        </w:rPr>
        <w:t>9.3.x.0.6</w:t>
      </w:r>
      <w:r w:rsidRPr="00A66193">
        <w:rPr>
          <w:lang w:val="fr-FR"/>
        </w:rPr>
        <w:tab/>
        <w:t>Tous les matériaux utilisés pour les éléments fixes des logements ou de la timonerie, à l</w:t>
      </w:r>
      <w:r>
        <w:rPr>
          <w:lang w:val="fr-FR"/>
        </w:rPr>
        <w:t>’</w:t>
      </w:r>
      <w:r w:rsidRPr="00A66193">
        <w:rPr>
          <w:lang w:val="fr-FR"/>
        </w:rPr>
        <w:t>exception des meubles, doivent être difficilement inflammables. Lors d</w:t>
      </w:r>
      <w:r>
        <w:rPr>
          <w:lang w:val="fr-FR"/>
        </w:rPr>
        <w:t>’</w:t>
      </w:r>
      <w:r w:rsidRPr="00A66193">
        <w:rPr>
          <w:lang w:val="fr-FR"/>
        </w:rPr>
        <w:t>un incendie, ils ne doivent pas dégager de fumées ou de gaz toxiques en quantités dangereuses.</w:t>
      </w:r>
      <w:r>
        <w:rPr>
          <w:lang w:val="fr-FR"/>
        </w:rPr>
        <w:t> »</w:t>
      </w:r>
      <w:r w:rsidRPr="00A66193">
        <w:rPr>
          <w:lang w:val="fr-FR"/>
        </w:rPr>
        <w:t>.</w:t>
      </w:r>
    </w:p>
    <w:p w14:paraId="47207F50" w14:textId="77777777" w:rsidR="00D50293" w:rsidRPr="00A66193" w:rsidRDefault="00D50293" w:rsidP="00D50293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0376E676" w14:textId="77777777" w:rsidR="00A54FAD" w:rsidRPr="00F10460" w:rsidRDefault="00A54FAD" w:rsidP="00A54FAD">
      <w:pPr>
        <w:pStyle w:val="SingleTxtG"/>
        <w:keepNext/>
        <w:ind w:left="2268" w:hanging="1134"/>
        <w:rPr>
          <w:rFonts w:eastAsia="Calibri"/>
          <w:lang w:val="fr-FR"/>
        </w:rPr>
      </w:pPr>
      <w:bookmarkStart w:id="2" w:name="_Hlk5615972"/>
      <w:r w:rsidRPr="00F10460">
        <w:rPr>
          <w:rFonts w:eastAsia="Calibri"/>
          <w:lang w:val="fr-FR"/>
        </w:rPr>
        <w:t>9.3.3.12.8</w:t>
      </w:r>
      <w:r w:rsidRPr="00F10460">
        <w:rPr>
          <w:rFonts w:eastAsia="Calibri"/>
          <w:lang w:val="fr-FR"/>
        </w:rPr>
        <w:tab/>
        <w:t>Modifier pour lire comme suit :</w:t>
      </w:r>
    </w:p>
    <w:p w14:paraId="0373FD76" w14:textId="77777777" w:rsidR="00A54FAD" w:rsidRPr="00F10460" w:rsidRDefault="00A54FAD" w:rsidP="00A54FAD">
      <w:pPr>
        <w:pStyle w:val="SingleTxtG"/>
        <w:ind w:left="2268" w:hanging="1134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« 9.3.3.12.8</w:t>
      </w:r>
      <w:r w:rsidRPr="00F10460">
        <w:rPr>
          <w:rFonts w:eastAsia="Calibri"/>
          <w:lang w:val="fr-FR"/>
        </w:rPr>
        <w:tab/>
        <w:t>Le 9.3.3.12.6 ne s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applique pas au type N ouvert. ».</w:t>
      </w:r>
    </w:p>
    <w:p w14:paraId="13CF3B03" w14:textId="77777777" w:rsidR="00A54FAD" w:rsidRPr="00F10460" w:rsidRDefault="00A54FAD" w:rsidP="00A54FAD">
      <w:pPr>
        <w:pStyle w:val="SingleTxtG"/>
        <w:rPr>
          <w:rFonts w:eastAsia="MS Mincho"/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bookmarkEnd w:id="2"/>
    <w:p w14:paraId="10179CD6" w14:textId="5AEA8E8D" w:rsidR="00A54FAD" w:rsidRPr="008D01E0" w:rsidRDefault="00A54FAD" w:rsidP="00256015">
      <w:pPr>
        <w:pStyle w:val="SingleTxtG"/>
        <w:ind w:left="2268" w:hanging="1134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9.3.x.40.1</w:t>
      </w:r>
      <w:r w:rsidRPr="00F10460">
        <w:rPr>
          <w:rFonts w:eastAsia="Calibri"/>
          <w:lang w:val="fr-FR"/>
        </w:rPr>
        <w:tab/>
      </w:r>
      <w:r w:rsidRPr="00357DE0">
        <w:rPr>
          <w:rFonts w:eastAsia="Calibri"/>
          <w:lang w:val="fr-FR"/>
        </w:rPr>
        <w:t>Modification sans objet en français</w:t>
      </w:r>
      <w:r w:rsidRPr="008D01E0">
        <w:rPr>
          <w:rFonts w:eastAsia="Calibri"/>
          <w:lang w:val="fr-FR"/>
        </w:rPr>
        <w:t>.</w:t>
      </w:r>
      <w:r w:rsidR="00AB7E95" w:rsidRPr="008D01E0">
        <w:rPr>
          <w:rFonts w:eastAsia="Calibri"/>
          <w:lang w:val="fr-FR"/>
        </w:rPr>
        <w:t xml:space="preserve"> </w:t>
      </w:r>
      <w:r w:rsidR="0061023E" w:rsidRPr="008D01E0">
        <w:rPr>
          <w:rFonts w:eastAsia="Calibri"/>
          <w:lang w:val="fr-FR"/>
        </w:rPr>
        <w:t xml:space="preserve">Dans </w:t>
      </w:r>
      <w:r w:rsidR="00E9235E" w:rsidRPr="008D01E0">
        <w:rPr>
          <w:rFonts w:eastAsia="Calibri"/>
          <w:lang w:val="fr-FR"/>
        </w:rPr>
        <w:t>la version russe, remplacer</w:t>
      </w:r>
      <w:r w:rsidR="00F739CA" w:rsidRPr="008D01E0">
        <w:rPr>
          <w:rFonts w:eastAsia="Calibri"/>
          <w:lang w:val="fr-FR"/>
        </w:rPr>
        <w:t xml:space="preserve"> </w:t>
      </w:r>
      <w:r w:rsidR="00F739CA" w:rsidRPr="008D01E0">
        <w:t>"</w:t>
      </w:r>
      <w:r w:rsidR="00C320E9" w:rsidRPr="008D01E0">
        <w:rPr>
          <w:lang w:val="ru-RU"/>
        </w:rPr>
        <w:t>привод</w:t>
      </w:r>
      <w:r w:rsidR="00F739CA" w:rsidRPr="008D01E0">
        <w:t>" par "</w:t>
      </w:r>
      <w:r w:rsidR="00C320E9" w:rsidRPr="008D01E0">
        <w:rPr>
          <w:lang w:val="ru-RU"/>
        </w:rPr>
        <w:t>привод</w:t>
      </w:r>
      <w:r w:rsidR="002653DF" w:rsidRPr="008D01E0">
        <w:rPr>
          <w:lang w:val="ru-RU"/>
        </w:rPr>
        <w:t>ы</w:t>
      </w:r>
      <w:r w:rsidR="00F739CA" w:rsidRPr="008D01E0">
        <w:t>"</w:t>
      </w:r>
      <w:r w:rsidR="004C0610" w:rsidRPr="008D01E0">
        <w:t>.</w:t>
      </w:r>
    </w:p>
    <w:p w14:paraId="74E880CD" w14:textId="77777777" w:rsidR="00A54FAD" w:rsidRPr="00F10460" w:rsidRDefault="00A54FAD" w:rsidP="00A54FAD">
      <w:pPr>
        <w:pStyle w:val="SingleTxtG"/>
        <w:keepNext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9.3.3.40.1</w:t>
      </w:r>
      <w:r w:rsidRPr="00F10460">
        <w:rPr>
          <w:rFonts w:eastAsia="Calibri"/>
          <w:lang w:val="fr-FR"/>
        </w:rPr>
        <w:tab/>
        <w:t>À la fin du premier tiret, ajouter ce qui suit :</w:t>
      </w:r>
    </w:p>
    <w:p w14:paraId="16A2281E" w14:textId="77777777" w:rsidR="00A54FAD" w:rsidRPr="00F10460" w:rsidRDefault="00A54FAD" w:rsidP="00DA39A1">
      <w:pPr>
        <w:pStyle w:val="SingleTxtG"/>
        <w:ind w:left="2268"/>
        <w:rPr>
          <w:rFonts w:eastAsia="Calibri"/>
          <w:lang w:val="fr-FR"/>
        </w:rPr>
      </w:pPr>
      <w:r w:rsidRPr="00F10460">
        <w:rPr>
          <w:rFonts w:eastAsia="Calibri"/>
          <w:lang w:val="fr-FR"/>
        </w:rPr>
        <w:t>« Lorsqu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une barge de poussage sans équipage ne dispose que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une seule source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énergie et que la deuxième source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énergie doit être fournie par un autre bateau avec équipage, il doit être indiqué dans le certificat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 xml:space="preserve">agrément, sous la rubrique 13, Observations supplémentaires, que : </w:t>
      </w:r>
      <w:r w:rsidRPr="00F10460">
        <w:rPr>
          <w:rFonts w:eastAsia="Calibri"/>
        </w:rPr>
        <w:t>“</w:t>
      </w:r>
      <w:r w:rsidRPr="00F10460">
        <w:rPr>
          <w:rFonts w:eastAsia="Calibri"/>
          <w:lang w:val="fr-FR"/>
        </w:rPr>
        <w:t>Lors du transport de marchandises dangereuses, l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installation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extinction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incendie doit être alimentée en énergie en permanence par un autre bateau parallèlement à sa propre source d</w:t>
      </w:r>
      <w:r>
        <w:rPr>
          <w:rFonts w:eastAsia="Calibri"/>
          <w:lang w:val="fr-FR"/>
        </w:rPr>
        <w:t>’</w:t>
      </w:r>
      <w:r w:rsidRPr="00F10460">
        <w:rPr>
          <w:rFonts w:eastAsia="Calibri"/>
          <w:lang w:val="fr-FR"/>
        </w:rPr>
        <w:t>énergie</w:t>
      </w:r>
      <w:r w:rsidRPr="00F10460">
        <w:rPr>
          <w:rFonts w:eastAsia="Calibri"/>
        </w:rPr>
        <w:t>”</w:t>
      </w:r>
      <w:r w:rsidRPr="00F10460">
        <w:rPr>
          <w:rFonts w:eastAsia="Calibri"/>
          <w:lang w:val="fr-FR"/>
        </w:rPr>
        <w:t>. ».</w:t>
      </w:r>
    </w:p>
    <w:p w14:paraId="1D3FD3D4" w14:textId="65E9D340" w:rsidR="009D75BB" w:rsidRDefault="00A54FAD" w:rsidP="00A54FAD">
      <w:pPr>
        <w:pStyle w:val="SingleTxtG"/>
        <w:rPr>
          <w:lang w:val="fr-FR"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76</w:t>
      </w:r>
      <w:r w:rsidRPr="004A3E52">
        <w:rPr>
          <w:i/>
        </w:rPr>
        <w:t>)</w:t>
      </w:r>
    </w:p>
    <w:p w14:paraId="44C107FD" w14:textId="51E7D11A" w:rsidR="00D50293" w:rsidRPr="00A66193" w:rsidRDefault="00D50293" w:rsidP="00DA1867">
      <w:pPr>
        <w:pStyle w:val="SingleTxtG"/>
        <w:ind w:left="2268" w:hanging="1134"/>
        <w:rPr>
          <w:lang w:val="fr-FR"/>
        </w:rPr>
      </w:pPr>
      <w:r w:rsidRPr="00A66193">
        <w:rPr>
          <w:lang w:val="fr-FR"/>
        </w:rPr>
        <w:t>9.3.3.60</w:t>
      </w:r>
      <w:r w:rsidRPr="00A66193">
        <w:rPr>
          <w:lang w:val="fr-FR"/>
        </w:rPr>
        <w:tab/>
      </w:r>
      <w:r w:rsidRPr="008A459A">
        <w:rPr>
          <w:lang w:val="fr-FR"/>
        </w:rPr>
        <w:t>Supprimer : « Cette prescription ne s’applique pas aux bateaux déshuileurs et aux bateaux avitailleurs. ».</w:t>
      </w:r>
    </w:p>
    <w:p w14:paraId="2C515A0A" w14:textId="3C5C4C47" w:rsidR="006E3F6B" w:rsidRPr="004C5793" w:rsidRDefault="00D50293" w:rsidP="00D50293">
      <w:pPr>
        <w:pStyle w:val="SingleTxtG"/>
        <w:rPr>
          <w:rFonts w:asciiTheme="majorBidi" w:hAnsiTheme="majorBidi" w:cstheme="majorBidi"/>
          <w:i/>
        </w:rPr>
      </w:pPr>
      <w:r w:rsidRPr="00A66193">
        <w:rPr>
          <w:i/>
          <w:iCs/>
          <w:lang w:val="fr-FR"/>
        </w:rPr>
        <w:t xml:space="preserve">(Document de référence: </w:t>
      </w:r>
      <w:r w:rsidRPr="004A3E52">
        <w:rPr>
          <w:i/>
        </w:rPr>
        <w:t>ECE/TRANS/WP.15/AC.2/</w:t>
      </w:r>
      <w:r>
        <w:rPr>
          <w:i/>
        </w:rPr>
        <w:t>78</w:t>
      </w:r>
      <w:r w:rsidRPr="004A3E52">
        <w:rPr>
          <w:i/>
        </w:rPr>
        <w:t>)</w:t>
      </w:r>
    </w:p>
    <w:p w14:paraId="1255AD33" w14:textId="75576652" w:rsidR="00F9573C" w:rsidRPr="004C5793" w:rsidRDefault="00AA3826" w:rsidP="00AA3826">
      <w:pPr>
        <w:pStyle w:val="SingleTxtG"/>
        <w:spacing w:before="240" w:after="0"/>
        <w:jc w:val="center"/>
        <w:rPr>
          <w:rFonts w:asciiTheme="majorBidi" w:hAnsiTheme="majorBidi" w:cstheme="majorBidi"/>
          <w:u w:val="single"/>
        </w:rPr>
      </w:pPr>
      <w:r w:rsidRPr="004C5793">
        <w:rPr>
          <w:rFonts w:asciiTheme="majorBidi" w:hAnsiTheme="majorBidi" w:cstheme="majorBidi"/>
          <w:u w:val="single"/>
        </w:rPr>
        <w:tab/>
      </w:r>
      <w:r w:rsidRPr="004C5793">
        <w:rPr>
          <w:rFonts w:asciiTheme="majorBidi" w:hAnsiTheme="majorBidi" w:cstheme="majorBidi"/>
          <w:u w:val="single"/>
        </w:rPr>
        <w:tab/>
      </w:r>
      <w:r w:rsidRPr="004C5793">
        <w:rPr>
          <w:rFonts w:asciiTheme="majorBidi" w:hAnsiTheme="majorBidi" w:cstheme="majorBidi"/>
          <w:u w:val="single"/>
        </w:rPr>
        <w:tab/>
      </w:r>
      <w:r w:rsidR="00293BC9">
        <w:rPr>
          <w:rFonts w:asciiTheme="majorBidi" w:hAnsiTheme="majorBidi" w:cstheme="majorBidi"/>
          <w:u w:val="single"/>
        </w:rPr>
        <w:tab/>
      </w:r>
    </w:p>
    <w:sectPr w:rsidR="00F9573C" w:rsidRPr="004C5793" w:rsidSect="004144E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15A7" w14:textId="77777777" w:rsidR="00F825A2" w:rsidRDefault="00F825A2" w:rsidP="00F95C08">
      <w:pPr>
        <w:spacing w:line="240" w:lineRule="auto"/>
      </w:pPr>
    </w:p>
  </w:endnote>
  <w:endnote w:type="continuationSeparator" w:id="0">
    <w:p w14:paraId="774A3123" w14:textId="77777777" w:rsidR="00F825A2" w:rsidRPr="00AC3823" w:rsidRDefault="00F825A2" w:rsidP="00AC3823">
      <w:pPr>
        <w:pStyle w:val="Pieddepage"/>
      </w:pPr>
    </w:p>
  </w:endnote>
  <w:endnote w:type="continuationNotice" w:id="1">
    <w:p w14:paraId="2477C7DC" w14:textId="77777777" w:rsidR="00F825A2" w:rsidRDefault="00F825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95A6" w14:textId="1AE3A6A3" w:rsidR="00D50293" w:rsidRPr="00791ACE" w:rsidRDefault="00D50293" w:rsidP="00F0081A">
    <w:pPr>
      <w:pStyle w:val="Pieddepage"/>
      <w:tabs>
        <w:tab w:val="right" w:pos="9638"/>
      </w:tabs>
    </w:pPr>
    <w:r w:rsidRPr="00791ACE">
      <w:rPr>
        <w:b/>
        <w:sz w:val="18"/>
      </w:rPr>
      <w:fldChar w:fldCharType="begin"/>
    </w:r>
    <w:r w:rsidRPr="00791ACE">
      <w:rPr>
        <w:b/>
        <w:sz w:val="18"/>
      </w:rPr>
      <w:instrText xml:space="preserve"> PAGE  \* MERGEFORMAT </w:instrText>
    </w:r>
    <w:r w:rsidRPr="00791ACE">
      <w:rPr>
        <w:b/>
        <w:sz w:val="18"/>
      </w:rPr>
      <w:fldChar w:fldCharType="separate"/>
    </w:r>
    <w:r w:rsidRPr="00791ACE">
      <w:rPr>
        <w:b/>
        <w:noProof/>
        <w:sz w:val="18"/>
      </w:rPr>
      <w:t>2</w:t>
    </w:r>
    <w:r w:rsidRPr="00791AC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0EA4" w14:textId="77777777" w:rsidR="00270B49" w:rsidRPr="004144E0" w:rsidRDefault="00270B49" w:rsidP="004144E0">
    <w:pPr>
      <w:pStyle w:val="Pieddepage"/>
      <w:tabs>
        <w:tab w:val="right" w:pos="9638"/>
      </w:tabs>
    </w:pPr>
    <w:r w:rsidRPr="004144E0">
      <w:rPr>
        <w:b/>
        <w:sz w:val="18"/>
      </w:rPr>
      <w:fldChar w:fldCharType="begin"/>
    </w:r>
    <w:r w:rsidRPr="004144E0">
      <w:rPr>
        <w:b/>
        <w:sz w:val="18"/>
      </w:rPr>
      <w:instrText xml:space="preserve"> PAGE  \* MERGEFORMAT </w:instrText>
    </w:r>
    <w:r w:rsidRPr="004144E0">
      <w:rPr>
        <w:b/>
        <w:sz w:val="18"/>
      </w:rPr>
      <w:fldChar w:fldCharType="separate"/>
    </w:r>
    <w:r>
      <w:rPr>
        <w:b/>
        <w:noProof/>
        <w:sz w:val="18"/>
      </w:rPr>
      <w:t>42</w:t>
    </w:r>
    <w:r w:rsidRPr="004144E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74D5" w14:textId="77777777" w:rsidR="00270B49" w:rsidRPr="004144E0" w:rsidRDefault="00270B49" w:rsidP="004144E0">
    <w:pPr>
      <w:pStyle w:val="Pieddepage"/>
      <w:tabs>
        <w:tab w:val="right" w:pos="9638"/>
      </w:tabs>
      <w:rPr>
        <w:b/>
        <w:sz w:val="18"/>
      </w:rPr>
    </w:pPr>
    <w:r>
      <w:tab/>
    </w:r>
    <w:r w:rsidRPr="004144E0">
      <w:rPr>
        <w:b/>
        <w:sz w:val="18"/>
      </w:rPr>
      <w:fldChar w:fldCharType="begin"/>
    </w:r>
    <w:r w:rsidRPr="004144E0">
      <w:rPr>
        <w:b/>
        <w:sz w:val="18"/>
      </w:rPr>
      <w:instrText xml:space="preserve"> PAGE  \* MERGEFORMAT </w:instrText>
    </w:r>
    <w:r w:rsidRPr="004144E0">
      <w:rPr>
        <w:b/>
        <w:sz w:val="18"/>
      </w:rPr>
      <w:fldChar w:fldCharType="separate"/>
    </w:r>
    <w:r>
      <w:rPr>
        <w:b/>
        <w:noProof/>
        <w:sz w:val="18"/>
      </w:rPr>
      <w:t>41</w:t>
    </w:r>
    <w:r w:rsidRPr="004144E0">
      <w:rPr>
        <w:b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E076" w14:textId="77777777" w:rsidR="00270B49" w:rsidRPr="00507696" w:rsidRDefault="00270B49" w:rsidP="00507696">
    <w:pPr>
      <w:pStyle w:val="Pieddepage"/>
      <w:jc w:val="right"/>
    </w:pPr>
    <w:r w:rsidRPr="004144E0">
      <w:rPr>
        <w:b/>
        <w:sz w:val="18"/>
      </w:rPr>
      <w:fldChar w:fldCharType="begin"/>
    </w:r>
    <w:r w:rsidRPr="004144E0">
      <w:rPr>
        <w:b/>
        <w:sz w:val="18"/>
      </w:rPr>
      <w:instrText xml:space="preserve"> PAGE  \* MERGEFORMAT </w:instrText>
    </w:r>
    <w:r w:rsidRPr="004144E0">
      <w:rPr>
        <w:b/>
        <w:sz w:val="18"/>
      </w:rPr>
      <w:fldChar w:fldCharType="separate"/>
    </w:r>
    <w:r>
      <w:rPr>
        <w:b/>
        <w:noProof/>
        <w:sz w:val="18"/>
      </w:rPr>
      <w:t>25</w:t>
    </w:r>
    <w:r w:rsidRPr="004144E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A191" w14:textId="2A936024" w:rsidR="00D50293" w:rsidRPr="00791ACE" w:rsidRDefault="00D50293" w:rsidP="00F0081A">
    <w:pPr>
      <w:pStyle w:val="Pieddepage"/>
      <w:tabs>
        <w:tab w:val="right" w:pos="9638"/>
      </w:tabs>
      <w:rPr>
        <w:b/>
        <w:sz w:val="18"/>
      </w:rPr>
    </w:pPr>
    <w:r>
      <w:tab/>
    </w:r>
    <w:r w:rsidRPr="00791ACE">
      <w:rPr>
        <w:b/>
        <w:sz w:val="18"/>
      </w:rPr>
      <w:fldChar w:fldCharType="begin"/>
    </w:r>
    <w:r w:rsidRPr="00791ACE">
      <w:rPr>
        <w:b/>
        <w:sz w:val="18"/>
      </w:rPr>
      <w:instrText xml:space="preserve"> PAGE  \* MERGEFORMAT </w:instrText>
    </w:r>
    <w:r w:rsidRPr="00791ACE">
      <w:rPr>
        <w:b/>
        <w:sz w:val="18"/>
      </w:rPr>
      <w:fldChar w:fldCharType="separate"/>
    </w:r>
    <w:r w:rsidRPr="00791ACE">
      <w:rPr>
        <w:b/>
        <w:noProof/>
        <w:sz w:val="18"/>
      </w:rPr>
      <w:t>3</w:t>
    </w:r>
    <w:r w:rsidRPr="00791A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95C0" w14:textId="57D96693" w:rsidR="00AE4020" w:rsidRPr="00AE4020" w:rsidRDefault="00AE4020" w:rsidP="00AE4020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GE.21-16618  (F)</w:t>
    </w:r>
    <w:r>
      <w:rPr>
        <w:sz w:val="20"/>
      </w:rPr>
      <w:tab/>
    </w:r>
    <w:r w:rsidRPr="00AE4020">
      <w:rPr>
        <w:noProof/>
        <w:sz w:val="20"/>
        <w:lang w:eastAsia="fr-CH"/>
      </w:rPr>
      <w:drawing>
        <wp:inline distT="0" distB="0" distL="0" distR="0" wp14:anchorId="2A5C7798" wp14:editId="3864C98D">
          <wp:extent cx="1105200" cy="234000"/>
          <wp:effectExtent l="0" t="0" r="0" b="0"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1CCDDD0" wp14:editId="1C7F03A2">
          <wp:extent cx="561340" cy="5613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CE4B" w14:textId="77777777" w:rsidR="00D50293" w:rsidRPr="00AC1A78" w:rsidRDefault="00D50293" w:rsidP="00F0081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03229E" wp14:editId="1153CB1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CE5F3E7" w14:textId="77777777" w:rsidR="00D50293" w:rsidRPr="00791ACE" w:rsidRDefault="00D50293" w:rsidP="00F0081A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791AC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91AC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91AC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791AC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3CCA98B2" w14:textId="77777777" w:rsidR="00D50293" w:rsidRDefault="00D5029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3229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CtTNUI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CE5F3E7" w14:textId="77777777" w:rsidR="00D50293" w:rsidRPr="00791ACE" w:rsidRDefault="00D50293" w:rsidP="00F0081A">
                    <w:pPr>
                      <w:pStyle w:val="Pieddepage"/>
                      <w:tabs>
                        <w:tab w:val="right" w:pos="9638"/>
                      </w:tabs>
                    </w:pPr>
                    <w:r w:rsidRPr="00791ACE">
                      <w:rPr>
                        <w:b/>
                        <w:sz w:val="18"/>
                      </w:rPr>
                      <w:fldChar w:fldCharType="begin"/>
                    </w:r>
                    <w:r w:rsidRPr="00791AC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91AC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791AC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3CCA98B2" w14:textId="77777777" w:rsidR="00D50293" w:rsidRDefault="00D5029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E9EF" w14:textId="77777777" w:rsidR="00D50293" w:rsidRPr="00AC1A78" w:rsidRDefault="00D50293" w:rsidP="00F0081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1D91D" wp14:editId="1A12FF2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350ABD9" w14:textId="2A7C82DA" w:rsidR="00D50293" w:rsidRPr="00791ACE" w:rsidRDefault="00D50293" w:rsidP="00F0081A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791AC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91AC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91AC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791AC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8DD6CBE" w14:textId="77777777" w:rsidR="00D50293" w:rsidRDefault="00D5029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1D91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pt;height:481.9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e46k0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350ABD9" w14:textId="2A7C82DA" w:rsidR="00D50293" w:rsidRPr="00791ACE" w:rsidRDefault="00D50293" w:rsidP="00F0081A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791ACE">
                      <w:rPr>
                        <w:b/>
                        <w:sz w:val="18"/>
                      </w:rPr>
                      <w:fldChar w:fldCharType="begin"/>
                    </w:r>
                    <w:r w:rsidRPr="00791AC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91AC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791AC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8DD6CBE" w14:textId="77777777" w:rsidR="00D50293" w:rsidRDefault="00D5029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C4AB" w14:textId="77777777" w:rsidR="00D50293" w:rsidRPr="00A32AEB" w:rsidRDefault="00D50293" w:rsidP="00F0081A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2595" w14:textId="77777777" w:rsidR="00D50293" w:rsidRPr="00A32AEB" w:rsidRDefault="00D50293" w:rsidP="00F0081A">
    <w:pPr>
      <w:pStyle w:val="Pieddepage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3220" w14:textId="77777777" w:rsidR="00D50293" w:rsidRPr="00D63143" w:rsidRDefault="00D50293" w:rsidP="00F0081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1B3892C" wp14:editId="1FA22FA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19A6B23" w14:textId="77777777" w:rsidR="00D50293" w:rsidRPr="00A32AEB" w:rsidRDefault="00D50293" w:rsidP="00F0081A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0C0CE7E6" w14:textId="77777777" w:rsidR="00D50293" w:rsidRDefault="00D5029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3892C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32" type="#_x0000_t202" style="position:absolute;margin-left:-34pt;margin-top:0;width:17pt;height:481.9pt;z-index:25165824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Cqfyo8kQIAADI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19A6B23" w14:textId="77777777" w:rsidR="00D50293" w:rsidRPr="00A32AEB" w:rsidRDefault="00D50293" w:rsidP="00F0081A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0C0CE7E6" w14:textId="77777777" w:rsidR="00D50293" w:rsidRDefault="00D5029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62B2" w14:textId="77777777" w:rsidR="00D50293" w:rsidRPr="00D63143" w:rsidRDefault="00D50293" w:rsidP="00F0081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C0A1ABE" wp14:editId="1AB0AA0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03C4E37" w14:textId="77777777" w:rsidR="00D50293" w:rsidRPr="00A32AEB" w:rsidRDefault="00D50293" w:rsidP="00F0081A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49186FF" w14:textId="77777777" w:rsidR="00D50293" w:rsidRDefault="00D5029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A1AB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3" type="#_x0000_t202" style="position:absolute;margin-left:-34pt;margin-top:0;width:17pt;height:481.9pt;z-index:25165824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wqS9vkQIAADI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03C4E37" w14:textId="77777777" w:rsidR="00D50293" w:rsidRPr="00A32AEB" w:rsidRDefault="00D50293" w:rsidP="00F0081A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49186FF" w14:textId="77777777" w:rsidR="00D50293" w:rsidRDefault="00D50293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F61A" w14:textId="77777777" w:rsidR="00F825A2" w:rsidRPr="00AC3823" w:rsidRDefault="00F825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DD1133" w14:textId="77777777" w:rsidR="00F825A2" w:rsidRPr="00AC3823" w:rsidRDefault="00F825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E7CEC8" w14:textId="77777777" w:rsidR="00F825A2" w:rsidRPr="00AC3823" w:rsidRDefault="00F825A2">
      <w:pPr>
        <w:spacing w:line="240" w:lineRule="auto"/>
        <w:rPr>
          <w:sz w:val="2"/>
          <w:szCs w:val="2"/>
        </w:rPr>
      </w:pPr>
    </w:p>
  </w:footnote>
  <w:footnote w:id="2">
    <w:p w14:paraId="514493CE" w14:textId="2F64B37A" w:rsidR="00270B49" w:rsidRDefault="00270B49" w:rsidP="00DE46FC">
      <w:pPr>
        <w:pStyle w:val="Notedebasdepage"/>
        <w:widowControl w:val="0"/>
      </w:pPr>
      <w:r>
        <w:tab/>
      </w:r>
      <w:r>
        <w:rPr>
          <w:rStyle w:val="Appelnotedebasdep"/>
        </w:rPr>
        <w:t>*</w:t>
      </w:r>
      <w:r>
        <w:t xml:space="preserve"> </w:t>
      </w:r>
      <w:r>
        <w:tab/>
      </w:r>
      <w:r w:rsidRPr="00BB5D49">
        <w:t xml:space="preserve">Diffusé en langue allemande par la </w:t>
      </w:r>
      <w:r w:rsidRPr="00664B4D">
        <w:rPr>
          <w:lang w:val="fr-FR"/>
        </w:rPr>
        <w:t>Commission Centrale pour la Navigation du Rhin</w:t>
      </w:r>
      <w:r w:rsidRPr="00BB5D49">
        <w:t xml:space="preserve"> sous la cote </w:t>
      </w:r>
      <w:r>
        <w:rPr>
          <w:lang w:val="fr-FR"/>
        </w:rPr>
        <w:t>CCNR/ZKR/ADN/</w:t>
      </w:r>
      <w:r w:rsidR="00B57873">
        <w:rPr>
          <w:lang w:val="fr-FR"/>
        </w:rPr>
        <w:t>2022</w:t>
      </w:r>
      <w:r w:rsidRPr="00BB5D49">
        <w:rPr>
          <w:lang w:val="fr-FR"/>
        </w:rPr>
        <w:t>/</w:t>
      </w:r>
      <w:r>
        <w:rPr>
          <w:lang w:val="fr-FR"/>
        </w:rPr>
        <w:t>1</w:t>
      </w:r>
      <w:r w:rsidRPr="00BB5D49">
        <w:rPr>
          <w:lang w:val="fr-FR"/>
        </w:rPr>
        <w:t>.</w:t>
      </w:r>
      <w:r>
        <w:t xml:space="preserve"> </w:t>
      </w:r>
    </w:p>
  </w:footnote>
  <w:footnote w:id="3">
    <w:p w14:paraId="3BE711B1" w14:textId="77777777" w:rsidR="00D50293" w:rsidRPr="009D426C" w:rsidRDefault="00D50293" w:rsidP="00D50293">
      <w:pPr>
        <w:pStyle w:val="Notedebasdepage"/>
        <w:rPr>
          <w:lang w:val="fr-FR"/>
        </w:rPr>
      </w:pPr>
      <w:r>
        <w:rPr>
          <w:lang w:val="fr-FR"/>
        </w:rPr>
        <w:tab/>
      </w:r>
      <w:r w:rsidRPr="00AF4675">
        <w:rPr>
          <w:rStyle w:val="Appelnotedebasdep"/>
        </w:rPr>
        <w:footnoteRef/>
      </w:r>
      <w:r w:rsidRPr="00AF4675">
        <w:rPr>
          <w:lang w:val="fr-FR"/>
        </w:rPr>
        <w:t xml:space="preserve"> </w:t>
      </w:r>
      <w:r w:rsidRPr="00AF4675">
        <w:rPr>
          <w:lang w:val="fr-FR"/>
        </w:rPr>
        <w:tab/>
      </w:r>
      <w:r w:rsidRPr="00AF4675">
        <w:rPr>
          <w:lang w:val="fr-FR"/>
        </w:rPr>
        <w:tab/>
        <w:t>Attestation d’appartenance à la navigation du Rhin ou du Danube.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CC05" w14:textId="3E796ED8" w:rsidR="00D50293" w:rsidRPr="00791ACE" w:rsidRDefault="00453C68">
    <w:pPr>
      <w:pStyle w:val="En-tte"/>
      <w:rPr>
        <w:lang w:val="en-US"/>
      </w:rPr>
    </w:pPr>
    <w:r>
      <w:t>ECE/ADN/2022/1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634D" w14:textId="77777777" w:rsidR="00270B49" w:rsidRPr="00466A38" w:rsidRDefault="00270B49" w:rsidP="00030EE2">
    <w:pPr>
      <w:pStyle w:val="En-tte"/>
      <w:jc w:val="right"/>
    </w:pPr>
    <w:r w:rsidRPr="00466A38">
      <w:rPr>
        <w:szCs w:val="18"/>
        <w:lang w:val="en-US"/>
      </w:rPr>
      <w:t>ECE/ADN/</w:t>
    </w:r>
    <w:r w:rsidR="001B3E49">
      <w:rPr>
        <w:szCs w:val="18"/>
        <w:lang w:val="en-US"/>
      </w:rPr>
      <w:t>2020</w:t>
    </w:r>
    <w:r w:rsidRPr="00466A38">
      <w:rPr>
        <w:szCs w:val="18"/>
        <w:lang w:val="en-US"/>
      </w:rPr>
      <w:t>/1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0DE1" w14:textId="6D2B02AA" w:rsidR="00270B49" w:rsidRDefault="00270B49" w:rsidP="00827815">
    <w:pPr>
      <w:pStyle w:val="En-tte"/>
      <w:jc w:val="right"/>
    </w:pPr>
    <w:r w:rsidRPr="00975ED2">
      <w:rPr>
        <w:szCs w:val="18"/>
        <w:lang w:val="en-US"/>
      </w:rPr>
      <w:t>ECE/</w:t>
    </w:r>
    <w:r>
      <w:rPr>
        <w:szCs w:val="18"/>
        <w:lang w:val="en-US"/>
      </w:rPr>
      <w:t>ADN/</w:t>
    </w:r>
    <w:r w:rsidR="004A197A">
      <w:rPr>
        <w:szCs w:val="18"/>
        <w:lang w:val="en-US"/>
      </w:rPr>
      <w:t>2022</w:t>
    </w:r>
    <w:r>
      <w:rPr>
        <w:szCs w:val="18"/>
        <w:lang w:val="en-US"/>
      </w:rP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2121" w14:textId="37A43B11" w:rsidR="00D50293" w:rsidRPr="00791ACE" w:rsidRDefault="000672E1" w:rsidP="00F0081A">
    <w:pPr>
      <w:pStyle w:val="En-tte"/>
      <w:jc w:val="right"/>
      <w:rPr>
        <w:lang w:val="en-US"/>
      </w:rPr>
    </w:pPr>
    <w:r>
      <w:t>ECE/ADN/2022/1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7E09" w14:textId="77777777" w:rsidR="00D50293" w:rsidRPr="00AC1A78" w:rsidRDefault="00D50293" w:rsidP="00F0081A"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28CB2E1" wp14:editId="5AB72EB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9E7B3C" w14:textId="77777777" w:rsidR="00D50293" w:rsidRPr="00791ACE" w:rsidRDefault="00D50293" w:rsidP="00F0081A">
                          <w:pPr>
                            <w:pStyle w:val="En-tte"/>
                            <w:rPr>
                              <w:lang w:val="en-US"/>
                            </w:rPr>
                          </w:pPr>
                        </w:p>
                        <w:p w14:paraId="1CEA6EA9" w14:textId="77777777" w:rsidR="00D50293" w:rsidRPr="00AC1A78" w:rsidRDefault="00D5029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CB2E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2A9E7B3C" w14:textId="77777777" w:rsidR="00D50293" w:rsidRPr="00791ACE" w:rsidRDefault="00D50293" w:rsidP="00F0081A">
                    <w:pPr>
                      <w:pStyle w:val="En-tte"/>
                      <w:rPr>
                        <w:lang w:val="en-US"/>
                      </w:rPr>
                    </w:pPr>
                  </w:p>
                  <w:p w14:paraId="1CEA6EA9" w14:textId="77777777" w:rsidR="00D50293" w:rsidRPr="00AC1A78" w:rsidRDefault="00D5029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BFE7A" w14:textId="77777777" w:rsidR="00D50293" w:rsidRPr="00AC1A78" w:rsidRDefault="00D50293" w:rsidP="00F0081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704AF" wp14:editId="16CB72E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F73CD7" w14:textId="477CFEFB" w:rsidR="00D50293" w:rsidRPr="00453C68" w:rsidRDefault="00453C68" w:rsidP="009C264D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453C6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ECE/ADN/2022/1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704A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9F73CD7" w14:textId="477CFEFB" w:rsidR="00D50293" w:rsidRPr="00453C68" w:rsidRDefault="00453C68" w:rsidP="009C264D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453C68">
                      <w:rPr>
                        <w:b/>
                        <w:bCs/>
                        <w:sz w:val="18"/>
                        <w:szCs w:val="18"/>
                      </w:rPr>
                      <w:t>ECE/ADN/2022/1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B5ED1" w14:textId="58617109" w:rsidR="00D50293" w:rsidRPr="00C823A1" w:rsidRDefault="00453C68" w:rsidP="00F0081A">
    <w:pPr>
      <w:pStyle w:val="En-tte"/>
    </w:pPr>
    <w:r>
      <w:t>ECE/ADN/2022/1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A94F" w14:textId="2D3A552A" w:rsidR="00D50293" w:rsidRPr="00C823A1" w:rsidRDefault="00453C68" w:rsidP="00453C68">
    <w:pPr>
      <w:pStyle w:val="En-tte"/>
      <w:jc w:val="right"/>
    </w:pPr>
    <w:r>
      <w:t>ECE/ADN/2022/1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C542" w14:textId="77777777" w:rsidR="00D50293" w:rsidRPr="00D63143" w:rsidRDefault="00D50293" w:rsidP="00F0081A"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5D28DC5" wp14:editId="5995B74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15E63" w14:textId="31E1FF81" w:rsidR="00D50293" w:rsidRPr="00A32AEB" w:rsidRDefault="00453C68" w:rsidP="00F0081A">
                          <w:pPr>
                            <w:pStyle w:val="En-tte"/>
                            <w:rPr>
                              <w:lang w:val="en-US"/>
                            </w:rPr>
                          </w:pPr>
                          <w:r>
                            <w:t>ECE/ADN/2022/1</w:t>
                          </w:r>
                        </w:p>
                        <w:p w14:paraId="16AEB9A2" w14:textId="77777777" w:rsidR="00D50293" w:rsidRPr="00D63143" w:rsidRDefault="00D5029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28DC5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0" type="#_x0000_t202" style="position:absolute;margin-left:782.35pt;margin-top:0;width:17pt;height:481.9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31A15E63" w14:textId="31E1FF81" w:rsidR="00D50293" w:rsidRPr="00A32AEB" w:rsidRDefault="00453C68" w:rsidP="00F0081A">
                    <w:pPr>
                      <w:pStyle w:val="En-tte"/>
                      <w:rPr>
                        <w:lang w:val="en-US"/>
                      </w:rPr>
                    </w:pPr>
                    <w:r>
                      <w:t>ECE/ADN/2022/1</w:t>
                    </w:r>
                  </w:p>
                  <w:p w14:paraId="16AEB9A2" w14:textId="77777777" w:rsidR="00D50293" w:rsidRPr="00D63143" w:rsidRDefault="00D5029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A0F8" w14:textId="77777777" w:rsidR="00D50293" w:rsidRPr="00D63143" w:rsidRDefault="00D50293" w:rsidP="00F0081A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FA4EA2B" wp14:editId="54B8697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39FABA" w14:textId="4613CA22" w:rsidR="00D50293" w:rsidRPr="00453C68" w:rsidRDefault="00453C68" w:rsidP="00E3464D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453C6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ECE/ADN/2022/1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4EA2B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31" type="#_x0000_t202" style="position:absolute;margin-left:782.35pt;margin-top:0;width:17pt;height:481.9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C39FABA" w14:textId="4613CA22" w:rsidR="00D50293" w:rsidRPr="00453C68" w:rsidRDefault="00453C68" w:rsidP="00E3464D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453C68">
                      <w:rPr>
                        <w:b/>
                        <w:bCs/>
                        <w:sz w:val="18"/>
                        <w:szCs w:val="18"/>
                      </w:rPr>
                      <w:t>ECE/ADN/2022/1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2F0A" w14:textId="4684BB86" w:rsidR="00270B49" w:rsidRPr="00466A38" w:rsidRDefault="00270B49" w:rsidP="00030EE2">
    <w:pPr>
      <w:pStyle w:val="En-tte"/>
    </w:pPr>
    <w:r w:rsidRPr="00466A38">
      <w:rPr>
        <w:szCs w:val="18"/>
        <w:lang w:val="en-US"/>
      </w:rPr>
      <w:t>ECE/ADN/</w:t>
    </w:r>
    <w:r w:rsidR="00E427EE">
      <w:rPr>
        <w:szCs w:val="18"/>
        <w:lang w:val="en-US"/>
      </w:rPr>
      <w:t>2022</w:t>
    </w:r>
    <w:r w:rsidRPr="00466A38">
      <w:rPr>
        <w:szCs w:val="18"/>
        <w:lang w:val="en-US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2266"/>
        </w:tabs>
        <w:ind w:left="2266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9211F"/>
    <w:multiLevelType w:val="hybridMultilevel"/>
    <w:tmpl w:val="A800B898"/>
    <w:lvl w:ilvl="0" w:tplc="56D49D66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21"/>
    <w:multiLevelType w:val="hybridMultilevel"/>
    <w:tmpl w:val="DB303ED2"/>
    <w:lvl w:ilvl="0" w:tplc="83027E5E">
      <w:start w:val="1"/>
      <w:numFmt w:val="lowerLetter"/>
      <w:lvlText w:val="%1)"/>
      <w:lvlJc w:val="left"/>
      <w:pPr>
        <w:ind w:left="1854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3221F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5A8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DA20F9A"/>
    <w:multiLevelType w:val="hybridMultilevel"/>
    <w:tmpl w:val="F002FFA2"/>
    <w:lvl w:ilvl="0" w:tplc="7E143D6C">
      <w:start w:val="1"/>
      <w:numFmt w:val="lowerLetter"/>
      <w:lvlText w:val="%1)"/>
      <w:lvlJc w:val="left"/>
      <w:pPr>
        <w:ind w:left="1854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16"/>
  </w:num>
  <w:num w:numId="16">
    <w:abstractNumId w:val="11"/>
  </w:num>
  <w:num w:numId="17">
    <w:abstractNumId w:val="13"/>
    <w:lvlOverride w:ilvl="0">
      <w:lvl w:ilvl="0" w:tplc="6D5E22D8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18">
    <w:abstractNumId w:val="10"/>
  </w:num>
  <w:num w:numId="19">
    <w:abstractNumId w:val="19"/>
  </w:num>
  <w:num w:numId="20">
    <w:abstractNumId w:val="17"/>
  </w:num>
  <w:num w:numId="21">
    <w:abstractNumId w:val="13"/>
  </w:num>
  <w:num w:numId="22">
    <w:abstractNumId w:val="18"/>
  </w:num>
  <w:num w:numId="23">
    <w:abstractNumId w:val="15"/>
  </w:num>
  <w:num w:numId="24">
    <w:abstractNumId w:val="20"/>
  </w:num>
  <w:num w:numId="25">
    <w:abstractNumId w:val="12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oNotTrackFormatting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D3"/>
    <w:rsid w:val="00003B2D"/>
    <w:rsid w:val="000121D6"/>
    <w:rsid w:val="00013E92"/>
    <w:rsid w:val="00017F94"/>
    <w:rsid w:val="00020E3C"/>
    <w:rsid w:val="00022EA4"/>
    <w:rsid w:val="00023842"/>
    <w:rsid w:val="00023BCB"/>
    <w:rsid w:val="00030EE2"/>
    <w:rsid w:val="000334F9"/>
    <w:rsid w:val="00033A88"/>
    <w:rsid w:val="0004145A"/>
    <w:rsid w:val="00042905"/>
    <w:rsid w:val="000447A0"/>
    <w:rsid w:val="00045FEB"/>
    <w:rsid w:val="0004609B"/>
    <w:rsid w:val="00047117"/>
    <w:rsid w:val="00052FDB"/>
    <w:rsid w:val="0005493B"/>
    <w:rsid w:val="000555F0"/>
    <w:rsid w:val="00057691"/>
    <w:rsid w:val="000672E1"/>
    <w:rsid w:val="000732D4"/>
    <w:rsid w:val="0007796D"/>
    <w:rsid w:val="00077ED9"/>
    <w:rsid w:val="00086CAB"/>
    <w:rsid w:val="00097FE7"/>
    <w:rsid w:val="000A01EA"/>
    <w:rsid w:val="000A1395"/>
    <w:rsid w:val="000A666A"/>
    <w:rsid w:val="000B2E77"/>
    <w:rsid w:val="000B6439"/>
    <w:rsid w:val="000B7790"/>
    <w:rsid w:val="000B7C5D"/>
    <w:rsid w:val="000C009C"/>
    <w:rsid w:val="000C43A6"/>
    <w:rsid w:val="000C4B7F"/>
    <w:rsid w:val="000D1B85"/>
    <w:rsid w:val="000D1CB1"/>
    <w:rsid w:val="000D5B49"/>
    <w:rsid w:val="000E6C29"/>
    <w:rsid w:val="001028E8"/>
    <w:rsid w:val="00103337"/>
    <w:rsid w:val="00103BD0"/>
    <w:rsid w:val="001061D6"/>
    <w:rsid w:val="001109E1"/>
    <w:rsid w:val="00111F2F"/>
    <w:rsid w:val="00117611"/>
    <w:rsid w:val="00123722"/>
    <w:rsid w:val="001251D8"/>
    <w:rsid w:val="00130356"/>
    <w:rsid w:val="00130797"/>
    <w:rsid w:val="00133F1E"/>
    <w:rsid w:val="0014365E"/>
    <w:rsid w:val="00143C66"/>
    <w:rsid w:val="001471BF"/>
    <w:rsid w:val="0014731D"/>
    <w:rsid w:val="001575C5"/>
    <w:rsid w:val="001602F8"/>
    <w:rsid w:val="00172A3C"/>
    <w:rsid w:val="00174ABB"/>
    <w:rsid w:val="00175AC6"/>
    <w:rsid w:val="00176178"/>
    <w:rsid w:val="001828AA"/>
    <w:rsid w:val="00184C71"/>
    <w:rsid w:val="001856EB"/>
    <w:rsid w:val="001A0E75"/>
    <w:rsid w:val="001A1A27"/>
    <w:rsid w:val="001B1BD4"/>
    <w:rsid w:val="001B3E49"/>
    <w:rsid w:val="001B5EB1"/>
    <w:rsid w:val="001C5851"/>
    <w:rsid w:val="001D1420"/>
    <w:rsid w:val="001D1BA6"/>
    <w:rsid w:val="001E19C5"/>
    <w:rsid w:val="001E36ED"/>
    <w:rsid w:val="001E41B1"/>
    <w:rsid w:val="001F525A"/>
    <w:rsid w:val="002013E9"/>
    <w:rsid w:val="002068B6"/>
    <w:rsid w:val="00207D7A"/>
    <w:rsid w:val="002201D2"/>
    <w:rsid w:val="0022054B"/>
    <w:rsid w:val="00223272"/>
    <w:rsid w:val="00224D9C"/>
    <w:rsid w:val="002333CD"/>
    <w:rsid w:val="00242259"/>
    <w:rsid w:val="0024419B"/>
    <w:rsid w:val="00246B6F"/>
    <w:rsid w:val="0024779E"/>
    <w:rsid w:val="00256015"/>
    <w:rsid w:val="00257168"/>
    <w:rsid w:val="002571E0"/>
    <w:rsid w:val="00260391"/>
    <w:rsid w:val="00263610"/>
    <w:rsid w:val="00263C42"/>
    <w:rsid w:val="002653DF"/>
    <w:rsid w:val="00270B49"/>
    <w:rsid w:val="002744B8"/>
    <w:rsid w:val="002832AC"/>
    <w:rsid w:val="0028464F"/>
    <w:rsid w:val="0029002A"/>
    <w:rsid w:val="0029244D"/>
    <w:rsid w:val="00293BC9"/>
    <w:rsid w:val="002947BB"/>
    <w:rsid w:val="002A0462"/>
    <w:rsid w:val="002A2801"/>
    <w:rsid w:val="002A3590"/>
    <w:rsid w:val="002A7D7C"/>
    <w:rsid w:val="002B4142"/>
    <w:rsid w:val="002C4A56"/>
    <w:rsid w:val="002C511C"/>
    <w:rsid w:val="002C559D"/>
    <w:rsid w:val="002D03A5"/>
    <w:rsid w:val="002D3EEF"/>
    <w:rsid w:val="002D63DF"/>
    <w:rsid w:val="002D7C93"/>
    <w:rsid w:val="002E1D76"/>
    <w:rsid w:val="002E59B6"/>
    <w:rsid w:val="002E6A87"/>
    <w:rsid w:val="002F43AF"/>
    <w:rsid w:val="002F7633"/>
    <w:rsid w:val="00304D00"/>
    <w:rsid w:val="00305801"/>
    <w:rsid w:val="00307462"/>
    <w:rsid w:val="003077BF"/>
    <w:rsid w:val="00311547"/>
    <w:rsid w:val="00312554"/>
    <w:rsid w:val="0032099B"/>
    <w:rsid w:val="0032581D"/>
    <w:rsid w:val="00335C43"/>
    <w:rsid w:val="0033686A"/>
    <w:rsid w:val="00342A58"/>
    <w:rsid w:val="00342A88"/>
    <w:rsid w:val="003431B8"/>
    <w:rsid w:val="00356D38"/>
    <w:rsid w:val="00357DE0"/>
    <w:rsid w:val="003608B5"/>
    <w:rsid w:val="00363A20"/>
    <w:rsid w:val="00371E9A"/>
    <w:rsid w:val="003740E9"/>
    <w:rsid w:val="00381F96"/>
    <w:rsid w:val="00383C34"/>
    <w:rsid w:val="003916DE"/>
    <w:rsid w:val="00393EBB"/>
    <w:rsid w:val="003A5ABC"/>
    <w:rsid w:val="003B1B58"/>
    <w:rsid w:val="003B442B"/>
    <w:rsid w:val="003B72B8"/>
    <w:rsid w:val="003C0EAC"/>
    <w:rsid w:val="003C551D"/>
    <w:rsid w:val="003D4998"/>
    <w:rsid w:val="003E0B8E"/>
    <w:rsid w:val="003E3299"/>
    <w:rsid w:val="00404B51"/>
    <w:rsid w:val="004144E0"/>
    <w:rsid w:val="00414EC7"/>
    <w:rsid w:val="00422076"/>
    <w:rsid w:val="00424A3F"/>
    <w:rsid w:val="00427411"/>
    <w:rsid w:val="004320FE"/>
    <w:rsid w:val="00433A6B"/>
    <w:rsid w:val="00435BFF"/>
    <w:rsid w:val="00441C3B"/>
    <w:rsid w:val="00446FE5"/>
    <w:rsid w:val="00452396"/>
    <w:rsid w:val="00452F10"/>
    <w:rsid w:val="00453C68"/>
    <w:rsid w:val="00461F48"/>
    <w:rsid w:val="00463667"/>
    <w:rsid w:val="00465284"/>
    <w:rsid w:val="00465452"/>
    <w:rsid w:val="00465A7D"/>
    <w:rsid w:val="00471431"/>
    <w:rsid w:val="00482471"/>
    <w:rsid w:val="004837D8"/>
    <w:rsid w:val="0049461F"/>
    <w:rsid w:val="004A197A"/>
    <w:rsid w:val="004A1F13"/>
    <w:rsid w:val="004A7722"/>
    <w:rsid w:val="004B644E"/>
    <w:rsid w:val="004C0610"/>
    <w:rsid w:val="004C324F"/>
    <w:rsid w:val="004C5793"/>
    <w:rsid w:val="004D1DC8"/>
    <w:rsid w:val="004D65A2"/>
    <w:rsid w:val="004E21FD"/>
    <w:rsid w:val="004E468C"/>
    <w:rsid w:val="004F1CD3"/>
    <w:rsid w:val="004F33D8"/>
    <w:rsid w:val="00502E38"/>
    <w:rsid w:val="00502E7F"/>
    <w:rsid w:val="005036D9"/>
    <w:rsid w:val="00503E58"/>
    <w:rsid w:val="00505739"/>
    <w:rsid w:val="00507696"/>
    <w:rsid w:val="0051041C"/>
    <w:rsid w:val="00525441"/>
    <w:rsid w:val="00530472"/>
    <w:rsid w:val="00536590"/>
    <w:rsid w:val="00536CBA"/>
    <w:rsid w:val="00541E7D"/>
    <w:rsid w:val="0054554B"/>
    <w:rsid w:val="00545720"/>
    <w:rsid w:val="00547526"/>
    <w:rsid w:val="005505B7"/>
    <w:rsid w:val="00554DEC"/>
    <w:rsid w:val="00557594"/>
    <w:rsid w:val="00572F10"/>
    <w:rsid w:val="00573BE5"/>
    <w:rsid w:val="00584ACC"/>
    <w:rsid w:val="00586ED3"/>
    <w:rsid w:val="00587F2B"/>
    <w:rsid w:val="005902C8"/>
    <w:rsid w:val="0059068B"/>
    <w:rsid w:val="00590D2C"/>
    <w:rsid w:val="00596AA9"/>
    <w:rsid w:val="005A1738"/>
    <w:rsid w:val="005A4155"/>
    <w:rsid w:val="005A430A"/>
    <w:rsid w:val="005A545C"/>
    <w:rsid w:val="005A63AC"/>
    <w:rsid w:val="005A6935"/>
    <w:rsid w:val="005B0524"/>
    <w:rsid w:val="005B185A"/>
    <w:rsid w:val="005B5232"/>
    <w:rsid w:val="005C00C6"/>
    <w:rsid w:val="005E3CD0"/>
    <w:rsid w:val="005E7B1A"/>
    <w:rsid w:val="005E7C82"/>
    <w:rsid w:val="005F2026"/>
    <w:rsid w:val="005F6345"/>
    <w:rsid w:val="005F6D68"/>
    <w:rsid w:val="00603E0A"/>
    <w:rsid w:val="00605AAD"/>
    <w:rsid w:val="0061023E"/>
    <w:rsid w:val="00614EDB"/>
    <w:rsid w:val="00615443"/>
    <w:rsid w:val="00617690"/>
    <w:rsid w:val="00617EBD"/>
    <w:rsid w:val="00622A92"/>
    <w:rsid w:val="00622E64"/>
    <w:rsid w:val="006302B8"/>
    <w:rsid w:val="00632E95"/>
    <w:rsid w:val="00637FB2"/>
    <w:rsid w:val="006406EE"/>
    <w:rsid w:val="00640C93"/>
    <w:rsid w:val="00645FE8"/>
    <w:rsid w:val="00653268"/>
    <w:rsid w:val="00654BB9"/>
    <w:rsid w:val="006551C3"/>
    <w:rsid w:val="00677ECF"/>
    <w:rsid w:val="00685DAE"/>
    <w:rsid w:val="006951F5"/>
    <w:rsid w:val="006969F2"/>
    <w:rsid w:val="006B3E71"/>
    <w:rsid w:val="006C48FD"/>
    <w:rsid w:val="006C66FF"/>
    <w:rsid w:val="006D1DE1"/>
    <w:rsid w:val="006D5B4B"/>
    <w:rsid w:val="006E3F6B"/>
    <w:rsid w:val="006E482D"/>
    <w:rsid w:val="006F00D9"/>
    <w:rsid w:val="006F2A42"/>
    <w:rsid w:val="006F6B3B"/>
    <w:rsid w:val="00701043"/>
    <w:rsid w:val="00715B48"/>
    <w:rsid w:val="0071601D"/>
    <w:rsid w:val="007202A6"/>
    <w:rsid w:val="007202DB"/>
    <w:rsid w:val="007355FD"/>
    <w:rsid w:val="00741444"/>
    <w:rsid w:val="007426D6"/>
    <w:rsid w:val="00745BC5"/>
    <w:rsid w:val="007465B3"/>
    <w:rsid w:val="0075358F"/>
    <w:rsid w:val="0076426E"/>
    <w:rsid w:val="00767CAC"/>
    <w:rsid w:val="007714E8"/>
    <w:rsid w:val="0077351F"/>
    <w:rsid w:val="0077719C"/>
    <w:rsid w:val="00782C10"/>
    <w:rsid w:val="007A3102"/>
    <w:rsid w:val="007A62E6"/>
    <w:rsid w:val="007A6CEC"/>
    <w:rsid w:val="007B750A"/>
    <w:rsid w:val="007C70EB"/>
    <w:rsid w:val="007E4D8F"/>
    <w:rsid w:val="007F20FA"/>
    <w:rsid w:val="007F2356"/>
    <w:rsid w:val="007F2FC3"/>
    <w:rsid w:val="007F2FE0"/>
    <w:rsid w:val="007F758B"/>
    <w:rsid w:val="00803A6B"/>
    <w:rsid w:val="0080684C"/>
    <w:rsid w:val="00815447"/>
    <w:rsid w:val="00817017"/>
    <w:rsid w:val="00824FF1"/>
    <w:rsid w:val="00826BE6"/>
    <w:rsid w:val="00827815"/>
    <w:rsid w:val="00831C5A"/>
    <w:rsid w:val="00833EC2"/>
    <w:rsid w:val="008406F7"/>
    <w:rsid w:val="0084113C"/>
    <w:rsid w:val="008435AD"/>
    <w:rsid w:val="00845581"/>
    <w:rsid w:val="00853AC4"/>
    <w:rsid w:val="00860479"/>
    <w:rsid w:val="00861E11"/>
    <w:rsid w:val="00871C75"/>
    <w:rsid w:val="00873078"/>
    <w:rsid w:val="00875FC9"/>
    <w:rsid w:val="008776DC"/>
    <w:rsid w:val="00880EBC"/>
    <w:rsid w:val="00891055"/>
    <w:rsid w:val="00891E27"/>
    <w:rsid w:val="00895134"/>
    <w:rsid w:val="00895739"/>
    <w:rsid w:val="0089746F"/>
    <w:rsid w:val="008A347C"/>
    <w:rsid w:val="008A459A"/>
    <w:rsid w:val="008C2428"/>
    <w:rsid w:val="008D01E0"/>
    <w:rsid w:val="008D28CE"/>
    <w:rsid w:val="008D4C83"/>
    <w:rsid w:val="008E361A"/>
    <w:rsid w:val="009024B4"/>
    <w:rsid w:val="00916DD1"/>
    <w:rsid w:val="00944102"/>
    <w:rsid w:val="009446C0"/>
    <w:rsid w:val="009453C1"/>
    <w:rsid w:val="0095336B"/>
    <w:rsid w:val="00955B26"/>
    <w:rsid w:val="009705C8"/>
    <w:rsid w:val="00973184"/>
    <w:rsid w:val="0097483E"/>
    <w:rsid w:val="00975ED2"/>
    <w:rsid w:val="00976611"/>
    <w:rsid w:val="00977BD3"/>
    <w:rsid w:val="009842DF"/>
    <w:rsid w:val="00990539"/>
    <w:rsid w:val="009A2A11"/>
    <w:rsid w:val="009A69F6"/>
    <w:rsid w:val="009C1B15"/>
    <w:rsid w:val="009C1CF4"/>
    <w:rsid w:val="009C264D"/>
    <w:rsid w:val="009C7A41"/>
    <w:rsid w:val="009D75BB"/>
    <w:rsid w:val="009F5CE7"/>
    <w:rsid w:val="009F6B74"/>
    <w:rsid w:val="00A0587D"/>
    <w:rsid w:val="00A16551"/>
    <w:rsid w:val="00A2001E"/>
    <w:rsid w:val="00A208E5"/>
    <w:rsid w:val="00A2530F"/>
    <w:rsid w:val="00A30117"/>
    <w:rsid w:val="00A30353"/>
    <w:rsid w:val="00A3502C"/>
    <w:rsid w:val="00A365BA"/>
    <w:rsid w:val="00A44D06"/>
    <w:rsid w:val="00A50387"/>
    <w:rsid w:val="00A5107C"/>
    <w:rsid w:val="00A51DEC"/>
    <w:rsid w:val="00A54BA2"/>
    <w:rsid w:val="00A54FAD"/>
    <w:rsid w:val="00A551F2"/>
    <w:rsid w:val="00A607CB"/>
    <w:rsid w:val="00A630B7"/>
    <w:rsid w:val="00A6505E"/>
    <w:rsid w:val="00A66622"/>
    <w:rsid w:val="00A71E45"/>
    <w:rsid w:val="00A75AC3"/>
    <w:rsid w:val="00A75BE4"/>
    <w:rsid w:val="00A81F97"/>
    <w:rsid w:val="00A83539"/>
    <w:rsid w:val="00A850EB"/>
    <w:rsid w:val="00A96311"/>
    <w:rsid w:val="00A97591"/>
    <w:rsid w:val="00AA10CF"/>
    <w:rsid w:val="00AA3826"/>
    <w:rsid w:val="00AA557B"/>
    <w:rsid w:val="00AB1FC6"/>
    <w:rsid w:val="00AB2E5E"/>
    <w:rsid w:val="00AB4F1D"/>
    <w:rsid w:val="00AB562C"/>
    <w:rsid w:val="00AB6A49"/>
    <w:rsid w:val="00AB7E95"/>
    <w:rsid w:val="00AC3823"/>
    <w:rsid w:val="00AD2E37"/>
    <w:rsid w:val="00AE0E87"/>
    <w:rsid w:val="00AE323C"/>
    <w:rsid w:val="00AE4020"/>
    <w:rsid w:val="00AF0CB5"/>
    <w:rsid w:val="00AF1784"/>
    <w:rsid w:val="00AF3A8A"/>
    <w:rsid w:val="00B00181"/>
    <w:rsid w:val="00B00B0D"/>
    <w:rsid w:val="00B02013"/>
    <w:rsid w:val="00B14996"/>
    <w:rsid w:val="00B179EE"/>
    <w:rsid w:val="00B211AA"/>
    <w:rsid w:val="00B24A03"/>
    <w:rsid w:val="00B24D34"/>
    <w:rsid w:val="00B25DD0"/>
    <w:rsid w:val="00B46897"/>
    <w:rsid w:val="00B57873"/>
    <w:rsid w:val="00B64377"/>
    <w:rsid w:val="00B71886"/>
    <w:rsid w:val="00B765F7"/>
    <w:rsid w:val="00B82C08"/>
    <w:rsid w:val="00B83EB7"/>
    <w:rsid w:val="00B91D3C"/>
    <w:rsid w:val="00BA0CA9"/>
    <w:rsid w:val="00BB0B16"/>
    <w:rsid w:val="00BB345C"/>
    <w:rsid w:val="00BB4B47"/>
    <w:rsid w:val="00BB7CCC"/>
    <w:rsid w:val="00BC4E24"/>
    <w:rsid w:val="00BC5DB7"/>
    <w:rsid w:val="00BC7E89"/>
    <w:rsid w:val="00BD6F0A"/>
    <w:rsid w:val="00BE2201"/>
    <w:rsid w:val="00BE69DE"/>
    <w:rsid w:val="00BF0D24"/>
    <w:rsid w:val="00BF222C"/>
    <w:rsid w:val="00BF2633"/>
    <w:rsid w:val="00C0005D"/>
    <w:rsid w:val="00C00E69"/>
    <w:rsid w:val="00C02897"/>
    <w:rsid w:val="00C0386B"/>
    <w:rsid w:val="00C0710F"/>
    <w:rsid w:val="00C12E87"/>
    <w:rsid w:val="00C2016E"/>
    <w:rsid w:val="00C22A92"/>
    <w:rsid w:val="00C25BC5"/>
    <w:rsid w:val="00C3099C"/>
    <w:rsid w:val="00C320E9"/>
    <w:rsid w:val="00C362F9"/>
    <w:rsid w:val="00C36356"/>
    <w:rsid w:val="00C51855"/>
    <w:rsid w:val="00C54531"/>
    <w:rsid w:val="00C547EE"/>
    <w:rsid w:val="00C55023"/>
    <w:rsid w:val="00C57092"/>
    <w:rsid w:val="00C63DF3"/>
    <w:rsid w:val="00C70EB0"/>
    <w:rsid w:val="00C7262E"/>
    <w:rsid w:val="00C73C95"/>
    <w:rsid w:val="00C8284D"/>
    <w:rsid w:val="00C9308E"/>
    <w:rsid w:val="00C94078"/>
    <w:rsid w:val="00C97039"/>
    <w:rsid w:val="00CA6935"/>
    <w:rsid w:val="00CA6937"/>
    <w:rsid w:val="00CB1718"/>
    <w:rsid w:val="00CE7E6D"/>
    <w:rsid w:val="00CF5320"/>
    <w:rsid w:val="00CF5B64"/>
    <w:rsid w:val="00D03F4B"/>
    <w:rsid w:val="00D0455E"/>
    <w:rsid w:val="00D062CD"/>
    <w:rsid w:val="00D20B61"/>
    <w:rsid w:val="00D27565"/>
    <w:rsid w:val="00D31603"/>
    <w:rsid w:val="00D31EFF"/>
    <w:rsid w:val="00D33F44"/>
    <w:rsid w:val="00D3439C"/>
    <w:rsid w:val="00D3732E"/>
    <w:rsid w:val="00D50293"/>
    <w:rsid w:val="00D5591C"/>
    <w:rsid w:val="00D61A49"/>
    <w:rsid w:val="00D63375"/>
    <w:rsid w:val="00D63B71"/>
    <w:rsid w:val="00D64DDE"/>
    <w:rsid w:val="00D7678F"/>
    <w:rsid w:val="00D82FB6"/>
    <w:rsid w:val="00D82FCD"/>
    <w:rsid w:val="00D8589E"/>
    <w:rsid w:val="00D91E8B"/>
    <w:rsid w:val="00D92F81"/>
    <w:rsid w:val="00DA1867"/>
    <w:rsid w:val="00DA2F95"/>
    <w:rsid w:val="00DA35A6"/>
    <w:rsid w:val="00DA39A1"/>
    <w:rsid w:val="00DA76C7"/>
    <w:rsid w:val="00DB0535"/>
    <w:rsid w:val="00DB0E43"/>
    <w:rsid w:val="00DB1831"/>
    <w:rsid w:val="00DB4BC5"/>
    <w:rsid w:val="00DD058E"/>
    <w:rsid w:val="00DD1028"/>
    <w:rsid w:val="00DD183A"/>
    <w:rsid w:val="00DD22C7"/>
    <w:rsid w:val="00DD3BFD"/>
    <w:rsid w:val="00DD3F60"/>
    <w:rsid w:val="00DE2708"/>
    <w:rsid w:val="00DE352E"/>
    <w:rsid w:val="00DE46FC"/>
    <w:rsid w:val="00DF348F"/>
    <w:rsid w:val="00DF468E"/>
    <w:rsid w:val="00DF6678"/>
    <w:rsid w:val="00E00B7E"/>
    <w:rsid w:val="00E0299A"/>
    <w:rsid w:val="00E063F2"/>
    <w:rsid w:val="00E17C18"/>
    <w:rsid w:val="00E269F0"/>
    <w:rsid w:val="00E3464D"/>
    <w:rsid w:val="00E427EE"/>
    <w:rsid w:val="00E53105"/>
    <w:rsid w:val="00E540FC"/>
    <w:rsid w:val="00E563CF"/>
    <w:rsid w:val="00E639C0"/>
    <w:rsid w:val="00E726D1"/>
    <w:rsid w:val="00E74DFA"/>
    <w:rsid w:val="00E84393"/>
    <w:rsid w:val="00E85C74"/>
    <w:rsid w:val="00E91A9D"/>
    <w:rsid w:val="00E91E6A"/>
    <w:rsid w:val="00E9235E"/>
    <w:rsid w:val="00EA6547"/>
    <w:rsid w:val="00EB25BC"/>
    <w:rsid w:val="00EC307D"/>
    <w:rsid w:val="00EC59C4"/>
    <w:rsid w:val="00ED21DA"/>
    <w:rsid w:val="00ED6B61"/>
    <w:rsid w:val="00EE582C"/>
    <w:rsid w:val="00EF2E22"/>
    <w:rsid w:val="00EF60DE"/>
    <w:rsid w:val="00F0081A"/>
    <w:rsid w:val="00F050D0"/>
    <w:rsid w:val="00F068EC"/>
    <w:rsid w:val="00F1353A"/>
    <w:rsid w:val="00F147D7"/>
    <w:rsid w:val="00F25721"/>
    <w:rsid w:val="00F3015F"/>
    <w:rsid w:val="00F325CC"/>
    <w:rsid w:val="00F32B92"/>
    <w:rsid w:val="00F35BAF"/>
    <w:rsid w:val="00F447A0"/>
    <w:rsid w:val="00F52609"/>
    <w:rsid w:val="00F5327E"/>
    <w:rsid w:val="00F53A5F"/>
    <w:rsid w:val="00F57B28"/>
    <w:rsid w:val="00F660DF"/>
    <w:rsid w:val="00F739CA"/>
    <w:rsid w:val="00F77457"/>
    <w:rsid w:val="00F7759C"/>
    <w:rsid w:val="00F825A2"/>
    <w:rsid w:val="00F82E5C"/>
    <w:rsid w:val="00F84D6A"/>
    <w:rsid w:val="00F84E2D"/>
    <w:rsid w:val="00F85292"/>
    <w:rsid w:val="00F85647"/>
    <w:rsid w:val="00F8731F"/>
    <w:rsid w:val="00F92576"/>
    <w:rsid w:val="00F943A3"/>
    <w:rsid w:val="00F94664"/>
    <w:rsid w:val="00F954BE"/>
    <w:rsid w:val="00F9573C"/>
    <w:rsid w:val="00F95C08"/>
    <w:rsid w:val="00F96183"/>
    <w:rsid w:val="00F96416"/>
    <w:rsid w:val="00FC2CB8"/>
    <w:rsid w:val="00FC4F06"/>
    <w:rsid w:val="00FF0D41"/>
    <w:rsid w:val="00FF25DB"/>
    <w:rsid w:val="00FF33DB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B4562"/>
  <w15:docId w15:val="{79916B86-FFB9-4692-88BE-0B03357B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0299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A3826"/>
    <w:rPr>
      <w:rFonts w:ascii="Times New Roman" w:eastAsiaTheme="minorHAnsi" w:hAnsi="Times New Roman" w:cs="Times New Roman"/>
      <w:sz w:val="20"/>
      <w:szCs w:val="20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975ED2"/>
  </w:style>
  <w:style w:type="table" w:customStyle="1" w:styleId="Grilledutableau1">
    <w:name w:val="Grille du tableau1"/>
    <w:basedOn w:val="TableauNormal"/>
    <w:next w:val="Grilledutableau"/>
    <w:rsid w:val="00975ED2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locked/>
    <w:rsid w:val="002B414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80EB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C25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ourier New" w:eastAsia="Times New Roman" w:hAnsi="Courier New" w:cs="Courier New"/>
      <w:lang w:val="en-GB" w:eastAsia="zh-CN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BC5"/>
    <w:rPr>
      <w:rFonts w:ascii="Courier New" w:hAnsi="Courier New" w:cs="Courier New"/>
      <w:sz w:val="20"/>
      <w:szCs w:val="20"/>
      <w:lang w:val="en-GB"/>
    </w:rPr>
  </w:style>
  <w:style w:type="character" w:styleId="Accentuation">
    <w:name w:val="Emphasis"/>
    <w:qFormat/>
    <w:rsid w:val="005B0524"/>
    <w:rPr>
      <w:i/>
      <w:iCs/>
    </w:rPr>
  </w:style>
  <w:style w:type="character" w:customStyle="1" w:styleId="H23GChar">
    <w:name w:val="_ H_2/3_G Char"/>
    <w:link w:val="H23G"/>
    <w:rsid w:val="005B0524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2E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E9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E9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E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E95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D92F8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92C4B-513C-4617-8AA7-ACBB4C089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D927A-BD30-4FC5-B1E8-0C0EFD26B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230DD-D704-411E-910F-7BB9DAA35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C56CB-3233-492D-9952-C6CB008EF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2775</Words>
  <Characters>15818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ECE/ADN/2018/1</vt:lpstr>
      <vt:lpstr>ECE/ADN/2018/1</vt:lpstr>
    </vt:vector>
  </TitlesOfParts>
  <Company>DCM</Company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ECE/ADN/2022/1</dc:title>
  <dc:subject/>
  <dc:creator>Nicolas MORIN</dc:creator>
  <cp:keywords/>
  <cp:lastModifiedBy>Corinne ROBERT</cp:lastModifiedBy>
  <cp:revision>3</cp:revision>
  <cp:lastPrinted>2021-11-13T10:00:00Z</cp:lastPrinted>
  <dcterms:created xsi:type="dcterms:W3CDTF">2021-11-13T10:00:00Z</dcterms:created>
  <dcterms:modified xsi:type="dcterms:W3CDTF">2021-11-13T10:00:00Z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7267200</vt:r8>
  </property>
</Properties>
</file>