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397A8C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649FC6E" w14:textId="77777777" w:rsidR="002D5AAC" w:rsidRDefault="002D5AAC" w:rsidP="00EB77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F65F71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5C4A26A" w14:textId="4EAE4D74" w:rsidR="002D5AAC" w:rsidRDefault="00EB779E" w:rsidP="00EB779E">
            <w:pPr>
              <w:jc w:val="right"/>
            </w:pPr>
            <w:r w:rsidRPr="00EB779E">
              <w:rPr>
                <w:sz w:val="40"/>
              </w:rPr>
              <w:t>ECE</w:t>
            </w:r>
            <w:r>
              <w:t>/TRANS/WP.29/GRBP/2022/7</w:t>
            </w:r>
          </w:p>
        </w:tc>
      </w:tr>
      <w:tr w:rsidR="002D5AAC" w14:paraId="5AC2D12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C32C63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B5524DE" wp14:editId="2C741C8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2EA0ED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1863329" w14:textId="77777777" w:rsidR="002D5AAC" w:rsidRDefault="00EB779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31DBB58" w14:textId="77777777" w:rsidR="00EB779E" w:rsidRDefault="00EB779E" w:rsidP="00EB779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November 2021</w:t>
            </w:r>
          </w:p>
          <w:p w14:paraId="092FA6B8" w14:textId="77777777" w:rsidR="00EB779E" w:rsidRDefault="00EB779E" w:rsidP="00EB779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848C538" w14:textId="309D24E5" w:rsidR="00EB779E" w:rsidRPr="008D53B6" w:rsidRDefault="00EB779E" w:rsidP="00EB779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EDDCC61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F8DBAC9" w14:textId="77777777" w:rsidR="00EB779E" w:rsidRPr="00EB779E" w:rsidRDefault="00EB779E" w:rsidP="00EB779E">
      <w:pPr>
        <w:spacing w:before="120" w:after="120"/>
        <w:rPr>
          <w:sz w:val="28"/>
          <w:szCs w:val="32"/>
        </w:rPr>
      </w:pPr>
      <w:r w:rsidRPr="00EB779E">
        <w:rPr>
          <w:sz w:val="28"/>
          <w:szCs w:val="32"/>
        </w:rPr>
        <w:t xml:space="preserve">Комитет по внутреннему транспорту </w:t>
      </w:r>
    </w:p>
    <w:p w14:paraId="5B439BB7" w14:textId="10B2A064" w:rsidR="00EB779E" w:rsidRPr="00EB779E" w:rsidRDefault="00EB779E" w:rsidP="00EB779E">
      <w:pPr>
        <w:spacing w:after="120"/>
        <w:rPr>
          <w:sz w:val="24"/>
          <w:szCs w:val="28"/>
        </w:rPr>
      </w:pPr>
      <w:r w:rsidRPr="00EB779E">
        <w:rPr>
          <w:b/>
          <w:bCs/>
          <w:sz w:val="24"/>
          <w:szCs w:val="28"/>
        </w:rPr>
        <w:t xml:space="preserve">Всемирный форум для согласования правил </w:t>
      </w:r>
      <w:r>
        <w:rPr>
          <w:b/>
          <w:bCs/>
          <w:sz w:val="24"/>
          <w:szCs w:val="28"/>
        </w:rPr>
        <w:br/>
      </w:r>
      <w:r w:rsidRPr="00EB779E">
        <w:rPr>
          <w:b/>
          <w:bCs/>
          <w:sz w:val="24"/>
          <w:szCs w:val="28"/>
        </w:rPr>
        <w:t>в области транспортных средств</w:t>
      </w:r>
      <w:r w:rsidRPr="00EB779E">
        <w:rPr>
          <w:sz w:val="24"/>
          <w:szCs w:val="28"/>
        </w:rPr>
        <w:t xml:space="preserve"> </w:t>
      </w:r>
    </w:p>
    <w:p w14:paraId="4BB9AE7F" w14:textId="77777777" w:rsidR="00EB779E" w:rsidRPr="00EB779E" w:rsidRDefault="00EB779E" w:rsidP="00EB779E">
      <w:pPr>
        <w:rPr>
          <w:b/>
          <w:bCs/>
        </w:rPr>
      </w:pPr>
      <w:r w:rsidRPr="00EB779E">
        <w:rPr>
          <w:b/>
          <w:bCs/>
        </w:rPr>
        <w:t>Рабочая группа по вопросам шума и шин</w:t>
      </w:r>
    </w:p>
    <w:p w14:paraId="2D681102" w14:textId="77777777" w:rsidR="00EB779E" w:rsidRPr="00EB779E" w:rsidRDefault="00EB779E" w:rsidP="00EB779E">
      <w:pPr>
        <w:spacing w:before="120"/>
        <w:rPr>
          <w:b/>
        </w:rPr>
      </w:pPr>
      <w:r w:rsidRPr="00EB779E">
        <w:rPr>
          <w:b/>
          <w:bCs/>
        </w:rPr>
        <w:t>Семьдесят пятая сессия</w:t>
      </w:r>
      <w:r w:rsidRPr="00EB779E">
        <w:t xml:space="preserve"> </w:t>
      </w:r>
    </w:p>
    <w:p w14:paraId="0C614F86" w14:textId="77777777" w:rsidR="00EB779E" w:rsidRPr="00EB779E" w:rsidRDefault="00EB779E" w:rsidP="00EB779E">
      <w:pPr>
        <w:rPr>
          <w:bCs/>
        </w:rPr>
      </w:pPr>
      <w:r w:rsidRPr="00EB779E">
        <w:t>Женева, 8–11 февраля 2022 года</w:t>
      </w:r>
    </w:p>
    <w:p w14:paraId="0C347A56" w14:textId="77777777" w:rsidR="00EB779E" w:rsidRPr="00EB779E" w:rsidRDefault="00EB779E" w:rsidP="00EB779E">
      <w:pPr>
        <w:rPr>
          <w:bCs/>
        </w:rPr>
      </w:pPr>
      <w:r w:rsidRPr="00EB779E">
        <w:t>Пункт 4 c) предварительной повестки дня</w:t>
      </w:r>
    </w:p>
    <w:p w14:paraId="5445E0A0" w14:textId="3093B448" w:rsidR="00EB779E" w:rsidRPr="00EB779E" w:rsidRDefault="00EB779E" w:rsidP="00EB779E">
      <w:pPr>
        <w:rPr>
          <w:b/>
          <w:bCs/>
        </w:rPr>
      </w:pPr>
      <w:r w:rsidRPr="00EB779E">
        <w:rPr>
          <w:b/>
          <w:bCs/>
        </w:rPr>
        <w:t xml:space="preserve">Шины: Правила № 106 ООН (шины </w:t>
      </w:r>
      <w:r>
        <w:rPr>
          <w:b/>
          <w:bCs/>
        </w:rPr>
        <w:br/>
      </w:r>
      <w:r w:rsidRPr="00EB779E">
        <w:rPr>
          <w:b/>
          <w:bCs/>
        </w:rPr>
        <w:t xml:space="preserve">для сельскохозяйственных транспортных средств </w:t>
      </w:r>
      <w:r>
        <w:rPr>
          <w:b/>
          <w:bCs/>
        </w:rPr>
        <w:br/>
      </w:r>
      <w:r w:rsidRPr="00EB779E">
        <w:rPr>
          <w:b/>
          <w:bCs/>
        </w:rPr>
        <w:t>и их прицепов)</w:t>
      </w:r>
    </w:p>
    <w:p w14:paraId="17C73A7C" w14:textId="77777777" w:rsidR="00EB779E" w:rsidRPr="00EB779E" w:rsidRDefault="00EB779E" w:rsidP="00EB779E">
      <w:pPr>
        <w:pStyle w:val="HChG"/>
      </w:pPr>
      <w:r w:rsidRPr="00EB779E">
        <w:tab/>
      </w:r>
      <w:r w:rsidRPr="00EB779E">
        <w:tab/>
        <w:t xml:space="preserve">Предложение по поправкам к Правилам № 106 ООН </w:t>
      </w:r>
    </w:p>
    <w:p w14:paraId="511B7126" w14:textId="06EB99D4" w:rsidR="00EB779E" w:rsidRDefault="00EB779E" w:rsidP="00EB779E">
      <w:pPr>
        <w:pStyle w:val="H1G"/>
      </w:pPr>
      <w:r w:rsidRPr="00EB779E">
        <w:tab/>
      </w:r>
      <w:r w:rsidRPr="00EB779E">
        <w:tab/>
        <w:t>Представлено экспертами от Европейской технической организации по вопросам пневматических шин и ободьев колес</w:t>
      </w:r>
      <w:r w:rsidRPr="00EB779E">
        <w:rPr>
          <w:b w:val="0"/>
          <w:bCs/>
          <w:sz w:val="20"/>
        </w:rPr>
        <w:footnoteReference w:customMarkFollows="1" w:id="1"/>
        <w:t xml:space="preserve">* </w:t>
      </w:r>
    </w:p>
    <w:p w14:paraId="224D20B7" w14:textId="58349566" w:rsidR="00EB779E" w:rsidRPr="00EB779E" w:rsidRDefault="00EB779E" w:rsidP="00EB779E">
      <w:pPr>
        <w:pStyle w:val="SingleTxtG"/>
      </w:pPr>
      <w:r>
        <w:tab/>
      </w:r>
      <w:r w:rsidRPr="00EB779E">
        <w:t>Воспроизведенный ниже текст был подготовлен экспертами от Европейской технической организации по вопросам пневматических шин и ободьев колес</w:t>
      </w:r>
      <w:r>
        <w:rPr>
          <w:lang w:val="en-US"/>
        </w:rPr>
        <w:t> </w:t>
      </w:r>
      <w:r w:rsidRPr="00EB779E">
        <w:t xml:space="preserve">(ЕТОПОК). Изменения к существующему тексту Правил ООН выделены жирным шрифтом в случае новых элементов или зачеркиванием в случае исключенных элементов. </w:t>
      </w:r>
    </w:p>
    <w:p w14:paraId="5EEB04CF" w14:textId="355A81A4" w:rsidR="00EB779E" w:rsidRDefault="00EB779E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03445AA2" w14:textId="7011DF04" w:rsidR="00EB779E" w:rsidRPr="0081787B" w:rsidRDefault="00EB779E" w:rsidP="00EB779E">
      <w:pPr>
        <w:pStyle w:val="HChG"/>
        <w:rPr>
          <w:sz w:val="40"/>
          <w:szCs w:val="28"/>
        </w:rPr>
      </w:pPr>
      <w:r>
        <w:lastRenderedPageBreak/>
        <w:tab/>
      </w:r>
      <w:r w:rsidRPr="0081787B">
        <w:t>I.</w:t>
      </w:r>
      <w:r w:rsidRPr="0081787B">
        <w:tab/>
        <w:t>Предложение</w:t>
      </w:r>
    </w:p>
    <w:p w14:paraId="7055AD99" w14:textId="77777777" w:rsidR="00EB779E" w:rsidRPr="00FA42B8" w:rsidRDefault="00EB779E" w:rsidP="00EB779E">
      <w:pPr>
        <w:spacing w:after="120"/>
        <w:ind w:left="1134" w:right="1134"/>
        <w:jc w:val="both"/>
        <w:rPr>
          <w:i/>
        </w:rPr>
      </w:pPr>
      <w:r>
        <w:rPr>
          <w:i/>
          <w:iCs/>
        </w:rPr>
        <w:t>Пункт 2.6.1</w:t>
      </w:r>
      <w:r>
        <w:t xml:space="preserve"> текста на английском языке изменить следующим образом (К тексту на русском языке не относится</w:t>
      </w:r>
      <w:r w:rsidRPr="0081787B">
        <w:t>.</w:t>
      </w:r>
      <w:r>
        <w:t>):</w:t>
      </w:r>
    </w:p>
    <w:p w14:paraId="21F1C1FE" w14:textId="6E65338B" w:rsidR="00EB779E" w:rsidRPr="002B254A" w:rsidRDefault="00EB779E" w:rsidP="00EB779E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lang w:val="en-US"/>
        </w:rPr>
      </w:pPr>
      <w:r w:rsidRPr="00EB779E">
        <w:rPr>
          <w:lang w:val="en-US"/>
        </w:rPr>
        <w:t>«</w:t>
      </w:r>
      <w:r w:rsidRPr="002B254A">
        <w:rPr>
          <w:lang w:val="en-US"/>
        </w:rPr>
        <w:t>2.6.1</w:t>
      </w:r>
      <w:r w:rsidRPr="002B254A">
        <w:rPr>
          <w:lang w:val="en-US"/>
        </w:rPr>
        <w:tab/>
        <w:t>"</w:t>
      </w:r>
      <w:r w:rsidRPr="002B254A">
        <w:rPr>
          <w:i/>
          <w:iCs/>
          <w:lang w:val="en-US"/>
        </w:rPr>
        <w:t>Diagonal</w:t>
      </w:r>
      <w:r w:rsidRPr="002B254A">
        <w:rPr>
          <w:lang w:val="en-US"/>
        </w:rPr>
        <w:t>" or "</w:t>
      </w:r>
      <w:r w:rsidRPr="002B254A">
        <w:rPr>
          <w:i/>
          <w:iCs/>
          <w:lang w:val="en-US"/>
        </w:rPr>
        <w:t>bias-ply</w:t>
      </w:r>
      <w:r w:rsidRPr="002B254A">
        <w:rPr>
          <w:lang w:val="en-US"/>
        </w:rPr>
        <w:t xml:space="preserve">" describes a tyre structure in which the ply cords extend to the bead and are laid at alternate angles of substantially less than 90° to the </w:t>
      </w:r>
      <w:r w:rsidRPr="002B254A">
        <w:rPr>
          <w:strike/>
          <w:lang w:val="en-US"/>
        </w:rPr>
        <w:t>centreline</w:t>
      </w:r>
      <w:r w:rsidRPr="002B254A">
        <w:rPr>
          <w:b/>
          <w:bCs/>
          <w:lang w:val="en-US"/>
        </w:rPr>
        <w:t>centre line</w:t>
      </w:r>
      <w:r w:rsidRPr="002B254A">
        <w:rPr>
          <w:lang w:val="en-US"/>
        </w:rPr>
        <w:t xml:space="preserve"> of the tread;</w:t>
      </w:r>
      <w:r w:rsidRPr="00EB779E">
        <w:rPr>
          <w:lang w:val="en-US"/>
        </w:rPr>
        <w:t>»</w:t>
      </w:r>
      <w:r w:rsidRPr="002B254A">
        <w:rPr>
          <w:lang w:val="en-US"/>
        </w:rPr>
        <w:t>.</w:t>
      </w:r>
    </w:p>
    <w:p w14:paraId="52ABFDF8" w14:textId="044DB66F" w:rsidR="00EB779E" w:rsidRPr="00FA42B8" w:rsidRDefault="00EB779E" w:rsidP="00EB779E">
      <w:pPr>
        <w:autoSpaceDE w:val="0"/>
        <w:autoSpaceDN w:val="0"/>
        <w:adjustRightInd w:val="0"/>
        <w:spacing w:after="120"/>
        <w:ind w:left="2268" w:right="1134"/>
        <w:jc w:val="both"/>
        <w:rPr>
          <w:rFonts w:ascii="TimesNewRomanPSMT" w:hAnsi="TimesNewRomanPSMT" w:cs="TimesNewRomanPSMT"/>
        </w:rPr>
      </w:pPr>
      <w:r>
        <w:t>(</w:t>
      </w:r>
      <w:r w:rsidRPr="00EB779E">
        <w:t>“</w:t>
      </w:r>
      <w:r>
        <w:rPr>
          <w:i/>
          <w:iCs/>
        </w:rPr>
        <w:t>диагональная</w:t>
      </w:r>
      <w:r w:rsidRPr="00EB779E">
        <w:t>”</w:t>
      </w:r>
      <w:r>
        <w:t xml:space="preserve"> или </w:t>
      </w:r>
      <w:r w:rsidRPr="00EB779E">
        <w:t>“</w:t>
      </w:r>
      <w:r>
        <w:rPr>
          <w:i/>
          <w:iCs/>
        </w:rPr>
        <w:t>с перекрещивающимися слоями корда</w:t>
      </w:r>
      <w:r w:rsidRPr="00EB779E">
        <w:t>”</w:t>
      </w:r>
      <w:r>
        <w:t xml:space="preserve"> означает конструкцию шины, в которой нити корда достигают борта и располагаются таким образом, что образуют чередующиеся углы значительно меньше 90º по отношению к средней линии протектора;</w:t>
      </w:r>
      <w:r>
        <w:t>»</w:t>
      </w:r>
      <w:r>
        <w:t>.)</w:t>
      </w:r>
    </w:p>
    <w:p w14:paraId="2B3B04FD" w14:textId="77777777" w:rsidR="00EB779E" w:rsidRPr="00FA42B8" w:rsidRDefault="00EB779E" w:rsidP="00EB779E">
      <w:pPr>
        <w:spacing w:after="120"/>
        <w:ind w:left="1134" w:right="1134"/>
        <w:jc w:val="both"/>
        <w:rPr>
          <w:i/>
        </w:rPr>
      </w:pPr>
      <w:bookmarkStart w:id="0" w:name="_Hlk85794862"/>
      <w:r>
        <w:rPr>
          <w:i/>
          <w:iCs/>
        </w:rPr>
        <w:t>Пункт 2.6.2</w:t>
      </w:r>
      <w:r>
        <w:t xml:space="preserve"> изменить следующим образом:</w:t>
      </w:r>
    </w:p>
    <w:bookmarkEnd w:id="0"/>
    <w:p w14:paraId="123B14FC" w14:textId="277A0A5A" w:rsidR="00EB779E" w:rsidRPr="00FA42B8" w:rsidRDefault="00EB779E" w:rsidP="00EB779E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ascii="TimesNewRomanPSMT" w:hAnsi="TimesNewRomanPSMT" w:cs="TimesNewRomanPSMT"/>
          <w:b/>
          <w:bCs/>
        </w:rPr>
      </w:pPr>
      <w:r>
        <w:t>«</w:t>
      </w:r>
      <w:r w:rsidRPr="005F7E0C">
        <w:t>2.6.2</w:t>
      </w:r>
      <w:r>
        <w:tab/>
      </w:r>
      <w:r w:rsidRPr="00EB779E">
        <w:t>“</w:t>
      </w:r>
      <w:r>
        <w:rPr>
          <w:i/>
          <w:iCs/>
        </w:rPr>
        <w:t>диагонально-опоясанная</w:t>
      </w:r>
      <w:r w:rsidRPr="00EB779E">
        <w:t>”</w:t>
      </w:r>
      <w:r>
        <w:t xml:space="preserve"> означает конструкцию шины</w:t>
      </w:r>
      <w:r>
        <w:rPr>
          <w:strike/>
        </w:rPr>
        <w:t xml:space="preserve"> диагонального типа (с перекрещивающимися слоями корда)</w:t>
      </w:r>
      <w:r>
        <w:t xml:space="preserve">, в которой </w:t>
      </w:r>
      <w:r>
        <w:rPr>
          <w:strike/>
        </w:rPr>
        <w:t>каркас</w:t>
      </w:r>
      <w:r>
        <w:t xml:space="preserve"> </w:t>
      </w:r>
      <w:r>
        <w:rPr>
          <w:b/>
          <w:bCs/>
        </w:rPr>
        <w:t xml:space="preserve">нити корда достигают борта и располагаются таким образом, что образуют чередующиеся углы значительно меньше 90° по отношению к средней линии протектора, и вся конструкция которой </w:t>
      </w:r>
      <w:r>
        <w:t xml:space="preserve">стягивается поясом, состоящим из </w:t>
      </w:r>
      <w:r>
        <w:rPr>
          <w:strike/>
        </w:rPr>
        <w:t>двух</w:t>
      </w:r>
      <w:r>
        <w:t xml:space="preserve"> </w:t>
      </w:r>
      <w:r>
        <w:rPr>
          <w:b/>
          <w:bCs/>
        </w:rPr>
        <w:t xml:space="preserve">одного </w:t>
      </w:r>
      <w:r>
        <w:t>или более слоев практически нерастяжимого корда</w:t>
      </w:r>
      <w:r>
        <w:rPr>
          <w:strike/>
        </w:rPr>
        <w:t>, образующего почти такие же чередующиеся углы, что и в каркасе</w:t>
      </w:r>
      <w:r>
        <w:t>;</w:t>
      </w:r>
      <w:r>
        <w:t>»</w:t>
      </w:r>
      <w:r>
        <w:t>.</w:t>
      </w:r>
    </w:p>
    <w:p w14:paraId="7FA0CE6D" w14:textId="77777777" w:rsidR="00EB779E" w:rsidRPr="00FA42B8" w:rsidRDefault="00EB779E" w:rsidP="00EB779E">
      <w:pPr>
        <w:spacing w:after="120"/>
        <w:ind w:left="1134" w:right="1134"/>
        <w:jc w:val="both"/>
        <w:rPr>
          <w:i/>
        </w:rPr>
      </w:pPr>
      <w:r>
        <w:rPr>
          <w:i/>
          <w:iCs/>
        </w:rPr>
        <w:t>Пункт 2.18</w:t>
      </w:r>
      <w:r>
        <w:t xml:space="preserve"> изменить следующим образом:</w:t>
      </w:r>
    </w:p>
    <w:p w14:paraId="571C255B" w14:textId="6B7AE51A" w:rsidR="00EB779E" w:rsidRPr="00FA42B8" w:rsidRDefault="00D908E5" w:rsidP="00EB779E">
      <w:pPr>
        <w:spacing w:after="120"/>
        <w:ind w:left="2268" w:right="1134" w:hanging="1134"/>
        <w:jc w:val="both"/>
        <w:rPr>
          <w:i/>
        </w:rPr>
      </w:pPr>
      <w:r>
        <w:t>«</w:t>
      </w:r>
      <w:r w:rsidR="00EB779E">
        <w:t xml:space="preserve">2.18 </w:t>
      </w:r>
      <w:r w:rsidR="00EB779E">
        <w:tab/>
      </w:r>
      <w:r w:rsidR="00EB779E">
        <w:tab/>
      </w:r>
      <w:r w:rsidRPr="00D908E5">
        <w:t>“</w:t>
      </w:r>
      <w:r w:rsidR="00EB779E">
        <w:rPr>
          <w:i/>
          <w:iCs/>
        </w:rPr>
        <w:t>обозначение размера шины</w:t>
      </w:r>
      <w:r w:rsidRPr="00D908E5">
        <w:t>”</w:t>
      </w:r>
      <w:r w:rsidR="00EB779E">
        <w:t xml:space="preserve"> </w:t>
      </w:r>
      <w:r w:rsidR="00EB779E">
        <w:rPr>
          <w:strike/>
        </w:rPr>
        <w:t>означает обозначение, включающее</w:t>
      </w:r>
      <w:r w:rsidR="00EB779E">
        <w:t xml:space="preserve"> </w:t>
      </w:r>
      <w:r w:rsidR="00EB779E">
        <w:rPr>
          <w:b/>
          <w:bCs/>
        </w:rPr>
        <w:t>в случае размеров шин, перечисленных в приложении 5 к настоящим Правилам, означает обозначение, указанное в первой колонке таблиц, приведенных в приложении 5, а в случае шин других размеров</w:t>
      </w:r>
      <w:r w:rsidR="00EB779E">
        <w:rPr>
          <w:b/>
          <w:bCs/>
          <w:lang w:val="en-US"/>
        </w:rPr>
        <w:t> </w:t>
      </w:r>
      <w:r w:rsidR="00EB779E" w:rsidRPr="00B07559">
        <w:rPr>
          <w:b/>
          <w:bCs/>
        </w:rPr>
        <w:t>—</w:t>
      </w:r>
      <w:r w:rsidR="00EB779E">
        <w:rPr>
          <w:b/>
          <w:bCs/>
        </w:rPr>
        <w:t xml:space="preserve"> обозначение, включающее</w:t>
      </w:r>
      <w:r w:rsidR="00EB779E">
        <w:t>:».</w:t>
      </w:r>
    </w:p>
    <w:p w14:paraId="6DD1F457" w14:textId="77777777" w:rsidR="00EB779E" w:rsidRPr="002B254A" w:rsidRDefault="00EB779E" w:rsidP="00EB779E">
      <w:pPr>
        <w:spacing w:after="120"/>
        <w:ind w:left="1134" w:right="1134"/>
        <w:jc w:val="both"/>
        <w:rPr>
          <w:i/>
        </w:rPr>
      </w:pPr>
      <w:bookmarkStart w:id="1" w:name="_Hlk85793171"/>
      <w:r>
        <w:rPr>
          <w:i/>
          <w:iCs/>
        </w:rPr>
        <w:t>Пункт 2.18.7</w:t>
      </w:r>
      <w:r>
        <w:t xml:space="preserve"> исключить:</w:t>
      </w:r>
    </w:p>
    <w:p w14:paraId="2A97971B" w14:textId="12DDAE58" w:rsidR="00EB779E" w:rsidRPr="0082518C" w:rsidRDefault="00D908E5" w:rsidP="00EB779E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ascii="TimesNewRomanPSMT" w:hAnsi="TimesNewRomanPSMT" w:cs="TimesNewRomanPSMT"/>
          <w:strike/>
        </w:rPr>
      </w:pPr>
      <w:r>
        <w:t>«</w:t>
      </w:r>
      <w:r w:rsidR="00EB779E">
        <w:rPr>
          <w:strike/>
        </w:rPr>
        <w:t>2.18.</w:t>
      </w:r>
      <w:r w:rsidR="00EB779E" w:rsidRPr="00B07559">
        <w:rPr>
          <w:strike/>
        </w:rPr>
        <w:t xml:space="preserve">7 </w:t>
      </w:r>
      <w:r w:rsidR="00EB779E" w:rsidRPr="00B07559">
        <w:rPr>
          <w:strike/>
        </w:rPr>
        <w:tab/>
      </w:r>
      <w:r w:rsidR="00EB779E">
        <w:tab/>
      </w:r>
      <w:r w:rsidR="00EB779E">
        <w:rPr>
          <w:strike/>
        </w:rPr>
        <w:t>однако для шин, перечисленных в приложении 5, "обозначения размера шин" приведены в первой колонке содержащихся в этом приложении таблиц;</w:t>
      </w:r>
      <w:r>
        <w:t>»</w:t>
      </w:r>
      <w:r w:rsidR="00EB779E">
        <w:t xml:space="preserve">. </w:t>
      </w:r>
      <w:r w:rsidR="00EB779E">
        <w:tab/>
      </w:r>
    </w:p>
    <w:p w14:paraId="148CB70F" w14:textId="5C157725" w:rsidR="00EB779E" w:rsidRPr="00FA42B8" w:rsidRDefault="00EB779E" w:rsidP="00EB779E">
      <w:pPr>
        <w:spacing w:after="120"/>
        <w:ind w:left="1134" w:right="1134"/>
        <w:jc w:val="both"/>
        <w:rPr>
          <w:iCs/>
        </w:rPr>
      </w:pPr>
      <w:r>
        <w:rPr>
          <w:i/>
          <w:iCs/>
        </w:rPr>
        <w:t>Пункт 2.18.13</w:t>
      </w:r>
      <w:r>
        <w:t xml:space="preserve">, изменить нумерацию на </w:t>
      </w:r>
      <w:r w:rsidR="001F0641">
        <w:t xml:space="preserve">пункт </w:t>
      </w:r>
      <w:r>
        <w:t>2.18.7:</w:t>
      </w:r>
    </w:p>
    <w:p w14:paraId="75578287" w14:textId="3792D864" w:rsidR="00EB779E" w:rsidRPr="00FA42B8" w:rsidRDefault="00D908E5" w:rsidP="00EB779E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ascii="TimesNewRomanPSMT" w:hAnsi="TimesNewRomanPSMT" w:cs="TimesNewRomanPSMT"/>
        </w:rPr>
      </w:pPr>
      <w:r>
        <w:t>«</w:t>
      </w:r>
      <w:r w:rsidR="00EB779E">
        <w:t>2.18.</w:t>
      </w:r>
      <w:r w:rsidR="00EB779E">
        <w:rPr>
          <w:b/>
          <w:bCs/>
        </w:rPr>
        <w:t>7</w:t>
      </w:r>
      <w:r w:rsidR="00EB779E">
        <w:rPr>
          <w:strike/>
        </w:rPr>
        <w:t>13</w:t>
      </w:r>
      <w:r w:rsidR="00EB779E">
        <w:t xml:space="preserve"> </w:t>
      </w:r>
      <w:r w:rsidR="00EB779E">
        <w:tab/>
        <w:t xml:space="preserve">буквы </w:t>
      </w:r>
      <w:r w:rsidRPr="00D908E5">
        <w:t>“</w:t>
      </w:r>
      <w:r w:rsidR="00EB779E">
        <w:t>LS</w:t>
      </w:r>
      <w:r w:rsidRPr="00D908E5">
        <w:t>”</w:t>
      </w:r>
      <w:r w:rsidR="00EB779E">
        <w:t>, проставляемые после обозначения номинального диаметра обода на противобуксовочных шинах для лесохозяйственных машин;</w:t>
      </w:r>
      <w:r w:rsidR="00EB779E">
        <w:rPr>
          <w:vertAlign w:val="superscript"/>
        </w:rPr>
        <w:t>2</w:t>
      </w:r>
      <w:r>
        <w:t>»</w:t>
      </w:r>
      <w:r w:rsidR="00EB779E">
        <w:t>.</w:t>
      </w:r>
    </w:p>
    <w:p w14:paraId="39376B35" w14:textId="77777777" w:rsidR="00EB779E" w:rsidRPr="00FA42B8" w:rsidRDefault="00EB779E" w:rsidP="00EB779E">
      <w:pPr>
        <w:spacing w:after="120"/>
        <w:ind w:left="1134" w:right="1134"/>
        <w:jc w:val="both"/>
        <w:rPr>
          <w:iCs/>
        </w:rPr>
      </w:pPr>
      <w:r>
        <w:rPr>
          <w:i/>
          <w:iCs/>
        </w:rPr>
        <w:t>Пункт 2.23.1</w:t>
      </w:r>
      <w:r>
        <w:t>, изменить нумерацию на пункт 2.48:</w:t>
      </w:r>
    </w:p>
    <w:bookmarkEnd w:id="1"/>
    <w:p w14:paraId="1E1894F7" w14:textId="6AD59193" w:rsidR="00EB779E" w:rsidRPr="00FA42B8" w:rsidRDefault="00D908E5" w:rsidP="00EB779E">
      <w:pPr>
        <w:autoSpaceDE w:val="0"/>
        <w:autoSpaceDN w:val="0"/>
        <w:adjustRightInd w:val="0"/>
        <w:spacing w:after="120"/>
        <w:ind w:left="2268" w:right="1134" w:hanging="1133"/>
        <w:jc w:val="both"/>
        <w:rPr>
          <w:rFonts w:ascii="TimesNewRomanPSMT" w:hAnsi="TimesNewRomanPSMT" w:cs="TimesNewRomanPSMT"/>
        </w:rPr>
      </w:pPr>
      <w:r>
        <w:t>«</w:t>
      </w:r>
      <w:r w:rsidR="00EB779E">
        <w:rPr>
          <w:strike/>
        </w:rPr>
        <w:t>2.23.1.</w:t>
      </w:r>
      <w:r w:rsidR="00EB779E">
        <w:rPr>
          <w:b/>
          <w:bCs/>
        </w:rPr>
        <w:t>2.48</w:t>
      </w:r>
      <w:r w:rsidR="00EB779E">
        <w:tab/>
      </w:r>
      <w:r w:rsidRPr="00D908E5">
        <w:t>“</w:t>
      </w:r>
      <w:r w:rsidR="00EB779E">
        <w:rPr>
          <w:i/>
          <w:iCs/>
        </w:rPr>
        <w:t>шина с повышенным прогибом</w:t>
      </w:r>
      <w:r w:rsidRPr="00D908E5">
        <w:t>”</w:t>
      </w:r>
      <w:r w:rsidR="00EB779E">
        <w:t xml:space="preserve"> либо </w:t>
      </w:r>
      <w:r w:rsidRPr="00D908E5">
        <w:t>“</w:t>
      </w:r>
      <w:r w:rsidR="00EB779E">
        <w:rPr>
          <w:i/>
          <w:iCs/>
        </w:rPr>
        <w:t>шина с очень высокой степенью прогиба</w:t>
      </w:r>
      <w:r w:rsidRPr="00D908E5">
        <w:t>”</w:t>
      </w:r>
      <w:r w:rsidR="00EB779E">
        <w:t xml:space="preserve"> означает конструкцию пневматической шины, в которой каркас является более прочным, чем у соответствующей стандартной шины;</w:t>
      </w:r>
      <w:r>
        <w:t>»</w:t>
      </w:r>
      <w:r w:rsidR="00EB779E">
        <w:t>.</w:t>
      </w:r>
      <w:bookmarkStart w:id="2" w:name="_Hlk85793828"/>
      <w:bookmarkEnd w:id="2"/>
    </w:p>
    <w:p w14:paraId="301790DD" w14:textId="77777777" w:rsidR="00EB779E" w:rsidRPr="007F67CD" w:rsidRDefault="00EB779E" w:rsidP="00EB779E">
      <w:pPr>
        <w:pStyle w:val="HChG"/>
        <w:rPr>
          <w:szCs w:val="28"/>
        </w:rPr>
      </w:pPr>
      <w:r w:rsidRPr="007F67CD">
        <w:tab/>
        <w:t>II.</w:t>
      </w:r>
      <w:r w:rsidRPr="007F67CD">
        <w:tab/>
        <w:t>Обоснование</w:t>
      </w:r>
    </w:p>
    <w:p w14:paraId="131D2C8E" w14:textId="3B7ADD08" w:rsidR="00EB779E" w:rsidRPr="002B254A" w:rsidRDefault="00EB779E" w:rsidP="00EB779E">
      <w:pPr>
        <w:spacing w:after="120"/>
        <w:ind w:left="1134" w:right="1134"/>
        <w:jc w:val="both"/>
      </w:pPr>
      <w:r w:rsidRPr="0082518C">
        <w:t>1.</w:t>
      </w:r>
      <w:r w:rsidRPr="0082518C">
        <w:tab/>
      </w:r>
      <w:r w:rsidRPr="002B254A">
        <w:t xml:space="preserve">Для обеспечения согласованности между определениями, которые содержатся в правилах ООН, касающихся шин, предлагается внести изменения в пункты 2.6.1 и 2.6.2, приведя определения «диагональной», или «с перекрещивающимися слоями корда», и </w:t>
      </w:r>
      <w:r w:rsidR="00D908E5">
        <w:t>«</w:t>
      </w:r>
      <w:r w:rsidRPr="002B254A">
        <w:t>диагонально-опоясанной</w:t>
      </w:r>
      <w:r w:rsidR="00D908E5">
        <w:t>»</w:t>
      </w:r>
      <w:r w:rsidRPr="002B254A">
        <w:t xml:space="preserve"> конструкций шин в соответствие с определениями, предусмотренными в правилах ООН № 30 и 75.</w:t>
      </w:r>
    </w:p>
    <w:p w14:paraId="6142F4E3" w14:textId="77777777" w:rsidR="00EB779E" w:rsidRPr="002B254A" w:rsidRDefault="00EB779E" w:rsidP="00EB779E">
      <w:pPr>
        <w:spacing w:after="120"/>
        <w:ind w:left="1134" w:right="1134"/>
        <w:jc w:val="both"/>
      </w:pPr>
      <w:r w:rsidRPr="0082518C">
        <w:t>2.</w:t>
      </w:r>
      <w:r w:rsidRPr="0082518C">
        <w:tab/>
      </w:r>
      <w:r w:rsidRPr="002B254A">
        <w:t>Подпункты пункта 2.18, за исключением подпункта 2.18.7, описывают состав обозначения размера метрических шин. Возможность кодовых обозначений, упомянутая в подпункте 2.18.7, затеряна среди всех других спецификаций, не имеющих к ним отношения.</w:t>
      </w:r>
    </w:p>
    <w:p w14:paraId="50E8AF58" w14:textId="77777777" w:rsidR="00D908E5" w:rsidRDefault="00D908E5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60B9963C" w14:textId="128EE372" w:rsidR="00EB779E" w:rsidRPr="00FA42B8" w:rsidRDefault="00EB779E" w:rsidP="00EB779E">
      <w:pPr>
        <w:pStyle w:val="af3"/>
        <w:spacing w:after="120"/>
        <w:ind w:left="1134" w:right="1134"/>
        <w:jc w:val="both"/>
        <w:rPr>
          <w:lang w:val="ru-RU"/>
        </w:rPr>
      </w:pPr>
      <w:r>
        <w:rPr>
          <w:lang w:val="ru-RU"/>
        </w:rPr>
        <w:lastRenderedPageBreak/>
        <w:t>3.</w:t>
      </w:r>
      <w:r>
        <w:rPr>
          <w:lang w:val="ru-RU"/>
        </w:rPr>
        <w:tab/>
        <w:t>Поэтому предлагается изменить пункт 2.18 таким же образом, как это уже было согласовано для Правил № 75 ООН (пункт 2.20 с изменениями, содержащимися в дополнении 19), и исключить нынешний пункт 2.18.7, включив его текст в измененный пункт 2.18. Кроме того, во избежание изменения нумерации других подпунктов предлагается изменить нумерацию пункта 2.18.13 на 2.18.7.</w:t>
      </w:r>
    </w:p>
    <w:p w14:paraId="4AC5599B" w14:textId="182A3F2B" w:rsidR="00EB779E" w:rsidRPr="00FA42B8" w:rsidRDefault="00EB779E" w:rsidP="00EB779E">
      <w:pPr>
        <w:pStyle w:val="af3"/>
        <w:spacing w:after="120"/>
        <w:ind w:left="1134" w:right="1134"/>
        <w:jc w:val="both"/>
        <w:rPr>
          <w:lang w:val="ru-RU"/>
        </w:rPr>
      </w:pPr>
      <w:r>
        <w:rPr>
          <w:lang w:val="ru-RU"/>
        </w:rPr>
        <w:t>4.</w:t>
      </w:r>
      <w:r>
        <w:rPr>
          <w:lang w:val="ru-RU"/>
        </w:rPr>
        <w:tab/>
        <w:t xml:space="preserve">Наблюдается очевидное противоречие в отношении префиксов IF и VF, которые в пунктах 2.18.8 и 2.18.9 определены как буквы, наносимые перед обозначением размера шины, без каких-либо ограничений касательно </w:t>
      </w:r>
      <w:r w:rsidR="00D908E5">
        <w:rPr>
          <w:lang w:val="ru-RU"/>
        </w:rPr>
        <w:t>«</w:t>
      </w:r>
      <w:r>
        <w:rPr>
          <w:lang w:val="ru-RU"/>
        </w:rPr>
        <w:t>категорий использования</w:t>
      </w:r>
      <w:r w:rsidR="00D908E5">
        <w:rPr>
          <w:lang w:val="ru-RU"/>
        </w:rPr>
        <w:t>»</w:t>
      </w:r>
      <w:r>
        <w:rPr>
          <w:lang w:val="ru-RU"/>
        </w:rPr>
        <w:t xml:space="preserve"> шин, в то время как по пункту 2.23.1 они являются подкатегорией категории использования </w:t>
      </w:r>
      <w:r w:rsidR="00D908E5">
        <w:rPr>
          <w:lang w:val="ru-RU"/>
        </w:rPr>
        <w:t>«</w:t>
      </w:r>
      <w:r>
        <w:rPr>
          <w:lang w:val="ru-RU"/>
        </w:rPr>
        <w:t>для ведущих колес тракторов</w:t>
      </w:r>
      <w:r w:rsidR="00D908E5">
        <w:rPr>
          <w:lang w:val="ru-RU"/>
        </w:rPr>
        <w:t>»</w:t>
      </w:r>
      <w:r>
        <w:rPr>
          <w:lang w:val="ru-RU"/>
        </w:rPr>
        <w:t xml:space="preserve">. Кроме того, определение «тип шины для сельскохозяйственных транспортных средств» (пункт 2.1) позволяет отнести данное </w:t>
      </w:r>
      <w:r w:rsidR="00D908E5">
        <w:rPr>
          <w:lang w:val="ru-RU"/>
        </w:rPr>
        <w:t>«</w:t>
      </w:r>
      <w:r>
        <w:rPr>
          <w:lang w:val="ru-RU"/>
        </w:rPr>
        <w:t>обозначение размера шины</w:t>
      </w:r>
      <w:r w:rsidR="00D908E5">
        <w:rPr>
          <w:lang w:val="ru-RU"/>
        </w:rPr>
        <w:t>»</w:t>
      </w:r>
      <w:r>
        <w:rPr>
          <w:lang w:val="ru-RU"/>
        </w:rPr>
        <w:t xml:space="preserve"> (подпункт b), — а следовательно также и обозначение с префиксами IF или VF, — к любой из девяти различных </w:t>
      </w:r>
      <w:r w:rsidR="00D908E5">
        <w:rPr>
          <w:lang w:val="ru-RU"/>
        </w:rPr>
        <w:t>«</w:t>
      </w:r>
      <w:r>
        <w:rPr>
          <w:lang w:val="ru-RU"/>
        </w:rPr>
        <w:t>категорий использования</w:t>
      </w:r>
      <w:r w:rsidR="00D908E5">
        <w:rPr>
          <w:lang w:val="ru-RU"/>
        </w:rPr>
        <w:t>»</w:t>
      </w:r>
      <w:r>
        <w:rPr>
          <w:lang w:val="ru-RU"/>
        </w:rPr>
        <w:t xml:space="preserve"> (подпункт c). В целях устранения этих противоречий предлагается изменить нумерацию пункта 2.23.1 на 2.48. </w:t>
      </w:r>
    </w:p>
    <w:p w14:paraId="100B7909" w14:textId="77777777" w:rsidR="00EB779E" w:rsidRPr="00FA42B8" w:rsidRDefault="00EB779E" w:rsidP="00EB779E">
      <w:pPr>
        <w:spacing w:before="120"/>
        <w:jc w:val="center"/>
        <w:rPr>
          <w:u w:val="single"/>
        </w:rPr>
      </w:pPr>
      <w:r w:rsidRPr="00FA42B8">
        <w:rPr>
          <w:u w:val="single"/>
        </w:rPr>
        <w:tab/>
      </w:r>
      <w:r w:rsidRPr="00FA42B8">
        <w:rPr>
          <w:u w:val="single"/>
        </w:rPr>
        <w:tab/>
      </w:r>
      <w:r w:rsidRPr="00FA42B8">
        <w:rPr>
          <w:u w:val="single"/>
        </w:rPr>
        <w:tab/>
      </w:r>
    </w:p>
    <w:p w14:paraId="6C2C4C10" w14:textId="77777777" w:rsidR="00EB779E" w:rsidRPr="00EB779E" w:rsidRDefault="00EB779E" w:rsidP="00EB779E">
      <w:pPr>
        <w:pStyle w:val="SingleTxtG"/>
      </w:pPr>
    </w:p>
    <w:p w14:paraId="3D29F723" w14:textId="77777777" w:rsidR="00E12C5F" w:rsidRPr="008D53B6" w:rsidRDefault="00E12C5F" w:rsidP="00EB779E"/>
    <w:sectPr w:rsidR="00E12C5F" w:rsidRPr="008D53B6" w:rsidSect="00EB779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0CB04" w14:textId="77777777" w:rsidR="005E282A" w:rsidRPr="00A312BC" w:rsidRDefault="005E282A" w:rsidP="00A312BC"/>
  </w:endnote>
  <w:endnote w:type="continuationSeparator" w:id="0">
    <w:p w14:paraId="38E84A65" w14:textId="77777777" w:rsidR="005E282A" w:rsidRPr="00A312BC" w:rsidRDefault="005E282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1C87B" w14:textId="5F3E80B1" w:rsidR="00EB779E" w:rsidRPr="00EB779E" w:rsidRDefault="00EB779E">
    <w:pPr>
      <w:pStyle w:val="a8"/>
    </w:pPr>
    <w:r w:rsidRPr="00EB779E">
      <w:rPr>
        <w:b/>
        <w:sz w:val="18"/>
      </w:rPr>
      <w:fldChar w:fldCharType="begin"/>
    </w:r>
    <w:r w:rsidRPr="00EB779E">
      <w:rPr>
        <w:b/>
        <w:sz w:val="18"/>
      </w:rPr>
      <w:instrText xml:space="preserve"> PAGE  \* MERGEFORMAT </w:instrText>
    </w:r>
    <w:r w:rsidRPr="00EB779E">
      <w:rPr>
        <w:b/>
        <w:sz w:val="18"/>
      </w:rPr>
      <w:fldChar w:fldCharType="separate"/>
    </w:r>
    <w:r w:rsidRPr="00EB779E">
      <w:rPr>
        <w:b/>
        <w:noProof/>
        <w:sz w:val="18"/>
      </w:rPr>
      <w:t>2</w:t>
    </w:r>
    <w:r w:rsidRPr="00EB779E">
      <w:rPr>
        <w:b/>
        <w:sz w:val="18"/>
      </w:rPr>
      <w:fldChar w:fldCharType="end"/>
    </w:r>
    <w:r>
      <w:rPr>
        <w:b/>
        <w:sz w:val="18"/>
      </w:rPr>
      <w:tab/>
    </w:r>
    <w:r>
      <w:t>GE.21-16984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0E05F" w14:textId="77848484" w:rsidR="00EB779E" w:rsidRPr="00EB779E" w:rsidRDefault="00EB779E" w:rsidP="00EB779E">
    <w:pPr>
      <w:pStyle w:val="a8"/>
      <w:tabs>
        <w:tab w:val="clear" w:pos="9639"/>
        <w:tab w:val="right" w:pos="9638"/>
      </w:tabs>
      <w:rPr>
        <w:b/>
        <w:sz w:val="18"/>
      </w:rPr>
    </w:pPr>
    <w:r>
      <w:t>GE.21-16984</w:t>
    </w:r>
    <w:r>
      <w:tab/>
    </w:r>
    <w:r w:rsidRPr="00EB779E">
      <w:rPr>
        <w:b/>
        <w:sz w:val="18"/>
      </w:rPr>
      <w:fldChar w:fldCharType="begin"/>
    </w:r>
    <w:r w:rsidRPr="00EB779E">
      <w:rPr>
        <w:b/>
        <w:sz w:val="18"/>
      </w:rPr>
      <w:instrText xml:space="preserve"> PAGE  \* MERGEFORMAT </w:instrText>
    </w:r>
    <w:r w:rsidRPr="00EB779E">
      <w:rPr>
        <w:b/>
        <w:sz w:val="18"/>
      </w:rPr>
      <w:fldChar w:fldCharType="separate"/>
    </w:r>
    <w:r w:rsidRPr="00EB779E">
      <w:rPr>
        <w:b/>
        <w:noProof/>
        <w:sz w:val="18"/>
      </w:rPr>
      <w:t>3</w:t>
    </w:r>
    <w:r w:rsidRPr="00EB77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96F52" w14:textId="7444D0A9" w:rsidR="00042B72" w:rsidRPr="00EB779E" w:rsidRDefault="00EB779E" w:rsidP="00EB779E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71EE022" wp14:editId="51FF255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21-16984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7F10A2A" wp14:editId="363889E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061221   </w:t>
    </w:r>
    <w:r>
      <w:rPr>
        <w:lang w:val="en-US"/>
      </w:rPr>
      <w:t>061221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77CF9" w14:textId="77777777" w:rsidR="005E282A" w:rsidRPr="001075E9" w:rsidRDefault="005E282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E9314A2" w14:textId="77777777" w:rsidR="005E282A" w:rsidRDefault="005E282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4D0B14C" w14:textId="77777777" w:rsidR="00EB779E" w:rsidRPr="00EA370C" w:rsidRDefault="00EB779E" w:rsidP="00EB779E">
      <w:pPr>
        <w:pStyle w:val="ad"/>
      </w:pPr>
      <w:r>
        <w:tab/>
      </w:r>
      <w:r w:rsidRPr="00EB779E">
        <w:t>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(разд. 20), п. 20.76),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ED6E3" w14:textId="6F6850D3" w:rsidR="00EB779E" w:rsidRPr="00EB779E" w:rsidRDefault="00EB779E">
    <w:pPr>
      <w:pStyle w:val="a5"/>
    </w:pPr>
    <w:fldSimple w:instr=" TITLE  \* MERGEFORMAT ">
      <w:r w:rsidR="008E0AD3">
        <w:t>ECE/TRANS/WP.29/GRBP/2022/7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EAB90" w14:textId="41168F9F" w:rsidR="00EB779E" w:rsidRPr="00EB779E" w:rsidRDefault="00EB779E" w:rsidP="00EB779E">
    <w:pPr>
      <w:pStyle w:val="a5"/>
      <w:jc w:val="right"/>
    </w:pPr>
    <w:fldSimple w:instr=" TITLE  \* MERGEFORMAT ">
      <w:r w:rsidR="008E0AD3">
        <w:t>ECE/TRANS/WP.29/GRBP/2022/7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82A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F0641"/>
    <w:rsid w:val="00255343"/>
    <w:rsid w:val="0027151D"/>
    <w:rsid w:val="00282C49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2838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C1696"/>
    <w:rsid w:val="005D7914"/>
    <w:rsid w:val="005E282A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E0AD3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63FE0"/>
    <w:rsid w:val="00BC18B2"/>
    <w:rsid w:val="00BD33EE"/>
    <w:rsid w:val="00BE1CC7"/>
    <w:rsid w:val="00C106D6"/>
    <w:rsid w:val="00C119AE"/>
    <w:rsid w:val="00C36CE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08E5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B779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CC90F28"/>
  <w15:docId w15:val="{B547079F-2190-47F7-B741-2C228A9F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ußnotentext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styleId="af3">
    <w:name w:val="List Paragraph"/>
    <w:basedOn w:val="a"/>
    <w:uiPriority w:val="34"/>
    <w:qFormat/>
    <w:rsid w:val="00EB779E"/>
    <w:pPr>
      <w:ind w:left="708"/>
    </w:pPr>
    <w:rPr>
      <w:rFonts w:eastAsia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3</Pages>
  <Words>626</Words>
  <Characters>4099</Characters>
  <Application>Microsoft Office Word</Application>
  <DocSecurity>0</DocSecurity>
  <Lines>94</Lines>
  <Paragraphs>37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ECE/TRANS/WP.29/GRBP/2022/7</vt:lpstr>
      <vt:lpstr>A/</vt:lpstr>
      <vt:lpstr>A/</vt:lpstr>
    </vt:vector>
  </TitlesOfParts>
  <Company>DCM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ECE/TRANS/WP.29/GRBP/2022/7</dc:title>
  <dc:subject/>
  <dc:creator>Anna BLAGODATSKIKH</dc:creator>
  <cp:keywords/>
  <cp:lastModifiedBy>Anna Blagodatskikh</cp:lastModifiedBy>
  <cp:revision>3</cp:revision>
  <cp:lastPrinted>2021-12-06T16:03:00Z</cp:lastPrinted>
  <dcterms:created xsi:type="dcterms:W3CDTF">2021-12-06T16:03:00Z</dcterms:created>
  <dcterms:modified xsi:type="dcterms:W3CDTF">2021-12-06T16:03:00Z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