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5C5B41B2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F0DC749" w14:textId="77777777" w:rsidR="00F35BAF" w:rsidRPr="00DB58B5" w:rsidRDefault="00F35BAF" w:rsidP="00C97039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EA30ED6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07D2759" w14:textId="73A13E42" w:rsidR="00F35BAF" w:rsidRPr="00DB58B5" w:rsidRDefault="00BF030D" w:rsidP="00BF030D">
            <w:pPr>
              <w:jc w:val="right"/>
            </w:pPr>
            <w:r w:rsidRPr="00BF030D">
              <w:rPr>
                <w:sz w:val="40"/>
              </w:rPr>
              <w:t>ECE</w:t>
            </w:r>
            <w:r>
              <w:t>/TRANS/WP.29/GRBP/2022/7</w:t>
            </w:r>
          </w:p>
        </w:tc>
      </w:tr>
      <w:tr w:rsidR="00F35BAF" w:rsidRPr="00DB58B5" w14:paraId="7E8FB16E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3F424A1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104495B" wp14:editId="5C7F10F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82E070F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1D343C6" w14:textId="77777777" w:rsidR="00F35BAF" w:rsidRDefault="00BF030D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640FFD3A" w14:textId="77777777" w:rsidR="00BF030D" w:rsidRDefault="00BF030D" w:rsidP="00BF030D">
            <w:pPr>
              <w:spacing w:line="240" w:lineRule="exact"/>
            </w:pPr>
            <w:r>
              <w:t>18 novembre 2021</w:t>
            </w:r>
          </w:p>
          <w:p w14:paraId="770CE84A" w14:textId="77777777" w:rsidR="00BF030D" w:rsidRDefault="00BF030D" w:rsidP="00BF030D">
            <w:pPr>
              <w:spacing w:line="240" w:lineRule="exact"/>
            </w:pPr>
            <w:r>
              <w:t>Français</w:t>
            </w:r>
          </w:p>
          <w:p w14:paraId="58D1AABB" w14:textId="1CA217D1" w:rsidR="00BF030D" w:rsidRPr="00DB58B5" w:rsidRDefault="00BF030D" w:rsidP="00BF030D">
            <w:pPr>
              <w:spacing w:line="240" w:lineRule="exact"/>
            </w:pPr>
            <w:r>
              <w:t>Original : anglais</w:t>
            </w:r>
          </w:p>
        </w:tc>
      </w:tr>
    </w:tbl>
    <w:p w14:paraId="6996BF92" w14:textId="30BFD005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6A2F40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5740328F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57B95741" w14:textId="076F9E46" w:rsidR="00BF030D" w:rsidRDefault="00BF030D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6A2F40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7C554661" w14:textId="57838B2D" w:rsidR="00BF030D" w:rsidRDefault="00BF030D" w:rsidP="00257168">
      <w:pPr>
        <w:spacing w:before="120" w:after="120" w:line="240" w:lineRule="exact"/>
        <w:rPr>
          <w:b/>
        </w:rPr>
      </w:pPr>
      <w:r>
        <w:rPr>
          <w:b/>
        </w:rPr>
        <w:t xml:space="preserve">Groupe de travail </w:t>
      </w:r>
      <w:r w:rsidRPr="00BF030D">
        <w:rPr>
          <w:b/>
          <w:bCs/>
          <w:lang w:val="fr-FR"/>
        </w:rPr>
        <w:t>du bruit et des pneumatiques</w:t>
      </w:r>
    </w:p>
    <w:p w14:paraId="6E79FB69" w14:textId="38C44AF1" w:rsidR="00BF030D" w:rsidRDefault="00BF030D" w:rsidP="00257168">
      <w:pPr>
        <w:spacing w:before="120" w:line="240" w:lineRule="exact"/>
        <w:rPr>
          <w:b/>
        </w:rPr>
      </w:pPr>
      <w:r w:rsidRPr="00BF030D">
        <w:rPr>
          <w:b/>
          <w:bCs/>
          <w:lang w:val="fr-FR"/>
        </w:rPr>
        <w:t>Soixante-quinzième</w:t>
      </w:r>
      <w:r>
        <w:rPr>
          <w:b/>
        </w:rPr>
        <w:t xml:space="preserve"> session</w:t>
      </w:r>
    </w:p>
    <w:p w14:paraId="30214947" w14:textId="77777777" w:rsidR="00BF030D" w:rsidRPr="00BF030D" w:rsidRDefault="00BF030D" w:rsidP="00BF030D">
      <w:pPr>
        <w:rPr>
          <w:bCs/>
        </w:rPr>
      </w:pPr>
      <w:r w:rsidRPr="00BF030D">
        <w:rPr>
          <w:lang w:val="fr-FR"/>
        </w:rPr>
        <w:t>Genève, 8-11 février 2022</w:t>
      </w:r>
    </w:p>
    <w:p w14:paraId="0804E9D6" w14:textId="06C27467" w:rsidR="00BF030D" w:rsidRPr="00BF030D" w:rsidRDefault="00BF030D" w:rsidP="00BF030D">
      <w:pPr>
        <w:rPr>
          <w:bCs/>
        </w:rPr>
      </w:pPr>
      <w:r w:rsidRPr="00BF030D">
        <w:rPr>
          <w:lang w:val="fr-FR"/>
        </w:rPr>
        <w:t>Point 4 c) de l</w:t>
      </w:r>
      <w:r w:rsidR="006A2F40">
        <w:rPr>
          <w:lang w:val="fr-FR"/>
        </w:rPr>
        <w:t>’</w:t>
      </w:r>
      <w:r w:rsidRPr="00BF030D">
        <w:rPr>
          <w:lang w:val="fr-FR"/>
        </w:rPr>
        <w:t>ordre du jour provisoire</w:t>
      </w:r>
    </w:p>
    <w:p w14:paraId="67E8A433" w14:textId="7D6DC70E" w:rsidR="00F9573C" w:rsidRDefault="00BF030D" w:rsidP="00BF030D">
      <w:pPr>
        <w:rPr>
          <w:b/>
          <w:bCs/>
          <w:lang w:val="fr-FR"/>
        </w:rPr>
      </w:pPr>
      <w:r w:rsidRPr="00BF030D">
        <w:rPr>
          <w:b/>
          <w:bCs/>
          <w:lang w:val="fr-FR"/>
        </w:rPr>
        <w:t xml:space="preserve">Pneumatiques : Règlement ONU </w:t>
      </w:r>
      <w:r w:rsidRPr="00BF030D">
        <w:rPr>
          <w:rFonts w:eastAsia="MS Mincho"/>
          <w:b/>
          <w:bCs/>
          <w:szCs w:val="22"/>
          <w:lang w:val="fr-FR"/>
        </w:rPr>
        <w:t>n</w:t>
      </w:r>
      <w:r w:rsidRPr="00BF030D">
        <w:rPr>
          <w:rFonts w:eastAsia="MS Mincho"/>
          <w:b/>
          <w:bCs/>
          <w:szCs w:val="22"/>
          <w:vertAlign w:val="superscript"/>
          <w:lang w:val="fr-FR"/>
        </w:rPr>
        <w:t>o</w:t>
      </w:r>
      <w:r>
        <w:rPr>
          <w:b/>
          <w:bCs/>
          <w:lang w:val="fr-FR"/>
        </w:rPr>
        <w:t> </w:t>
      </w:r>
      <w:r w:rsidRPr="00BF030D">
        <w:rPr>
          <w:b/>
          <w:bCs/>
          <w:lang w:val="fr-FR"/>
        </w:rPr>
        <w:t xml:space="preserve">106 (Pneumatiques </w:t>
      </w:r>
      <w:r>
        <w:rPr>
          <w:b/>
          <w:bCs/>
          <w:lang w:val="fr-FR"/>
        </w:rPr>
        <w:br/>
      </w:r>
      <w:r w:rsidRPr="00BF030D">
        <w:rPr>
          <w:b/>
          <w:bCs/>
          <w:lang w:val="fr-FR"/>
        </w:rPr>
        <w:t>pour véhicules agricoles et leurs remorques)</w:t>
      </w:r>
    </w:p>
    <w:p w14:paraId="7E348CEE" w14:textId="0A7CDF9C" w:rsidR="00BF030D" w:rsidRPr="00BF030D" w:rsidRDefault="00BF030D" w:rsidP="00BF030D">
      <w:pPr>
        <w:pStyle w:val="HChG"/>
      </w:pPr>
      <w:r w:rsidRPr="003447CE">
        <w:rPr>
          <w:lang w:val="fr-FR"/>
        </w:rPr>
        <w:tab/>
      </w:r>
      <w:r w:rsidRPr="003447CE">
        <w:rPr>
          <w:lang w:val="fr-FR"/>
        </w:rPr>
        <w:tab/>
        <w:t>Proposition d</w:t>
      </w:r>
      <w:r w:rsidR="006A2F40">
        <w:rPr>
          <w:lang w:val="fr-FR"/>
        </w:rPr>
        <w:t>’</w:t>
      </w:r>
      <w:r w:rsidRPr="003447CE">
        <w:rPr>
          <w:lang w:val="fr-FR"/>
        </w:rPr>
        <w:t xml:space="preserve">amendements au Règlement ONU </w:t>
      </w:r>
      <w:r w:rsidRPr="00BF030D">
        <w:rPr>
          <w:rFonts w:eastAsia="MS Mincho"/>
          <w:szCs w:val="22"/>
          <w:lang w:val="fr-FR"/>
        </w:rPr>
        <w:t>n</w:t>
      </w:r>
      <w:r w:rsidRPr="00BF030D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</w:t>
      </w:r>
      <w:r w:rsidRPr="003447CE">
        <w:rPr>
          <w:lang w:val="fr-FR"/>
        </w:rPr>
        <w:t>106</w:t>
      </w:r>
    </w:p>
    <w:p w14:paraId="410F7E7F" w14:textId="212CCEF6" w:rsidR="00BF030D" w:rsidRPr="00BF030D" w:rsidRDefault="00BF030D" w:rsidP="00BF030D">
      <w:pPr>
        <w:pStyle w:val="H1G"/>
      </w:pPr>
      <w:r w:rsidRPr="00BF030D">
        <w:rPr>
          <w:lang w:val="fr-FR"/>
        </w:rPr>
        <w:tab/>
      </w:r>
      <w:r w:rsidRPr="00BF030D">
        <w:rPr>
          <w:lang w:val="fr-FR"/>
        </w:rPr>
        <w:tab/>
        <w:t>Communication des experts de l</w:t>
      </w:r>
      <w:r w:rsidR="006A2F40">
        <w:rPr>
          <w:lang w:val="fr-FR"/>
        </w:rPr>
        <w:t>’</w:t>
      </w:r>
      <w:r w:rsidRPr="00BF030D">
        <w:rPr>
          <w:lang w:val="fr-FR"/>
        </w:rPr>
        <w:t>Organisation technique européenne</w:t>
      </w:r>
      <w:r>
        <w:rPr>
          <w:lang w:val="fr-FR"/>
        </w:rPr>
        <w:t xml:space="preserve"> </w:t>
      </w:r>
      <w:r>
        <w:rPr>
          <w:lang w:val="fr-FR"/>
        </w:rPr>
        <w:br/>
      </w:r>
      <w:r w:rsidRPr="00BF030D">
        <w:rPr>
          <w:lang w:val="fr-FR"/>
        </w:rPr>
        <w:t>du pneumatique et de la jante</w:t>
      </w:r>
      <w:r w:rsidRPr="00BF030D">
        <w:rPr>
          <w:b w:val="0"/>
          <w:bCs/>
          <w:sz w:val="20"/>
          <w:lang w:val="fr-FR"/>
        </w:rPr>
        <w:footnoteReference w:customMarkFollows="1" w:id="2"/>
        <w:t>*</w:t>
      </w:r>
    </w:p>
    <w:p w14:paraId="0A74A7AE" w14:textId="1AF3621C" w:rsidR="00BF030D" w:rsidRPr="003447CE" w:rsidRDefault="00BF030D" w:rsidP="00BF030D">
      <w:pPr>
        <w:pStyle w:val="SingleTxtG"/>
        <w:ind w:firstLine="567"/>
      </w:pPr>
      <w:r w:rsidRPr="003447CE">
        <w:rPr>
          <w:lang w:val="fr-FR"/>
        </w:rPr>
        <w:t>Le texte ci-après a été établi par les experts de l</w:t>
      </w:r>
      <w:r w:rsidR="006A2F40">
        <w:rPr>
          <w:lang w:val="fr-FR"/>
        </w:rPr>
        <w:t>’</w:t>
      </w:r>
      <w:r w:rsidRPr="003447CE">
        <w:rPr>
          <w:lang w:val="fr-FR"/>
        </w:rPr>
        <w:t>Organisation technique européenne du pneumatique et de la jante (ETRTO). Les modifications qu</w:t>
      </w:r>
      <w:r w:rsidR="006A2F40">
        <w:rPr>
          <w:lang w:val="fr-FR"/>
        </w:rPr>
        <w:t>’</w:t>
      </w:r>
      <w:r w:rsidRPr="003447CE">
        <w:rPr>
          <w:lang w:val="fr-FR"/>
        </w:rPr>
        <w:t>il est proposé d</w:t>
      </w:r>
      <w:r w:rsidR="006A2F40">
        <w:rPr>
          <w:lang w:val="fr-FR"/>
        </w:rPr>
        <w:t>’</w:t>
      </w:r>
      <w:r w:rsidRPr="003447CE">
        <w:rPr>
          <w:lang w:val="fr-FR"/>
        </w:rPr>
        <w:t>apporter au texte actuel du Règlement ONU figurent en caractères gras pour les ajouts et biffés pour les suppressions.</w:t>
      </w:r>
    </w:p>
    <w:p w14:paraId="3C425BE9" w14:textId="2D411A10" w:rsidR="00BF030D" w:rsidRPr="003447CE" w:rsidRDefault="00BF030D" w:rsidP="006A2F40">
      <w:pPr>
        <w:pStyle w:val="HChG"/>
        <w:spacing w:before="320" w:after="200"/>
      </w:pPr>
      <w:r>
        <w:br w:type="page"/>
      </w:r>
      <w:r>
        <w:lastRenderedPageBreak/>
        <w:tab/>
      </w:r>
      <w:r w:rsidRPr="003447CE">
        <w:rPr>
          <w:lang w:val="fr-FR"/>
        </w:rPr>
        <w:t>I.</w:t>
      </w:r>
      <w:r w:rsidRPr="003447CE">
        <w:rPr>
          <w:lang w:val="fr-FR"/>
        </w:rPr>
        <w:tab/>
        <w:t>Proposition</w:t>
      </w:r>
    </w:p>
    <w:p w14:paraId="58CCC2D9" w14:textId="77777777" w:rsidR="00BF030D" w:rsidRPr="003447CE" w:rsidRDefault="00BF030D" w:rsidP="00BF030D">
      <w:pPr>
        <w:autoSpaceDE/>
        <w:autoSpaceDN/>
        <w:adjustRightInd/>
        <w:spacing w:after="120" w:line="240" w:lineRule="auto"/>
        <w:ind w:left="1134" w:right="1134"/>
        <w:jc w:val="both"/>
        <w:rPr>
          <w:rFonts w:ascii="TimesNewRomanPSMT" w:hAnsi="TimesNewRomanPSMT" w:cs="TimesNewRomanPSMT"/>
        </w:rPr>
      </w:pPr>
      <w:r w:rsidRPr="003447CE">
        <w:rPr>
          <w:i/>
          <w:iCs/>
          <w:lang w:val="fr-FR"/>
        </w:rPr>
        <w:t>Paragraphe 2.6.1</w:t>
      </w:r>
      <w:r w:rsidRPr="003447CE">
        <w:rPr>
          <w:lang w:val="fr-FR"/>
        </w:rPr>
        <w:t>, modification sans objet en français.</w:t>
      </w:r>
    </w:p>
    <w:p w14:paraId="425BEA6E" w14:textId="77777777" w:rsidR="00BF030D" w:rsidRPr="003447CE" w:rsidRDefault="00BF030D" w:rsidP="00BF030D">
      <w:pPr>
        <w:spacing w:after="120" w:line="240" w:lineRule="auto"/>
        <w:ind w:left="1134" w:right="1134"/>
        <w:jc w:val="both"/>
        <w:rPr>
          <w:i/>
        </w:rPr>
      </w:pPr>
      <w:bookmarkStart w:id="0" w:name="_Hlk85794862"/>
      <w:r w:rsidRPr="003447CE">
        <w:rPr>
          <w:i/>
          <w:iCs/>
          <w:lang w:val="fr-FR"/>
        </w:rPr>
        <w:t>Paragraphe 2.6.2</w:t>
      </w:r>
      <w:r w:rsidRPr="003447CE">
        <w:rPr>
          <w:lang w:val="fr-FR"/>
        </w:rPr>
        <w:t>, lire :</w:t>
      </w:r>
    </w:p>
    <w:bookmarkEnd w:id="0"/>
    <w:p w14:paraId="5B3D5181" w14:textId="6EF506D4" w:rsidR="00BF030D" w:rsidRPr="003447CE" w:rsidRDefault="00BF030D" w:rsidP="006A2F40">
      <w:pPr>
        <w:suppressAutoHyphens w:val="0"/>
        <w:spacing w:after="120" w:line="230" w:lineRule="atLeast"/>
        <w:ind w:left="2268" w:right="1134" w:hanging="1134"/>
        <w:jc w:val="both"/>
        <w:rPr>
          <w:rFonts w:ascii="TimesNewRomanPSMT" w:hAnsi="TimesNewRomanPSMT" w:cs="TimesNewRomanPSMT"/>
          <w:b/>
          <w:bCs/>
        </w:rPr>
      </w:pPr>
      <w:r w:rsidRPr="003447CE">
        <w:rPr>
          <w:lang w:val="fr-FR"/>
        </w:rPr>
        <w:t>« 2.6.2</w:t>
      </w:r>
      <w:r w:rsidRPr="003447CE">
        <w:rPr>
          <w:lang w:val="fr-FR"/>
        </w:rPr>
        <w:tab/>
        <w:t>“</w:t>
      </w:r>
      <w:r w:rsidRPr="003447CE">
        <w:rPr>
          <w:i/>
          <w:iCs/>
          <w:lang w:val="fr-FR"/>
        </w:rPr>
        <w:t>Structure diagonale ceinturée</w:t>
      </w:r>
      <w:r w:rsidRPr="003447CE">
        <w:rPr>
          <w:lang w:val="fr-FR"/>
        </w:rPr>
        <w:t xml:space="preserve">”, désigne un pneumatique </w:t>
      </w:r>
      <w:r w:rsidRPr="003447CE">
        <w:rPr>
          <w:strike/>
          <w:lang w:val="fr-FR"/>
        </w:rPr>
        <w:t xml:space="preserve">de construction diagonale dans lequel la carcasse est </w:t>
      </w:r>
      <w:r w:rsidRPr="003447CE">
        <w:rPr>
          <w:b/>
          <w:bCs/>
          <w:lang w:val="fr-FR"/>
        </w:rPr>
        <w:t>dont les câblés des plis qui s</w:t>
      </w:r>
      <w:r w:rsidR="006A2F40">
        <w:rPr>
          <w:b/>
          <w:bCs/>
          <w:lang w:val="fr-FR"/>
        </w:rPr>
        <w:t>’</w:t>
      </w:r>
      <w:r w:rsidRPr="003447CE">
        <w:rPr>
          <w:b/>
          <w:bCs/>
          <w:lang w:val="fr-FR"/>
        </w:rPr>
        <w:t>étendent jusqu</w:t>
      </w:r>
      <w:r w:rsidR="006A2F40">
        <w:rPr>
          <w:b/>
          <w:bCs/>
          <w:lang w:val="fr-FR"/>
        </w:rPr>
        <w:t>’</w:t>
      </w:r>
      <w:r w:rsidRPr="003447CE">
        <w:rPr>
          <w:b/>
          <w:bCs/>
          <w:lang w:val="fr-FR"/>
        </w:rPr>
        <w:t xml:space="preserve">aux talons sont orientés de façon à former des angles alternés sensiblement inférieurs à 90° par rapport à la ligne médiane de la bande de roulement, cette structure étant </w:t>
      </w:r>
      <w:r w:rsidRPr="003447CE">
        <w:rPr>
          <w:lang w:val="fr-FR"/>
        </w:rPr>
        <w:t>bridée par une ceinture formée</w:t>
      </w:r>
      <w:r w:rsidRPr="003447CE">
        <w:rPr>
          <w:strike/>
          <w:lang w:val="fr-FR"/>
        </w:rPr>
        <w:t xml:space="preserve"> de deux</w:t>
      </w:r>
      <w:r w:rsidRPr="003447CE">
        <w:rPr>
          <w:lang w:val="fr-FR"/>
        </w:rPr>
        <w:t xml:space="preserve"> </w:t>
      </w:r>
      <w:r w:rsidRPr="003447CE">
        <w:rPr>
          <w:b/>
          <w:bCs/>
          <w:lang w:val="fr-FR"/>
        </w:rPr>
        <w:t>d</w:t>
      </w:r>
      <w:r w:rsidR="006A2F40">
        <w:rPr>
          <w:b/>
          <w:bCs/>
          <w:lang w:val="fr-FR"/>
        </w:rPr>
        <w:t>’</w:t>
      </w:r>
      <w:r w:rsidRPr="003447CE">
        <w:rPr>
          <w:b/>
          <w:bCs/>
          <w:lang w:val="fr-FR"/>
        </w:rPr>
        <w:t>une</w:t>
      </w:r>
      <w:r w:rsidRPr="003447CE">
        <w:rPr>
          <w:lang w:val="fr-FR"/>
        </w:rPr>
        <w:t xml:space="preserve"> ou plusieurs couches de câblés essentiellement inextensibles</w:t>
      </w:r>
      <w:r w:rsidRPr="003447CE">
        <w:rPr>
          <w:strike/>
          <w:lang w:val="fr-FR"/>
        </w:rPr>
        <w:t>, formant des angles alternés proches de ceux de la carcasse</w:t>
      </w:r>
      <w:r w:rsidRPr="003447CE">
        <w:rPr>
          <w:lang w:val="fr-FR"/>
        </w:rPr>
        <w:t>. ».</w:t>
      </w:r>
    </w:p>
    <w:p w14:paraId="5A6CB002" w14:textId="77777777" w:rsidR="00BF030D" w:rsidRPr="003447CE" w:rsidRDefault="00BF030D" w:rsidP="00BF030D">
      <w:pPr>
        <w:spacing w:after="120" w:line="240" w:lineRule="auto"/>
        <w:ind w:left="1134" w:right="1134"/>
        <w:jc w:val="both"/>
        <w:rPr>
          <w:i/>
        </w:rPr>
      </w:pPr>
      <w:r w:rsidRPr="003447CE">
        <w:rPr>
          <w:i/>
          <w:iCs/>
          <w:lang w:val="fr-FR"/>
        </w:rPr>
        <w:t>Paragraphe 2.18</w:t>
      </w:r>
      <w:r w:rsidRPr="003447CE">
        <w:rPr>
          <w:lang w:val="fr-FR"/>
        </w:rPr>
        <w:t>, lire :</w:t>
      </w:r>
    </w:p>
    <w:p w14:paraId="16A91705" w14:textId="765F8C14" w:rsidR="00BF030D" w:rsidRPr="003447CE" w:rsidRDefault="00BF030D" w:rsidP="006A2F40">
      <w:pPr>
        <w:suppressAutoHyphens w:val="0"/>
        <w:spacing w:after="120" w:line="230" w:lineRule="atLeast"/>
        <w:ind w:left="2268" w:right="1134" w:hanging="1134"/>
        <w:jc w:val="both"/>
        <w:rPr>
          <w:i/>
        </w:rPr>
      </w:pPr>
      <w:r w:rsidRPr="003447CE">
        <w:rPr>
          <w:lang w:val="fr-FR"/>
        </w:rPr>
        <w:t>« 2.18</w:t>
      </w:r>
      <w:r w:rsidRPr="003447CE">
        <w:rPr>
          <w:lang w:val="fr-FR"/>
        </w:rPr>
        <w:tab/>
      </w:r>
      <w:r w:rsidRPr="003447CE">
        <w:rPr>
          <w:lang w:val="fr-FR"/>
        </w:rPr>
        <w:tab/>
        <w:t>“</w:t>
      </w:r>
      <w:r w:rsidRPr="003447CE">
        <w:rPr>
          <w:i/>
          <w:iCs/>
          <w:lang w:val="fr-FR"/>
        </w:rPr>
        <w:t>Désignation de la dimension du pneumatique</w:t>
      </w:r>
      <w:r w:rsidRPr="003447CE">
        <w:rPr>
          <w:lang w:val="fr-FR"/>
        </w:rPr>
        <w:t xml:space="preserve">”, </w:t>
      </w:r>
      <w:r w:rsidRPr="003447CE">
        <w:rPr>
          <w:strike/>
          <w:lang w:val="fr-FR"/>
        </w:rPr>
        <w:t>une désignation précisant</w:t>
      </w:r>
      <w:r w:rsidRPr="003447CE">
        <w:rPr>
          <w:lang w:val="fr-FR"/>
        </w:rPr>
        <w:t xml:space="preserve"> </w:t>
      </w:r>
      <w:r w:rsidRPr="003447CE">
        <w:rPr>
          <w:b/>
          <w:bCs/>
          <w:lang w:val="fr-FR"/>
        </w:rPr>
        <w:t>pour les dimensions de pneumatiques énumérées à l</w:t>
      </w:r>
      <w:r w:rsidR="006A2F40">
        <w:rPr>
          <w:b/>
          <w:bCs/>
          <w:lang w:val="fr-FR"/>
        </w:rPr>
        <w:t>’</w:t>
      </w:r>
      <w:r w:rsidRPr="003447CE">
        <w:rPr>
          <w:b/>
          <w:bCs/>
          <w:lang w:val="fr-FR"/>
        </w:rPr>
        <w:t>annexe 5 du présent Règlement, la désignation indiquée dans la première colonne des tableaux de l</w:t>
      </w:r>
      <w:r w:rsidR="006A2F40">
        <w:rPr>
          <w:b/>
          <w:bCs/>
          <w:lang w:val="fr-FR"/>
        </w:rPr>
        <w:t>’</w:t>
      </w:r>
      <w:r w:rsidRPr="003447CE">
        <w:rPr>
          <w:b/>
          <w:bCs/>
          <w:lang w:val="fr-FR"/>
        </w:rPr>
        <w:t>annexe 5 et, pour les autres dimensions de pneumatiques, une désignation faisant apparaître</w:t>
      </w:r>
      <w:r w:rsidRPr="006A2F40">
        <w:rPr>
          <w:lang w:val="fr-FR"/>
        </w:rPr>
        <w:t xml:space="preserve"> </w:t>
      </w:r>
      <w:r w:rsidRPr="003447CE">
        <w:rPr>
          <w:lang w:val="fr-FR"/>
        </w:rPr>
        <w:t>:</w:t>
      </w:r>
      <w:r w:rsidR="006A2F40">
        <w:rPr>
          <w:lang w:val="fr-FR"/>
        </w:rPr>
        <w:t> </w:t>
      </w:r>
      <w:r w:rsidRPr="003447CE">
        <w:rPr>
          <w:lang w:val="fr-FR"/>
        </w:rPr>
        <w:t>».</w:t>
      </w:r>
    </w:p>
    <w:p w14:paraId="6FE4C992" w14:textId="77777777" w:rsidR="00BF030D" w:rsidRPr="003447CE" w:rsidRDefault="00BF030D" w:rsidP="00BF030D">
      <w:pPr>
        <w:spacing w:after="120" w:line="240" w:lineRule="auto"/>
        <w:ind w:left="1134" w:right="1134"/>
        <w:jc w:val="both"/>
        <w:rPr>
          <w:i/>
        </w:rPr>
      </w:pPr>
      <w:bookmarkStart w:id="1" w:name="_Hlk85793171"/>
      <w:r w:rsidRPr="003447CE">
        <w:rPr>
          <w:i/>
          <w:iCs/>
          <w:lang w:val="fr-FR"/>
        </w:rPr>
        <w:t>Paragraphe 2.18.7</w:t>
      </w:r>
      <w:r w:rsidRPr="003447CE">
        <w:rPr>
          <w:lang w:val="fr-FR"/>
        </w:rPr>
        <w:t>, supprimer :</w:t>
      </w:r>
    </w:p>
    <w:p w14:paraId="3715CD11" w14:textId="4A8DDC38" w:rsidR="00BF030D" w:rsidRPr="006A2F40" w:rsidRDefault="00BF030D" w:rsidP="006A2F40">
      <w:pPr>
        <w:suppressAutoHyphens w:val="0"/>
        <w:spacing w:after="120" w:line="230" w:lineRule="atLeast"/>
        <w:ind w:left="2268" w:right="1134" w:hanging="1134"/>
        <w:jc w:val="both"/>
        <w:rPr>
          <w:rFonts w:ascii="TimesNewRomanPSMT" w:hAnsi="TimesNewRomanPSMT" w:cs="TimesNewRomanPSMT"/>
          <w:strike/>
        </w:rPr>
      </w:pPr>
      <w:r w:rsidRPr="006A2F40">
        <w:rPr>
          <w:strike/>
          <w:lang w:val="fr-FR"/>
        </w:rPr>
        <w:t xml:space="preserve">« 2.18.7 </w:t>
      </w:r>
      <w:r w:rsidRPr="006A2F40">
        <w:rPr>
          <w:strike/>
          <w:lang w:val="fr-FR"/>
        </w:rPr>
        <w:tab/>
      </w:r>
      <w:r w:rsidRPr="006A2F40">
        <w:rPr>
          <w:strike/>
          <w:lang w:val="fr-FR"/>
        </w:rPr>
        <w:tab/>
        <w:t>Cependant, pour les pneumatiques énumérés à l</w:t>
      </w:r>
      <w:r w:rsidR="006A2F40">
        <w:rPr>
          <w:strike/>
          <w:lang w:val="fr-FR"/>
        </w:rPr>
        <w:t>’</w:t>
      </w:r>
      <w:r w:rsidRPr="006A2F40">
        <w:rPr>
          <w:strike/>
          <w:lang w:val="fr-FR"/>
        </w:rPr>
        <w:t>annexe 5, la « désignation de la dimension du pneumatique » est celle figurant dans la première colonne des tableaux.</w:t>
      </w:r>
      <w:r w:rsidR="006A2F40">
        <w:rPr>
          <w:strike/>
          <w:lang w:val="fr-FR"/>
        </w:rPr>
        <w:t> </w:t>
      </w:r>
      <w:r w:rsidRPr="006A2F40">
        <w:rPr>
          <w:strike/>
          <w:lang w:val="fr-FR"/>
        </w:rPr>
        <w:t>».</w:t>
      </w:r>
    </w:p>
    <w:p w14:paraId="5A68D5B9" w14:textId="49A4DFED" w:rsidR="00BF030D" w:rsidRPr="003447CE" w:rsidRDefault="00BF030D" w:rsidP="00BF030D">
      <w:pPr>
        <w:spacing w:after="120" w:line="240" w:lineRule="auto"/>
        <w:ind w:left="1134" w:right="1134"/>
        <w:jc w:val="both"/>
        <w:rPr>
          <w:iCs/>
        </w:rPr>
      </w:pPr>
      <w:r w:rsidRPr="003447CE">
        <w:rPr>
          <w:i/>
          <w:iCs/>
          <w:lang w:val="fr-FR"/>
        </w:rPr>
        <w:t>Le paragraphe 2.18.13</w:t>
      </w:r>
      <w:r w:rsidRPr="003447CE">
        <w:rPr>
          <w:lang w:val="fr-FR"/>
        </w:rPr>
        <w:t xml:space="preserve"> devient le paragraphe 2.18.7</w:t>
      </w:r>
      <w:r w:rsidR="006A2F40">
        <w:rPr>
          <w:lang w:val="fr-FR"/>
        </w:rPr>
        <w:t> </w:t>
      </w:r>
      <w:r w:rsidRPr="003447CE">
        <w:rPr>
          <w:lang w:val="fr-FR"/>
        </w:rPr>
        <w:t>:</w:t>
      </w:r>
    </w:p>
    <w:p w14:paraId="02DBFE2A" w14:textId="77777777" w:rsidR="00BF030D" w:rsidRPr="003447CE" w:rsidRDefault="00BF030D" w:rsidP="006A2F40">
      <w:pPr>
        <w:suppressAutoHyphens w:val="0"/>
        <w:spacing w:after="120" w:line="230" w:lineRule="atLeast"/>
        <w:ind w:left="2268" w:right="1134" w:hanging="1134"/>
        <w:jc w:val="both"/>
        <w:rPr>
          <w:rFonts w:ascii="TimesNewRomanPSMT" w:hAnsi="TimesNewRomanPSMT" w:cs="TimesNewRomanPSMT"/>
        </w:rPr>
      </w:pPr>
      <w:r w:rsidRPr="003447CE">
        <w:rPr>
          <w:lang w:val="fr-FR"/>
        </w:rPr>
        <w:t>« 2.18.</w:t>
      </w:r>
      <w:r w:rsidRPr="003447CE">
        <w:rPr>
          <w:b/>
          <w:bCs/>
          <w:lang w:val="fr-FR"/>
        </w:rPr>
        <w:t>7</w:t>
      </w:r>
      <w:r w:rsidRPr="003447CE">
        <w:rPr>
          <w:strike/>
          <w:lang w:val="fr-FR"/>
        </w:rPr>
        <w:t>13</w:t>
      </w:r>
      <w:r w:rsidRPr="003447CE">
        <w:rPr>
          <w:lang w:val="fr-FR"/>
        </w:rPr>
        <w:t xml:space="preserve"> </w:t>
      </w:r>
      <w:r w:rsidRPr="003447CE">
        <w:rPr>
          <w:lang w:val="fr-FR"/>
        </w:rPr>
        <w:tab/>
        <w:t>Les lettres “LS” après le marquage du diamètre nominal de la jante sur les pneumatiques pour débusqueurs forestiers</w:t>
      </w:r>
      <w:r w:rsidRPr="006A2F40">
        <w:rPr>
          <w:sz w:val="18"/>
          <w:szCs w:val="18"/>
          <w:vertAlign w:val="superscript"/>
          <w:lang w:val="fr-FR"/>
        </w:rPr>
        <w:t>2</w:t>
      </w:r>
      <w:r w:rsidRPr="003447CE">
        <w:rPr>
          <w:lang w:val="fr-FR"/>
        </w:rPr>
        <w:t>. ».</w:t>
      </w:r>
    </w:p>
    <w:p w14:paraId="4CB25092" w14:textId="319C6FBA" w:rsidR="00BF030D" w:rsidRPr="003447CE" w:rsidRDefault="00BF030D" w:rsidP="00BF030D">
      <w:pPr>
        <w:spacing w:after="120" w:line="240" w:lineRule="auto"/>
        <w:ind w:left="1134" w:right="1134"/>
        <w:jc w:val="both"/>
        <w:rPr>
          <w:iCs/>
        </w:rPr>
      </w:pPr>
      <w:r w:rsidRPr="003447CE">
        <w:rPr>
          <w:i/>
          <w:iCs/>
          <w:lang w:val="fr-FR"/>
        </w:rPr>
        <w:t>Le paragraphe 2.23.1</w:t>
      </w:r>
      <w:r w:rsidRPr="003447CE">
        <w:rPr>
          <w:lang w:val="fr-FR"/>
        </w:rPr>
        <w:t xml:space="preserve"> devient le paragraphe 2.48</w:t>
      </w:r>
      <w:r w:rsidR="006A2F40">
        <w:rPr>
          <w:lang w:val="fr-FR"/>
        </w:rPr>
        <w:t> </w:t>
      </w:r>
      <w:r w:rsidRPr="003447CE">
        <w:rPr>
          <w:lang w:val="fr-FR"/>
        </w:rPr>
        <w:t>:</w:t>
      </w:r>
    </w:p>
    <w:bookmarkEnd w:id="1"/>
    <w:p w14:paraId="6FC9DD89" w14:textId="469B852E" w:rsidR="00BF030D" w:rsidRPr="003447CE" w:rsidRDefault="00BF030D" w:rsidP="006A2F40">
      <w:pPr>
        <w:suppressAutoHyphens w:val="0"/>
        <w:spacing w:after="120" w:line="230" w:lineRule="atLeast"/>
        <w:ind w:left="2268" w:right="1134" w:hanging="1134"/>
        <w:jc w:val="both"/>
        <w:rPr>
          <w:rFonts w:ascii="TimesNewRomanPSMT" w:hAnsi="TimesNewRomanPSMT" w:cs="TimesNewRomanPSMT"/>
        </w:rPr>
      </w:pPr>
      <w:r w:rsidRPr="003447CE">
        <w:rPr>
          <w:lang w:val="fr-FR"/>
        </w:rPr>
        <w:t>« </w:t>
      </w:r>
      <w:r w:rsidRPr="003447CE">
        <w:rPr>
          <w:strike/>
          <w:lang w:val="fr-FR"/>
        </w:rPr>
        <w:t>2.23.1</w:t>
      </w:r>
      <w:r w:rsidR="006A2F40">
        <w:rPr>
          <w:strike/>
          <w:lang w:val="fr-FR"/>
        </w:rPr>
        <w:t xml:space="preserve"> </w:t>
      </w:r>
      <w:r w:rsidRPr="003447CE">
        <w:rPr>
          <w:b/>
          <w:bCs/>
          <w:lang w:val="fr-FR"/>
        </w:rPr>
        <w:t>2.48</w:t>
      </w:r>
      <w:r w:rsidR="006A2F40">
        <w:rPr>
          <w:b/>
          <w:bCs/>
          <w:lang w:val="fr-FR"/>
        </w:rPr>
        <w:tab/>
      </w:r>
      <w:r w:rsidR="006A2F40" w:rsidRPr="003447CE">
        <w:rPr>
          <w:lang w:val="fr-FR"/>
        </w:rPr>
        <w:t>“</w:t>
      </w:r>
      <w:r w:rsidRPr="003447CE">
        <w:rPr>
          <w:i/>
          <w:iCs/>
          <w:lang w:val="fr-FR"/>
        </w:rPr>
        <w:t>Pneumatique à enfoncement amélioré</w:t>
      </w:r>
      <w:r w:rsidR="006A2F40" w:rsidRPr="003447CE">
        <w:rPr>
          <w:lang w:val="fr-FR"/>
        </w:rPr>
        <w:t>”</w:t>
      </w:r>
      <w:r w:rsidRPr="003447CE">
        <w:rPr>
          <w:lang w:val="fr-FR"/>
        </w:rPr>
        <w:t xml:space="preserve"> ou </w:t>
      </w:r>
      <w:r w:rsidR="006A2F40" w:rsidRPr="003447CE">
        <w:rPr>
          <w:lang w:val="fr-FR"/>
        </w:rPr>
        <w:t>“</w:t>
      </w:r>
      <w:r w:rsidRPr="003447CE">
        <w:rPr>
          <w:i/>
          <w:iCs/>
          <w:lang w:val="fr-FR"/>
        </w:rPr>
        <w:t>Pneumatique à très grand enfoncement</w:t>
      </w:r>
      <w:r w:rsidR="006A2F40" w:rsidRPr="003447CE">
        <w:rPr>
          <w:lang w:val="fr-FR"/>
        </w:rPr>
        <w:t>”</w:t>
      </w:r>
      <w:r w:rsidRPr="003447CE">
        <w:rPr>
          <w:lang w:val="fr-FR"/>
        </w:rPr>
        <w:t>, une structure de pneumatique où la carcasse est plus résistante que celle du pneumatique standard correspondant.</w:t>
      </w:r>
      <w:bookmarkStart w:id="2" w:name="_Hlk85793828"/>
      <w:bookmarkEnd w:id="2"/>
      <w:r w:rsidRPr="003447CE">
        <w:rPr>
          <w:lang w:val="fr-FR"/>
        </w:rPr>
        <w:t> ».</w:t>
      </w:r>
    </w:p>
    <w:p w14:paraId="2E44C236" w14:textId="1BA3EA6E" w:rsidR="00BF030D" w:rsidRPr="003447CE" w:rsidRDefault="006A2F40" w:rsidP="006A2F40">
      <w:pPr>
        <w:pStyle w:val="HChG"/>
        <w:spacing w:before="320" w:after="200"/>
      </w:pPr>
      <w:r>
        <w:rPr>
          <w:lang w:val="fr-FR"/>
        </w:rPr>
        <w:tab/>
      </w:r>
      <w:r w:rsidR="00BF030D" w:rsidRPr="003447CE">
        <w:rPr>
          <w:lang w:val="fr-FR"/>
        </w:rPr>
        <w:t>II.</w:t>
      </w:r>
      <w:r w:rsidR="00BF030D" w:rsidRPr="003447CE">
        <w:rPr>
          <w:lang w:val="fr-FR"/>
        </w:rPr>
        <w:tab/>
        <w:t>Justification</w:t>
      </w:r>
    </w:p>
    <w:p w14:paraId="1EDB6BC2" w14:textId="5B83A941" w:rsidR="00BF030D" w:rsidRPr="003447CE" w:rsidRDefault="006A2F40" w:rsidP="006A2F40">
      <w:pPr>
        <w:pStyle w:val="SingleTxtG"/>
        <w:spacing w:line="230" w:lineRule="atLeast"/>
      </w:pPr>
      <w:r>
        <w:rPr>
          <w:lang w:val="fr-FR"/>
        </w:rPr>
        <w:t>1.</w:t>
      </w:r>
      <w:r>
        <w:rPr>
          <w:lang w:val="fr-FR"/>
        </w:rPr>
        <w:tab/>
      </w:r>
      <w:r w:rsidR="00BF030D" w:rsidRPr="003447CE">
        <w:rPr>
          <w:lang w:val="fr-FR"/>
        </w:rPr>
        <w:t>Afin d</w:t>
      </w:r>
      <w:r>
        <w:rPr>
          <w:lang w:val="fr-FR"/>
        </w:rPr>
        <w:t>’</w:t>
      </w:r>
      <w:r w:rsidR="00BF030D" w:rsidRPr="003447CE">
        <w:rPr>
          <w:lang w:val="fr-FR"/>
        </w:rPr>
        <w:t>assurer la cohérence des définitions données dans les Règlements ONU relatifs aux pneumatiques, il est proposé de modifier les paragraphes 2.6.1 et 2.6.2 en alignant les définitions des pneumatiques à « structure diagonale » et à « structure diagonale ceinturée</w:t>
      </w:r>
      <w:r>
        <w:rPr>
          <w:lang w:val="fr-FR"/>
        </w:rPr>
        <w:t> </w:t>
      </w:r>
      <w:r w:rsidR="00BF030D" w:rsidRPr="003447CE">
        <w:rPr>
          <w:lang w:val="fr-FR"/>
        </w:rPr>
        <w:t>» sur les définitions des Règlements ONU n</w:t>
      </w:r>
      <w:r w:rsidR="00BF030D" w:rsidRPr="003447CE">
        <w:rPr>
          <w:vertAlign w:val="superscript"/>
          <w:lang w:val="fr-FR"/>
        </w:rPr>
        <w:t>os</w:t>
      </w:r>
      <w:r w:rsidR="00BF030D" w:rsidRPr="006A2F40">
        <w:rPr>
          <w:lang w:val="fr-FR"/>
        </w:rPr>
        <w:t> </w:t>
      </w:r>
      <w:r w:rsidR="00BF030D" w:rsidRPr="003447CE">
        <w:rPr>
          <w:lang w:val="fr-FR"/>
        </w:rPr>
        <w:t>30 et 75.</w:t>
      </w:r>
    </w:p>
    <w:p w14:paraId="62C1B8A8" w14:textId="57FFB75F" w:rsidR="00BF030D" w:rsidRPr="003447CE" w:rsidRDefault="006A2F40" w:rsidP="006A2F40">
      <w:pPr>
        <w:pStyle w:val="SingleTxtG"/>
        <w:spacing w:line="230" w:lineRule="atLeast"/>
      </w:pPr>
      <w:r>
        <w:rPr>
          <w:lang w:val="fr-FR"/>
        </w:rPr>
        <w:t>2.</w:t>
      </w:r>
      <w:r>
        <w:rPr>
          <w:lang w:val="fr-FR"/>
        </w:rPr>
        <w:tab/>
      </w:r>
      <w:r w:rsidR="00BF030D" w:rsidRPr="003447CE">
        <w:rPr>
          <w:lang w:val="fr-FR"/>
        </w:rPr>
        <w:t>Les alinéas du paragraphe 2.18, à l</w:t>
      </w:r>
      <w:r>
        <w:rPr>
          <w:lang w:val="fr-FR"/>
        </w:rPr>
        <w:t>’</w:t>
      </w:r>
      <w:r w:rsidR="00BF030D" w:rsidRPr="003447CE">
        <w:rPr>
          <w:lang w:val="fr-FR"/>
        </w:rPr>
        <w:t>exception du 2.18.7, décrivent les différents éléments composant la désignation de la dimension des pneumatiques métriques. L</w:t>
      </w:r>
      <w:r>
        <w:rPr>
          <w:lang w:val="fr-FR"/>
        </w:rPr>
        <w:t>’</w:t>
      </w:r>
      <w:r w:rsidR="00BF030D" w:rsidRPr="003447CE">
        <w:rPr>
          <w:lang w:val="fr-FR"/>
        </w:rPr>
        <w:t>alinéa</w:t>
      </w:r>
      <w:r>
        <w:rPr>
          <w:lang w:val="fr-FR"/>
        </w:rPr>
        <w:t> </w:t>
      </w:r>
      <w:r w:rsidR="00BF030D" w:rsidRPr="003447CE">
        <w:rPr>
          <w:lang w:val="fr-FR"/>
        </w:rPr>
        <w:t>2.18.7 renvoie à des codes de désignation de pneumatiques appartenant à des catégories qui ne sont pas concernées par les dispositions de cette liste.</w:t>
      </w:r>
    </w:p>
    <w:p w14:paraId="3CD5F44D" w14:textId="643699F1" w:rsidR="00BF030D" w:rsidRPr="003447CE" w:rsidRDefault="00BF030D" w:rsidP="006A2F40">
      <w:pPr>
        <w:pStyle w:val="SingleTxtG"/>
        <w:spacing w:line="230" w:lineRule="atLeast"/>
      </w:pPr>
      <w:r w:rsidRPr="003447CE">
        <w:rPr>
          <w:lang w:val="fr-FR"/>
        </w:rPr>
        <w:t>3.</w:t>
      </w:r>
      <w:r w:rsidRPr="003447CE">
        <w:rPr>
          <w:lang w:val="fr-FR"/>
        </w:rPr>
        <w:tab/>
        <w:t>Il est donc proposé de modifier le paragraphe 2.18 de la même manière que ce qui a déjà été fait pour le Règlement ONU n</w:t>
      </w:r>
      <w:r w:rsidRPr="003447CE">
        <w:rPr>
          <w:vertAlign w:val="superscript"/>
          <w:lang w:val="fr-FR"/>
        </w:rPr>
        <w:t>o</w:t>
      </w:r>
      <w:r w:rsidRPr="006A2F40">
        <w:rPr>
          <w:lang w:val="fr-FR"/>
        </w:rPr>
        <w:t> </w:t>
      </w:r>
      <w:r w:rsidRPr="003447CE">
        <w:rPr>
          <w:lang w:val="fr-FR"/>
        </w:rPr>
        <w:t>75 (par</w:t>
      </w:r>
      <w:r w:rsidR="006A2F40">
        <w:rPr>
          <w:lang w:val="fr-FR"/>
        </w:rPr>
        <w:t>. </w:t>
      </w:r>
      <w:r w:rsidRPr="003447CE">
        <w:rPr>
          <w:lang w:val="fr-FR"/>
        </w:rPr>
        <w:t>2.20 modifié par le complément 19), en y</w:t>
      </w:r>
      <w:r w:rsidR="006A2F40">
        <w:rPr>
          <w:lang w:val="fr-FR"/>
        </w:rPr>
        <w:t> </w:t>
      </w:r>
      <w:r w:rsidRPr="003447CE">
        <w:rPr>
          <w:lang w:val="fr-FR"/>
        </w:rPr>
        <w:t>intégrant le contenu de l</w:t>
      </w:r>
      <w:r w:rsidR="006A2F40">
        <w:rPr>
          <w:lang w:val="fr-FR"/>
        </w:rPr>
        <w:t>’</w:t>
      </w:r>
      <w:r w:rsidRPr="003447CE">
        <w:rPr>
          <w:lang w:val="fr-FR"/>
        </w:rPr>
        <w:t>actuel paragraphe 2.18.7, lequel sera supprimé. En outre, afin de ne pas avoir à modifier le numéro des autres sous-paragraphes, il est proposé de renuméroter le paragraphe 2.18.13, qui devient le 2.18.7.</w:t>
      </w:r>
    </w:p>
    <w:p w14:paraId="777A4E2E" w14:textId="5C48FCB8" w:rsidR="00BF030D" w:rsidRPr="00BA5ACC" w:rsidRDefault="00BF030D" w:rsidP="006A2F40">
      <w:pPr>
        <w:pStyle w:val="SingleTxtG"/>
        <w:spacing w:line="230" w:lineRule="atLeast"/>
        <w:rPr>
          <w:spacing w:val="-1"/>
          <w:lang w:val="fr-FR"/>
        </w:rPr>
      </w:pPr>
      <w:r w:rsidRPr="00BA5ACC">
        <w:rPr>
          <w:spacing w:val="-1"/>
          <w:lang w:val="fr-FR"/>
        </w:rPr>
        <w:t>4.</w:t>
      </w:r>
      <w:r w:rsidRPr="00BA5ACC">
        <w:rPr>
          <w:spacing w:val="-1"/>
          <w:lang w:val="fr-FR"/>
        </w:rPr>
        <w:tab/>
        <w:t>Une incohérence a été relevée s</w:t>
      </w:r>
      <w:r w:rsidR="006A2F40" w:rsidRPr="00BA5ACC">
        <w:rPr>
          <w:spacing w:val="-1"/>
          <w:lang w:val="fr-FR"/>
        </w:rPr>
        <w:t>’</w:t>
      </w:r>
      <w:r w:rsidRPr="00BA5ACC">
        <w:rPr>
          <w:spacing w:val="-1"/>
          <w:lang w:val="fr-FR"/>
        </w:rPr>
        <w:t>agissant des préfixes IF et VF qui</w:t>
      </w:r>
      <w:r w:rsidRPr="00BA5ACC">
        <w:rPr>
          <w:spacing w:val="-1"/>
        </w:rPr>
        <w:t xml:space="preserve"> </w:t>
      </w:r>
      <w:r w:rsidRPr="00BA5ACC">
        <w:rPr>
          <w:spacing w:val="-1"/>
          <w:lang w:val="fr-FR"/>
        </w:rPr>
        <w:t>sont définis dans les paragraphes 2.18.8 et 2.18.9 comme des préfixes utilisés pour la désignation de la dimension des pneumatiques, indépendamment de la catégorie d</w:t>
      </w:r>
      <w:r w:rsidR="006A2F40" w:rsidRPr="00BA5ACC">
        <w:rPr>
          <w:spacing w:val="-1"/>
          <w:lang w:val="fr-FR"/>
        </w:rPr>
        <w:t>’</w:t>
      </w:r>
      <w:r w:rsidRPr="00BA5ACC">
        <w:rPr>
          <w:spacing w:val="-1"/>
          <w:lang w:val="fr-FR"/>
        </w:rPr>
        <w:t>utilisation de ceux-ci, alors que dans le paragraphe 2.23.1, ils sont présentés comme s</w:t>
      </w:r>
      <w:r w:rsidR="006A2F40" w:rsidRPr="00BA5ACC">
        <w:rPr>
          <w:spacing w:val="-1"/>
          <w:lang w:val="fr-FR"/>
        </w:rPr>
        <w:t>’</w:t>
      </w:r>
      <w:r w:rsidRPr="00BA5ACC">
        <w:rPr>
          <w:spacing w:val="-1"/>
          <w:lang w:val="fr-FR"/>
        </w:rPr>
        <w:t>appliquant à une sous-catégorie de la catégorie d</w:t>
      </w:r>
      <w:r w:rsidR="006A2F40" w:rsidRPr="00BA5ACC">
        <w:rPr>
          <w:spacing w:val="-1"/>
          <w:lang w:val="fr-FR"/>
        </w:rPr>
        <w:t>’</w:t>
      </w:r>
      <w:r w:rsidRPr="00BA5ACC">
        <w:rPr>
          <w:spacing w:val="-1"/>
          <w:lang w:val="fr-FR"/>
        </w:rPr>
        <w:t>utilisation « roues motrices de tracteur ». En outre, d</w:t>
      </w:r>
      <w:r w:rsidR="006A2F40" w:rsidRPr="00BA5ACC">
        <w:rPr>
          <w:spacing w:val="-1"/>
          <w:lang w:val="fr-FR"/>
        </w:rPr>
        <w:t>’</w:t>
      </w:r>
      <w:r w:rsidRPr="00BA5ACC">
        <w:rPr>
          <w:spacing w:val="-1"/>
          <w:lang w:val="fr-FR"/>
        </w:rPr>
        <w:t>après la définition du « type de pneumatique pour véhicules agricoles » (par</w:t>
      </w:r>
      <w:r w:rsidR="006A2F40" w:rsidRPr="00BA5ACC">
        <w:rPr>
          <w:spacing w:val="-1"/>
          <w:lang w:val="fr-FR"/>
        </w:rPr>
        <w:t>. </w:t>
      </w:r>
      <w:r w:rsidRPr="00BA5ACC">
        <w:rPr>
          <w:spacing w:val="-1"/>
          <w:lang w:val="fr-FR"/>
        </w:rPr>
        <w:t>2.1), il est possible d</w:t>
      </w:r>
      <w:r w:rsidR="006A2F40" w:rsidRPr="00BA5ACC">
        <w:rPr>
          <w:spacing w:val="-1"/>
          <w:lang w:val="fr-FR"/>
        </w:rPr>
        <w:t>’</w:t>
      </w:r>
      <w:r w:rsidRPr="00BA5ACC">
        <w:rPr>
          <w:spacing w:val="-1"/>
          <w:lang w:val="fr-FR"/>
        </w:rPr>
        <w:t>attribuer une « désignation de la dimension du pneumatique » donnée (al</w:t>
      </w:r>
      <w:r w:rsidR="006A2F40" w:rsidRPr="00BA5ACC">
        <w:rPr>
          <w:spacing w:val="-1"/>
          <w:lang w:val="fr-FR"/>
        </w:rPr>
        <w:t>. </w:t>
      </w:r>
      <w:r w:rsidRPr="00BA5ACC">
        <w:rPr>
          <w:spacing w:val="-1"/>
          <w:lang w:val="fr-FR"/>
        </w:rPr>
        <w:t>b), pouvant donc comporter les préfixes IF ou VF, à l</w:t>
      </w:r>
      <w:r w:rsidR="006A2F40" w:rsidRPr="00BA5ACC">
        <w:rPr>
          <w:spacing w:val="-1"/>
          <w:lang w:val="fr-FR"/>
        </w:rPr>
        <w:t>’</w:t>
      </w:r>
      <w:r w:rsidRPr="00BA5ACC">
        <w:rPr>
          <w:spacing w:val="-1"/>
          <w:lang w:val="fr-FR"/>
        </w:rPr>
        <w:t>une ou l</w:t>
      </w:r>
      <w:r w:rsidR="006A2F40" w:rsidRPr="00BA5ACC">
        <w:rPr>
          <w:spacing w:val="-1"/>
          <w:lang w:val="fr-FR"/>
        </w:rPr>
        <w:t>’</w:t>
      </w:r>
      <w:r w:rsidRPr="00BA5ACC">
        <w:rPr>
          <w:spacing w:val="-1"/>
          <w:lang w:val="fr-FR"/>
        </w:rPr>
        <w:t>autre des neuf « catégories d</w:t>
      </w:r>
      <w:r w:rsidR="006A2F40" w:rsidRPr="00BA5ACC">
        <w:rPr>
          <w:spacing w:val="-1"/>
          <w:lang w:val="fr-FR"/>
        </w:rPr>
        <w:t>’</w:t>
      </w:r>
      <w:r w:rsidRPr="00BA5ACC">
        <w:rPr>
          <w:spacing w:val="-1"/>
          <w:lang w:val="fr-FR"/>
        </w:rPr>
        <w:t>utilisation » (al</w:t>
      </w:r>
      <w:r w:rsidR="006A2F40" w:rsidRPr="00BA5ACC">
        <w:rPr>
          <w:spacing w:val="-1"/>
          <w:lang w:val="fr-FR"/>
        </w:rPr>
        <w:t>. </w:t>
      </w:r>
      <w:r w:rsidRPr="00BA5ACC">
        <w:rPr>
          <w:spacing w:val="-1"/>
          <w:lang w:val="fr-FR"/>
        </w:rPr>
        <w:t>c). Pour</w:t>
      </w:r>
      <w:r w:rsidR="00BA5ACC">
        <w:rPr>
          <w:spacing w:val="-1"/>
          <w:lang w:val="fr-FR"/>
        </w:rPr>
        <w:t xml:space="preserve"> </w:t>
      </w:r>
      <w:r w:rsidRPr="00BA5ACC">
        <w:rPr>
          <w:spacing w:val="-1"/>
          <w:lang w:val="fr-FR"/>
        </w:rPr>
        <w:t>remédier à ces contradictions, il est proposé de renuméroter le paragraphe 2.23.1, qui devient le 2.48.</w:t>
      </w:r>
    </w:p>
    <w:p w14:paraId="4188B759" w14:textId="1C8BC4BC" w:rsidR="00BF030D" w:rsidRPr="006A2F40" w:rsidRDefault="006A2F40" w:rsidP="006A2F40">
      <w:pPr>
        <w:pStyle w:val="SingleTxtG"/>
        <w:spacing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F030D" w:rsidRPr="006A2F40" w:rsidSect="00BF030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014D1" w14:textId="77777777" w:rsidR="00BC26F8" w:rsidRDefault="00BC26F8" w:rsidP="00F95C08">
      <w:pPr>
        <w:spacing w:line="240" w:lineRule="auto"/>
      </w:pPr>
    </w:p>
  </w:endnote>
  <w:endnote w:type="continuationSeparator" w:id="0">
    <w:p w14:paraId="20385D8A" w14:textId="77777777" w:rsidR="00BC26F8" w:rsidRPr="00AC3823" w:rsidRDefault="00BC26F8" w:rsidP="00AC3823">
      <w:pPr>
        <w:pStyle w:val="Pieddepage"/>
      </w:pPr>
    </w:p>
  </w:endnote>
  <w:endnote w:type="continuationNotice" w:id="1">
    <w:p w14:paraId="3ABEE45D" w14:textId="77777777" w:rsidR="00BC26F8" w:rsidRDefault="00BC26F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1BF79" w14:textId="5FB34825" w:rsidR="00BF030D" w:rsidRPr="00BF030D" w:rsidRDefault="00BF030D" w:rsidP="00BF030D">
    <w:pPr>
      <w:pStyle w:val="Pieddepage"/>
      <w:tabs>
        <w:tab w:val="right" w:pos="9638"/>
      </w:tabs>
    </w:pPr>
    <w:r w:rsidRPr="00BF030D">
      <w:rPr>
        <w:b/>
        <w:sz w:val="18"/>
      </w:rPr>
      <w:fldChar w:fldCharType="begin"/>
    </w:r>
    <w:r w:rsidRPr="00BF030D">
      <w:rPr>
        <w:b/>
        <w:sz w:val="18"/>
      </w:rPr>
      <w:instrText xml:space="preserve"> PAGE  \* MERGEFORMAT </w:instrText>
    </w:r>
    <w:r w:rsidRPr="00BF030D">
      <w:rPr>
        <w:b/>
        <w:sz w:val="18"/>
      </w:rPr>
      <w:fldChar w:fldCharType="separate"/>
    </w:r>
    <w:r w:rsidRPr="00BF030D">
      <w:rPr>
        <w:b/>
        <w:noProof/>
        <w:sz w:val="18"/>
      </w:rPr>
      <w:t>2</w:t>
    </w:r>
    <w:r w:rsidRPr="00BF030D">
      <w:rPr>
        <w:b/>
        <w:sz w:val="18"/>
      </w:rPr>
      <w:fldChar w:fldCharType="end"/>
    </w:r>
    <w:r>
      <w:rPr>
        <w:b/>
        <w:sz w:val="18"/>
      </w:rPr>
      <w:tab/>
    </w:r>
    <w:r>
      <w:t>GE.21-16984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FB51B" w14:textId="6DB0DFEE" w:rsidR="00BF030D" w:rsidRPr="00BF030D" w:rsidRDefault="00BF030D" w:rsidP="00BF030D">
    <w:pPr>
      <w:pStyle w:val="Pieddepage"/>
      <w:tabs>
        <w:tab w:val="right" w:pos="9638"/>
      </w:tabs>
      <w:rPr>
        <w:b/>
        <w:sz w:val="18"/>
      </w:rPr>
    </w:pPr>
    <w:r>
      <w:t>GE.21-16984</w:t>
    </w:r>
    <w:r>
      <w:tab/>
    </w:r>
    <w:r w:rsidRPr="00BF030D">
      <w:rPr>
        <w:b/>
        <w:sz w:val="18"/>
      </w:rPr>
      <w:fldChar w:fldCharType="begin"/>
    </w:r>
    <w:r w:rsidRPr="00BF030D">
      <w:rPr>
        <w:b/>
        <w:sz w:val="18"/>
      </w:rPr>
      <w:instrText xml:space="preserve"> PAGE  \* MERGEFORMAT </w:instrText>
    </w:r>
    <w:r w:rsidRPr="00BF030D">
      <w:rPr>
        <w:b/>
        <w:sz w:val="18"/>
      </w:rPr>
      <w:fldChar w:fldCharType="separate"/>
    </w:r>
    <w:r w:rsidRPr="00BF030D">
      <w:rPr>
        <w:b/>
        <w:noProof/>
        <w:sz w:val="18"/>
      </w:rPr>
      <w:t>3</w:t>
    </w:r>
    <w:r w:rsidRPr="00BF030D">
      <w:rPr>
        <w:b/>
        <w:sz w:val="18"/>
      </w:rPr>
      <w:fldChar w:fldCharType="end"/>
    </w:r>
  </w:p>
  <w:p w14:paraId="168C8D62" w14:textId="77777777" w:rsidR="00000000" w:rsidRDefault="00055F44"/>
  <w:p w14:paraId="5EE0910A" w14:textId="77777777" w:rsidR="00000000" w:rsidRDefault="00055F4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12BE0" w14:textId="07231DB9" w:rsidR="007F20FA" w:rsidRPr="00BF030D" w:rsidRDefault="00BF030D" w:rsidP="00BF030D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5FD56AC8" wp14:editId="4890DC0E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21-16984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2A1BD79" wp14:editId="2813D64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101221    101221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A6C3C" w14:textId="77777777" w:rsidR="00BC26F8" w:rsidRPr="00AC3823" w:rsidRDefault="00BC26F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DA0EDD9" w14:textId="77777777" w:rsidR="00BC26F8" w:rsidRPr="00AC3823" w:rsidRDefault="00BC26F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CF42721" w14:textId="77777777" w:rsidR="00BC26F8" w:rsidRPr="00AC3823" w:rsidRDefault="00BC26F8">
      <w:pPr>
        <w:spacing w:line="240" w:lineRule="auto"/>
        <w:rPr>
          <w:sz w:val="2"/>
          <w:szCs w:val="2"/>
        </w:rPr>
      </w:pPr>
    </w:p>
  </w:footnote>
  <w:footnote w:id="2">
    <w:p w14:paraId="38517403" w14:textId="2215D0E1" w:rsidR="00BF030D" w:rsidRPr="00EA370C" w:rsidRDefault="00BF030D" w:rsidP="00BF030D">
      <w:pPr>
        <w:pStyle w:val="Notedebasdepage"/>
      </w:pPr>
      <w:r>
        <w:rPr>
          <w:lang w:val="fr-FR"/>
        </w:rPr>
        <w:tab/>
      </w:r>
      <w:r w:rsidRPr="00BF030D">
        <w:rPr>
          <w:sz w:val="20"/>
          <w:lang w:val="fr-FR"/>
        </w:rPr>
        <w:t>*</w:t>
      </w:r>
      <w:r>
        <w:rPr>
          <w:lang w:val="fr-FR"/>
        </w:rPr>
        <w:tab/>
        <w:t>Conformément au programme de travail du Comité des transports intérieurs pour 2022 tel qu’il figure dans le projet de budget-programme pour 2022 (A/76/6 (Sect.</w:t>
      </w:r>
      <w:r w:rsidR="00067DF3">
        <w:rPr>
          <w:lang w:val="fr-FR"/>
        </w:rPr>
        <w:t xml:space="preserve"> </w:t>
      </w:r>
      <w:r>
        <w:rPr>
          <w:lang w:val="fr-FR"/>
        </w:rPr>
        <w:t>20), par. 20.76),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84EF5" w14:textId="07FE315F" w:rsidR="00BF030D" w:rsidRPr="00BF030D" w:rsidRDefault="00BF030D">
    <w:pPr>
      <w:pStyle w:val="En-tte"/>
    </w:pPr>
    <w:fldSimple w:instr=" TITLE  \* MERGEFORMAT ">
      <w:r>
        <w:t>ECE/TRANS/WP.29/GRBP/2022/7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2C9FD" w14:textId="6B2F7F47" w:rsidR="00BF030D" w:rsidRPr="00BF030D" w:rsidRDefault="00BF030D" w:rsidP="00BF030D">
    <w:pPr>
      <w:pStyle w:val="En-tte"/>
      <w:jc w:val="right"/>
    </w:pPr>
    <w:fldSimple w:instr=" TITLE  \* MERGEFORMAT ">
      <w:r>
        <w:t>ECE/TRANS/WP.29/GRBP/2022/7</w:t>
      </w:r>
    </w:fldSimple>
  </w:p>
  <w:p w14:paraId="642EBBE1" w14:textId="77777777" w:rsidR="00000000" w:rsidRDefault="00055F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A55D2A"/>
    <w:multiLevelType w:val="hybridMultilevel"/>
    <w:tmpl w:val="B5B0B32E"/>
    <w:lvl w:ilvl="0" w:tplc="62329C6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12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5BF17232"/>
    <w:multiLevelType w:val="hybridMultilevel"/>
    <w:tmpl w:val="23BA06D2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4"/>
  </w:num>
  <w:num w:numId="15">
    <w:abstractNumId w:val="12"/>
  </w:num>
  <w:num w:numId="16">
    <w:abstractNumId w:val="10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attachedTemplate r:id="rId1"/>
  <w:defaultTabStop w:val="567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6F8"/>
    <w:rsid w:val="00017F94"/>
    <w:rsid w:val="00023842"/>
    <w:rsid w:val="000334F9"/>
    <w:rsid w:val="00045FEB"/>
    <w:rsid w:val="00055F44"/>
    <w:rsid w:val="00067DF3"/>
    <w:rsid w:val="0007796D"/>
    <w:rsid w:val="000B7790"/>
    <w:rsid w:val="00111F2F"/>
    <w:rsid w:val="0014365E"/>
    <w:rsid w:val="00143C66"/>
    <w:rsid w:val="00176178"/>
    <w:rsid w:val="001D362E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6A2F40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BA5ACC"/>
    <w:rsid w:val="00BC26F8"/>
    <w:rsid w:val="00BF030D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902173A"/>
  <w15:docId w15:val="{A1AAD47F-BCE0-42E9-A77C-895D1C35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Fußnotentext"/>
    <w:basedOn w:val="Normal"/>
    <w:link w:val="NotedebasdepageCar"/>
    <w:uiPriority w:val="99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Fußnotentext Car"/>
    <w:basedOn w:val="Policepardfaut"/>
    <w:link w:val="Notedebasdepage"/>
    <w:uiPriority w:val="99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BF030D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BF030D"/>
    <w:pPr>
      <w:kinsoku/>
      <w:overflowPunct/>
      <w:autoSpaceDE/>
      <w:autoSpaceDN/>
      <w:adjustRightInd/>
      <w:snapToGrid/>
      <w:ind w:left="708"/>
    </w:pPr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558</Words>
  <Characters>3908</Characters>
  <Application>Microsoft Office Word</Application>
  <DocSecurity>0</DocSecurity>
  <Lines>325</Lines>
  <Paragraphs>178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>ECE/TRANS/WP.29/GRBP/2022/7</vt:lpstr>
      <vt:lpstr>    Proposition d’amendements au Règlement ONU no 106</vt:lpstr>
      <vt:lpstr>        Communication des experts de l’Organisation technique européenne  du pneumatiq</vt:lpstr>
      <vt:lpstr>    I.	Proposition</vt:lpstr>
    </vt:vector>
  </TitlesOfParts>
  <Company>DCM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ECE/TRANS/WP.29/GRBP/2022/7</dc:title>
  <dc:subject/>
  <dc:creator>Corinne ROBERT</dc:creator>
  <cp:keywords/>
  <cp:lastModifiedBy>Corinne ROBERT</cp:lastModifiedBy>
  <cp:revision>2</cp:revision>
  <cp:lastPrinted>2014-05-14T10:59:00Z</cp:lastPrinted>
  <dcterms:created xsi:type="dcterms:W3CDTF">2021-12-10T13:27:00Z</dcterms:created>
  <dcterms:modified xsi:type="dcterms:W3CDTF">2021-12-10T13:27:00Z</dcterms:modified>
</cp:coreProperties>
</file>