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E9226C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83F9D3D" w14:textId="77777777" w:rsidR="00F35BAF" w:rsidRPr="00DB58B5" w:rsidRDefault="00F35BAF" w:rsidP="004D7D7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B7FE58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494767B" w14:textId="4C56746E" w:rsidR="00F35BAF" w:rsidRPr="00DB58B5" w:rsidRDefault="004D7D78" w:rsidP="004D7D78">
            <w:pPr>
              <w:jc w:val="right"/>
            </w:pPr>
            <w:r w:rsidRPr="004D7D78">
              <w:rPr>
                <w:sz w:val="40"/>
              </w:rPr>
              <w:t>ECE</w:t>
            </w:r>
            <w:r>
              <w:t>/TRANS/WP.29/GRBP/2022/6</w:t>
            </w:r>
          </w:p>
        </w:tc>
      </w:tr>
      <w:tr w:rsidR="00F35BAF" w:rsidRPr="00DB58B5" w14:paraId="0AC8323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7E553F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022C017" wp14:editId="6030198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D2F7C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9261F4B" w14:textId="77777777" w:rsidR="00F35BAF" w:rsidRDefault="004D7D78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0E160D9" w14:textId="77777777" w:rsidR="004D7D78" w:rsidRDefault="004D7D78" w:rsidP="004D7D78">
            <w:pPr>
              <w:spacing w:line="240" w:lineRule="exact"/>
            </w:pPr>
            <w:r>
              <w:t>18 novembre 2021</w:t>
            </w:r>
          </w:p>
          <w:p w14:paraId="7E888E4B" w14:textId="77777777" w:rsidR="004D7D78" w:rsidRDefault="004D7D78" w:rsidP="004D7D78">
            <w:pPr>
              <w:spacing w:line="240" w:lineRule="exact"/>
            </w:pPr>
            <w:r>
              <w:t>Français</w:t>
            </w:r>
          </w:p>
          <w:p w14:paraId="5F779CD3" w14:textId="299A226C" w:rsidR="004D7D78" w:rsidRPr="00DB58B5" w:rsidRDefault="004D7D78" w:rsidP="004D7D78">
            <w:pPr>
              <w:spacing w:line="240" w:lineRule="exact"/>
            </w:pPr>
            <w:r>
              <w:t>Original : anglais</w:t>
            </w:r>
          </w:p>
        </w:tc>
      </w:tr>
    </w:tbl>
    <w:p w14:paraId="3D3ACFC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441EBC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2E1019D" w14:textId="33740C38" w:rsidR="004D7D78" w:rsidRPr="008D093D" w:rsidRDefault="004D7D78" w:rsidP="004D7D78">
      <w:pPr>
        <w:spacing w:before="120" w:line="240" w:lineRule="auto"/>
        <w:rPr>
          <w:sz w:val="24"/>
          <w:szCs w:val="24"/>
          <w:lang w:val="fr-FR"/>
        </w:rPr>
      </w:pPr>
      <w:r w:rsidRPr="00B64C38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B64C38">
        <w:rPr>
          <w:b/>
          <w:bCs/>
          <w:sz w:val="24"/>
          <w:szCs w:val="24"/>
          <w:lang w:val="fr-FR"/>
        </w:rPr>
        <w:t xml:space="preserve">harmonisation </w:t>
      </w:r>
      <w:r>
        <w:rPr>
          <w:b/>
          <w:bCs/>
          <w:sz w:val="24"/>
          <w:szCs w:val="24"/>
          <w:lang w:val="fr-FR"/>
        </w:rPr>
        <w:br/>
      </w:r>
      <w:r w:rsidRPr="00B64C38">
        <w:rPr>
          <w:b/>
          <w:bCs/>
          <w:sz w:val="24"/>
          <w:szCs w:val="24"/>
          <w:lang w:val="fr-FR"/>
        </w:rPr>
        <w:t xml:space="preserve">des Règlements concernant les </w:t>
      </w:r>
      <w:r w:rsidRPr="008D093D">
        <w:rPr>
          <w:b/>
          <w:bCs/>
          <w:sz w:val="24"/>
          <w:szCs w:val="24"/>
          <w:lang w:val="fr-FR"/>
        </w:rPr>
        <w:t>véhicules</w:t>
      </w:r>
    </w:p>
    <w:p w14:paraId="6D07CC7C" w14:textId="77777777" w:rsidR="004D7D78" w:rsidRPr="004D7D78" w:rsidRDefault="004D7D78" w:rsidP="004D7D78">
      <w:pPr>
        <w:spacing w:before="120" w:after="120" w:line="240" w:lineRule="auto"/>
        <w:rPr>
          <w:b/>
          <w:bCs/>
          <w:lang w:val="fr-FR"/>
        </w:rPr>
      </w:pPr>
      <w:r w:rsidRPr="004D7D78">
        <w:rPr>
          <w:b/>
          <w:bCs/>
          <w:lang w:val="fr-FR"/>
        </w:rPr>
        <w:t>Groupe de travail du bruit et des pneumatiques</w:t>
      </w:r>
    </w:p>
    <w:p w14:paraId="5F3C92D4" w14:textId="77777777" w:rsidR="004D7D78" w:rsidRPr="004D7D78" w:rsidRDefault="004D7D78" w:rsidP="004D7D78">
      <w:pPr>
        <w:spacing w:line="240" w:lineRule="auto"/>
        <w:rPr>
          <w:b/>
          <w:lang w:val="fr-FR"/>
        </w:rPr>
      </w:pPr>
      <w:bookmarkStart w:id="0" w:name="_Hlk87605228"/>
      <w:r w:rsidRPr="004D7D78">
        <w:rPr>
          <w:b/>
          <w:bCs/>
          <w:lang w:val="fr-FR"/>
        </w:rPr>
        <w:t>Soixante-quinzième session</w:t>
      </w:r>
      <w:r w:rsidRPr="004D7D78">
        <w:rPr>
          <w:lang w:val="fr-FR"/>
        </w:rPr>
        <w:t xml:space="preserve"> </w:t>
      </w:r>
    </w:p>
    <w:p w14:paraId="31D9AA81" w14:textId="77777777" w:rsidR="004D7D78" w:rsidRPr="004D7D78" w:rsidRDefault="004D7D78" w:rsidP="004D7D78">
      <w:pPr>
        <w:spacing w:line="240" w:lineRule="auto"/>
        <w:rPr>
          <w:bCs/>
          <w:lang w:val="fr-FR"/>
        </w:rPr>
      </w:pPr>
      <w:r w:rsidRPr="004D7D78">
        <w:rPr>
          <w:lang w:val="fr-FR"/>
        </w:rPr>
        <w:t>Genève, 8-11 février 2022</w:t>
      </w:r>
    </w:p>
    <w:p w14:paraId="066EE864" w14:textId="77777777" w:rsidR="004D7D78" w:rsidRPr="004D7D78" w:rsidRDefault="004D7D78" w:rsidP="004D7D78">
      <w:pPr>
        <w:spacing w:line="240" w:lineRule="auto"/>
        <w:rPr>
          <w:bCs/>
          <w:lang w:val="fr-FR"/>
        </w:rPr>
      </w:pPr>
      <w:r w:rsidRPr="004D7D78">
        <w:rPr>
          <w:lang w:val="fr-FR"/>
        </w:rPr>
        <w:t>Point 4 b) de l’ordre du jour provisoire</w:t>
      </w:r>
    </w:p>
    <w:bookmarkEnd w:id="0"/>
    <w:p w14:paraId="67D5E96A" w14:textId="131F55E2" w:rsidR="004D7D78" w:rsidRPr="004D7D78" w:rsidRDefault="004D7D78" w:rsidP="004D7D78">
      <w:pPr>
        <w:spacing w:line="240" w:lineRule="auto"/>
        <w:rPr>
          <w:b/>
          <w:bCs/>
          <w:lang w:val="fr-FR"/>
        </w:rPr>
      </w:pPr>
      <w:r w:rsidRPr="004D7D78">
        <w:rPr>
          <w:b/>
          <w:bCs/>
          <w:lang w:val="fr-FR"/>
        </w:rPr>
        <w:t xml:space="preserve">Pneumatiques : Règlement ONU </w:t>
      </w:r>
      <w:r w:rsidRPr="004D7D78">
        <w:rPr>
          <w:rFonts w:eastAsia="MS Mincho"/>
          <w:b/>
          <w:bCs/>
          <w:lang w:val="fr-FR"/>
        </w:rPr>
        <w:t>n</w:t>
      </w:r>
      <w:r w:rsidRPr="004D7D78">
        <w:rPr>
          <w:rFonts w:eastAsia="MS Mincho"/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4D7D78">
        <w:rPr>
          <w:b/>
          <w:bCs/>
          <w:lang w:val="fr-FR"/>
        </w:rPr>
        <w:t xml:space="preserve">54 (Pneumatiques pour </w:t>
      </w:r>
      <w:r>
        <w:rPr>
          <w:b/>
          <w:bCs/>
          <w:lang w:val="fr-FR"/>
        </w:rPr>
        <w:br/>
      </w:r>
      <w:r w:rsidRPr="004D7D78">
        <w:rPr>
          <w:b/>
          <w:bCs/>
          <w:lang w:val="fr-FR"/>
        </w:rPr>
        <w:t>les véhicules utilitaires et leurs remorques)</w:t>
      </w:r>
    </w:p>
    <w:p w14:paraId="14688457" w14:textId="4539E206" w:rsidR="004D7D78" w:rsidRPr="004D7D78" w:rsidRDefault="004D7D78" w:rsidP="004D7D78">
      <w:pPr>
        <w:pStyle w:val="HChG"/>
        <w:rPr>
          <w:lang w:val="fr-FR"/>
        </w:rPr>
      </w:pPr>
      <w:r w:rsidRPr="00B64C38">
        <w:rPr>
          <w:lang w:val="fr-FR"/>
        </w:rPr>
        <w:tab/>
      </w:r>
      <w:r w:rsidRPr="00B64C38">
        <w:rPr>
          <w:lang w:val="fr-FR"/>
        </w:rPr>
        <w:tab/>
        <w:t>Proposition d</w:t>
      </w:r>
      <w:r>
        <w:rPr>
          <w:lang w:val="fr-FR"/>
        </w:rPr>
        <w:t>’</w:t>
      </w:r>
      <w:r w:rsidRPr="00B64C38">
        <w:rPr>
          <w:lang w:val="fr-FR"/>
        </w:rPr>
        <w:t xml:space="preserve">amendements au Règlement ONU </w:t>
      </w:r>
      <w:r w:rsidRPr="004D7D78">
        <w:rPr>
          <w:rFonts w:eastAsia="MS Mincho"/>
          <w:lang w:val="fr-FR"/>
        </w:rPr>
        <w:t>n</w:t>
      </w:r>
      <w:r w:rsidRPr="004D7D78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4D7D78">
        <w:rPr>
          <w:lang w:val="fr-FR"/>
        </w:rPr>
        <w:t>54</w:t>
      </w:r>
    </w:p>
    <w:p w14:paraId="08A9C89D" w14:textId="315F372A" w:rsidR="004D7D78" w:rsidRPr="004D7D78" w:rsidRDefault="004D7D78" w:rsidP="004D7D78">
      <w:pPr>
        <w:pStyle w:val="H1G"/>
        <w:rPr>
          <w:lang w:val="fr-FR"/>
        </w:rPr>
      </w:pPr>
      <w:r w:rsidRPr="00B64C38">
        <w:rPr>
          <w:lang w:val="fr-FR"/>
        </w:rPr>
        <w:tab/>
      </w:r>
      <w:r w:rsidRPr="00B64C38">
        <w:rPr>
          <w:lang w:val="fr-FR"/>
        </w:rPr>
        <w:tab/>
        <w:t>Communication des experts de l</w:t>
      </w:r>
      <w:r>
        <w:rPr>
          <w:lang w:val="fr-FR"/>
        </w:rPr>
        <w:t>’</w:t>
      </w:r>
      <w:r w:rsidRPr="00B64C38">
        <w:rPr>
          <w:lang w:val="fr-FR"/>
        </w:rPr>
        <w:t xml:space="preserve">Organisation technique européenne </w:t>
      </w:r>
      <w:r>
        <w:rPr>
          <w:lang w:val="fr-FR"/>
        </w:rPr>
        <w:br/>
      </w:r>
      <w:r w:rsidRPr="00B64C38">
        <w:rPr>
          <w:lang w:val="fr-FR"/>
        </w:rPr>
        <w:t>du pneumatique et de la jante</w:t>
      </w:r>
      <w:r w:rsidRPr="004D7D78">
        <w:rPr>
          <w:b w:val="0"/>
          <w:bCs/>
          <w:sz w:val="20"/>
          <w:lang w:val="fr-FR"/>
        </w:rPr>
        <w:footnoteReference w:customMarkFollows="1" w:id="2"/>
        <w:t>*</w:t>
      </w:r>
    </w:p>
    <w:p w14:paraId="31EF4E16" w14:textId="5F095B5B" w:rsidR="00F9573C" w:rsidRDefault="004D7D78" w:rsidP="004D7D78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B64C38">
        <w:rPr>
          <w:lang w:val="fr-FR"/>
        </w:rPr>
        <w:t>Le texte ci-après a été établi par les experts de l</w:t>
      </w:r>
      <w:r>
        <w:rPr>
          <w:lang w:val="fr-FR"/>
        </w:rPr>
        <w:t>’</w:t>
      </w:r>
      <w:r w:rsidRPr="00B64C38">
        <w:rPr>
          <w:lang w:val="fr-FR"/>
        </w:rPr>
        <w:t>Organisation technique européenne du pneumatique et de la jante (ETRTO). Les modifications qu</w:t>
      </w:r>
      <w:r>
        <w:rPr>
          <w:lang w:val="fr-FR"/>
        </w:rPr>
        <w:t>’</w:t>
      </w:r>
      <w:r w:rsidRPr="00B64C38">
        <w:rPr>
          <w:lang w:val="fr-FR"/>
        </w:rPr>
        <w:t>il est proposé d</w:t>
      </w:r>
      <w:r>
        <w:rPr>
          <w:lang w:val="fr-FR"/>
        </w:rPr>
        <w:t>’</w:t>
      </w:r>
      <w:r w:rsidRPr="00B64C38">
        <w:rPr>
          <w:lang w:val="fr-FR"/>
        </w:rPr>
        <w:t>apporter au texte actuel du Règlement ONU figurent en caractères gras pour les ajouts et biffés pour les suppressions.</w:t>
      </w:r>
    </w:p>
    <w:p w14:paraId="0502A766" w14:textId="3D7EA182" w:rsidR="004D7D78" w:rsidRDefault="004D7D78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4FC2F910" w14:textId="21DEE100" w:rsidR="004D7D78" w:rsidRPr="00B64C38" w:rsidRDefault="004D7D78" w:rsidP="004D7D78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Pr="00B64C38">
        <w:rPr>
          <w:lang w:val="fr-FR"/>
        </w:rPr>
        <w:t>I.</w:t>
      </w:r>
      <w:r w:rsidRPr="00B64C38">
        <w:rPr>
          <w:lang w:val="fr-FR"/>
        </w:rPr>
        <w:tab/>
        <w:t>Proposition</w:t>
      </w:r>
    </w:p>
    <w:p w14:paraId="05D9CDE8" w14:textId="77777777" w:rsidR="004D7D78" w:rsidRPr="004D7D78" w:rsidRDefault="004D7D78" w:rsidP="004D7D78">
      <w:pPr>
        <w:spacing w:after="120" w:line="240" w:lineRule="auto"/>
        <w:ind w:left="1134" w:right="1134"/>
        <w:jc w:val="both"/>
        <w:rPr>
          <w:lang w:val="fr-FR"/>
        </w:rPr>
      </w:pPr>
      <w:r w:rsidRPr="004D7D78">
        <w:rPr>
          <w:i/>
          <w:iCs/>
          <w:lang w:val="fr-FR"/>
        </w:rPr>
        <w:t>Paragraphe 3.1.10</w:t>
      </w:r>
      <w:r w:rsidRPr="004D7D78">
        <w:rPr>
          <w:lang w:val="fr-FR"/>
        </w:rPr>
        <w:t>, lire :</w:t>
      </w:r>
    </w:p>
    <w:p w14:paraId="0FBCF0C3" w14:textId="54972390" w:rsidR="004D7D78" w:rsidRPr="004D7D78" w:rsidRDefault="004D7D78" w:rsidP="004D7D78">
      <w:pPr>
        <w:pStyle w:val="para"/>
        <w:spacing w:line="240" w:lineRule="auto"/>
        <w:ind w:right="962"/>
        <w:rPr>
          <w:lang w:val="fr-FR"/>
        </w:rPr>
      </w:pPr>
      <w:r w:rsidRPr="004D7D78">
        <w:rPr>
          <w:lang w:val="fr-FR"/>
        </w:rPr>
        <w:t>« 3.1.10</w:t>
      </w:r>
      <w:r w:rsidRPr="004D7D78">
        <w:rPr>
          <w:lang w:val="fr-FR"/>
        </w:rPr>
        <w:tab/>
        <w:t xml:space="preserve">Dans le cas des pneumatiques </w:t>
      </w:r>
      <w:proofErr w:type="spellStart"/>
      <w:r w:rsidRPr="004D7D78">
        <w:rPr>
          <w:lang w:val="fr-FR"/>
        </w:rPr>
        <w:t>recreusables</w:t>
      </w:r>
      <w:proofErr w:type="spellEnd"/>
      <w:r w:rsidRPr="004D7D78">
        <w:rPr>
          <w:lang w:val="fr-FR"/>
        </w:rPr>
        <w:t>, sur chaque flanc, le symbole «</w:t>
      </w:r>
      <w:r>
        <w:rPr>
          <w:lang w:val="fr-FR"/>
        </w:rPr>
        <w:t xml:space="preserve"> </w:t>
      </w:r>
      <w:r w:rsidRPr="004D7D78">
        <w:rPr>
          <w:noProof/>
          <w:lang w:val="fr-FR"/>
        </w:rPr>
        <w:drawing>
          <wp:inline distT="0" distB="0" distL="0" distR="0" wp14:anchorId="2DBAFDB4" wp14:editId="79A3A00E">
            <wp:extent cx="170815" cy="170815"/>
            <wp:effectExtent l="0" t="0" r="635" b="6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7D78">
        <w:rPr>
          <w:lang w:val="fr-FR"/>
        </w:rPr>
        <w:t xml:space="preserve"> » d’au moins 20 mm de diamètre ou le mot « REGROOVABLE »</w:t>
      </w:r>
      <w:r w:rsidRPr="004D7D78">
        <w:rPr>
          <w:strike/>
          <w:lang w:val="fr-FR"/>
        </w:rPr>
        <w:t>, moulé en creux ou en relief</w:t>
      </w:r>
      <w:r w:rsidRPr="004D7D78">
        <w:rPr>
          <w:lang w:val="fr-FR"/>
        </w:rPr>
        <w:t xml:space="preserve"> ; ».</w:t>
      </w:r>
    </w:p>
    <w:p w14:paraId="48DB7F64" w14:textId="77777777" w:rsidR="004D7D78" w:rsidRPr="004D7D78" w:rsidRDefault="004D7D78" w:rsidP="004D7D78">
      <w:pPr>
        <w:spacing w:after="120" w:line="240" w:lineRule="auto"/>
        <w:ind w:left="1134" w:right="1134"/>
        <w:jc w:val="both"/>
        <w:rPr>
          <w:lang w:val="fr-FR"/>
        </w:rPr>
      </w:pPr>
      <w:r w:rsidRPr="004D7D78">
        <w:rPr>
          <w:i/>
          <w:iCs/>
          <w:lang w:val="fr-FR"/>
        </w:rPr>
        <w:t>Paragraphe 6.1.1.2</w:t>
      </w:r>
      <w:r w:rsidRPr="004D7D78">
        <w:rPr>
          <w:lang w:val="fr-FR"/>
        </w:rPr>
        <w:t>, lire :</w:t>
      </w:r>
    </w:p>
    <w:p w14:paraId="27B2EB15" w14:textId="77777777" w:rsidR="004D7D78" w:rsidRPr="004D7D78" w:rsidRDefault="004D7D78" w:rsidP="004D7D78">
      <w:pPr>
        <w:pStyle w:val="para"/>
        <w:spacing w:line="240" w:lineRule="auto"/>
        <w:rPr>
          <w:lang w:val="fr-FR"/>
        </w:rPr>
      </w:pPr>
      <w:r w:rsidRPr="004D7D78">
        <w:rPr>
          <w:lang w:val="fr-FR"/>
        </w:rPr>
        <w:t>« 6.1.1.2</w:t>
      </w:r>
      <w:r w:rsidRPr="004D7D78">
        <w:rPr>
          <w:lang w:val="fr-FR"/>
        </w:rPr>
        <w:tab/>
      </w:r>
      <w:r w:rsidRPr="004D7D78">
        <w:rPr>
          <w:strike/>
          <w:lang w:val="fr-FR"/>
        </w:rPr>
        <w:t>Toutefois</w:t>
      </w:r>
      <w:r w:rsidRPr="008D093D">
        <w:rPr>
          <w:strike/>
          <w:lang w:val="fr-FR"/>
        </w:rPr>
        <w:t xml:space="preserve">, </w:t>
      </w:r>
      <w:r w:rsidRPr="004D7D78">
        <w:rPr>
          <w:b/>
          <w:bCs/>
          <w:lang w:val="fr-FR"/>
        </w:rPr>
        <w:t>Nonobstant les dispositions du paragraphe 6.1.1.1</w:t>
      </w:r>
      <w:r w:rsidRPr="004D7D78">
        <w:rPr>
          <w:lang w:val="fr-FR"/>
        </w:rPr>
        <w:t>, pour les types de pneumatiques dont la désignation figure dans la première colonne des tableaux de l’annexe 5 du présent Règlement, il est admis que la grosseur du boudin soit celle qui figure dans ces tableaux en face de la désignation du pneumatique.</w:t>
      </w:r>
    </w:p>
    <w:p w14:paraId="15F1509C" w14:textId="77777777" w:rsidR="004D7D78" w:rsidRPr="004D7D78" w:rsidRDefault="004D7D78" w:rsidP="004D7D78">
      <w:pPr>
        <w:spacing w:after="120" w:line="240" w:lineRule="auto"/>
        <w:ind w:left="2268" w:right="1134"/>
        <w:jc w:val="both"/>
        <w:rPr>
          <w:b/>
          <w:bCs/>
          <w:lang w:val="fr-FR"/>
        </w:rPr>
      </w:pPr>
      <w:r w:rsidRPr="004D7D78">
        <w:rPr>
          <w:b/>
          <w:bCs/>
          <w:lang w:val="fr-FR"/>
        </w:rPr>
        <w:t>Toutefois, si l’on utilise une jante de mesure dont le code de largeur diffère de celui qui figure dans le tableau, la grosseur du boudin est calculée à l’aide de la formule du paragraphe 6.1.1.1, où :</w:t>
      </w:r>
    </w:p>
    <w:p w14:paraId="65AE2B30" w14:textId="77777777" w:rsidR="004D7D78" w:rsidRPr="004D7D78" w:rsidRDefault="004D7D78" w:rsidP="008D093D">
      <w:pPr>
        <w:spacing w:after="120" w:line="240" w:lineRule="auto"/>
        <w:ind w:left="2835" w:right="1134" w:hanging="567"/>
        <w:jc w:val="both"/>
        <w:rPr>
          <w:b/>
          <w:bCs/>
          <w:lang w:val="fr-FR"/>
        </w:rPr>
      </w:pPr>
      <w:r w:rsidRPr="004D7D78">
        <w:rPr>
          <w:b/>
          <w:bCs/>
          <w:lang w:val="fr-FR"/>
        </w:rPr>
        <w:t>S1</w:t>
      </w:r>
      <w:r w:rsidRPr="004D7D78">
        <w:rPr>
          <w:lang w:val="fr-FR"/>
        </w:rPr>
        <w:tab/>
      </w:r>
      <w:r w:rsidRPr="004D7D78">
        <w:rPr>
          <w:b/>
          <w:bCs/>
          <w:lang w:val="fr-FR"/>
        </w:rPr>
        <w:t>est la grosseur du boudin exprimée en millimètres figurant dans le tableau ;</w:t>
      </w:r>
      <w:r w:rsidRPr="004D7D78">
        <w:rPr>
          <w:lang w:val="fr-FR"/>
        </w:rPr>
        <w:t xml:space="preserve"> </w:t>
      </w:r>
    </w:p>
    <w:p w14:paraId="65BBCB51" w14:textId="7BB03F29" w:rsidR="004D7D78" w:rsidRPr="004D7D78" w:rsidRDefault="004D7D78" w:rsidP="008D093D">
      <w:pPr>
        <w:spacing w:after="120" w:line="240" w:lineRule="auto"/>
        <w:ind w:left="2835" w:right="1134" w:hanging="567"/>
        <w:jc w:val="both"/>
        <w:rPr>
          <w:b/>
          <w:bCs/>
          <w:lang w:val="fr-FR"/>
        </w:rPr>
      </w:pPr>
      <w:r w:rsidRPr="004D7D78">
        <w:rPr>
          <w:b/>
          <w:bCs/>
          <w:lang w:val="fr-FR"/>
        </w:rPr>
        <w:t>A1</w:t>
      </w:r>
      <w:r w:rsidRPr="004D7D78">
        <w:rPr>
          <w:lang w:val="fr-FR"/>
        </w:rPr>
        <w:tab/>
      </w:r>
      <w:r w:rsidRPr="004D7D78">
        <w:rPr>
          <w:b/>
          <w:bCs/>
          <w:lang w:val="fr-FR"/>
        </w:rPr>
        <w:t>est le code de largeur de la jante de mesure figurant dans le tableau, multiplié par 25,4 ;</w:t>
      </w:r>
    </w:p>
    <w:p w14:paraId="7073DE6E" w14:textId="77777777" w:rsidR="004D7D78" w:rsidRPr="004D7D78" w:rsidRDefault="004D7D78" w:rsidP="004D7D78">
      <w:pPr>
        <w:spacing w:after="120" w:line="240" w:lineRule="auto"/>
        <w:ind w:left="2268" w:right="1134"/>
        <w:jc w:val="both"/>
        <w:rPr>
          <w:i/>
          <w:iCs/>
          <w:lang w:val="fr-FR"/>
        </w:rPr>
      </w:pPr>
      <w:r w:rsidRPr="004D7D78">
        <w:rPr>
          <w:b/>
          <w:bCs/>
          <w:lang w:val="fr-FR"/>
        </w:rPr>
        <w:t>les autres valeurs sont telles que définies au paragraphe 6.1.1.1. </w:t>
      </w:r>
      <w:r w:rsidRPr="008D093D">
        <w:rPr>
          <w:lang w:val="fr-FR"/>
        </w:rPr>
        <w:t>».</w:t>
      </w:r>
    </w:p>
    <w:p w14:paraId="28291367" w14:textId="65164195" w:rsidR="004D7D78" w:rsidRPr="00B64C38" w:rsidRDefault="004D7D78" w:rsidP="004D7D78">
      <w:pPr>
        <w:pStyle w:val="HChG"/>
        <w:rPr>
          <w:lang w:val="fr-FR"/>
        </w:rPr>
      </w:pPr>
      <w:r>
        <w:rPr>
          <w:lang w:val="fr-FR"/>
        </w:rPr>
        <w:tab/>
      </w:r>
      <w:r w:rsidRPr="00B64C38">
        <w:rPr>
          <w:lang w:val="fr-FR"/>
        </w:rPr>
        <w:t>II.</w:t>
      </w:r>
      <w:r w:rsidRPr="00B64C38">
        <w:rPr>
          <w:lang w:val="fr-FR"/>
        </w:rPr>
        <w:tab/>
        <w:t>Justification</w:t>
      </w:r>
    </w:p>
    <w:p w14:paraId="2F85A522" w14:textId="1C93970B" w:rsidR="004D7D78" w:rsidRPr="00B64C38" w:rsidRDefault="004D7D78" w:rsidP="004D7D78">
      <w:pPr>
        <w:pStyle w:val="SingleTxtG"/>
        <w:rPr>
          <w:lang w:val="fr-FR"/>
        </w:rPr>
      </w:pPr>
      <w:r w:rsidRPr="00B64C38">
        <w:rPr>
          <w:lang w:val="fr-FR"/>
        </w:rPr>
        <w:t>1.</w:t>
      </w:r>
      <w:r w:rsidRPr="00B64C38">
        <w:rPr>
          <w:lang w:val="fr-FR"/>
        </w:rPr>
        <w:tab/>
        <w:t>Afin de remédier à une incohérence dans les dispositions du Règlement ONU n</w:t>
      </w:r>
      <w:r w:rsidRPr="00B64C38">
        <w:rPr>
          <w:vertAlign w:val="superscript"/>
          <w:lang w:val="fr-FR"/>
        </w:rPr>
        <w:t>o</w:t>
      </w:r>
      <w:r w:rsidRPr="00B64C38">
        <w:rPr>
          <w:lang w:val="fr-FR"/>
        </w:rPr>
        <w:t> 54 relatives au marquage et conformément à ce qui a été adopté pour le complément 14 audit Règlement (ECE/TRANS/WP.29/GRBP/2020/13 et document informel GRBP-72-30), il est proposé d</w:t>
      </w:r>
      <w:r>
        <w:rPr>
          <w:lang w:val="fr-FR"/>
        </w:rPr>
        <w:t>’</w:t>
      </w:r>
      <w:r w:rsidRPr="00B64C38">
        <w:rPr>
          <w:lang w:val="fr-FR"/>
        </w:rPr>
        <w:t>étendre au symbole « </w:t>
      </w:r>
      <w:r w:rsidRPr="00B64C38">
        <w:rPr>
          <w:noProof/>
          <w:lang w:val="fr-FR"/>
        </w:rPr>
        <mc:AlternateContent>
          <mc:Choice Requires="wpg">
            <w:drawing>
              <wp:inline distT="0" distB="0" distL="0" distR="0" wp14:anchorId="31FEF441" wp14:editId="1CED38E8">
                <wp:extent cx="153035" cy="152400"/>
                <wp:effectExtent l="0" t="0" r="18415" b="19050"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52400"/>
                          <a:chOff x="1161" y="1804"/>
                          <a:chExt cx="1080" cy="1080"/>
                        </a:xfrm>
                      </wpg:grpSpPr>
                      <wpg:grpSp>
                        <wpg:cNvPr id="5" name="Group 33"/>
                        <wpg:cNvGrpSpPr>
                          <a:grpSpLocks/>
                        </wpg:cNvGrpSpPr>
                        <wpg:grpSpPr bwMode="auto">
                          <a:xfrm>
                            <a:off x="1344" y="2164"/>
                            <a:ext cx="720" cy="360"/>
                            <a:chOff x="1341" y="2164"/>
                            <a:chExt cx="720" cy="360"/>
                          </a:xfrm>
                        </wpg:grpSpPr>
                        <wps:wsp>
                          <wps:cNvPr id="6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1" y="216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1521" y="2164"/>
                              <a:ext cx="540" cy="360"/>
                              <a:chOff x="1521" y="2164"/>
                              <a:chExt cx="540" cy="360"/>
                            </a:xfrm>
                          </wpg:grpSpPr>
                          <wps:wsp>
                            <wps:cNvPr id="8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21" y="216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21" y="252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3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881" y="216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81" y="216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5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161" y="1804"/>
                            <a:ext cx="1080" cy="108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4BDA9" id="Group 32" o:spid="_x0000_s1026" style="width:12.05pt;height:12pt;mso-position-horizontal-relative:char;mso-position-vertical-relative:line" coordorigin="1161,180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">
                <v:group id="Group 33" o:spid="_x0000_s1027" style="position:absolute;left:1344;top:2164;width:720;height:360" coordorigin="1341,2164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34" o:spid="_x0000_s1028" style="position:absolute;visibility:visible;mso-wrap-style:square" from="1341,2164" to="1521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  <v:group id="Group 35" o:spid="_x0000_s1029" style="position:absolute;left:1521;top:2164;width:540;height:360" coordorigin="1521,2164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line id="Line 36" o:spid="_x0000_s1030" style="position:absolute;visibility:visible;mso-wrap-style:square" from="1521,2164" to="1521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    <v:line id="Line 37" o:spid="_x0000_s1031" style="position:absolute;visibility:visible;mso-wrap-style:square" from="1521,2524" to="1881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    <v:line id="Line 38" o:spid="_x0000_s1032" style="position:absolute;flip:y;visibility:visible;mso-wrap-style:square" from="1881,2164" to="1881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" strokeweight="1.5pt"/>
                    <v:line id="Line 39" o:spid="_x0000_s1033" style="position:absolute;visibility:visible;mso-wrap-style:square" from="1881,2164" to="2061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  </v:group>
                </v:group>
                <v:oval id="Oval 40" o:spid="_x0000_s1034" style="position:absolute;left:1161;top:180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" filled="f" strokeweight="1.5pt"/>
                <w10:anchorlock/>
              </v:group>
            </w:pict>
          </mc:Fallback>
        </mc:AlternateContent>
      </w:r>
      <w:r w:rsidRPr="00B64C38">
        <w:rPr>
          <w:lang w:val="fr-FR"/>
        </w:rPr>
        <w:t> » et au mot « REGROOVABLE » la possibilité de marquage autre que le marquage par moulage.</w:t>
      </w:r>
    </w:p>
    <w:p w14:paraId="3E06CFE5" w14:textId="37A110F8" w:rsidR="004D7D78" w:rsidRDefault="004D7D78" w:rsidP="004D7D78">
      <w:pPr>
        <w:pStyle w:val="SingleTxtG"/>
        <w:rPr>
          <w:lang w:val="fr-FR"/>
        </w:rPr>
      </w:pPr>
      <w:r w:rsidRPr="00B64C38">
        <w:rPr>
          <w:lang w:val="fr-FR"/>
        </w:rPr>
        <w:t>2.</w:t>
      </w:r>
      <w:r w:rsidRPr="00B64C38">
        <w:rPr>
          <w:lang w:val="fr-FR"/>
        </w:rPr>
        <w:tab/>
        <w:t>Il est proposé d</w:t>
      </w:r>
      <w:r>
        <w:rPr>
          <w:lang w:val="fr-FR"/>
        </w:rPr>
        <w:t>’</w:t>
      </w:r>
      <w:r w:rsidRPr="00B64C38">
        <w:rPr>
          <w:lang w:val="fr-FR"/>
        </w:rPr>
        <w:t>harmoniser le calcul des dimensions avec la méthode présentée dans le paragraphe 3.5.2.3 du Règlement technique mondial ONU (RTM ONU) n</w:t>
      </w:r>
      <w:r w:rsidRPr="00B64C38">
        <w:rPr>
          <w:vertAlign w:val="superscript"/>
          <w:lang w:val="fr-FR"/>
        </w:rPr>
        <w:t>o </w:t>
      </w:r>
      <w:r w:rsidRPr="00B64C38">
        <w:rPr>
          <w:lang w:val="fr-FR"/>
        </w:rPr>
        <w:t>16, afin que l</w:t>
      </w:r>
      <w:r>
        <w:rPr>
          <w:lang w:val="fr-FR"/>
        </w:rPr>
        <w:t>’</w:t>
      </w:r>
      <w:r w:rsidRPr="00B64C38">
        <w:rPr>
          <w:lang w:val="fr-FR"/>
        </w:rPr>
        <w:t>on puisse mesurer des pneumatiques dont les dimensions de référence figurent dans l</w:t>
      </w:r>
      <w:r>
        <w:rPr>
          <w:lang w:val="fr-FR"/>
        </w:rPr>
        <w:t>’</w:t>
      </w:r>
      <w:r w:rsidRPr="00B64C38">
        <w:rPr>
          <w:lang w:val="fr-FR"/>
        </w:rPr>
        <w:t>annexe 5 sur des jantes dont le code de largeur n</w:t>
      </w:r>
      <w:r>
        <w:rPr>
          <w:lang w:val="fr-FR"/>
        </w:rPr>
        <w:t>’</w:t>
      </w:r>
      <w:r w:rsidRPr="00B64C38">
        <w:rPr>
          <w:lang w:val="fr-FR"/>
        </w:rPr>
        <w:t>est pas celui de la jante de mesure figurant dans les tableaux de l</w:t>
      </w:r>
      <w:r>
        <w:rPr>
          <w:lang w:val="fr-FR"/>
        </w:rPr>
        <w:t>’</w:t>
      </w:r>
      <w:r w:rsidRPr="00B64C38">
        <w:rPr>
          <w:lang w:val="fr-FR"/>
        </w:rPr>
        <w:t>annexe 5.</w:t>
      </w:r>
    </w:p>
    <w:p w14:paraId="3914D73B" w14:textId="1CA261EE" w:rsidR="004D7D78" w:rsidRPr="004D7D78" w:rsidRDefault="004D7D78" w:rsidP="004D7D78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7D78" w:rsidRPr="004D7D78" w:rsidSect="004D7D7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141B6" w14:textId="77777777" w:rsidR="00F54F1D" w:rsidRDefault="00F54F1D" w:rsidP="00F95C08">
      <w:pPr>
        <w:spacing w:line="240" w:lineRule="auto"/>
      </w:pPr>
    </w:p>
  </w:endnote>
  <w:endnote w:type="continuationSeparator" w:id="0">
    <w:p w14:paraId="6FECFD14" w14:textId="77777777" w:rsidR="00F54F1D" w:rsidRPr="00AC3823" w:rsidRDefault="00F54F1D" w:rsidP="00AC3823">
      <w:pPr>
        <w:pStyle w:val="Pieddepage"/>
      </w:pPr>
    </w:p>
  </w:endnote>
  <w:endnote w:type="continuationNotice" w:id="1">
    <w:p w14:paraId="6A78F734" w14:textId="77777777" w:rsidR="00F54F1D" w:rsidRDefault="00F54F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ACADD" w14:textId="2D781AF9" w:rsidR="004D7D78" w:rsidRPr="004D7D78" w:rsidRDefault="004D7D78" w:rsidP="004D7D78">
    <w:pPr>
      <w:pStyle w:val="Pieddepage"/>
      <w:tabs>
        <w:tab w:val="right" w:pos="9638"/>
      </w:tabs>
    </w:pPr>
    <w:r w:rsidRPr="004D7D78">
      <w:rPr>
        <w:b/>
        <w:sz w:val="18"/>
      </w:rPr>
      <w:fldChar w:fldCharType="begin"/>
    </w:r>
    <w:r w:rsidRPr="004D7D78">
      <w:rPr>
        <w:b/>
        <w:sz w:val="18"/>
      </w:rPr>
      <w:instrText xml:space="preserve"> PAGE  \* MERGEFORMAT </w:instrText>
    </w:r>
    <w:r w:rsidRPr="004D7D78">
      <w:rPr>
        <w:b/>
        <w:sz w:val="18"/>
      </w:rPr>
      <w:fldChar w:fldCharType="separate"/>
    </w:r>
    <w:r w:rsidRPr="004D7D78">
      <w:rPr>
        <w:b/>
        <w:noProof/>
        <w:sz w:val="18"/>
      </w:rPr>
      <w:t>2</w:t>
    </w:r>
    <w:r w:rsidRPr="004D7D78">
      <w:rPr>
        <w:b/>
        <w:sz w:val="18"/>
      </w:rPr>
      <w:fldChar w:fldCharType="end"/>
    </w:r>
    <w:r>
      <w:rPr>
        <w:b/>
        <w:sz w:val="18"/>
      </w:rPr>
      <w:tab/>
    </w:r>
    <w:r>
      <w:t>GE.21-16983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0380C" w14:textId="1A3C75C0" w:rsidR="004D7D78" w:rsidRPr="004D7D78" w:rsidRDefault="004D7D78" w:rsidP="004D7D78">
    <w:pPr>
      <w:pStyle w:val="Pieddepage"/>
      <w:tabs>
        <w:tab w:val="right" w:pos="9638"/>
      </w:tabs>
      <w:rPr>
        <w:b/>
        <w:sz w:val="18"/>
      </w:rPr>
    </w:pPr>
    <w:r>
      <w:t>GE.21-16983</w:t>
    </w:r>
    <w:r>
      <w:tab/>
    </w:r>
    <w:r w:rsidRPr="004D7D78">
      <w:rPr>
        <w:b/>
        <w:sz w:val="18"/>
      </w:rPr>
      <w:fldChar w:fldCharType="begin"/>
    </w:r>
    <w:r w:rsidRPr="004D7D78">
      <w:rPr>
        <w:b/>
        <w:sz w:val="18"/>
      </w:rPr>
      <w:instrText xml:space="preserve"> PAGE  \* MERGEFORMAT </w:instrText>
    </w:r>
    <w:r w:rsidRPr="004D7D78">
      <w:rPr>
        <w:b/>
        <w:sz w:val="18"/>
      </w:rPr>
      <w:fldChar w:fldCharType="separate"/>
    </w:r>
    <w:r w:rsidRPr="004D7D78">
      <w:rPr>
        <w:b/>
        <w:noProof/>
        <w:sz w:val="18"/>
      </w:rPr>
      <w:t>3</w:t>
    </w:r>
    <w:r w:rsidRPr="004D7D7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AB2C6" w14:textId="6ED1B6E0" w:rsidR="007F20FA" w:rsidRPr="004D7D78" w:rsidRDefault="004D7D78" w:rsidP="004D7D7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A39D104" wp14:editId="464630E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21-16983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7A98893" wp14:editId="49A8E24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101221    101221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054D1" w14:textId="77777777" w:rsidR="00F54F1D" w:rsidRPr="00AC3823" w:rsidRDefault="00F54F1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EA4CAB" w14:textId="77777777" w:rsidR="00F54F1D" w:rsidRPr="00AC3823" w:rsidRDefault="00F54F1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E27CB8" w14:textId="77777777" w:rsidR="00F54F1D" w:rsidRPr="00AC3823" w:rsidRDefault="00F54F1D">
      <w:pPr>
        <w:spacing w:line="240" w:lineRule="auto"/>
        <w:rPr>
          <w:sz w:val="2"/>
          <w:szCs w:val="2"/>
        </w:rPr>
      </w:pPr>
    </w:p>
  </w:footnote>
  <w:footnote w:id="2">
    <w:p w14:paraId="34D5F908" w14:textId="127FE290" w:rsidR="004D7D78" w:rsidRPr="007E464F" w:rsidRDefault="004D7D78" w:rsidP="004D7D78">
      <w:pPr>
        <w:pStyle w:val="Notedebasdepage"/>
      </w:pPr>
      <w:r w:rsidRPr="004D7D78">
        <w:rPr>
          <w:sz w:val="20"/>
          <w:lang w:val="fr-FR"/>
        </w:rPr>
        <w:tab/>
        <w:t>*</w:t>
      </w:r>
      <w:r w:rsidRPr="004D7D78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</w:t>
      </w:r>
      <w:r>
        <w:rPr>
          <w:lang w:val="fr-FR"/>
        </w:rPr>
        <w:t> </w:t>
      </w:r>
      <w:r>
        <w:rPr>
          <w:lang w:val="fr-FR"/>
        </w:rPr>
        <w:t>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0FBF78C2" w14:textId="77777777" w:rsidR="004D7D78" w:rsidRPr="00E83BAA" w:rsidRDefault="004D7D78" w:rsidP="004D7D78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6DBB5" w14:textId="384C30FC" w:rsidR="004D7D78" w:rsidRPr="004D7D78" w:rsidRDefault="004D7D78">
    <w:pPr>
      <w:pStyle w:val="En-tte"/>
    </w:pPr>
    <w:fldSimple w:instr=" TITLE  \* MERGEFORMAT ">
      <w:r w:rsidR="00ED651E">
        <w:t>ECE/TRANS/WP.29/GRBP/2022/6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A84E1" w14:textId="4419C013" w:rsidR="004D7D78" w:rsidRPr="004D7D78" w:rsidRDefault="004D7D78" w:rsidP="004D7D78">
    <w:pPr>
      <w:pStyle w:val="En-tte"/>
      <w:jc w:val="right"/>
    </w:pPr>
    <w:fldSimple w:instr=" TITLE  \* MERGEFORMAT ">
      <w:r w:rsidR="00ED651E">
        <w:t>ECE/TRANS/WP.29/GRBP/2022/6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1D"/>
    <w:rsid w:val="00017F94"/>
    <w:rsid w:val="00023842"/>
    <w:rsid w:val="000334F9"/>
    <w:rsid w:val="00045FEB"/>
    <w:rsid w:val="0007796D"/>
    <w:rsid w:val="000969C4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D7D7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093D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2763A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651E"/>
    <w:rsid w:val="00ED7237"/>
    <w:rsid w:val="00EF2E22"/>
    <w:rsid w:val="00F35BAF"/>
    <w:rsid w:val="00F54F1D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9532F3"/>
  <w15:docId w15:val="{CBDEBBD1-A5CD-41B4-B225-F737A6C7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ußnotentext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ußnotentext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Normal"/>
    <w:link w:val="paraChar"/>
    <w:qFormat/>
    <w:rsid w:val="004D7D78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lang w:val="en-GB"/>
    </w:rPr>
  </w:style>
  <w:style w:type="character" w:customStyle="1" w:styleId="paraChar">
    <w:name w:val="para Char"/>
    <w:link w:val="para"/>
    <w:rsid w:val="004D7D78"/>
    <w:rPr>
      <w:rFonts w:ascii="Times New Roman" w:hAnsi="Times New Roman" w:cs="Times New Roman"/>
      <w:sz w:val="20"/>
      <w:szCs w:val="20"/>
      <w:lang w:val="en-GB" w:eastAsia="en-US"/>
    </w:rPr>
  </w:style>
  <w:style w:type="paragraph" w:styleId="Paragraphedeliste">
    <w:name w:val="List Paragraph"/>
    <w:basedOn w:val="Normal"/>
    <w:uiPriority w:val="34"/>
    <w:qFormat/>
    <w:rsid w:val="004D7D78"/>
    <w:pPr>
      <w:kinsoku/>
      <w:overflowPunct/>
      <w:autoSpaceDE/>
      <w:autoSpaceDN/>
      <w:adjustRightInd/>
      <w:snapToGrid/>
      <w:ind w:left="708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345</Words>
  <Characters>2415</Characters>
  <Application>Microsoft Office Word</Application>
  <DocSecurity>0</DocSecurity>
  <Lines>201</Lines>
  <Paragraphs>110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ECE/TRANS/WP.29/GRBP/2022/6</vt:lpstr>
    </vt:vector>
  </TitlesOfParts>
  <Company>DCM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ECE/TRANS/WP.29/GRBP/2022/6</dc:title>
  <dc:subject/>
  <dc:creator>Maud DARICHE</dc:creator>
  <cp:keywords/>
  <cp:lastModifiedBy>Maud Dariche</cp:lastModifiedBy>
  <cp:revision>3</cp:revision>
  <cp:lastPrinted>2021-12-10T10:58:00Z</cp:lastPrinted>
  <dcterms:created xsi:type="dcterms:W3CDTF">2021-12-10T10:58:00Z</dcterms:created>
  <dcterms:modified xsi:type="dcterms:W3CDTF">2021-12-10T10:58:00Z</dcterms:modified>
</cp:coreProperties>
</file>