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B33FE14" w14:textId="77777777" w:rsidTr="00B20551">
        <w:trPr>
          <w:cantSplit/>
          <w:trHeight w:hRule="exact" w:val="851"/>
        </w:trPr>
        <w:tc>
          <w:tcPr>
            <w:tcW w:w="1276" w:type="dxa"/>
            <w:tcBorders>
              <w:bottom w:val="single" w:sz="4" w:space="0" w:color="auto"/>
            </w:tcBorders>
            <w:vAlign w:val="bottom"/>
          </w:tcPr>
          <w:p w14:paraId="59B10896" w14:textId="77777777" w:rsidR="009E6CB7" w:rsidRDefault="009E6CB7" w:rsidP="00B20551">
            <w:pPr>
              <w:spacing w:after="80"/>
            </w:pPr>
          </w:p>
        </w:tc>
        <w:tc>
          <w:tcPr>
            <w:tcW w:w="2268" w:type="dxa"/>
            <w:tcBorders>
              <w:bottom w:val="single" w:sz="4" w:space="0" w:color="auto"/>
            </w:tcBorders>
            <w:vAlign w:val="bottom"/>
          </w:tcPr>
          <w:p w14:paraId="77A3389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BEA104" w14:textId="038E662E" w:rsidR="009E6CB7" w:rsidRPr="00D47EEA" w:rsidRDefault="00A20E09" w:rsidP="00A20E09">
            <w:pPr>
              <w:jc w:val="right"/>
            </w:pPr>
            <w:r w:rsidRPr="00A20E09">
              <w:rPr>
                <w:sz w:val="40"/>
              </w:rPr>
              <w:t>ECE</w:t>
            </w:r>
            <w:r>
              <w:t>/TRANS/WP.15/AC</w:t>
            </w:r>
            <w:r w:rsidR="005A7F3F">
              <w:t>.</w:t>
            </w:r>
            <w:r>
              <w:t>1/2022/7</w:t>
            </w:r>
          </w:p>
        </w:tc>
      </w:tr>
      <w:tr w:rsidR="009E6CB7" w14:paraId="6271489A" w14:textId="77777777" w:rsidTr="00B20551">
        <w:trPr>
          <w:cantSplit/>
          <w:trHeight w:hRule="exact" w:val="2835"/>
        </w:trPr>
        <w:tc>
          <w:tcPr>
            <w:tcW w:w="1276" w:type="dxa"/>
            <w:tcBorders>
              <w:top w:val="single" w:sz="4" w:space="0" w:color="auto"/>
              <w:bottom w:val="single" w:sz="12" w:space="0" w:color="auto"/>
            </w:tcBorders>
          </w:tcPr>
          <w:p w14:paraId="44A7271F" w14:textId="77777777" w:rsidR="009E6CB7" w:rsidRDefault="00686A48" w:rsidP="00B20551">
            <w:pPr>
              <w:spacing w:before="120"/>
            </w:pPr>
            <w:r>
              <w:rPr>
                <w:noProof/>
                <w:lang w:val="de-DE" w:eastAsia="de-DE"/>
              </w:rPr>
              <w:drawing>
                <wp:inline distT="0" distB="0" distL="0" distR="0" wp14:anchorId="76481A98" wp14:editId="4731421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94B2C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9C53053" w14:textId="77777777" w:rsidR="009E6CB7" w:rsidRDefault="00A20E09" w:rsidP="00A20E09">
            <w:pPr>
              <w:spacing w:before="240" w:line="240" w:lineRule="exact"/>
            </w:pPr>
            <w:r>
              <w:t>Distr.: General</w:t>
            </w:r>
          </w:p>
          <w:p w14:paraId="7AB14B1B" w14:textId="6A4EE69D" w:rsidR="00A20E09" w:rsidRDefault="007E5120" w:rsidP="00A20E09">
            <w:pPr>
              <w:spacing w:line="240" w:lineRule="exact"/>
            </w:pPr>
            <w:r>
              <w:t>20</w:t>
            </w:r>
            <w:r w:rsidR="00A20E09">
              <w:t xml:space="preserve"> December 202</w:t>
            </w:r>
            <w:r w:rsidR="00A078E1">
              <w:t>1</w:t>
            </w:r>
          </w:p>
          <w:p w14:paraId="26A7E31E" w14:textId="77777777" w:rsidR="00A20E09" w:rsidRDefault="00A20E09" w:rsidP="00A20E09">
            <w:pPr>
              <w:spacing w:line="240" w:lineRule="exact"/>
            </w:pPr>
          </w:p>
          <w:p w14:paraId="729BEA1D" w14:textId="11C0BAC3" w:rsidR="00A20E09" w:rsidRDefault="00A20E09" w:rsidP="00A20E09">
            <w:pPr>
              <w:spacing w:line="240" w:lineRule="exact"/>
            </w:pPr>
            <w:r>
              <w:t>Original: English</w:t>
            </w:r>
          </w:p>
        </w:tc>
      </w:tr>
    </w:tbl>
    <w:p w14:paraId="293BF73E" w14:textId="77777777" w:rsidR="008D5A6F" w:rsidRDefault="008D5A6F" w:rsidP="008D5A6F">
      <w:pPr>
        <w:spacing w:before="120"/>
        <w:rPr>
          <w:b/>
          <w:sz w:val="28"/>
          <w:szCs w:val="28"/>
        </w:rPr>
      </w:pPr>
      <w:r>
        <w:rPr>
          <w:b/>
          <w:sz w:val="28"/>
          <w:szCs w:val="28"/>
        </w:rPr>
        <w:t>Economic Commission for Europe</w:t>
      </w:r>
    </w:p>
    <w:p w14:paraId="7C88BBB1" w14:textId="77777777" w:rsidR="008D5A6F" w:rsidRDefault="008D5A6F" w:rsidP="008D5A6F">
      <w:pPr>
        <w:spacing w:before="120"/>
        <w:rPr>
          <w:sz w:val="28"/>
          <w:szCs w:val="28"/>
        </w:rPr>
      </w:pPr>
      <w:r>
        <w:rPr>
          <w:sz w:val="28"/>
          <w:szCs w:val="28"/>
        </w:rPr>
        <w:t>Inland Transport Committee</w:t>
      </w:r>
    </w:p>
    <w:p w14:paraId="24958205" w14:textId="77777777" w:rsidR="008D5A6F" w:rsidRDefault="008D5A6F" w:rsidP="008D5A6F">
      <w:pPr>
        <w:spacing w:before="120" w:after="120"/>
        <w:rPr>
          <w:b/>
          <w:sz w:val="24"/>
          <w:szCs w:val="24"/>
        </w:rPr>
      </w:pPr>
      <w:r>
        <w:rPr>
          <w:b/>
          <w:sz w:val="24"/>
          <w:szCs w:val="24"/>
        </w:rPr>
        <w:t>Working Party on the Transport of Dangerous Goods</w:t>
      </w:r>
    </w:p>
    <w:p w14:paraId="16A9B217" w14:textId="77777777" w:rsidR="008D5A6F" w:rsidRDefault="008D5A6F" w:rsidP="008D5A6F">
      <w:pPr>
        <w:rPr>
          <w:b/>
          <w:bCs/>
        </w:rPr>
      </w:pPr>
      <w:r>
        <w:rPr>
          <w:b/>
          <w:bCs/>
        </w:rPr>
        <w:t>Joint Meeting of the RID Committee of Experts and the</w:t>
      </w:r>
      <w:r>
        <w:rPr>
          <w:b/>
          <w:bCs/>
        </w:rPr>
        <w:br/>
        <w:t>Working Party on the Transport of Dangerous Goods</w:t>
      </w:r>
    </w:p>
    <w:p w14:paraId="0721DFA5" w14:textId="77777777" w:rsidR="008D5A6F" w:rsidRDefault="008D5A6F" w:rsidP="008D5A6F">
      <w:r>
        <w:t>Bern, 14–18 March 2022</w:t>
      </w:r>
    </w:p>
    <w:p w14:paraId="398D74C4" w14:textId="77777777" w:rsidR="008D5A6F" w:rsidRDefault="008D5A6F" w:rsidP="008D5A6F">
      <w:r>
        <w:t>Item 2 of the provisional agenda</w:t>
      </w:r>
    </w:p>
    <w:p w14:paraId="02C5430C" w14:textId="77777777" w:rsidR="008D5A6F" w:rsidRDefault="008D5A6F" w:rsidP="008D5A6F">
      <w:pPr>
        <w:rPr>
          <w:b/>
          <w:bCs/>
        </w:rPr>
      </w:pPr>
      <w:r>
        <w:rPr>
          <w:b/>
          <w:bCs/>
        </w:rPr>
        <w:t>Tanks</w:t>
      </w:r>
    </w:p>
    <w:p w14:paraId="3055A5AD" w14:textId="77777777" w:rsidR="00E25753" w:rsidRDefault="00B705C5" w:rsidP="00E25753">
      <w:pPr>
        <w:pStyle w:val="HChG"/>
        <w:rPr>
          <w:lang w:val="en-US"/>
        </w:rPr>
      </w:pPr>
      <w:r>
        <w:tab/>
      </w:r>
      <w:r>
        <w:tab/>
      </w:r>
      <w:r w:rsidR="00E25753">
        <w:rPr>
          <w:lang w:val="en-US"/>
        </w:rPr>
        <w:t>Definition of “extra-large tank-containers”</w:t>
      </w:r>
      <w:r w:rsidR="00E25753">
        <w:t xml:space="preserve"> and con</w:t>
      </w:r>
      <w:r w:rsidR="00E25753">
        <w:rPr>
          <w:lang w:val="en-US"/>
        </w:rPr>
        <w:t>sequential amendments</w:t>
      </w:r>
    </w:p>
    <w:p w14:paraId="66B6130C" w14:textId="36BEEEAE" w:rsidR="00E25753" w:rsidRDefault="00E25753" w:rsidP="00936562">
      <w:pPr>
        <w:tabs>
          <w:tab w:val="left" w:pos="567"/>
        </w:tabs>
        <w:suppressAutoHyphens w:val="0"/>
        <w:spacing w:line="240" w:lineRule="auto"/>
        <w:ind w:left="1134" w:right="1134" w:hanging="1134"/>
        <w:rPr>
          <w:sz w:val="24"/>
          <w:szCs w:val="24"/>
          <w:lang w:eastAsia="zh-CN"/>
        </w:rPr>
      </w:pPr>
      <w:r>
        <w:rPr>
          <w:lang w:val="en-US"/>
        </w:rPr>
        <w:tab/>
      </w:r>
      <w:r>
        <w:rPr>
          <w:lang w:val="en-US"/>
        </w:rPr>
        <w:tab/>
      </w:r>
      <w:r w:rsidRPr="00E25753">
        <w:rPr>
          <w:rStyle w:val="H1GChar"/>
        </w:rPr>
        <w:t>Transmitted by</w:t>
      </w:r>
      <w:r w:rsidR="00907496">
        <w:rPr>
          <w:rStyle w:val="H1GChar"/>
        </w:rPr>
        <w:t xml:space="preserve"> the </w:t>
      </w:r>
      <w:r w:rsidR="00907496" w:rsidRPr="00907496">
        <w:rPr>
          <w:rStyle w:val="H1GChar"/>
        </w:rPr>
        <w:t xml:space="preserve">European Chemical Industry Council </w:t>
      </w:r>
      <w:r w:rsidR="00907496">
        <w:rPr>
          <w:rStyle w:val="H1GChar"/>
        </w:rPr>
        <w:t>(</w:t>
      </w:r>
      <w:r w:rsidRPr="00E25753">
        <w:rPr>
          <w:rStyle w:val="H1GChar"/>
        </w:rPr>
        <w:t>C</w:t>
      </w:r>
      <w:r w:rsidR="005B235D">
        <w:rPr>
          <w:rStyle w:val="H1GChar"/>
        </w:rPr>
        <w:t>efic</w:t>
      </w:r>
      <w:r w:rsidR="00907496">
        <w:rPr>
          <w:rStyle w:val="H1GChar"/>
        </w:rPr>
        <w:t>)</w:t>
      </w:r>
      <w:r w:rsidRPr="00E25753">
        <w:rPr>
          <w:rStyle w:val="H1GChar"/>
        </w:rPr>
        <w:t xml:space="preserve"> and </w:t>
      </w:r>
      <w:r w:rsidR="00936562">
        <w:rPr>
          <w:rStyle w:val="H1GChar"/>
        </w:rPr>
        <w:t xml:space="preserve">the </w:t>
      </w:r>
      <w:r w:rsidR="00936562" w:rsidRPr="00936562">
        <w:rPr>
          <w:rStyle w:val="H1GChar"/>
        </w:rPr>
        <w:t xml:space="preserve">International Union of Wagon Keepers </w:t>
      </w:r>
      <w:r w:rsidRPr="00E25753">
        <w:rPr>
          <w:rStyle w:val="H1GChar"/>
        </w:rPr>
        <w:t>UIP</w:t>
      </w:r>
      <w:r w:rsidRPr="003B0B50">
        <w:rPr>
          <w:rStyle w:val="FootnoteReference"/>
          <w:b/>
          <w:bCs/>
          <w:sz w:val="20"/>
        </w:rPr>
        <w:footnoteReference w:customMarkFollows="1" w:id="2"/>
        <w:t>*</w:t>
      </w:r>
      <w:r w:rsidRPr="003B0B50">
        <w:rPr>
          <w:b/>
          <w:bCs/>
          <w:vertAlign w:val="superscript"/>
        </w:rPr>
        <w:t xml:space="preserve">, </w:t>
      </w:r>
      <w:r w:rsidRPr="003B0B50">
        <w:rPr>
          <w:rStyle w:val="FootnoteReference"/>
          <w:b/>
          <w:bCs/>
          <w:sz w:val="20"/>
        </w:rPr>
        <w:footnoteReference w:customMarkFollows="1" w:id="3"/>
        <w:t>**</w:t>
      </w:r>
      <w:r w:rsidRPr="003B0B50">
        <w:rPr>
          <w:b/>
          <w:bCs/>
          <w:vertAlign w:val="superscript"/>
        </w:rPr>
        <w:t>,</w:t>
      </w:r>
      <w:r w:rsidRPr="003B0B50">
        <w:rPr>
          <w:b/>
          <w:bCs/>
        </w:rPr>
        <w:t xml:space="preserve"> </w:t>
      </w:r>
      <w:r w:rsidRPr="003B0B50">
        <w:rPr>
          <w:rStyle w:val="FootnoteReference"/>
          <w:b/>
          <w:bCs/>
          <w:sz w:val="20"/>
        </w:rPr>
        <w:footnoteReference w:customMarkFollows="1" w:id="4"/>
        <w:sym w:font="Symbol" w:char="F02A"/>
      </w:r>
      <w:r w:rsidRPr="003B0B50">
        <w:rPr>
          <w:rStyle w:val="FootnoteReference"/>
          <w:b/>
          <w:bCs/>
          <w:sz w:val="20"/>
        </w:rPr>
        <w:sym w:font="Symbol" w:char="F02A"/>
      </w:r>
      <w:r w:rsidRPr="003B0B50">
        <w:rPr>
          <w:rStyle w:val="FootnoteReference"/>
          <w:b/>
          <w:bCs/>
          <w:sz w:val="20"/>
        </w:rPr>
        <w:sym w:font="Symbol" w:char="F02A"/>
      </w:r>
      <w:r>
        <w:rPr>
          <w:sz w:val="24"/>
          <w:szCs w:val="24"/>
          <w:lang w:eastAsia="zh-CN"/>
        </w:rPr>
        <w:t xml:space="preserve"> </w:t>
      </w:r>
    </w:p>
    <w:p w14:paraId="7FB6EEE1" w14:textId="77777777" w:rsidR="00DA0038" w:rsidRDefault="00DA0038" w:rsidP="00DA0038">
      <w:pPr>
        <w:pStyle w:val="HChG"/>
      </w:pPr>
      <w:r>
        <w:tab/>
      </w:r>
      <w:r>
        <w:tab/>
        <w:t>Introduction</w:t>
      </w:r>
    </w:p>
    <w:p w14:paraId="27F7190A" w14:textId="32E142DD" w:rsidR="00E25753" w:rsidRDefault="00E25753" w:rsidP="00E25753">
      <w:pPr>
        <w:pStyle w:val="SingleTxtG"/>
      </w:pPr>
      <w:r>
        <w:t>1.</w:t>
      </w:r>
      <w:r>
        <w:tab/>
        <w:t>At its March 2021</w:t>
      </w:r>
      <w:r w:rsidR="00FD30D9">
        <w:t xml:space="preserve"> session</w:t>
      </w:r>
      <w:r>
        <w:t xml:space="preserve">, the Joint Meeting already discussed some points in relation </w:t>
      </w:r>
      <w:r w:rsidR="00857D96">
        <w:t>with</w:t>
      </w:r>
      <w:r>
        <w:t xml:space="preserve"> the general item on “extra-large tank-containers”. </w:t>
      </w:r>
      <w:r w:rsidR="00857D96">
        <w:t>On</w:t>
      </w:r>
      <w:r>
        <w:t xml:space="preserve"> openings, it was proposed to include </w:t>
      </w:r>
      <w:r w:rsidR="009F57F9">
        <w:t xml:space="preserve">a </w:t>
      </w:r>
      <w:r>
        <w:t>new wording in the right-hand column of RID/ADR 6.8.2.2.4, (see document ECE/TRANS/WP.15/AC.1/2022/2 of the OTIF Secretariat).</w:t>
      </w:r>
      <w:bookmarkStart w:id="0" w:name="_Hlk88832258"/>
    </w:p>
    <w:bookmarkEnd w:id="0"/>
    <w:p w14:paraId="4D884C4E" w14:textId="28967948" w:rsidR="00E25753" w:rsidRDefault="00E25753" w:rsidP="00E25753">
      <w:pPr>
        <w:pStyle w:val="SingleTxtG"/>
      </w:pPr>
      <w:r>
        <w:t>2.</w:t>
      </w:r>
      <w:r>
        <w:tab/>
        <w:t>However, some questions, such as the definition of such tank-containers, were deferred for further discussion at the RID Committee of Experts' standing working group, where C</w:t>
      </w:r>
      <w:r w:rsidR="005B235D">
        <w:t>efic</w:t>
      </w:r>
      <w:r>
        <w:t xml:space="preserve"> and UIP proposed a definition of extra-large tank</w:t>
      </w:r>
      <w:r w:rsidR="00C306D1">
        <w:t>-</w:t>
      </w:r>
      <w:r>
        <w:t>containers and, as another consequential amendment, the implementation of a minimum wall thickness of the shell of 4.5 mm, as is currently required for tank-wagons.</w:t>
      </w:r>
    </w:p>
    <w:p w14:paraId="00E4249B" w14:textId="2EA8907B" w:rsidR="00E25753" w:rsidRDefault="00E25753" w:rsidP="00E25753">
      <w:pPr>
        <w:pStyle w:val="SingleTxtG"/>
      </w:pPr>
      <w:r>
        <w:t>3.</w:t>
      </w:r>
      <w:r>
        <w:tab/>
        <w:t xml:space="preserve">As a result of that discussion and in line with the report of the </w:t>
      </w:r>
      <w:r w:rsidR="002A039C">
        <w:t>thi</w:t>
      </w:r>
      <w:r w:rsidR="00034C54">
        <w:t>r</w:t>
      </w:r>
      <w:r w:rsidR="002A039C">
        <w:t>teenth</w:t>
      </w:r>
      <w:r>
        <w:t xml:space="preserve"> session of the RID Committee of Experts' standing working group (document OTIF/RID/CE/GTP/2021-A), C</w:t>
      </w:r>
      <w:r w:rsidR="00034C54">
        <w:t>ef</w:t>
      </w:r>
      <w:r w:rsidR="00270345">
        <w:t>i</w:t>
      </w:r>
      <w:r w:rsidR="00034C54">
        <w:t>c</w:t>
      </w:r>
      <w:r>
        <w:t xml:space="preserve"> and UIP would like to make the following proposals.</w:t>
      </w:r>
    </w:p>
    <w:p w14:paraId="4B5D00BC" w14:textId="197B951F" w:rsidR="00DA0038" w:rsidRDefault="00DA0038" w:rsidP="00DA0038">
      <w:pPr>
        <w:pStyle w:val="HChG"/>
      </w:pPr>
      <w:r>
        <w:tab/>
      </w:r>
      <w:r>
        <w:tab/>
        <w:t>Proposal</w:t>
      </w:r>
      <w:r w:rsidR="00034C54">
        <w:t>s</w:t>
      </w:r>
    </w:p>
    <w:p w14:paraId="664999AF" w14:textId="0C552650" w:rsidR="00E25753" w:rsidRDefault="00E25753" w:rsidP="00E25753">
      <w:pPr>
        <w:pStyle w:val="SingleTxtG"/>
      </w:pPr>
      <w:r>
        <w:t>4.</w:t>
      </w:r>
      <w:r>
        <w:tab/>
        <w:t>Include a new definition in 1.2.1 under the term “container”:</w:t>
      </w:r>
    </w:p>
    <w:p w14:paraId="13E424E7" w14:textId="39AB7027" w:rsidR="00E25753" w:rsidRDefault="00B11EF3" w:rsidP="00EB45A3">
      <w:pPr>
        <w:pStyle w:val="SingleTxtG"/>
        <w:rPr>
          <w:b/>
          <w:bCs/>
        </w:rPr>
      </w:pPr>
      <w:r>
        <w:t>“</w:t>
      </w:r>
      <w:r w:rsidR="00E25753">
        <w:rPr>
          <w:b/>
          <w:bCs/>
          <w:i/>
        </w:rPr>
        <w:t>"Extra-large tank-container (BTC)"</w:t>
      </w:r>
      <w:r w:rsidR="00E25753">
        <w:rPr>
          <w:bCs/>
        </w:rPr>
        <w:t xml:space="preserve"> means a tank-container with a volume of more than 40,000 l</w:t>
      </w:r>
      <w:r w:rsidR="0068332F">
        <w:rPr>
          <w:bCs/>
        </w:rPr>
        <w:t>itres</w:t>
      </w:r>
      <w:r w:rsidR="00E25753">
        <w:rPr>
          <w:bCs/>
        </w:rPr>
        <w:t xml:space="preserve"> that is mainly used for rail transport due to its size and gross mass.</w:t>
      </w:r>
      <w:r w:rsidR="00E25753">
        <w:t>”</w:t>
      </w:r>
    </w:p>
    <w:p w14:paraId="32687E6C" w14:textId="4F1018F4" w:rsidR="00E25753" w:rsidRDefault="00E25753" w:rsidP="00E25753">
      <w:pPr>
        <w:pStyle w:val="SingleTxtG"/>
      </w:pPr>
      <w:r>
        <w:lastRenderedPageBreak/>
        <w:t>5.</w:t>
      </w:r>
      <w:r>
        <w:tab/>
      </w:r>
      <w:r w:rsidR="00B11EF3">
        <w:t xml:space="preserve">In </w:t>
      </w:r>
      <w:r w:rsidRPr="00E033D7">
        <w:rPr>
          <w:bCs/>
        </w:rPr>
        <w:t>6.8.2.1.18</w:t>
      </w:r>
      <w:r w:rsidR="00325C5E">
        <w:t xml:space="preserve"> i</w:t>
      </w:r>
      <w:r>
        <w:t>n the right hand-column, amend the third sub-paragraph to read as follows (new text in bold):</w:t>
      </w:r>
    </w:p>
    <w:p w14:paraId="6DC6BA2A" w14:textId="338B6E42" w:rsidR="00E25753" w:rsidRDefault="00C559B8" w:rsidP="00C559B8">
      <w:pPr>
        <w:pStyle w:val="SingleTxtG"/>
        <w:rPr>
          <w:b/>
          <w:bCs/>
        </w:rPr>
      </w:pPr>
      <w:r>
        <w:t>“</w:t>
      </w:r>
      <w:r w:rsidR="00E25753">
        <w:t xml:space="preserve">Whatever the metal used, the shell thickness shall in no case be less than 3 mm </w:t>
      </w:r>
      <w:r w:rsidR="00E25753">
        <w:rPr>
          <w:b/>
          <w:bCs/>
        </w:rPr>
        <w:t>or 4.5 mm if the tank is an extra-large tank-container</w:t>
      </w:r>
      <w:r w:rsidR="00E25753">
        <w:rPr>
          <w:bCs/>
        </w:rPr>
        <w:t xml:space="preserve"> </w:t>
      </w:r>
      <w:r w:rsidR="00E25753">
        <w:rPr>
          <w:b/>
          <w:bCs/>
        </w:rPr>
        <w:t>(BTC)</w:t>
      </w:r>
      <w:r w:rsidR="00E25753">
        <w:rPr>
          <w:bCs/>
        </w:rPr>
        <w:t>”.</w:t>
      </w:r>
    </w:p>
    <w:p w14:paraId="7D3DC25E" w14:textId="77777777" w:rsidR="00E25753" w:rsidRDefault="00E25753" w:rsidP="00E25753">
      <w:pPr>
        <w:pStyle w:val="SingleTxtG"/>
      </w:pPr>
      <w:r>
        <w:tab/>
        <w:t>6.</w:t>
      </w:r>
      <w:r>
        <w:tab/>
        <w:t>Other amendments, e.g. in 6.8.2.1.19, are not proposed, as this reduction to 3.0 mm is based on additional protection as specified in 6.8.2.1.20, whereas the reduction is only allowed if the protecting mechanism provides protection proportional to the thickness initially required.</w:t>
      </w:r>
    </w:p>
    <w:p w14:paraId="45569658" w14:textId="3DD9F8DB" w:rsidR="00E25753" w:rsidRDefault="00E25753" w:rsidP="00E25753">
      <w:pPr>
        <w:pStyle w:val="SingleTxtG"/>
      </w:pPr>
      <w:r>
        <w:rPr>
          <w:lang w:val="en-US"/>
        </w:rPr>
        <w:t>7.</w:t>
      </w:r>
      <w:r>
        <w:rPr>
          <w:lang w:val="en-US"/>
        </w:rPr>
        <w:tab/>
      </w:r>
      <w:r w:rsidR="008F0464">
        <w:rPr>
          <w:lang w:val="en-US"/>
        </w:rPr>
        <w:t xml:space="preserve">In </w:t>
      </w:r>
      <w:r w:rsidRPr="00E033D7">
        <w:rPr>
          <w:bCs/>
        </w:rPr>
        <w:t>1.6.4</w:t>
      </w:r>
      <w:r w:rsidR="00ED1D6E">
        <w:rPr>
          <w:bCs/>
        </w:rPr>
        <w:t>,</w:t>
      </w:r>
      <w:r w:rsidR="006722FA" w:rsidRPr="00E033D7">
        <w:rPr>
          <w:bCs/>
        </w:rPr>
        <w:t xml:space="preserve"> i</w:t>
      </w:r>
      <w:r w:rsidRPr="00E033D7">
        <w:rPr>
          <w:bCs/>
        </w:rPr>
        <w:t>nsert a new transitional measure 1.6.4.62</w:t>
      </w:r>
      <w:r>
        <w:t xml:space="preserve"> to read as follows:</w:t>
      </w:r>
    </w:p>
    <w:p w14:paraId="25D29419" w14:textId="0519028F" w:rsidR="00E25753" w:rsidRDefault="00C559B8" w:rsidP="00E25753">
      <w:pPr>
        <w:pStyle w:val="SingleTxtG"/>
      </w:pPr>
      <w:r>
        <w:t>“</w:t>
      </w:r>
      <w:r w:rsidR="00E25753">
        <w:rPr>
          <w:b/>
        </w:rPr>
        <w:t>1.6.4.62</w:t>
      </w:r>
      <w:r w:rsidR="00E25753">
        <w:rPr>
          <w:b/>
        </w:rPr>
        <w:tab/>
      </w:r>
      <w:r w:rsidR="00E25753" w:rsidRPr="009063B2">
        <w:rPr>
          <w:b/>
        </w:rPr>
        <w:t>Extra-large tank-containers constructed before 1 July 2023 in accordance with the requirements in force up to 31 December 2022, but which do not conform to the requirements of 6.8.2.1.18 regarding the thickness of the shell, applicable as from 1</w:t>
      </w:r>
      <w:r w:rsidR="00052AC2">
        <w:rPr>
          <w:b/>
        </w:rPr>
        <w:t> </w:t>
      </w:r>
      <w:r w:rsidR="00E25753" w:rsidRPr="009063B2">
        <w:rPr>
          <w:b/>
        </w:rPr>
        <w:t>January 2023, may still be used.</w:t>
      </w:r>
      <w:r>
        <w:t>”</w:t>
      </w:r>
    </w:p>
    <w:p w14:paraId="1A884CAA" w14:textId="77777777" w:rsidR="00E25753" w:rsidRDefault="00E25753" w:rsidP="00E25753"/>
    <w:p w14:paraId="79F1D777" w14:textId="77777777" w:rsidR="00E25753" w:rsidRDefault="00E25753" w:rsidP="00E25753">
      <w:pPr>
        <w:suppressAutoHyphens w:val="0"/>
        <w:spacing w:line="240" w:lineRule="auto"/>
      </w:pPr>
      <w:r>
        <w:br w:type="page"/>
      </w:r>
    </w:p>
    <w:p w14:paraId="4DE3FBE5" w14:textId="0054141F" w:rsidR="00E25753" w:rsidRDefault="00C559B8" w:rsidP="00C559B8">
      <w:pPr>
        <w:pStyle w:val="HChG"/>
      </w:pPr>
      <w:r>
        <w:lastRenderedPageBreak/>
        <w:tab/>
      </w:r>
      <w:r>
        <w:tab/>
      </w:r>
      <w:r w:rsidR="00E25753">
        <w:t>Annex</w:t>
      </w:r>
    </w:p>
    <w:p w14:paraId="3C34904C" w14:textId="4619BBA4" w:rsidR="00E25753" w:rsidRDefault="00C559B8" w:rsidP="00C559B8">
      <w:pPr>
        <w:pStyle w:val="H1G"/>
      </w:pPr>
      <w:r>
        <w:tab/>
      </w:r>
      <w:r>
        <w:tab/>
      </w:r>
      <w:r w:rsidR="00E25753">
        <w:t>13</w:t>
      </w:r>
      <w:r w:rsidR="00E25753">
        <w:rPr>
          <w:vertAlign w:val="superscript"/>
        </w:rPr>
        <w:t>th</w:t>
      </w:r>
      <w:r w:rsidR="00E25753">
        <w:t xml:space="preserve"> session of the RID Committee of Experts’ standing working group (Geneva/hybrid, 15 – 18 November 2021)</w:t>
      </w:r>
    </w:p>
    <w:p w14:paraId="479094CB" w14:textId="19B84157" w:rsidR="00E25753" w:rsidRDefault="00C559B8" w:rsidP="00C559B8">
      <w:pPr>
        <w:pStyle w:val="H23G"/>
      </w:pPr>
      <w:r>
        <w:tab/>
      </w:r>
      <w:r>
        <w:tab/>
      </w:r>
      <w:r w:rsidR="00E25753">
        <w:t>Excerpt of report OTIF/RID/CE/GTP/2021-A</w:t>
      </w:r>
    </w:p>
    <w:p w14:paraId="67818AB7" w14:textId="6CA7D3F0" w:rsidR="00E25753" w:rsidRDefault="00C559B8" w:rsidP="00C559B8">
      <w:pPr>
        <w:pStyle w:val="HChG"/>
      </w:pPr>
      <w:r>
        <w:tab/>
      </w:r>
      <w:r>
        <w:tab/>
      </w:r>
      <w:r w:rsidR="00E25753">
        <w:t>B.</w:t>
      </w:r>
      <w:r w:rsidR="00E25753">
        <w:tab/>
        <w:t>New proposals</w:t>
      </w:r>
    </w:p>
    <w:p w14:paraId="545EF94D" w14:textId="77777777" w:rsidR="00E25753" w:rsidRPr="00C559B8" w:rsidRDefault="00E25753" w:rsidP="00C559B8">
      <w:pPr>
        <w:pStyle w:val="SingleTxtG"/>
        <w:rPr>
          <w:u w:val="single"/>
        </w:rPr>
      </w:pPr>
      <w:r w:rsidRPr="00C559B8">
        <w:rPr>
          <w:u w:val="single"/>
        </w:rPr>
        <w:t>Proposals to adapt Chapter 6.8 to take account of extra-large tank-containers</w:t>
      </w:r>
    </w:p>
    <w:p w14:paraId="34F2774E" w14:textId="77777777" w:rsidR="00E25753" w:rsidRDefault="00E25753" w:rsidP="00C559B8">
      <w:pPr>
        <w:spacing w:before="120" w:after="120"/>
        <w:ind w:left="1134"/>
      </w:pPr>
      <w:r>
        <w:rPr>
          <w:i/>
        </w:rPr>
        <w:t>Informal document:</w:t>
      </w:r>
      <w:r>
        <w:tab/>
      </w:r>
      <w:hyperlink r:id="rId12" w:history="1">
        <w:r>
          <w:rPr>
            <w:rStyle w:val="Hyperlink"/>
          </w:rPr>
          <w:t>INF.11</w:t>
        </w:r>
      </w:hyperlink>
      <w:r>
        <w:t xml:space="preserve"> (UIP and Cefic)</w:t>
      </w:r>
    </w:p>
    <w:p w14:paraId="7304F46A" w14:textId="77777777" w:rsidR="00E25753" w:rsidRDefault="00E25753" w:rsidP="00C559B8">
      <w:pPr>
        <w:tabs>
          <w:tab w:val="left" w:pos="567"/>
          <w:tab w:val="left" w:pos="1701"/>
          <w:tab w:val="left" w:pos="2268"/>
        </w:tabs>
        <w:spacing w:before="120" w:after="120"/>
        <w:ind w:left="1134"/>
        <w:rPr>
          <w:i/>
        </w:rPr>
      </w:pPr>
      <w:r>
        <w:rPr>
          <w:i/>
        </w:rPr>
        <w:t>Definition of extra-large tank-containers</w:t>
      </w:r>
    </w:p>
    <w:p w14:paraId="41CF3F24" w14:textId="74F5EC34" w:rsidR="00E25753" w:rsidRDefault="00C559B8" w:rsidP="00C559B8">
      <w:pPr>
        <w:spacing w:before="120" w:after="120"/>
        <w:ind w:left="1134" w:right="1134"/>
        <w:jc w:val="both"/>
        <w:rPr>
          <w:szCs w:val="22"/>
        </w:rPr>
      </w:pPr>
      <w:r>
        <w:tab/>
      </w:r>
      <w:r w:rsidR="00E25753">
        <w:t>24.</w:t>
      </w:r>
      <w:r w:rsidR="00E25753">
        <w:tab/>
      </w:r>
      <w:r w:rsidR="00E25753">
        <w:rPr>
          <w:b/>
        </w:rPr>
        <w:t>The standing working group agreed with the principle of including a definition of extra-large tank-containers, which would provide for a capacity of more than 40,000 litres, in order to distinguish them from ISO tank-containers.</w:t>
      </w:r>
      <w:r w:rsidR="00E25753">
        <w:t xml:space="preserve"> This limit had already been proposed by the International Tank Container Organisation (ITCO) in informal document </w:t>
      </w:r>
      <w:hyperlink r:id="rId13" w:history="1">
        <w:r w:rsidR="00E25753">
          <w:rPr>
            <w:rStyle w:val="Hyperlink"/>
          </w:rPr>
          <w:t>INF.45</w:t>
        </w:r>
      </w:hyperlink>
      <w:r w:rsidR="00E25753">
        <w:t xml:space="preserve"> from the Joint Meeting in September 2020. There was no support for the proposal to call these tank-containers “(liquid) bulk tank-containers” in English and to use the abbreviation “BTC” for them. This abbreviation used by a single chemical company should not appear in the regulations. </w:t>
      </w:r>
      <w:r w:rsidR="00E25753">
        <w:rPr>
          <w:b/>
        </w:rPr>
        <w:t xml:space="preserve">It was agreed to refer to these tank-containers in the respective languages as "extra-large tank-containers" and </w:t>
      </w:r>
      <w:r>
        <w:rPr>
          <w:b/>
        </w:rPr>
        <w:t>“</w:t>
      </w:r>
      <w:r w:rsidR="00E25753">
        <w:rPr>
          <w:b/>
        </w:rPr>
        <w:t>très grands conteneurs-citernes</w:t>
      </w:r>
      <w:r>
        <w:rPr>
          <w:b/>
        </w:rPr>
        <w:t>”</w:t>
      </w:r>
      <w:r w:rsidR="00E25753">
        <w:rPr>
          <w:b/>
        </w:rPr>
        <w:t>.</w:t>
      </w:r>
    </w:p>
    <w:p w14:paraId="51DBC197" w14:textId="77777777" w:rsidR="00E25753" w:rsidRDefault="00E25753" w:rsidP="00C559B8">
      <w:pPr>
        <w:spacing w:before="120" w:after="120"/>
        <w:ind w:left="1134" w:right="1134"/>
        <w:jc w:val="both"/>
        <w:rPr>
          <w:szCs w:val="22"/>
        </w:rPr>
      </w:pPr>
      <w:r>
        <w:t>25.</w:t>
      </w:r>
      <w:r>
        <w:tab/>
      </w:r>
      <w:r>
        <w:rPr>
          <w:b/>
        </w:rPr>
        <w:t>On the basis of these decisions, the standing working group asked the representatives of UIP and Cefic to submit a proposal to the Joint Meeting in March 2022 (deadline: 17 December 2021) so that this definition could be included in the 2023 editions of RID and ADR.</w:t>
      </w:r>
      <w:r>
        <w:t xml:space="preserve"> Like the definition of large container that appears under the definition of container in 1.2.1, this new definition could be inserted under the definition of tank-container. The proposal by UIP and Cefic should also include a transitional measure.</w:t>
      </w:r>
    </w:p>
    <w:p w14:paraId="3C6DC200" w14:textId="77777777" w:rsidR="00E25753" w:rsidRDefault="00E25753" w:rsidP="00C559B8">
      <w:pPr>
        <w:spacing w:before="120" w:after="120"/>
        <w:ind w:left="1134" w:right="1134"/>
        <w:jc w:val="both"/>
        <w:rPr>
          <w:szCs w:val="22"/>
        </w:rPr>
      </w:pPr>
      <w:r>
        <w:t>26.</w:t>
      </w:r>
      <w:r>
        <w:tab/>
        <w:t>The representative of UIC confirmed that this new definition had no impact on the UIC documentation, even though this documentation was based on a limit of 36,000 kg.</w:t>
      </w:r>
    </w:p>
    <w:p w14:paraId="1089245E" w14:textId="77777777" w:rsidR="00E25753" w:rsidRDefault="00E25753" w:rsidP="00C559B8">
      <w:pPr>
        <w:spacing w:before="120" w:after="120"/>
        <w:ind w:left="1134" w:right="1134"/>
        <w:rPr>
          <w:szCs w:val="22"/>
        </w:rPr>
      </w:pPr>
      <w:r>
        <w:rPr>
          <w:i/>
        </w:rPr>
        <w:t>6.8.2.2.4</w:t>
      </w:r>
    </w:p>
    <w:p w14:paraId="0319EA45" w14:textId="77777777" w:rsidR="00E25753" w:rsidRDefault="00E25753" w:rsidP="00C559B8">
      <w:pPr>
        <w:spacing w:before="120" w:after="120"/>
        <w:ind w:left="1134" w:right="1134"/>
        <w:jc w:val="both"/>
        <w:rPr>
          <w:szCs w:val="22"/>
        </w:rPr>
      </w:pPr>
      <w:r>
        <w:t>27.</w:t>
      </w:r>
      <w:r>
        <w:tab/>
        <w:t xml:space="preserve">On the basis of the decision to include a definition of extra-large tank-containers and to set the limit at 40,000 litres, the standing working group adapted the amendment instruction for 6.8.2.2.4 contained in square brackets in document 2021/5. It also decided to use the term "substances in the liquid state" to align with 4.3.2.2.4 (see Annex I). </w:t>
      </w:r>
      <w:r>
        <w:rPr>
          <w:b/>
        </w:rPr>
        <w:t>The Secretariat was requested to submit these decisions of the standing working group to the Joint Meeting in March 2022. Pending confirmation by the Joint Meeting, the amendment to 6.8.2.2.4 would remain in square brackets.</w:t>
      </w:r>
    </w:p>
    <w:p w14:paraId="040E8E12" w14:textId="77777777" w:rsidR="00E25753" w:rsidRDefault="00E25753" w:rsidP="00C559B8">
      <w:pPr>
        <w:spacing w:before="120" w:after="120"/>
        <w:ind w:left="1134" w:right="1134"/>
        <w:rPr>
          <w:szCs w:val="22"/>
        </w:rPr>
      </w:pPr>
      <w:r>
        <w:rPr>
          <w:i/>
        </w:rPr>
        <w:t>Minimum wall thickness</w:t>
      </w:r>
    </w:p>
    <w:p w14:paraId="1BC1B7F6" w14:textId="77777777" w:rsidR="00E25753" w:rsidRDefault="00E25753" w:rsidP="00C559B8">
      <w:pPr>
        <w:spacing w:before="120" w:after="120"/>
        <w:ind w:left="1134" w:right="1134"/>
        <w:jc w:val="both"/>
        <w:rPr>
          <w:szCs w:val="22"/>
        </w:rPr>
      </w:pPr>
      <w:r>
        <w:t>28.</w:t>
      </w:r>
      <w:r>
        <w:tab/>
        <w:t>In informal document INF.11, Cefic and UIP proposed a minimum wall thickness of 4.5 mm for extra-large tank-containers, irrespective of the material used. According to the representative of Cefic, a minimum wall thickness of 3 mm had previously been used for extra-large tank-containers, as for ISO tank-containers, which had been increased to 3.4 mm in order to allow for corrosion.</w:t>
      </w:r>
    </w:p>
    <w:p w14:paraId="3054C88C" w14:textId="77777777" w:rsidR="00E25753" w:rsidRDefault="00E25753" w:rsidP="00C559B8">
      <w:pPr>
        <w:spacing w:before="120" w:after="120"/>
        <w:ind w:left="1134" w:right="1134"/>
        <w:jc w:val="both"/>
        <w:rPr>
          <w:szCs w:val="22"/>
        </w:rPr>
      </w:pPr>
      <w:r>
        <w:t>29.</w:t>
      </w:r>
      <w:r>
        <w:tab/>
        <w:t>The representative of Belgium explained that discussions in the working group on tank and vehicle technology had led to the manufacturer Van Hool increasing the wall thickness to 4.13 mm for the extra-large tank-containers it built.</w:t>
      </w:r>
    </w:p>
    <w:p w14:paraId="3B541108" w14:textId="0557C9B5" w:rsidR="00E25753" w:rsidRDefault="00E25753" w:rsidP="00C559B8">
      <w:pPr>
        <w:spacing w:before="120" w:after="120"/>
        <w:ind w:left="1134" w:right="1134"/>
        <w:jc w:val="both"/>
        <w:rPr>
          <w:b/>
        </w:rPr>
      </w:pPr>
      <w:r>
        <w:t>30.</w:t>
      </w:r>
      <w:r>
        <w:tab/>
      </w:r>
      <w:r>
        <w:rPr>
          <w:b/>
        </w:rPr>
        <w:t xml:space="preserve">The standing working group agreed with the principle of setting the minimum wall thickness at 4.5 mm in the 2023 edition of RID. The representatives of UIP and Cefic were requested to submit a proposal, including a corresponding transitional measure, to the Joint Meeting in March 2022 (deadline: 17 December 2021), justifying </w:t>
      </w:r>
      <w:r>
        <w:rPr>
          <w:b/>
        </w:rPr>
        <w:lastRenderedPageBreak/>
        <w:t>any necessary consequential amendments, particularly with regard to the non-applicability of the third-root formula.</w:t>
      </w:r>
    </w:p>
    <w:p w14:paraId="13E1E545" w14:textId="3D83A192" w:rsidR="00A507F4" w:rsidRPr="00C559B8" w:rsidRDefault="00C559B8" w:rsidP="00C559B8">
      <w:pPr>
        <w:spacing w:before="240"/>
        <w:jc w:val="center"/>
        <w:rPr>
          <w:u w:val="single"/>
        </w:rPr>
      </w:pPr>
      <w:r>
        <w:rPr>
          <w:u w:val="single"/>
        </w:rPr>
        <w:tab/>
      </w:r>
      <w:r>
        <w:rPr>
          <w:u w:val="single"/>
        </w:rPr>
        <w:tab/>
      </w:r>
      <w:r>
        <w:rPr>
          <w:u w:val="single"/>
        </w:rPr>
        <w:tab/>
      </w:r>
    </w:p>
    <w:sectPr w:rsidR="00A507F4" w:rsidRPr="00C559B8" w:rsidSect="00A20E09">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6053E" w14:textId="77777777" w:rsidR="00FA22A2" w:rsidRDefault="00FA22A2"/>
  </w:endnote>
  <w:endnote w:type="continuationSeparator" w:id="0">
    <w:p w14:paraId="20BC8C6F" w14:textId="77777777" w:rsidR="00FA22A2" w:rsidRDefault="00FA22A2"/>
  </w:endnote>
  <w:endnote w:type="continuationNotice" w:id="1">
    <w:p w14:paraId="2D5585F0" w14:textId="77777777" w:rsidR="00FA22A2" w:rsidRDefault="00FA2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8B369" w14:textId="4A4A741B" w:rsidR="00FA22A2" w:rsidRPr="00A20E09" w:rsidRDefault="00FA22A2" w:rsidP="00A20E09">
    <w:pPr>
      <w:pStyle w:val="Footer"/>
      <w:tabs>
        <w:tab w:val="right" w:pos="9638"/>
      </w:tabs>
      <w:rPr>
        <w:sz w:val="18"/>
      </w:rPr>
    </w:pPr>
    <w:r w:rsidRPr="00A20E09">
      <w:rPr>
        <w:b/>
        <w:sz w:val="18"/>
      </w:rPr>
      <w:fldChar w:fldCharType="begin"/>
    </w:r>
    <w:r w:rsidRPr="00A20E09">
      <w:rPr>
        <w:b/>
        <w:sz w:val="18"/>
      </w:rPr>
      <w:instrText xml:space="preserve"> PAGE  \* MERGEFORMAT </w:instrText>
    </w:r>
    <w:r w:rsidRPr="00A20E09">
      <w:rPr>
        <w:b/>
        <w:sz w:val="18"/>
      </w:rPr>
      <w:fldChar w:fldCharType="separate"/>
    </w:r>
    <w:r>
      <w:rPr>
        <w:b/>
        <w:noProof/>
        <w:sz w:val="18"/>
      </w:rPr>
      <w:t>2</w:t>
    </w:r>
    <w:r w:rsidRPr="00A20E0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5635" w14:textId="78D1C08D" w:rsidR="00FA22A2" w:rsidRPr="00A20E09" w:rsidRDefault="00FA22A2" w:rsidP="00A20E09">
    <w:pPr>
      <w:pStyle w:val="Footer"/>
      <w:tabs>
        <w:tab w:val="right" w:pos="9638"/>
      </w:tabs>
      <w:rPr>
        <w:b/>
        <w:sz w:val="18"/>
      </w:rPr>
    </w:pPr>
    <w:r>
      <w:tab/>
    </w:r>
    <w:r w:rsidRPr="00A20E09">
      <w:rPr>
        <w:b/>
        <w:sz w:val="18"/>
      </w:rPr>
      <w:fldChar w:fldCharType="begin"/>
    </w:r>
    <w:r w:rsidRPr="00A20E09">
      <w:rPr>
        <w:b/>
        <w:sz w:val="18"/>
      </w:rPr>
      <w:instrText xml:space="preserve"> PAGE  \* MERGEFORMAT </w:instrText>
    </w:r>
    <w:r w:rsidRPr="00A20E09">
      <w:rPr>
        <w:b/>
        <w:sz w:val="18"/>
      </w:rPr>
      <w:fldChar w:fldCharType="separate"/>
    </w:r>
    <w:r>
      <w:rPr>
        <w:b/>
        <w:noProof/>
        <w:sz w:val="18"/>
      </w:rPr>
      <w:t>3</w:t>
    </w:r>
    <w:r w:rsidRPr="00A20E0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A15B2" w14:textId="77777777" w:rsidR="00FA22A2" w:rsidRPr="000B175B" w:rsidRDefault="00FA22A2" w:rsidP="000B175B">
      <w:pPr>
        <w:tabs>
          <w:tab w:val="right" w:pos="2155"/>
        </w:tabs>
        <w:spacing w:after="80"/>
        <w:ind w:left="680"/>
        <w:rPr>
          <w:u w:val="single"/>
        </w:rPr>
      </w:pPr>
      <w:r>
        <w:rPr>
          <w:u w:val="single"/>
        </w:rPr>
        <w:tab/>
      </w:r>
    </w:p>
  </w:footnote>
  <w:footnote w:type="continuationSeparator" w:id="0">
    <w:p w14:paraId="0862E9BD" w14:textId="77777777" w:rsidR="00FA22A2" w:rsidRPr="00FC68B7" w:rsidRDefault="00FA22A2" w:rsidP="00FC68B7">
      <w:pPr>
        <w:tabs>
          <w:tab w:val="left" w:pos="2155"/>
        </w:tabs>
        <w:spacing w:after="80"/>
        <w:ind w:left="680"/>
        <w:rPr>
          <w:u w:val="single"/>
        </w:rPr>
      </w:pPr>
      <w:r>
        <w:rPr>
          <w:u w:val="single"/>
        </w:rPr>
        <w:tab/>
      </w:r>
    </w:p>
  </w:footnote>
  <w:footnote w:type="continuationNotice" w:id="1">
    <w:p w14:paraId="03FB1ED6" w14:textId="77777777" w:rsidR="00FA22A2" w:rsidRDefault="00FA22A2"/>
  </w:footnote>
  <w:footnote w:id="2">
    <w:p w14:paraId="5E92DAD2" w14:textId="77777777" w:rsidR="00FA22A2" w:rsidRDefault="00FA22A2" w:rsidP="00E25753">
      <w:pPr>
        <w:pStyle w:val="FootnoteText"/>
        <w:rPr>
          <w:sz w:val="20"/>
        </w:rPr>
      </w:pPr>
      <w:r>
        <w:rPr>
          <w:sz w:val="20"/>
        </w:rPr>
        <w:tab/>
      </w:r>
      <w:r>
        <w:rPr>
          <w:rStyle w:val="FootnoteReference"/>
          <w:sz w:val="20"/>
        </w:rPr>
        <w:t>*</w:t>
      </w:r>
      <w:r>
        <w:rPr>
          <w:sz w:val="20"/>
        </w:rPr>
        <w:tab/>
      </w:r>
      <w:r>
        <w:t>A/76/6 (Sect.20), para. 20.76.</w:t>
      </w:r>
    </w:p>
  </w:footnote>
  <w:footnote w:id="3">
    <w:p w14:paraId="42E196B6" w14:textId="42F1A308" w:rsidR="00FA22A2" w:rsidRDefault="00FA22A2" w:rsidP="00E25753">
      <w:pPr>
        <w:pStyle w:val="FootnoteText"/>
        <w:rPr>
          <w:sz w:val="20"/>
        </w:rPr>
      </w:pPr>
      <w:r>
        <w:rPr>
          <w:rStyle w:val="FootnoteReference"/>
          <w:sz w:val="20"/>
        </w:rPr>
        <w:tab/>
        <w:t>**</w:t>
      </w:r>
      <w:r>
        <w:rPr>
          <w:sz w:val="20"/>
        </w:rPr>
        <w:tab/>
      </w:r>
      <w:r>
        <w:rPr>
          <w:sz w:val="20"/>
        </w:rPr>
        <w:tab/>
      </w:r>
      <w:r>
        <w:t>Circulated by the Intergovernmental Organisation for International Carriage by Rail (OTIF) under the symbol OTIF/RID/RC/2022/7.</w:t>
      </w:r>
    </w:p>
  </w:footnote>
  <w:footnote w:id="4">
    <w:p w14:paraId="635F9796" w14:textId="77777777" w:rsidR="00FA22A2" w:rsidRPr="007B07D9" w:rsidRDefault="00FA22A2" w:rsidP="00E25753">
      <w:pPr>
        <w:pStyle w:val="FootnoteText"/>
        <w:ind w:hanging="283"/>
      </w:pPr>
      <w:r>
        <w:tab/>
      </w:r>
      <w:r>
        <w:rPr>
          <w:rStyle w:val="FootnoteReference"/>
          <w:sz w:val="20"/>
        </w:rPr>
        <w:sym w:font="Symbol" w:char="F02A"/>
      </w:r>
      <w:r>
        <w:rPr>
          <w:rStyle w:val="FootnoteReference"/>
          <w:sz w:val="20"/>
        </w:rPr>
        <w:sym w:font="Symbol" w:char="F02A"/>
      </w:r>
      <w:r>
        <w:rPr>
          <w:rStyle w:val="FootnoteReference"/>
          <w:sz w:val="20"/>
        </w:rPr>
        <w:sym w:font="Symbol" w:char="F02A"/>
      </w:r>
      <w:r>
        <w:t xml:space="preserve"> </w:t>
      </w:r>
      <w:r>
        <w:rPr>
          <w:szCs w:val="18"/>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D464" w14:textId="6837A2A0" w:rsidR="00FA22A2" w:rsidRPr="00A20E09" w:rsidRDefault="00FA22A2">
    <w:pPr>
      <w:pStyle w:val="Header"/>
    </w:pPr>
    <w:fldSimple w:instr=" TITLE  \* MERGEFORMAT ">
      <w:r>
        <w:t>ECE/TRANS/WP.15/AC.1/2022/7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68DB" w14:textId="2058F8A5" w:rsidR="00FA22A2" w:rsidRPr="00A20E09" w:rsidRDefault="00FA22A2" w:rsidP="00A20E09">
    <w:pPr>
      <w:pStyle w:val="Header"/>
      <w:jc w:val="right"/>
    </w:pPr>
    <w:fldSimple w:instr=" TITLE  \* MERGEFORMAT ">
      <w:r>
        <w:t>ECE/TRANS/WP.15/AC.1/2022/7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09"/>
    <w:rsid w:val="00002A7D"/>
    <w:rsid w:val="000038A8"/>
    <w:rsid w:val="00006790"/>
    <w:rsid w:val="00027624"/>
    <w:rsid w:val="000345F3"/>
    <w:rsid w:val="00034C54"/>
    <w:rsid w:val="00050F6B"/>
    <w:rsid w:val="00052AC2"/>
    <w:rsid w:val="000678CD"/>
    <w:rsid w:val="00072C8C"/>
    <w:rsid w:val="00081CE0"/>
    <w:rsid w:val="00084D30"/>
    <w:rsid w:val="00090320"/>
    <w:rsid w:val="000931C0"/>
    <w:rsid w:val="0009732C"/>
    <w:rsid w:val="000A01F9"/>
    <w:rsid w:val="000A2E09"/>
    <w:rsid w:val="000B175B"/>
    <w:rsid w:val="000B3A0F"/>
    <w:rsid w:val="000E0415"/>
    <w:rsid w:val="000F7715"/>
    <w:rsid w:val="001063B5"/>
    <w:rsid w:val="00122EE0"/>
    <w:rsid w:val="00156B99"/>
    <w:rsid w:val="00166124"/>
    <w:rsid w:val="00184DDA"/>
    <w:rsid w:val="001900CD"/>
    <w:rsid w:val="001952BC"/>
    <w:rsid w:val="001A0452"/>
    <w:rsid w:val="001B4B04"/>
    <w:rsid w:val="001B5875"/>
    <w:rsid w:val="001B7ECA"/>
    <w:rsid w:val="001C4B9C"/>
    <w:rsid w:val="001C6663"/>
    <w:rsid w:val="001C7895"/>
    <w:rsid w:val="001D26DF"/>
    <w:rsid w:val="001F11F4"/>
    <w:rsid w:val="001F1599"/>
    <w:rsid w:val="001F19C4"/>
    <w:rsid w:val="002043F0"/>
    <w:rsid w:val="00211E0B"/>
    <w:rsid w:val="00232575"/>
    <w:rsid w:val="00247258"/>
    <w:rsid w:val="00257CAC"/>
    <w:rsid w:val="00264441"/>
    <w:rsid w:val="00270345"/>
    <w:rsid w:val="0027237A"/>
    <w:rsid w:val="00295C10"/>
    <w:rsid w:val="002974E9"/>
    <w:rsid w:val="002A039C"/>
    <w:rsid w:val="002A7F94"/>
    <w:rsid w:val="002B109A"/>
    <w:rsid w:val="002C6D45"/>
    <w:rsid w:val="002D6E53"/>
    <w:rsid w:val="002F046D"/>
    <w:rsid w:val="002F3023"/>
    <w:rsid w:val="00301764"/>
    <w:rsid w:val="00301EA0"/>
    <w:rsid w:val="0031409F"/>
    <w:rsid w:val="003229D8"/>
    <w:rsid w:val="00325C5E"/>
    <w:rsid w:val="00336C97"/>
    <w:rsid w:val="00337F88"/>
    <w:rsid w:val="00342432"/>
    <w:rsid w:val="0035223F"/>
    <w:rsid w:val="00352D4B"/>
    <w:rsid w:val="0035638C"/>
    <w:rsid w:val="003708F4"/>
    <w:rsid w:val="003A46BB"/>
    <w:rsid w:val="003A4EC7"/>
    <w:rsid w:val="003A7295"/>
    <w:rsid w:val="003B0B50"/>
    <w:rsid w:val="003B1F60"/>
    <w:rsid w:val="003B487D"/>
    <w:rsid w:val="003C2CC4"/>
    <w:rsid w:val="003D4B23"/>
    <w:rsid w:val="003E278A"/>
    <w:rsid w:val="003E7472"/>
    <w:rsid w:val="00413520"/>
    <w:rsid w:val="004216FD"/>
    <w:rsid w:val="004325CB"/>
    <w:rsid w:val="00440A07"/>
    <w:rsid w:val="00462880"/>
    <w:rsid w:val="00476F24"/>
    <w:rsid w:val="00480B25"/>
    <w:rsid w:val="004813E8"/>
    <w:rsid w:val="004C55B0"/>
    <w:rsid w:val="004D4D05"/>
    <w:rsid w:val="004F6BA0"/>
    <w:rsid w:val="00503BEA"/>
    <w:rsid w:val="0051120A"/>
    <w:rsid w:val="00533616"/>
    <w:rsid w:val="00535ABA"/>
    <w:rsid w:val="0053768B"/>
    <w:rsid w:val="005420F2"/>
    <w:rsid w:val="0054285C"/>
    <w:rsid w:val="00565D55"/>
    <w:rsid w:val="00582517"/>
    <w:rsid w:val="00584173"/>
    <w:rsid w:val="00595520"/>
    <w:rsid w:val="005A44B9"/>
    <w:rsid w:val="005A7F3F"/>
    <w:rsid w:val="005B1BA0"/>
    <w:rsid w:val="005B235D"/>
    <w:rsid w:val="005B3DB3"/>
    <w:rsid w:val="005D15CA"/>
    <w:rsid w:val="005D71AE"/>
    <w:rsid w:val="005D7969"/>
    <w:rsid w:val="005F08DF"/>
    <w:rsid w:val="005F3066"/>
    <w:rsid w:val="005F3E61"/>
    <w:rsid w:val="00604DDD"/>
    <w:rsid w:val="006115CC"/>
    <w:rsid w:val="00611FC4"/>
    <w:rsid w:val="006176FB"/>
    <w:rsid w:val="00630FCB"/>
    <w:rsid w:val="00640B26"/>
    <w:rsid w:val="0065766B"/>
    <w:rsid w:val="006722FA"/>
    <w:rsid w:val="006770B2"/>
    <w:rsid w:val="0068332F"/>
    <w:rsid w:val="00686A48"/>
    <w:rsid w:val="00691673"/>
    <w:rsid w:val="006940E1"/>
    <w:rsid w:val="006A3C72"/>
    <w:rsid w:val="006A7392"/>
    <w:rsid w:val="006B03A1"/>
    <w:rsid w:val="006B67D9"/>
    <w:rsid w:val="006C5535"/>
    <w:rsid w:val="006D0589"/>
    <w:rsid w:val="006E564B"/>
    <w:rsid w:val="006E7154"/>
    <w:rsid w:val="007003CD"/>
    <w:rsid w:val="0070701E"/>
    <w:rsid w:val="00714871"/>
    <w:rsid w:val="0072632A"/>
    <w:rsid w:val="007358E8"/>
    <w:rsid w:val="00736ECE"/>
    <w:rsid w:val="0074533B"/>
    <w:rsid w:val="007643BC"/>
    <w:rsid w:val="00766E70"/>
    <w:rsid w:val="00777FB8"/>
    <w:rsid w:val="00780C68"/>
    <w:rsid w:val="007959FE"/>
    <w:rsid w:val="007A0CF1"/>
    <w:rsid w:val="007A478E"/>
    <w:rsid w:val="007B07D9"/>
    <w:rsid w:val="007B6BA5"/>
    <w:rsid w:val="007C3390"/>
    <w:rsid w:val="007C42D8"/>
    <w:rsid w:val="007C4F4B"/>
    <w:rsid w:val="007D5812"/>
    <w:rsid w:val="007D7362"/>
    <w:rsid w:val="007E5120"/>
    <w:rsid w:val="007F5CE2"/>
    <w:rsid w:val="007F6611"/>
    <w:rsid w:val="007F67E3"/>
    <w:rsid w:val="00800522"/>
    <w:rsid w:val="00810BAC"/>
    <w:rsid w:val="008175E9"/>
    <w:rsid w:val="008242D7"/>
    <w:rsid w:val="0082577B"/>
    <w:rsid w:val="008272DD"/>
    <w:rsid w:val="00857D96"/>
    <w:rsid w:val="008625B0"/>
    <w:rsid w:val="00866893"/>
    <w:rsid w:val="00866F02"/>
    <w:rsid w:val="00867D18"/>
    <w:rsid w:val="00871F9A"/>
    <w:rsid w:val="00871FD5"/>
    <w:rsid w:val="0088172E"/>
    <w:rsid w:val="00881EFA"/>
    <w:rsid w:val="008879CB"/>
    <w:rsid w:val="008979B1"/>
    <w:rsid w:val="008A6B25"/>
    <w:rsid w:val="008A6C4F"/>
    <w:rsid w:val="008A77AE"/>
    <w:rsid w:val="008B389E"/>
    <w:rsid w:val="008C1C82"/>
    <w:rsid w:val="008D045E"/>
    <w:rsid w:val="008D3F25"/>
    <w:rsid w:val="008D4D82"/>
    <w:rsid w:val="008D5A6F"/>
    <w:rsid w:val="008E0E46"/>
    <w:rsid w:val="008E7116"/>
    <w:rsid w:val="008F0464"/>
    <w:rsid w:val="008F143B"/>
    <w:rsid w:val="008F3882"/>
    <w:rsid w:val="008F4B7C"/>
    <w:rsid w:val="009063B2"/>
    <w:rsid w:val="00907496"/>
    <w:rsid w:val="00926E47"/>
    <w:rsid w:val="00936562"/>
    <w:rsid w:val="00947162"/>
    <w:rsid w:val="009610D0"/>
    <w:rsid w:val="0096375C"/>
    <w:rsid w:val="009662E6"/>
    <w:rsid w:val="0097095E"/>
    <w:rsid w:val="00974680"/>
    <w:rsid w:val="0098592B"/>
    <w:rsid w:val="00985FC4"/>
    <w:rsid w:val="00990766"/>
    <w:rsid w:val="00991261"/>
    <w:rsid w:val="009964C4"/>
    <w:rsid w:val="009A7B81"/>
    <w:rsid w:val="009D01C0"/>
    <w:rsid w:val="009D6A08"/>
    <w:rsid w:val="009E0A16"/>
    <w:rsid w:val="009E6CB7"/>
    <w:rsid w:val="009E7970"/>
    <w:rsid w:val="009F2EAC"/>
    <w:rsid w:val="009F2ED6"/>
    <w:rsid w:val="009F57E3"/>
    <w:rsid w:val="009F57F9"/>
    <w:rsid w:val="00A078E1"/>
    <w:rsid w:val="00A10F4F"/>
    <w:rsid w:val="00A11067"/>
    <w:rsid w:val="00A1704A"/>
    <w:rsid w:val="00A20E09"/>
    <w:rsid w:val="00A275CE"/>
    <w:rsid w:val="00A425EB"/>
    <w:rsid w:val="00A507F4"/>
    <w:rsid w:val="00A72F22"/>
    <w:rsid w:val="00A733BC"/>
    <w:rsid w:val="00A748A6"/>
    <w:rsid w:val="00A76A69"/>
    <w:rsid w:val="00A831EA"/>
    <w:rsid w:val="00A879A4"/>
    <w:rsid w:val="00AA0FF8"/>
    <w:rsid w:val="00AC0F2C"/>
    <w:rsid w:val="00AC502A"/>
    <w:rsid w:val="00AF58C1"/>
    <w:rsid w:val="00B04A3F"/>
    <w:rsid w:val="00B06643"/>
    <w:rsid w:val="00B11EF3"/>
    <w:rsid w:val="00B15055"/>
    <w:rsid w:val="00B20551"/>
    <w:rsid w:val="00B30179"/>
    <w:rsid w:val="00B33FC7"/>
    <w:rsid w:val="00B37B15"/>
    <w:rsid w:val="00B45C02"/>
    <w:rsid w:val="00B705C5"/>
    <w:rsid w:val="00B70B63"/>
    <w:rsid w:val="00B72A1E"/>
    <w:rsid w:val="00B81E12"/>
    <w:rsid w:val="00BA339B"/>
    <w:rsid w:val="00BA50D5"/>
    <w:rsid w:val="00BA7B59"/>
    <w:rsid w:val="00BB23CC"/>
    <w:rsid w:val="00BC1E7E"/>
    <w:rsid w:val="00BC74E9"/>
    <w:rsid w:val="00BE36A9"/>
    <w:rsid w:val="00BE618E"/>
    <w:rsid w:val="00BE7BEC"/>
    <w:rsid w:val="00BF0A5A"/>
    <w:rsid w:val="00BF0E63"/>
    <w:rsid w:val="00BF12A3"/>
    <w:rsid w:val="00BF16D7"/>
    <w:rsid w:val="00BF2373"/>
    <w:rsid w:val="00C0294F"/>
    <w:rsid w:val="00C032A9"/>
    <w:rsid w:val="00C044E2"/>
    <w:rsid w:val="00C048CB"/>
    <w:rsid w:val="00C066F3"/>
    <w:rsid w:val="00C306D1"/>
    <w:rsid w:val="00C408B7"/>
    <w:rsid w:val="00C411EB"/>
    <w:rsid w:val="00C463DD"/>
    <w:rsid w:val="00C559B8"/>
    <w:rsid w:val="00C55F6A"/>
    <w:rsid w:val="00C745C3"/>
    <w:rsid w:val="00C91105"/>
    <w:rsid w:val="00C95AF4"/>
    <w:rsid w:val="00C978F5"/>
    <w:rsid w:val="00CA24A4"/>
    <w:rsid w:val="00CB348D"/>
    <w:rsid w:val="00CD0EBE"/>
    <w:rsid w:val="00CD46F5"/>
    <w:rsid w:val="00CE466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038"/>
    <w:rsid w:val="00DA0956"/>
    <w:rsid w:val="00DA357F"/>
    <w:rsid w:val="00DA3E12"/>
    <w:rsid w:val="00DB3F8A"/>
    <w:rsid w:val="00DC18AD"/>
    <w:rsid w:val="00DF7CAE"/>
    <w:rsid w:val="00E033D7"/>
    <w:rsid w:val="00E25753"/>
    <w:rsid w:val="00E423C0"/>
    <w:rsid w:val="00E6414C"/>
    <w:rsid w:val="00E7260F"/>
    <w:rsid w:val="00E8702D"/>
    <w:rsid w:val="00E905F4"/>
    <w:rsid w:val="00E916A9"/>
    <w:rsid w:val="00E916DE"/>
    <w:rsid w:val="00E925AD"/>
    <w:rsid w:val="00E96630"/>
    <w:rsid w:val="00EB45A3"/>
    <w:rsid w:val="00ED18DC"/>
    <w:rsid w:val="00ED1D6E"/>
    <w:rsid w:val="00ED6201"/>
    <w:rsid w:val="00ED7A2A"/>
    <w:rsid w:val="00EF1D7F"/>
    <w:rsid w:val="00F0137E"/>
    <w:rsid w:val="00F21786"/>
    <w:rsid w:val="00F306FB"/>
    <w:rsid w:val="00F3689D"/>
    <w:rsid w:val="00F3742B"/>
    <w:rsid w:val="00F41FDB"/>
    <w:rsid w:val="00F50596"/>
    <w:rsid w:val="00F56D63"/>
    <w:rsid w:val="00F609A9"/>
    <w:rsid w:val="00F80C99"/>
    <w:rsid w:val="00F867EC"/>
    <w:rsid w:val="00F91B2B"/>
    <w:rsid w:val="00FA22A2"/>
    <w:rsid w:val="00FC03CD"/>
    <w:rsid w:val="00FC0646"/>
    <w:rsid w:val="00FC6551"/>
    <w:rsid w:val="00FC68B7"/>
    <w:rsid w:val="00FD30D9"/>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99F99"/>
  <w15:docId w15:val="{5DFE21E9-5BB2-4784-AE48-72E95A6B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uiPriority w:val="99"/>
    <w:qFormat/>
    <w:rsid w:val="00DA0038"/>
    <w:rPr>
      <w:b/>
      <w:sz w:val="28"/>
      <w:lang w:val="en-GB"/>
    </w:rPr>
  </w:style>
  <w:style w:type="character" w:customStyle="1" w:styleId="H1GChar">
    <w:name w:val="_ H_1_G Char"/>
    <w:link w:val="H1G"/>
    <w:uiPriority w:val="99"/>
    <w:qFormat/>
    <w:rsid w:val="00DA0038"/>
    <w:rPr>
      <w:b/>
      <w:sz w:val="24"/>
      <w:lang w:val="en-GB"/>
    </w:rPr>
  </w:style>
  <w:style w:type="character" w:customStyle="1" w:styleId="FootnoteTextChar">
    <w:name w:val="Footnote Text Char"/>
    <w:aliases w:val="5_G Char,5_GR Char"/>
    <w:basedOn w:val="DefaultParagraphFont"/>
    <w:link w:val="FootnoteText"/>
    <w:locked/>
    <w:rsid w:val="00B705C5"/>
    <w:rPr>
      <w:sz w:val="18"/>
      <w:lang w:val="en-GB"/>
    </w:rPr>
  </w:style>
  <w:style w:type="character" w:styleId="CommentReference">
    <w:name w:val="annotation reference"/>
    <w:basedOn w:val="DefaultParagraphFont"/>
    <w:semiHidden/>
    <w:unhideWhenUsed/>
    <w:rsid w:val="00C95AF4"/>
    <w:rPr>
      <w:sz w:val="16"/>
      <w:szCs w:val="16"/>
    </w:rPr>
  </w:style>
  <w:style w:type="paragraph" w:styleId="CommentText">
    <w:name w:val="annotation text"/>
    <w:basedOn w:val="Normal"/>
    <w:link w:val="CommentTextChar"/>
    <w:semiHidden/>
    <w:unhideWhenUsed/>
    <w:rsid w:val="00C95AF4"/>
    <w:pPr>
      <w:spacing w:line="240" w:lineRule="auto"/>
    </w:pPr>
  </w:style>
  <w:style w:type="character" w:customStyle="1" w:styleId="CommentTextChar">
    <w:name w:val="Comment Text Char"/>
    <w:basedOn w:val="DefaultParagraphFont"/>
    <w:link w:val="CommentText"/>
    <w:semiHidden/>
    <w:rsid w:val="00C95AF4"/>
    <w:rPr>
      <w:lang w:val="en-GB"/>
    </w:rPr>
  </w:style>
  <w:style w:type="paragraph" w:styleId="CommentSubject">
    <w:name w:val="annotation subject"/>
    <w:basedOn w:val="CommentText"/>
    <w:next w:val="CommentText"/>
    <w:link w:val="CommentSubjectChar"/>
    <w:semiHidden/>
    <w:unhideWhenUsed/>
    <w:rsid w:val="00C95AF4"/>
    <w:rPr>
      <w:b/>
      <w:bCs/>
    </w:rPr>
  </w:style>
  <w:style w:type="character" w:customStyle="1" w:styleId="CommentSubjectChar">
    <w:name w:val="Comment Subject Char"/>
    <w:basedOn w:val="CommentTextChar"/>
    <w:link w:val="CommentSubject"/>
    <w:semiHidden/>
    <w:rsid w:val="00C95AF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276469">
      <w:bodyDiv w:val="1"/>
      <w:marLeft w:val="0"/>
      <w:marRight w:val="0"/>
      <w:marTop w:val="0"/>
      <w:marBottom w:val="0"/>
      <w:divBdr>
        <w:top w:val="none" w:sz="0" w:space="0" w:color="auto"/>
        <w:left w:val="none" w:sz="0" w:space="0" w:color="auto"/>
        <w:bottom w:val="none" w:sz="0" w:space="0" w:color="auto"/>
        <w:right w:val="none" w:sz="0" w:space="0" w:color="auto"/>
      </w:divBdr>
    </w:div>
    <w:div w:id="589656560">
      <w:bodyDiv w:val="1"/>
      <w:marLeft w:val="0"/>
      <w:marRight w:val="0"/>
      <w:marTop w:val="0"/>
      <w:marBottom w:val="0"/>
      <w:divBdr>
        <w:top w:val="none" w:sz="0" w:space="0" w:color="auto"/>
        <w:left w:val="none" w:sz="0" w:space="0" w:color="auto"/>
        <w:bottom w:val="none" w:sz="0" w:space="0" w:color="auto"/>
        <w:right w:val="none" w:sz="0" w:space="0" w:color="auto"/>
      </w:divBdr>
    </w:div>
    <w:div w:id="1051072763">
      <w:bodyDiv w:val="1"/>
      <w:marLeft w:val="0"/>
      <w:marRight w:val="0"/>
      <w:marTop w:val="0"/>
      <w:marBottom w:val="0"/>
      <w:divBdr>
        <w:top w:val="none" w:sz="0" w:space="0" w:color="auto"/>
        <w:left w:val="none" w:sz="0" w:space="0" w:color="auto"/>
        <w:bottom w:val="none" w:sz="0" w:space="0" w:color="auto"/>
        <w:right w:val="none" w:sz="0" w:space="0" w:color="auto"/>
      </w:divBdr>
    </w:div>
    <w:div w:id="1164784818">
      <w:bodyDiv w:val="1"/>
      <w:marLeft w:val="0"/>
      <w:marRight w:val="0"/>
      <w:marTop w:val="0"/>
      <w:marBottom w:val="0"/>
      <w:divBdr>
        <w:top w:val="none" w:sz="0" w:space="0" w:color="auto"/>
        <w:left w:val="none" w:sz="0" w:space="0" w:color="auto"/>
        <w:bottom w:val="none" w:sz="0" w:space="0" w:color="auto"/>
        <w:right w:val="none" w:sz="0" w:space="0" w:color="auto"/>
      </w:divBdr>
    </w:div>
    <w:div w:id="1197935643">
      <w:bodyDiv w:val="1"/>
      <w:marLeft w:val="0"/>
      <w:marRight w:val="0"/>
      <w:marTop w:val="0"/>
      <w:marBottom w:val="0"/>
      <w:divBdr>
        <w:top w:val="none" w:sz="0" w:space="0" w:color="auto"/>
        <w:left w:val="none" w:sz="0" w:space="0" w:color="auto"/>
        <w:bottom w:val="none" w:sz="0" w:space="0" w:color="auto"/>
        <w:right w:val="none" w:sz="0" w:space="0" w:color="auto"/>
      </w:divBdr>
    </w:div>
    <w:div w:id="1465192260">
      <w:bodyDiv w:val="1"/>
      <w:marLeft w:val="0"/>
      <w:marRight w:val="0"/>
      <w:marTop w:val="0"/>
      <w:marBottom w:val="0"/>
      <w:divBdr>
        <w:top w:val="none" w:sz="0" w:space="0" w:color="auto"/>
        <w:left w:val="none" w:sz="0" w:space="0" w:color="auto"/>
        <w:bottom w:val="none" w:sz="0" w:space="0" w:color="auto"/>
        <w:right w:val="none" w:sz="0" w:space="0" w:color="auto"/>
      </w:divBdr>
    </w:div>
    <w:div w:id="20096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ce.org/fileadmin/DAM/trans/doc/2020/dgwp15ac1/ECE-TRANS-WP15-AC1-20-GE-inf45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if.org/fileadmin/new/2-Activities/2D-Dangerous-Goods/2Dc2_infdoc_StandingWG/2021/RID_CE_GTP_2021-INF_11_e_extra-large_tank-container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1D369-BB45-4D6A-8F3E-EF1EC5665EFA}">
  <ds:schemaRefs>
    <ds:schemaRef ds:uri="http://schemas.openxmlformats.org/officeDocument/2006/bibliography"/>
  </ds:schemaRefs>
</ds:datastoreItem>
</file>

<file path=customXml/itemProps2.xml><?xml version="1.0" encoding="utf-8"?>
<ds:datastoreItem xmlns:ds="http://schemas.openxmlformats.org/officeDocument/2006/customXml" ds:itemID="{6EA23596-E28B-479B-AE15-EAB9FBB26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121E1-41B6-4294-B0F9-2A76B9F76C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1FAEF7-422C-4E6D-A72F-80A80492F9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61</TotalTime>
  <Pages>4</Pages>
  <Words>1000</Words>
  <Characters>5513</Characters>
  <Application>Microsoft Office Word</Application>
  <DocSecurity>0</DocSecurity>
  <Lines>108</Lines>
  <Paragraphs>52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ECE/TRANS/WP.15/AC,1/2022/7</vt:lpstr>
      <vt:lpstr>ECE/TRANS/WP.15/AC,1/2022/7</vt:lpstr>
      <vt:lpstr/>
    </vt:vector>
  </TitlesOfParts>
  <Company>CSD</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ECE/TRANS/WP.15/AC,1/2022/7</dc:title>
  <dc:subject/>
  <dc:creator>Christine Barrio-Champeau</dc:creator>
  <cp:keywords/>
  <cp:lastModifiedBy>Christine Barrio-Champeau</cp:lastModifiedBy>
  <cp:revision>34</cp:revision>
  <cp:lastPrinted>2009-02-18T09:36:00Z</cp:lastPrinted>
  <dcterms:created xsi:type="dcterms:W3CDTF">2021-12-16T11:10:00Z</dcterms:created>
  <dcterms:modified xsi:type="dcterms:W3CDTF">2021-12-20T15:10:00Z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