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5A5F08FA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32FC52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AAAE8DE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9B470FA" w14:textId="10BE2BD2" w:rsidR="009E6CB7" w:rsidRPr="00D47EEA" w:rsidRDefault="00324A7D" w:rsidP="00324A7D">
            <w:pPr>
              <w:jc w:val="right"/>
            </w:pPr>
            <w:r w:rsidRPr="00324A7D">
              <w:rPr>
                <w:sz w:val="40"/>
              </w:rPr>
              <w:t>ECE</w:t>
            </w:r>
            <w:r>
              <w:t>/TRANS/WP.15/AC.1/2022/3</w:t>
            </w:r>
          </w:p>
        </w:tc>
      </w:tr>
      <w:tr w:rsidR="009E6CB7" w14:paraId="428539A1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AE836B7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16FB9E6" wp14:editId="063B5CBD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987C06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4D15316" w14:textId="77777777" w:rsidR="009E6CB7" w:rsidRDefault="00324A7D" w:rsidP="00324A7D">
            <w:pPr>
              <w:spacing w:before="240" w:line="240" w:lineRule="exact"/>
            </w:pPr>
            <w:r>
              <w:t>Distr.: General</w:t>
            </w:r>
          </w:p>
          <w:p w14:paraId="01D9AF08" w14:textId="5AFF67AB" w:rsidR="00324A7D" w:rsidRDefault="002E229C" w:rsidP="00324A7D">
            <w:pPr>
              <w:spacing w:line="240" w:lineRule="exact"/>
            </w:pPr>
            <w:r>
              <w:t>16</w:t>
            </w:r>
            <w:r w:rsidR="00324A7D">
              <w:t xml:space="preserve"> December 2021</w:t>
            </w:r>
          </w:p>
          <w:p w14:paraId="3883AC22" w14:textId="77777777" w:rsidR="00324A7D" w:rsidRDefault="00324A7D" w:rsidP="00324A7D">
            <w:pPr>
              <w:spacing w:line="240" w:lineRule="exact"/>
            </w:pPr>
          </w:p>
          <w:p w14:paraId="37EE0D69" w14:textId="2E6F644D" w:rsidR="00324A7D" w:rsidRDefault="00324A7D" w:rsidP="00324A7D">
            <w:pPr>
              <w:spacing w:line="240" w:lineRule="exact"/>
            </w:pPr>
            <w:r>
              <w:t>Original: English</w:t>
            </w:r>
          </w:p>
        </w:tc>
      </w:tr>
    </w:tbl>
    <w:p w14:paraId="6CCFC8E7" w14:textId="77777777" w:rsidR="00324A7D" w:rsidRPr="006C0AE1" w:rsidRDefault="00324A7D" w:rsidP="00C411EB">
      <w:pPr>
        <w:spacing w:before="120"/>
        <w:rPr>
          <w:b/>
          <w:sz w:val="28"/>
          <w:szCs w:val="28"/>
        </w:rPr>
      </w:pPr>
      <w:r w:rsidRPr="006C0AE1">
        <w:rPr>
          <w:b/>
          <w:sz w:val="28"/>
          <w:szCs w:val="28"/>
        </w:rPr>
        <w:t>Economic Commission for Europe</w:t>
      </w:r>
    </w:p>
    <w:p w14:paraId="7A5B309D" w14:textId="77777777" w:rsidR="00324A7D" w:rsidRPr="006C0AE1" w:rsidRDefault="00324A7D" w:rsidP="00C411EB">
      <w:pPr>
        <w:spacing w:before="120"/>
        <w:rPr>
          <w:sz w:val="28"/>
          <w:szCs w:val="28"/>
        </w:rPr>
      </w:pPr>
      <w:r w:rsidRPr="006C0AE1">
        <w:rPr>
          <w:sz w:val="28"/>
          <w:szCs w:val="28"/>
        </w:rPr>
        <w:t>Inland Transport Committee</w:t>
      </w:r>
    </w:p>
    <w:p w14:paraId="1764EA0E" w14:textId="77777777" w:rsidR="00324A7D" w:rsidRPr="006C0AE1" w:rsidRDefault="00324A7D" w:rsidP="00C411EB">
      <w:pPr>
        <w:spacing w:before="120"/>
        <w:rPr>
          <w:b/>
          <w:sz w:val="24"/>
          <w:szCs w:val="24"/>
        </w:rPr>
      </w:pPr>
      <w:r w:rsidRPr="006C0AE1">
        <w:rPr>
          <w:b/>
          <w:sz w:val="24"/>
          <w:szCs w:val="24"/>
        </w:rPr>
        <w:t>Working Party on the Transport of Dangerous Goods</w:t>
      </w:r>
    </w:p>
    <w:p w14:paraId="1573C7AC" w14:textId="77777777" w:rsidR="00324A7D" w:rsidRPr="006C0AE1" w:rsidRDefault="00324A7D" w:rsidP="00C411EB">
      <w:pPr>
        <w:spacing w:before="120"/>
        <w:rPr>
          <w:b/>
        </w:rPr>
      </w:pPr>
      <w:r w:rsidRPr="006C0AE1">
        <w:rPr>
          <w:b/>
        </w:rPr>
        <w:t>Joint Meeting of the RID Committee of Experts and the</w:t>
      </w:r>
      <w:r w:rsidRPr="006C0AE1">
        <w:rPr>
          <w:b/>
        </w:rPr>
        <w:br/>
        <w:t>Working Party on the Transport of Dangerous Goods</w:t>
      </w:r>
    </w:p>
    <w:p w14:paraId="490FC850" w14:textId="641EFA1F" w:rsidR="003C332D" w:rsidRPr="006C0AE1" w:rsidRDefault="003C332D" w:rsidP="003C332D">
      <w:r w:rsidRPr="006C0AE1">
        <w:t>Bern, 1</w:t>
      </w:r>
      <w:r w:rsidR="003B512E" w:rsidRPr="006C0AE1">
        <w:t>4</w:t>
      </w:r>
      <w:r w:rsidRPr="006C0AE1">
        <w:t>–1</w:t>
      </w:r>
      <w:r w:rsidR="003B512E" w:rsidRPr="006C0AE1">
        <w:t>8</w:t>
      </w:r>
      <w:r w:rsidRPr="006C0AE1">
        <w:t xml:space="preserve"> March 202</w:t>
      </w:r>
      <w:r w:rsidR="003B512E" w:rsidRPr="006C0AE1">
        <w:t>2</w:t>
      </w:r>
    </w:p>
    <w:p w14:paraId="7D848A10" w14:textId="77777777" w:rsidR="003C332D" w:rsidRPr="006C0AE1" w:rsidRDefault="003C332D" w:rsidP="003C332D">
      <w:r w:rsidRPr="006C0AE1">
        <w:t>Item 2 of the provisional agenda</w:t>
      </w:r>
    </w:p>
    <w:p w14:paraId="3F885EA3" w14:textId="120B965D" w:rsidR="001C6663" w:rsidRPr="006C0AE1" w:rsidRDefault="003C332D" w:rsidP="003C332D">
      <w:pPr>
        <w:rPr>
          <w:b/>
          <w:bCs/>
        </w:rPr>
      </w:pPr>
      <w:r w:rsidRPr="006C0AE1">
        <w:rPr>
          <w:b/>
          <w:bCs/>
        </w:rPr>
        <w:t>Tanks</w:t>
      </w:r>
    </w:p>
    <w:p w14:paraId="65C11720" w14:textId="0F7CB86B" w:rsidR="00E524D0" w:rsidRPr="006C0AE1" w:rsidRDefault="00E524D0" w:rsidP="00E524D0">
      <w:pPr>
        <w:tabs>
          <w:tab w:val="right" w:pos="851"/>
        </w:tabs>
        <w:adjustRightInd w:val="0"/>
        <w:snapToGrid w:val="0"/>
        <w:spacing w:before="360" w:after="240" w:line="300" w:lineRule="exact"/>
        <w:ind w:left="1134" w:right="707" w:hanging="1134"/>
        <w:rPr>
          <w:b/>
          <w:sz w:val="28"/>
          <w:highlight w:val="yellow"/>
        </w:rPr>
      </w:pPr>
      <w:r w:rsidRPr="006C0AE1">
        <w:rPr>
          <w:b/>
          <w:sz w:val="28"/>
        </w:rPr>
        <w:tab/>
      </w:r>
      <w:r w:rsidRPr="006C0AE1">
        <w:rPr>
          <w:b/>
          <w:sz w:val="28"/>
        </w:rPr>
        <w:tab/>
        <w:t>Interpretation of RID/ADR 6.8.2.2.11 on level-gauges</w:t>
      </w:r>
    </w:p>
    <w:p w14:paraId="3BA106C2" w14:textId="1A3F425D" w:rsidR="00E524D0" w:rsidRPr="006C0AE1" w:rsidRDefault="00E524D0" w:rsidP="00E524D0">
      <w:pPr>
        <w:pStyle w:val="H1G"/>
        <w:rPr>
          <w:lang w:eastAsia="ru-RU"/>
        </w:rPr>
      </w:pPr>
      <w:r w:rsidRPr="006C0AE1">
        <w:rPr>
          <w:lang w:eastAsia="ru-RU"/>
        </w:rPr>
        <w:tab/>
      </w:r>
      <w:r w:rsidRPr="006C0AE1">
        <w:rPr>
          <w:lang w:eastAsia="ru-RU"/>
        </w:rPr>
        <w:tab/>
        <w:t>Transmitted by the Government of the United Kingdom</w:t>
      </w:r>
      <w:r w:rsidR="004C0480" w:rsidRPr="00AC095D">
        <w:rPr>
          <w:rStyle w:val="FootnoteReference"/>
          <w:sz w:val="20"/>
        </w:rPr>
        <w:footnoteReference w:customMarkFollows="1" w:id="2"/>
        <w:t>*</w:t>
      </w:r>
      <w:r w:rsidR="004C0480" w:rsidRPr="00AC095D">
        <w:rPr>
          <w:sz w:val="20"/>
          <w:vertAlign w:val="superscript"/>
        </w:rPr>
        <w:t xml:space="preserve">, </w:t>
      </w:r>
      <w:r w:rsidR="004C0480" w:rsidRPr="00AC095D">
        <w:rPr>
          <w:rStyle w:val="FootnoteReference"/>
          <w:sz w:val="20"/>
        </w:rPr>
        <w:footnoteReference w:customMarkFollows="1" w:id="3"/>
        <w:t>**</w:t>
      </w:r>
      <w:r w:rsidR="00D4063F" w:rsidRPr="00AC095D">
        <w:rPr>
          <w:sz w:val="20"/>
          <w:vertAlign w:val="superscript"/>
        </w:rPr>
        <w:t xml:space="preserve">, </w:t>
      </w:r>
      <w:r w:rsidR="00AC095D" w:rsidRPr="00AC095D">
        <w:rPr>
          <w:rStyle w:val="FootnoteReference"/>
          <w:sz w:val="20"/>
        </w:rPr>
        <w:footnoteReference w:customMarkFollows="1" w:id="4"/>
        <w:sym w:font="Symbol" w:char="F02A"/>
      </w:r>
      <w:r w:rsidR="00AC095D" w:rsidRPr="00AC095D">
        <w:rPr>
          <w:rStyle w:val="FootnoteReference"/>
          <w:sz w:val="20"/>
        </w:rPr>
        <w:sym w:font="Symbol" w:char="F02A"/>
      </w:r>
      <w:r w:rsidR="00AC095D" w:rsidRPr="00AC095D">
        <w:rPr>
          <w:rStyle w:val="FootnoteReference"/>
          <w:sz w:val="20"/>
        </w:rPr>
        <w:sym w:font="Symbol" w:char="F02A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082"/>
      </w:tblGrid>
      <w:tr w:rsidR="00E524D0" w:rsidRPr="006C0AE1" w14:paraId="5F79841F" w14:textId="77777777" w:rsidTr="00CD439E">
        <w:trPr>
          <w:jc w:val="center"/>
        </w:trPr>
        <w:tc>
          <w:tcPr>
            <w:tcW w:w="9082" w:type="dxa"/>
            <w:shd w:val="clear" w:color="auto" w:fill="auto"/>
          </w:tcPr>
          <w:p w14:paraId="2B8D1C0A" w14:textId="77777777" w:rsidR="00E524D0" w:rsidRPr="006C0AE1" w:rsidRDefault="00E524D0" w:rsidP="00CD439E">
            <w:pPr>
              <w:spacing w:before="240" w:after="120"/>
              <w:ind w:left="255"/>
              <w:rPr>
                <w:i/>
              </w:rPr>
            </w:pPr>
            <w:r w:rsidRPr="006C0AE1">
              <w:rPr>
                <w:i/>
              </w:rPr>
              <w:t>Summary</w:t>
            </w:r>
          </w:p>
        </w:tc>
      </w:tr>
      <w:tr w:rsidR="00E524D0" w:rsidRPr="006C0AE1" w14:paraId="351C3BD9" w14:textId="77777777" w:rsidTr="00CD439E">
        <w:trPr>
          <w:jc w:val="center"/>
        </w:trPr>
        <w:tc>
          <w:tcPr>
            <w:tcW w:w="9082" w:type="dxa"/>
            <w:shd w:val="clear" w:color="auto" w:fill="auto"/>
          </w:tcPr>
          <w:p w14:paraId="53CE86F5" w14:textId="09446662" w:rsidR="00E524D0" w:rsidRPr="006C0AE1" w:rsidRDefault="00E524D0" w:rsidP="00CD439E">
            <w:pPr>
              <w:tabs>
                <w:tab w:val="left" w:pos="3260"/>
              </w:tabs>
              <w:spacing w:after="120"/>
              <w:ind w:left="3260" w:right="858" w:hanging="2419"/>
              <w:jc w:val="both"/>
            </w:pPr>
            <w:r w:rsidRPr="006C0AE1">
              <w:rPr>
                <w:b/>
              </w:rPr>
              <w:t xml:space="preserve">Executive summary: </w:t>
            </w:r>
            <w:r w:rsidRPr="006C0AE1">
              <w:tab/>
              <w:t xml:space="preserve">The United Kingdom would welcome an exchange of views on the requirements of RID/ADR 6.8.2.2.11 and consideration as to whether an amendment might be appropriate. Note: this </w:t>
            </w:r>
            <w:r w:rsidR="00D07651" w:rsidRPr="006C0AE1">
              <w:t>document</w:t>
            </w:r>
            <w:r w:rsidRPr="006C0AE1">
              <w:t xml:space="preserve"> reproduces </w:t>
            </w:r>
            <w:r w:rsidR="0079085F" w:rsidRPr="006C0AE1">
              <w:t xml:space="preserve">informal document </w:t>
            </w:r>
            <w:r w:rsidRPr="006C0AE1">
              <w:t>INF.23 submitted to the September 2021 session, but it could not be dealt with due to time constraints.</w:t>
            </w:r>
          </w:p>
        </w:tc>
      </w:tr>
      <w:tr w:rsidR="00E524D0" w:rsidRPr="006C0AE1" w14:paraId="58EEADB5" w14:textId="77777777" w:rsidTr="00CD439E">
        <w:trPr>
          <w:jc w:val="center"/>
        </w:trPr>
        <w:tc>
          <w:tcPr>
            <w:tcW w:w="9082" w:type="dxa"/>
            <w:shd w:val="clear" w:color="auto" w:fill="auto"/>
          </w:tcPr>
          <w:p w14:paraId="1730BB51" w14:textId="58731ABF" w:rsidR="00E524D0" w:rsidRPr="006C0AE1" w:rsidRDefault="00E524D0" w:rsidP="00CD439E">
            <w:pPr>
              <w:tabs>
                <w:tab w:val="left" w:pos="3260"/>
              </w:tabs>
              <w:ind w:left="3260" w:right="858" w:hanging="2419"/>
            </w:pPr>
            <w:r w:rsidRPr="006C0AE1">
              <w:rPr>
                <w:b/>
              </w:rPr>
              <w:t>Action to be taken:</w:t>
            </w:r>
            <w:r w:rsidRPr="006C0AE1">
              <w:rPr>
                <w:b/>
              </w:rPr>
              <w:tab/>
            </w:r>
            <w:r w:rsidRPr="006C0AE1">
              <w:rPr>
                <w:bCs/>
              </w:rPr>
              <w:t>A</w:t>
            </w:r>
            <w:r w:rsidRPr="006C0AE1">
              <w:t>n exchange of views</w:t>
            </w:r>
            <w:r w:rsidRPr="006C0AE1">
              <w:rPr>
                <w:b/>
              </w:rPr>
              <w:t xml:space="preserve"> </w:t>
            </w:r>
            <w:r w:rsidRPr="006C0AE1">
              <w:t>on the interpretation of RID/ADR 6.8.2.2.11.</w:t>
            </w:r>
          </w:p>
          <w:p w14:paraId="438ED0D7" w14:textId="77777777" w:rsidR="00E524D0" w:rsidRPr="006C0AE1" w:rsidRDefault="00E524D0" w:rsidP="00CD439E">
            <w:pPr>
              <w:tabs>
                <w:tab w:val="left" w:pos="3260"/>
              </w:tabs>
              <w:ind w:left="3260" w:right="858" w:hanging="2419"/>
            </w:pPr>
          </w:p>
        </w:tc>
      </w:tr>
      <w:tr w:rsidR="00E524D0" w:rsidRPr="006C0AE1" w14:paraId="599EA529" w14:textId="77777777" w:rsidTr="00CD439E">
        <w:trPr>
          <w:jc w:val="center"/>
        </w:trPr>
        <w:tc>
          <w:tcPr>
            <w:tcW w:w="9082" w:type="dxa"/>
            <w:shd w:val="clear" w:color="auto" w:fill="auto"/>
          </w:tcPr>
          <w:p w14:paraId="057E4EB8" w14:textId="178477ED" w:rsidR="00E524D0" w:rsidRPr="006C0AE1" w:rsidRDefault="00E524D0" w:rsidP="00871865">
            <w:pPr>
              <w:tabs>
                <w:tab w:val="left" w:pos="3260"/>
              </w:tabs>
              <w:ind w:left="3260" w:right="1134" w:hanging="2419"/>
              <w:rPr>
                <w:bCs/>
              </w:rPr>
            </w:pPr>
            <w:r w:rsidRPr="006C0AE1">
              <w:rPr>
                <w:b/>
              </w:rPr>
              <w:t>Related documents:</w:t>
            </w:r>
            <w:r w:rsidRPr="006C0AE1">
              <w:rPr>
                <w:b/>
              </w:rPr>
              <w:tab/>
            </w:r>
            <w:bookmarkStart w:id="0" w:name="_Hlk89264015"/>
            <w:r w:rsidRPr="006C0AE1">
              <w:rPr>
                <w:bCs/>
              </w:rPr>
              <w:t>ECE/TRANS/WP.15/AC.1/2016/26</w:t>
            </w:r>
            <w:r w:rsidR="00871865" w:rsidRPr="006C0AE1">
              <w:rPr>
                <w:bCs/>
              </w:rPr>
              <w:br/>
              <w:t>ECE/TRANS/WP.15/AC.1/144/Add.1</w:t>
            </w:r>
            <w:bookmarkEnd w:id="0"/>
          </w:p>
        </w:tc>
      </w:tr>
      <w:tr w:rsidR="00E524D0" w:rsidRPr="006C0AE1" w14:paraId="5C68A25A" w14:textId="77777777" w:rsidTr="00CD439E">
        <w:trPr>
          <w:jc w:val="center"/>
        </w:trPr>
        <w:tc>
          <w:tcPr>
            <w:tcW w:w="9082" w:type="dxa"/>
            <w:shd w:val="clear" w:color="auto" w:fill="auto"/>
          </w:tcPr>
          <w:p w14:paraId="3632F834" w14:textId="77777777" w:rsidR="00E524D0" w:rsidRPr="006C0AE1" w:rsidRDefault="00E524D0" w:rsidP="00CD439E"/>
        </w:tc>
      </w:tr>
    </w:tbl>
    <w:p w14:paraId="35295121" w14:textId="77777777" w:rsidR="00E524D0" w:rsidRPr="006C0AE1" w:rsidRDefault="00E524D0" w:rsidP="00E524D0">
      <w:pPr>
        <w:pStyle w:val="SingleTxtG"/>
        <w:spacing w:after="0" w:line="240" w:lineRule="auto"/>
        <w:ind w:right="1188"/>
      </w:pPr>
    </w:p>
    <w:p w14:paraId="0D1A3130" w14:textId="1911D891" w:rsidR="00E524D0" w:rsidRPr="006C0AE1" w:rsidRDefault="00E524D0" w:rsidP="00E524D0">
      <w:pPr>
        <w:pStyle w:val="SingleTxtG"/>
      </w:pPr>
      <w:r w:rsidRPr="006C0AE1">
        <w:t>1.</w:t>
      </w:r>
      <w:r w:rsidRPr="006C0AE1">
        <w:tab/>
        <w:t xml:space="preserve">Following discussions in the Working Group on Tanks in September 2016 </w:t>
      </w:r>
      <w:r w:rsidR="00820234" w:rsidRPr="006C0AE1">
        <w:t>on</w:t>
      </w:r>
      <w:r w:rsidRPr="006C0AE1">
        <w:t xml:space="preserve"> the clarification of RID/ADR Chapter 6.8 with respect to level gauges, the following amendments were included in RID</w:t>
      </w:r>
      <w:r w:rsidR="0017481E" w:rsidRPr="006C0AE1">
        <w:t>/</w:t>
      </w:r>
      <w:r w:rsidRPr="006C0AE1">
        <w:t>ADR 2019:</w:t>
      </w:r>
    </w:p>
    <w:p w14:paraId="157D7E7B" w14:textId="77777777" w:rsidR="00E524D0" w:rsidRPr="006C0AE1" w:rsidRDefault="00E524D0" w:rsidP="00862153">
      <w:pPr>
        <w:pStyle w:val="SingleTxtG"/>
        <w:ind w:left="1701"/>
      </w:pPr>
      <w:r w:rsidRPr="006C0AE1">
        <w:t>Deletion of the first sentence to 6.8.3.2.6:</w:t>
      </w:r>
    </w:p>
    <w:p w14:paraId="0A6A0310" w14:textId="5746D9F6" w:rsidR="00E524D0" w:rsidRPr="006C0AE1" w:rsidRDefault="00E524D0" w:rsidP="00862153">
      <w:pPr>
        <w:pStyle w:val="SingleTxtG"/>
        <w:ind w:left="1701"/>
        <w:rPr>
          <w:i/>
          <w:iCs/>
        </w:rPr>
      </w:pPr>
      <w:r w:rsidRPr="006C0AE1">
        <w:rPr>
          <w:i/>
          <w:iCs/>
        </w:rPr>
        <w:t>“</w:t>
      </w:r>
      <w:r w:rsidRPr="006C0AE1">
        <w:rPr>
          <w:i/>
          <w:iCs/>
          <w:strike/>
        </w:rPr>
        <w:t>If the tanks are equipped with gauges in direct contact with the substance carried, the gauges shall not be made of a transparent material.</w:t>
      </w:r>
      <w:r w:rsidRPr="006C0AE1">
        <w:rPr>
          <w:i/>
          <w:iCs/>
        </w:rPr>
        <w:t xml:space="preserve"> If there are thermometers, they shall not project directly into the gas or liquid through the shell.”</w:t>
      </w:r>
    </w:p>
    <w:p w14:paraId="5BB798D0" w14:textId="6C54EB5D" w:rsidR="00E524D0" w:rsidRPr="006C0AE1" w:rsidRDefault="00E524D0" w:rsidP="00E34B01">
      <w:pPr>
        <w:pStyle w:val="SingleTxtG"/>
        <w:keepNext/>
        <w:keepLines/>
        <w:ind w:left="1701"/>
      </w:pPr>
      <w:r w:rsidRPr="006C0AE1">
        <w:lastRenderedPageBreak/>
        <w:t>Insertion of a new paragraph (6.8.2.2.11):</w:t>
      </w:r>
    </w:p>
    <w:p w14:paraId="2D6E4532" w14:textId="77777777" w:rsidR="00E524D0" w:rsidRPr="006C0AE1" w:rsidRDefault="00E524D0" w:rsidP="00E34B01">
      <w:pPr>
        <w:pStyle w:val="SingleTxtG"/>
        <w:keepNext/>
        <w:keepLines/>
        <w:ind w:left="1701"/>
        <w:rPr>
          <w:i/>
        </w:rPr>
      </w:pPr>
      <w:r w:rsidRPr="006C0AE1">
        <w:rPr>
          <w:i/>
        </w:rPr>
        <w:t>“Glass level-gauges and level-gauges made of other fragile material, which are in direct communication with the contents of the shell, shall not be used.”</w:t>
      </w:r>
    </w:p>
    <w:p w14:paraId="042BD261" w14:textId="77777777" w:rsidR="00E524D0" w:rsidRPr="006C0AE1" w:rsidRDefault="00E524D0" w:rsidP="00862153">
      <w:pPr>
        <w:pStyle w:val="SingleTxtG"/>
        <w:ind w:left="1701"/>
      </w:pPr>
      <w:r w:rsidRPr="006C0AE1">
        <w:t>And inclusion of the following transitional provision (1.6.3.52).</w:t>
      </w:r>
    </w:p>
    <w:p w14:paraId="20327BC7" w14:textId="1C4D723A" w:rsidR="00E524D0" w:rsidRPr="006C0AE1" w:rsidRDefault="00E524D0" w:rsidP="00862153">
      <w:pPr>
        <w:pStyle w:val="SingleTxtG"/>
        <w:ind w:left="1701"/>
        <w:rPr>
          <w:i/>
          <w:iCs/>
        </w:rPr>
      </w:pPr>
      <w:r w:rsidRPr="006C0AE1">
        <w:rPr>
          <w:i/>
          <w:iCs/>
        </w:rPr>
        <w:t xml:space="preserve">“Fixed tanks (tank-vehicles) and demountable tanks constructed before 1 July 2019 in accordance with the requirements in force up to 31 December </w:t>
      </w:r>
      <w:proofErr w:type="gramStart"/>
      <w:r w:rsidRPr="006C0AE1">
        <w:rPr>
          <w:i/>
          <w:iCs/>
        </w:rPr>
        <w:t>2018</w:t>
      </w:r>
      <w:proofErr w:type="gramEnd"/>
      <w:r w:rsidRPr="006C0AE1">
        <w:rPr>
          <w:i/>
          <w:iCs/>
        </w:rPr>
        <w:t xml:space="preserve"> but which however do not conform to the requirements of 6.8.2.2.11 applicable from 1 January 2019 may continue to be used.</w:t>
      </w:r>
      <w:r w:rsidR="001704D0" w:rsidRPr="006C0AE1">
        <w:rPr>
          <w:i/>
        </w:rPr>
        <w:t>”</w:t>
      </w:r>
    </w:p>
    <w:p w14:paraId="4BC33F09" w14:textId="703BC9BF" w:rsidR="00E524D0" w:rsidRPr="006C0AE1" w:rsidRDefault="00BD25AE" w:rsidP="00E524D0">
      <w:pPr>
        <w:pStyle w:val="SingleTxtG"/>
      </w:pPr>
      <w:r w:rsidRPr="006C0AE1">
        <w:t>2.</w:t>
      </w:r>
      <w:r w:rsidRPr="006C0AE1">
        <w:tab/>
      </w:r>
      <w:proofErr w:type="gramStart"/>
      <w:r w:rsidR="00E524D0" w:rsidRPr="006C0AE1">
        <w:t>Subsequent to</w:t>
      </w:r>
      <w:proofErr w:type="gramEnd"/>
      <w:r w:rsidR="00E524D0" w:rsidRPr="006C0AE1">
        <w:t xml:space="preserve"> </w:t>
      </w:r>
      <w:r w:rsidR="00E524D0" w:rsidRPr="006C0AE1">
        <w:rPr>
          <w:bCs/>
        </w:rPr>
        <w:t xml:space="preserve">ECE/TRANS/WP.15/AC.1/2016/26, the </w:t>
      </w:r>
      <w:r w:rsidR="00E524D0" w:rsidRPr="006C0AE1">
        <w:t xml:space="preserve">report of the Working Group on Tanks of September 2016 (ECE/TRANS/WP.15/AC.1/144/Add.1) set out key aspects of the discussions that lead to these amendments but does not provide all the detail. From this report the intention of the above changes </w:t>
      </w:r>
      <w:r w:rsidR="0004042B" w:rsidRPr="006C0AE1">
        <w:t>was</w:t>
      </w:r>
      <w:r w:rsidR="00E524D0" w:rsidRPr="006C0AE1">
        <w:t xml:space="preserve"> not clear and as drafted, we believe 6.8.2.2.11 could be open to different interpretations.</w:t>
      </w:r>
    </w:p>
    <w:p w14:paraId="2BB81792" w14:textId="5FA45818" w:rsidR="00E524D0" w:rsidRPr="006C0AE1" w:rsidRDefault="00BD25AE" w:rsidP="00E524D0">
      <w:pPr>
        <w:pStyle w:val="SingleTxtG"/>
      </w:pPr>
      <w:r w:rsidRPr="006C0AE1">
        <w:t>3.</w:t>
      </w:r>
      <w:r w:rsidRPr="006C0AE1">
        <w:tab/>
      </w:r>
      <w:r w:rsidR="00E524D0" w:rsidRPr="006C0AE1">
        <w:t>The United Kingdom would therefore welcome an exchange of views on the following points in relation to RID/ADR 6.8.2.2.11:</w:t>
      </w:r>
    </w:p>
    <w:p w14:paraId="0420E816" w14:textId="5816345B" w:rsidR="00E524D0" w:rsidRPr="006B7B7E" w:rsidRDefault="00E524D0" w:rsidP="00862153">
      <w:pPr>
        <w:pStyle w:val="SingleTxtG"/>
        <w:ind w:left="1701"/>
        <w:rPr>
          <w:b/>
          <w:bCs/>
          <w:i/>
        </w:rPr>
      </w:pPr>
      <w:r w:rsidRPr="006B7B7E">
        <w:rPr>
          <w:b/>
          <w:bCs/>
          <w:i/>
          <w:iCs/>
        </w:rPr>
        <w:t>“</w:t>
      </w:r>
      <w:r w:rsidRPr="006B7B7E">
        <w:rPr>
          <w:b/>
          <w:bCs/>
          <w:i/>
        </w:rPr>
        <w:t>Glass level-gauges and level-gauges made of other fragile material</w:t>
      </w:r>
      <w:r w:rsidR="006A17BD" w:rsidRPr="006B7B7E">
        <w:rPr>
          <w:b/>
          <w:bCs/>
          <w:i/>
        </w:rPr>
        <w:t xml:space="preserve"> </w:t>
      </w:r>
      <w:r w:rsidRPr="006B7B7E">
        <w:rPr>
          <w:b/>
          <w:bCs/>
          <w:i/>
        </w:rPr>
        <w:t>...”</w:t>
      </w:r>
    </w:p>
    <w:p w14:paraId="713714A4" w14:textId="4B75A670" w:rsidR="00E524D0" w:rsidRPr="006C0AE1" w:rsidRDefault="00E524D0" w:rsidP="009F3F7C">
      <w:pPr>
        <w:pStyle w:val="ListParagraph"/>
        <w:numPr>
          <w:ilvl w:val="0"/>
          <w:numId w:val="22"/>
        </w:numPr>
        <w:spacing w:before="120" w:after="120"/>
        <w:ind w:left="2127" w:right="1134" w:hanging="426"/>
        <w:jc w:val="both"/>
      </w:pPr>
      <w:r w:rsidRPr="009F3F7C">
        <w:rPr>
          <w:iCs/>
        </w:rPr>
        <w:t>A “glass” level gauge of the ‘sight glass’ type is clearly not permitted. However, it is not clear how the term “other fragile material” should be interpreted.</w:t>
      </w:r>
    </w:p>
    <w:p w14:paraId="691FD72E" w14:textId="77777777" w:rsidR="00E524D0" w:rsidRPr="006C0AE1" w:rsidRDefault="00E524D0" w:rsidP="006C4EF3">
      <w:pPr>
        <w:pStyle w:val="ListParagraph"/>
        <w:numPr>
          <w:ilvl w:val="0"/>
          <w:numId w:val="22"/>
        </w:numPr>
        <w:spacing w:before="120" w:after="120"/>
        <w:ind w:left="2127" w:right="1134" w:hanging="426"/>
        <w:jc w:val="both"/>
      </w:pPr>
      <w:r w:rsidRPr="006C0AE1">
        <w:rPr>
          <w:iCs/>
        </w:rPr>
        <w:t>It would seem the intention of using the term “other fragile material” is to prohibit the use of materials that have comparable properties to glass? (</w:t>
      </w:r>
      <w:proofErr w:type="gramStart"/>
      <w:r w:rsidRPr="006C0AE1">
        <w:rPr>
          <w:iCs/>
        </w:rPr>
        <w:t>i.e.</w:t>
      </w:r>
      <w:proofErr w:type="gramEnd"/>
      <w:r w:rsidRPr="006C0AE1">
        <w:rPr>
          <w:iCs/>
        </w:rPr>
        <w:t xml:space="preserve"> prohibit those having an equivalent level of fragility to glass).</w:t>
      </w:r>
    </w:p>
    <w:p w14:paraId="058EE671" w14:textId="77777777" w:rsidR="00E524D0" w:rsidRPr="006C0AE1" w:rsidRDefault="00E524D0" w:rsidP="006C4EF3">
      <w:pPr>
        <w:pStyle w:val="ListParagraph"/>
        <w:numPr>
          <w:ilvl w:val="0"/>
          <w:numId w:val="22"/>
        </w:numPr>
        <w:spacing w:before="120" w:after="120"/>
        <w:ind w:left="2127" w:right="1134" w:hanging="426"/>
        <w:jc w:val="both"/>
      </w:pPr>
      <w:r w:rsidRPr="006C0AE1">
        <w:rPr>
          <w:iCs/>
        </w:rPr>
        <w:t>It therefore follows that a level gauge made of a material such as acrylic which demonstrates a strength and resistance to impact which is greater than “glass” might be considered acceptable.</w:t>
      </w:r>
    </w:p>
    <w:p w14:paraId="521C9AC6" w14:textId="3B9BEE24" w:rsidR="00E524D0" w:rsidRPr="006B7B7E" w:rsidRDefault="00E524D0" w:rsidP="00862153">
      <w:pPr>
        <w:pStyle w:val="SingleTxtG"/>
        <w:spacing w:before="120"/>
        <w:ind w:left="1701"/>
        <w:rPr>
          <w:b/>
          <w:bCs/>
          <w:iCs/>
        </w:rPr>
      </w:pPr>
      <w:r w:rsidRPr="006B7B7E">
        <w:rPr>
          <w:b/>
          <w:bCs/>
          <w:i/>
        </w:rPr>
        <w:t>“…</w:t>
      </w:r>
      <w:r w:rsidR="006A17BD" w:rsidRPr="006B7B7E">
        <w:rPr>
          <w:b/>
          <w:bCs/>
          <w:i/>
        </w:rPr>
        <w:t xml:space="preserve"> </w:t>
      </w:r>
      <w:r w:rsidRPr="006B7B7E">
        <w:rPr>
          <w:b/>
          <w:bCs/>
          <w:i/>
        </w:rPr>
        <w:t xml:space="preserve">which are in direct communication with the </w:t>
      </w:r>
      <w:bookmarkStart w:id="1" w:name="_Hlk76638608"/>
      <w:r w:rsidRPr="006B7B7E">
        <w:rPr>
          <w:b/>
          <w:bCs/>
          <w:i/>
        </w:rPr>
        <w:t>contents of the shell</w:t>
      </w:r>
      <w:bookmarkEnd w:id="1"/>
      <w:r w:rsidR="006A17BD" w:rsidRPr="006B7B7E">
        <w:rPr>
          <w:b/>
          <w:bCs/>
          <w:i/>
        </w:rPr>
        <w:t xml:space="preserve"> </w:t>
      </w:r>
      <w:r w:rsidRPr="006B7B7E">
        <w:rPr>
          <w:b/>
          <w:bCs/>
          <w:i/>
        </w:rPr>
        <w:t>...”</w:t>
      </w:r>
    </w:p>
    <w:p w14:paraId="47AC5947" w14:textId="6A1B9169" w:rsidR="00E524D0" w:rsidRPr="006C0AE1" w:rsidRDefault="00E524D0" w:rsidP="00862153">
      <w:pPr>
        <w:numPr>
          <w:ilvl w:val="0"/>
          <w:numId w:val="22"/>
        </w:numPr>
        <w:spacing w:before="120" w:after="120"/>
        <w:ind w:left="2268" w:right="1134" w:hanging="567"/>
        <w:jc w:val="both"/>
      </w:pPr>
      <w:r w:rsidRPr="006C0AE1">
        <w:t xml:space="preserve">If a ‘sight-glass’ type of level gauge incorporates shut-off valves at the top and bottom, </w:t>
      </w:r>
      <w:r w:rsidRPr="006C0AE1">
        <w:rPr>
          <w:iCs/>
        </w:rPr>
        <w:t>such</w:t>
      </w:r>
      <w:r w:rsidRPr="006C0AE1">
        <w:t xml:space="preserve"> that the level gauge is not in direct communication with the contents of the shell during carriage, might this be considered acceptable.</w:t>
      </w:r>
    </w:p>
    <w:p w14:paraId="39E9DC73" w14:textId="36524A64" w:rsidR="00E524D0" w:rsidRPr="006C0AE1" w:rsidRDefault="00E524D0" w:rsidP="00862153">
      <w:pPr>
        <w:numPr>
          <w:ilvl w:val="0"/>
          <w:numId w:val="22"/>
        </w:numPr>
        <w:spacing w:before="120" w:after="120"/>
        <w:ind w:left="2268" w:right="1134" w:hanging="567"/>
        <w:jc w:val="both"/>
      </w:pPr>
      <w:r w:rsidRPr="006C0AE1">
        <w:t xml:space="preserve">However, if the intention is that level gauges made of “glass or other fragile material” </w:t>
      </w:r>
      <w:r w:rsidRPr="006C0AE1">
        <w:rPr>
          <w:iCs/>
        </w:rPr>
        <w:t>should</w:t>
      </w:r>
      <w:r w:rsidRPr="006C0AE1">
        <w:t xml:space="preserve"> under no circumstances be in direct contact with the “</w:t>
      </w:r>
      <w:r w:rsidRPr="006C0AE1">
        <w:rPr>
          <w:iCs/>
        </w:rPr>
        <w:t xml:space="preserve">contents of the shell”, </w:t>
      </w:r>
      <w:proofErr w:type="gramStart"/>
      <w:r w:rsidRPr="006C0AE1">
        <w:rPr>
          <w:iCs/>
        </w:rPr>
        <w:t>it would seem that only</w:t>
      </w:r>
      <w:proofErr w:type="gramEnd"/>
      <w:r w:rsidRPr="006C0AE1">
        <w:rPr>
          <w:iCs/>
        </w:rPr>
        <w:t xml:space="preserve"> level gauges of a ‘float’ type design, where the </w:t>
      </w:r>
      <w:r w:rsidRPr="006C0AE1">
        <w:t xml:space="preserve">“glass or other fragile material” </w:t>
      </w:r>
      <w:r w:rsidRPr="006C0AE1">
        <w:rPr>
          <w:iCs/>
        </w:rPr>
        <w:t>is wholly separated from the shell contents might be permitted:</w:t>
      </w:r>
    </w:p>
    <w:tbl>
      <w:tblPr>
        <w:tblStyle w:val="TableGrid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126"/>
      </w:tblGrid>
      <w:tr w:rsidR="008653AC" w14:paraId="3E086C23" w14:textId="77777777" w:rsidTr="007D000B">
        <w:tc>
          <w:tcPr>
            <w:tcW w:w="1985" w:type="dxa"/>
          </w:tcPr>
          <w:p w14:paraId="25601636" w14:textId="5FB54BAF" w:rsidR="00193BF3" w:rsidRDefault="00193BF3" w:rsidP="00E524D0">
            <w:pPr>
              <w:ind w:right="1188"/>
              <w:jc w:val="both"/>
              <w:rPr>
                <w:iCs/>
              </w:rPr>
            </w:pPr>
            <w:r w:rsidRPr="008D4EE0">
              <w:rPr>
                <w:noProof/>
                <w:color w:val="FF0000"/>
                <w:sz w:val="52"/>
                <w:szCs w:val="52"/>
              </w:rPr>
              <w:drawing>
                <wp:anchor distT="0" distB="0" distL="114300" distR="114300" simplePos="0" relativeHeight="251660288" behindDoc="1" locked="0" layoutInCell="1" allowOverlap="1" wp14:anchorId="49256572" wp14:editId="1BD860A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152400</wp:posOffset>
                  </wp:positionV>
                  <wp:extent cx="1184910" cy="1509395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183" y="21264"/>
                      <wp:lineTo x="2118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30" b="6885"/>
                          <a:stretch/>
                        </pic:blipFill>
                        <pic:spPr bwMode="auto">
                          <a:xfrm>
                            <a:off x="0" y="0"/>
                            <a:ext cx="1184910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bottom"/>
          </w:tcPr>
          <w:p w14:paraId="7240DF6B" w14:textId="0B16DBD5" w:rsidR="00193BF3" w:rsidRDefault="00193BF3" w:rsidP="00E524D0">
            <w:pPr>
              <w:ind w:right="1188"/>
              <w:jc w:val="both"/>
              <w:rPr>
                <w:iCs/>
              </w:rPr>
            </w:pPr>
            <w:r w:rsidRPr="006C0AE1">
              <w:rPr>
                <w:color w:val="FF0000"/>
                <w:sz w:val="52"/>
                <w:szCs w:val="52"/>
              </w:rPr>
              <w:sym w:font="Wingdings" w:char="F0FC"/>
            </w:r>
          </w:p>
        </w:tc>
        <w:tc>
          <w:tcPr>
            <w:tcW w:w="2126" w:type="dxa"/>
          </w:tcPr>
          <w:p w14:paraId="3DC808DA" w14:textId="1ABD4F68" w:rsidR="00193BF3" w:rsidRDefault="00193BF3" w:rsidP="00E524D0">
            <w:pPr>
              <w:ind w:right="1188"/>
              <w:jc w:val="both"/>
              <w:rPr>
                <w:iCs/>
              </w:rPr>
            </w:pPr>
            <w:r w:rsidRPr="006C0AE1">
              <w:rPr>
                <w:noProof/>
              </w:rPr>
              <w:drawing>
                <wp:inline distT="0" distB="0" distL="0" distR="0" wp14:anchorId="2D081D60" wp14:editId="2B5BC03F">
                  <wp:extent cx="355790" cy="162179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69144" t="20786" r="26802" b="20708"/>
                          <a:stretch/>
                        </pic:blipFill>
                        <pic:spPr bwMode="auto">
                          <a:xfrm>
                            <a:off x="0" y="0"/>
                            <a:ext cx="382061" cy="174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C0AE1">
              <w:rPr>
                <w:color w:val="FF0000"/>
                <w:sz w:val="52"/>
                <w:szCs w:val="52"/>
              </w:rPr>
              <w:sym w:font="Wingdings" w:char="F0FB"/>
            </w:r>
          </w:p>
        </w:tc>
      </w:tr>
    </w:tbl>
    <w:p w14:paraId="33B7B2CC" w14:textId="009A22F1" w:rsidR="00193BF3" w:rsidRDefault="00193BF3" w:rsidP="00E524D0">
      <w:pPr>
        <w:ind w:left="1701" w:right="1188" w:hanging="567"/>
        <w:jc w:val="both"/>
        <w:rPr>
          <w:iCs/>
        </w:rPr>
      </w:pPr>
    </w:p>
    <w:p w14:paraId="09F329BB" w14:textId="54209900" w:rsidR="00E524D0" w:rsidRPr="006C0AE1" w:rsidRDefault="00BD25AE" w:rsidP="00E524D0">
      <w:pPr>
        <w:pStyle w:val="SingleTxtG"/>
      </w:pPr>
      <w:r w:rsidRPr="006C0AE1">
        <w:t>4.</w:t>
      </w:r>
      <w:r w:rsidRPr="006C0AE1">
        <w:tab/>
      </w:r>
      <w:r w:rsidR="00E524D0" w:rsidRPr="006C0AE1">
        <w:t>In the opinion of the United Kingdom, the requirements of RID/ADR 6.8.2.2.11 are not clear and therefore, should the Working Group on Tanks agree that clarification would be helpful, the United Kingdom will propose amendments for a future session of the Joint Meeting.</w:t>
      </w:r>
    </w:p>
    <w:p w14:paraId="6E23EF9E" w14:textId="0F0F8BE3" w:rsidR="00E524D0" w:rsidRPr="00D635C9" w:rsidRDefault="00E524D0" w:rsidP="00E524D0">
      <w:pPr>
        <w:spacing w:after="120"/>
        <w:ind w:left="1134" w:right="621"/>
        <w:jc w:val="center"/>
        <w:rPr>
          <w:bCs/>
        </w:rPr>
      </w:pPr>
      <w:r w:rsidRPr="00D635C9">
        <w:rPr>
          <w:bCs/>
        </w:rPr>
        <w:t>_________________</w:t>
      </w:r>
    </w:p>
    <w:sectPr w:rsidR="00E524D0" w:rsidRPr="00D635C9" w:rsidSect="00324A7D">
      <w:headerReference w:type="even" r:id="rId14"/>
      <w:headerReference w:type="default" r:id="rId15"/>
      <w:footerReference w:type="even" r:id="rId16"/>
      <w:footerReference w:type="defaul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EED4C" w14:textId="77777777" w:rsidR="00844C63" w:rsidRDefault="00844C63"/>
  </w:endnote>
  <w:endnote w:type="continuationSeparator" w:id="0">
    <w:p w14:paraId="401A9302" w14:textId="77777777" w:rsidR="00844C63" w:rsidRDefault="00844C63"/>
  </w:endnote>
  <w:endnote w:type="continuationNotice" w:id="1">
    <w:p w14:paraId="0122FA2C" w14:textId="77777777" w:rsidR="00844C63" w:rsidRDefault="00844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B88C" w14:textId="2B729D72" w:rsidR="00324A7D" w:rsidRPr="00324A7D" w:rsidRDefault="00324A7D" w:rsidP="00324A7D">
    <w:pPr>
      <w:pStyle w:val="Footer"/>
      <w:tabs>
        <w:tab w:val="right" w:pos="9638"/>
      </w:tabs>
      <w:rPr>
        <w:sz w:val="18"/>
      </w:rPr>
    </w:pPr>
    <w:r w:rsidRPr="00324A7D">
      <w:rPr>
        <w:b/>
        <w:sz w:val="18"/>
      </w:rPr>
      <w:fldChar w:fldCharType="begin"/>
    </w:r>
    <w:r w:rsidRPr="00324A7D">
      <w:rPr>
        <w:b/>
        <w:sz w:val="18"/>
      </w:rPr>
      <w:instrText xml:space="preserve"> PAGE  \* MERGEFORMAT </w:instrText>
    </w:r>
    <w:r w:rsidRPr="00324A7D">
      <w:rPr>
        <w:b/>
        <w:sz w:val="18"/>
      </w:rPr>
      <w:fldChar w:fldCharType="separate"/>
    </w:r>
    <w:r w:rsidRPr="00324A7D">
      <w:rPr>
        <w:b/>
        <w:noProof/>
        <w:sz w:val="18"/>
      </w:rPr>
      <w:t>2</w:t>
    </w:r>
    <w:r w:rsidRPr="00324A7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97490" w14:textId="74159DAB" w:rsidR="00324A7D" w:rsidRPr="00324A7D" w:rsidRDefault="00324A7D" w:rsidP="00324A7D">
    <w:pPr>
      <w:pStyle w:val="Footer"/>
      <w:tabs>
        <w:tab w:val="right" w:pos="9638"/>
      </w:tabs>
      <w:rPr>
        <w:b/>
        <w:sz w:val="18"/>
      </w:rPr>
    </w:pPr>
    <w:r>
      <w:tab/>
    </w:r>
    <w:r w:rsidRPr="00324A7D">
      <w:rPr>
        <w:b/>
        <w:sz w:val="18"/>
      </w:rPr>
      <w:fldChar w:fldCharType="begin"/>
    </w:r>
    <w:r w:rsidRPr="00324A7D">
      <w:rPr>
        <w:b/>
        <w:sz w:val="18"/>
      </w:rPr>
      <w:instrText xml:space="preserve"> PAGE  \* MERGEFORMAT </w:instrText>
    </w:r>
    <w:r w:rsidRPr="00324A7D">
      <w:rPr>
        <w:b/>
        <w:sz w:val="18"/>
      </w:rPr>
      <w:fldChar w:fldCharType="separate"/>
    </w:r>
    <w:r w:rsidRPr="00324A7D">
      <w:rPr>
        <w:b/>
        <w:noProof/>
        <w:sz w:val="18"/>
      </w:rPr>
      <w:t>3</w:t>
    </w:r>
    <w:r w:rsidRPr="00324A7D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5AFC1" w14:textId="77777777" w:rsidR="00844C63" w:rsidRPr="000B175B" w:rsidRDefault="00844C6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4510FB6" w14:textId="77777777" w:rsidR="00844C63" w:rsidRPr="00FC68B7" w:rsidRDefault="00844C6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55F48FD" w14:textId="77777777" w:rsidR="00844C63" w:rsidRDefault="00844C63"/>
  </w:footnote>
  <w:footnote w:id="2">
    <w:p w14:paraId="6D2EA43D" w14:textId="556C35BA" w:rsidR="004C0480" w:rsidRPr="00EC1ECD" w:rsidRDefault="004C0480" w:rsidP="004C0480">
      <w:pPr>
        <w:pStyle w:val="FootnoteText"/>
        <w:rPr>
          <w:sz w:val="20"/>
        </w:rPr>
      </w:pPr>
      <w:r>
        <w:rPr>
          <w:sz w:val="20"/>
        </w:rPr>
        <w:tab/>
      </w:r>
      <w:r w:rsidRPr="00EC1ECD">
        <w:rPr>
          <w:rStyle w:val="FootnoteReference"/>
          <w:sz w:val="20"/>
        </w:rPr>
        <w:t>*</w:t>
      </w:r>
      <w:r w:rsidRPr="00EC1ECD">
        <w:rPr>
          <w:sz w:val="20"/>
        </w:rPr>
        <w:tab/>
      </w:r>
      <w:r w:rsidRPr="00EC1ECD">
        <w:t>A/76/6 (Sect.20), para</w:t>
      </w:r>
      <w:r w:rsidR="00EC1ECD" w:rsidRPr="00EC1ECD">
        <w:t>.</w:t>
      </w:r>
      <w:r w:rsidRPr="00EC1ECD">
        <w:t xml:space="preserve"> 20.76.</w:t>
      </w:r>
    </w:p>
  </w:footnote>
  <w:footnote w:id="3">
    <w:p w14:paraId="315FAC60" w14:textId="6C5CCAB1" w:rsidR="004C0480" w:rsidRPr="006756A8" w:rsidRDefault="004C0480" w:rsidP="00EC1ECD">
      <w:pPr>
        <w:pStyle w:val="FootnoteText"/>
        <w:rPr>
          <w:rStyle w:val="FootnoteReference"/>
          <w:sz w:val="20"/>
        </w:rPr>
      </w:pPr>
      <w:r w:rsidRPr="00EC1ECD">
        <w:rPr>
          <w:rStyle w:val="FootnoteReference"/>
          <w:sz w:val="20"/>
        </w:rPr>
        <w:tab/>
        <w:t>**</w:t>
      </w:r>
      <w:r w:rsidRPr="00EC1ECD">
        <w:rPr>
          <w:sz w:val="20"/>
        </w:rPr>
        <w:tab/>
      </w:r>
      <w:r w:rsidRPr="00E92B15">
        <w:rPr>
          <w:szCs w:val="18"/>
        </w:rPr>
        <w:tab/>
        <w:t xml:space="preserve">Circulated by the Intergovernmental Organisation for International Carriage by Rail (OTIF) under the </w:t>
      </w:r>
      <w:r w:rsidRPr="00E92B15">
        <w:rPr>
          <w:rStyle w:val="FootnoteReference"/>
          <w:szCs w:val="18"/>
          <w:vertAlign w:val="baseline"/>
        </w:rPr>
        <w:t>symbol OTIF/RID/RC/2022/3</w:t>
      </w:r>
      <w:r w:rsidRPr="006756A8">
        <w:rPr>
          <w:rStyle w:val="FootnoteReference"/>
          <w:sz w:val="20"/>
        </w:rPr>
        <w:t>.</w:t>
      </w:r>
    </w:p>
  </w:footnote>
  <w:footnote w:id="4">
    <w:p w14:paraId="07E19FAA" w14:textId="1C42D2BA" w:rsidR="00AC095D" w:rsidRPr="00AC095D" w:rsidRDefault="006756A8" w:rsidP="00E92B15">
      <w:pPr>
        <w:pStyle w:val="FootnoteText"/>
        <w:ind w:hanging="283"/>
        <w:rPr>
          <w:lang w:val="fr-CH"/>
        </w:rPr>
      </w:pPr>
      <w:r>
        <w:tab/>
      </w:r>
      <w:r w:rsidR="00AC095D" w:rsidRPr="006756A8">
        <w:rPr>
          <w:rStyle w:val="FootnoteReference"/>
          <w:sz w:val="20"/>
        </w:rPr>
        <w:sym w:font="Symbol" w:char="F02A"/>
      </w:r>
      <w:r w:rsidR="00AC095D" w:rsidRPr="006756A8">
        <w:rPr>
          <w:rStyle w:val="FootnoteReference"/>
          <w:sz w:val="20"/>
        </w:rPr>
        <w:sym w:font="Symbol" w:char="F02A"/>
      </w:r>
      <w:r w:rsidR="00AC095D" w:rsidRPr="006756A8">
        <w:rPr>
          <w:rStyle w:val="FootnoteReference"/>
          <w:sz w:val="20"/>
        </w:rPr>
        <w:sym w:font="Symbol" w:char="F02A"/>
      </w:r>
      <w:r w:rsidR="00AC095D">
        <w:t xml:space="preserve"> </w:t>
      </w:r>
      <w:r w:rsidR="00AC095D" w:rsidRPr="00171F36">
        <w:rPr>
          <w:szCs w:val="18"/>
        </w:rPr>
        <w:t>This document was scheduled for publication after the standard publication date owing to circumstances beyond the submitter's control</w:t>
      </w:r>
      <w:r w:rsidR="00AC095D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1AFF" w14:textId="0F2C8F03" w:rsidR="00324A7D" w:rsidRPr="00324A7D" w:rsidRDefault="008E76E2">
    <w:pPr>
      <w:pStyle w:val="Header"/>
    </w:pPr>
    <w:fldSimple w:instr=" TITLE  \* MERGEFORMAT ">
      <w:r w:rsidR="00324A7D">
        <w:t>ECE/TRANS/WP.15/AC.1/2022/3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C616" w14:textId="6344DF89" w:rsidR="00324A7D" w:rsidRPr="00324A7D" w:rsidRDefault="008E76E2" w:rsidP="00324A7D">
    <w:pPr>
      <w:pStyle w:val="Header"/>
      <w:jc w:val="right"/>
    </w:pPr>
    <w:fldSimple w:instr=" TITLE  \* MERGEFORMAT ">
      <w:r w:rsidR="00324A7D">
        <w:t>ECE/TRANS/WP.15/AC.1/2022/3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16379"/>
    <w:multiLevelType w:val="hybridMultilevel"/>
    <w:tmpl w:val="F998D2A6"/>
    <w:lvl w:ilvl="0" w:tplc="D522330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A626A"/>
    <w:multiLevelType w:val="hybridMultilevel"/>
    <w:tmpl w:val="E0D0257A"/>
    <w:lvl w:ilvl="0" w:tplc="B31A841C">
      <w:start w:val="1"/>
      <w:numFmt w:val="decimal"/>
      <w:lvlText w:val="%1."/>
      <w:lvlJc w:val="left"/>
      <w:pPr>
        <w:ind w:left="1704" w:hanging="57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8"/>
  </w:num>
  <w:num w:numId="18">
    <w:abstractNumId w:val="19"/>
  </w:num>
  <w:num w:numId="19">
    <w:abstractNumId w:val="11"/>
  </w:num>
  <w:num w:numId="20">
    <w:abstractNumId w:val="11"/>
  </w:num>
  <w:num w:numId="21">
    <w:abstractNumId w:val="20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7D"/>
    <w:rsid w:val="00002A7D"/>
    <w:rsid w:val="000038A8"/>
    <w:rsid w:val="00006790"/>
    <w:rsid w:val="00027624"/>
    <w:rsid w:val="000309AE"/>
    <w:rsid w:val="0004042B"/>
    <w:rsid w:val="00050F6B"/>
    <w:rsid w:val="000678CD"/>
    <w:rsid w:val="00072C8C"/>
    <w:rsid w:val="00081CE0"/>
    <w:rsid w:val="00084D30"/>
    <w:rsid w:val="00090320"/>
    <w:rsid w:val="000931C0"/>
    <w:rsid w:val="0009732C"/>
    <w:rsid w:val="000A01F9"/>
    <w:rsid w:val="000A2E09"/>
    <w:rsid w:val="000B175B"/>
    <w:rsid w:val="000B3A0F"/>
    <w:rsid w:val="000E0415"/>
    <w:rsid w:val="000F7715"/>
    <w:rsid w:val="00112154"/>
    <w:rsid w:val="00116663"/>
    <w:rsid w:val="00156B99"/>
    <w:rsid w:val="00166124"/>
    <w:rsid w:val="001704D0"/>
    <w:rsid w:val="00171F36"/>
    <w:rsid w:val="001745A0"/>
    <w:rsid w:val="0017481E"/>
    <w:rsid w:val="00184DDA"/>
    <w:rsid w:val="001900CD"/>
    <w:rsid w:val="00193BF3"/>
    <w:rsid w:val="001A0452"/>
    <w:rsid w:val="001A1028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0F7F"/>
    <w:rsid w:val="00247258"/>
    <w:rsid w:val="00257CAC"/>
    <w:rsid w:val="00264441"/>
    <w:rsid w:val="0027237A"/>
    <w:rsid w:val="002974E9"/>
    <w:rsid w:val="002A36D7"/>
    <w:rsid w:val="002A7F94"/>
    <w:rsid w:val="002B08F4"/>
    <w:rsid w:val="002B109A"/>
    <w:rsid w:val="002C6D45"/>
    <w:rsid w:val="002D6E53"/>
    <w:rsid w:val="002E229C"/>
    <w:rsid w:val="002F046D"/>
    <w:rsid w:val="002F3023"/>
    <w:rsid w:val="00301764"/>
    <w:rsid w:val="003229D8"/>
    <w:rsid w:val="00324A7D"/>
    <w:rsid w:val="00336C97"/>
    <w:rsid w:val="00337F88"/>
    <w:rsid w:val="00342432"/>
    <w:rsid w:val="0035223F"/>
    <w:rsid w:val="00352D4B"/>
    <w:rsid w:val="0035638C"/>
    <w:rsid w:val="003754AA"/>
    <w:rsid w:val="003A46BB"/>
    <w:rsid w:val="003A4EC7"/>
    <w:rsid w:val="003A7295"/>
    <w:rsid w:val="003B1F60"/>
    <w:rsid w:val="003B512E"/>
    <w:rsid w:val="003C2CC4"/>
    <w:rsid w:val="003C332D"/>
    <w:rsid w:val="003D4B23"/>
    <w:rsid w:val="003E278A"/>
    <w:rsid w:val="004110BF"/>
    <w:rsid w:val="00413520"/>
    <w:rsid w:val="004325CB"/>
    <w:rsid w:val="00440A07"/>
    <w:rsid w:val="004609DC"/>
    <w:rsid w:val="00462880"/>
    <w:rsid w:val="00476F24"/>
    <w:rsid w:val="004B7C64"/>
    <w:rsid w:val="004C0480"/>
    <w:rsid w:val="004C55B0"/>
    <w:rsid w:val="004F6BA0"/>
    <w:rsid w:val="00503BEA"/>
    <w:rsid w:val="00533616"/>
    <w:rsid w:val="00535ABA"/>
    <w:rsid w:val="0053768B"/>
    <w:rsid w:val="005420F2"/>
    <w:rsid w:val="0054285C"/>
    <w:rsid w:val="00555F6B"/>
    <w:rsid w:val="00584173"/>
    <w:rsid w:val="00595520"/>
    <w:rsid w:val="005A44B9"/>
    <w:rsid w:val="005A517A"/>
    <w:rsid w:val="005B1BA0"/>
    <w:rsid w:val="005B3DB3"/>
    <w:rsid w:val="005D15CA"/>
    <w:rsid w:val="005D7969"/>
    <w:rsid w:val="005F08DF"/>
    <w:rsid w:val="005F3066"/>
    <w:rsid w:val="005F3E61"/>
    <w:rsid w:val="0060276A"/>
    <w:rsid w:val="00604DDD"/>
    <w:rsid w:val="006115CC"/>
    <w:rsid w:val="00611FC4"/>
    <w:rsid w:val="006176FB"/>
    <w:rsid w:val="00630FCB"/>
    <w:rsid w:val="00640B26"/>
    <w:rsid w:val="0065766B"/>
    <w:rsid w:val="006756A8"/>
    <w:rsid w:val="006770B2"/>
    <w:rsid w:val="006829E5"/>
    <w:rsid w:val="00686A48"/>
    <w:rsid w:val="006940E1"/>
    <w:rsid w:val="006A17BD"/>
    <w:rsid w:val="006A3C72"/>
    <w:rsid w:val="006A7392"/>
    <w:rsid w:val="006B03A1"/>
    <w:rsid w:val="006B67D9"/>
    <w:rsid w:val="006B7B7E"/>
    <w:rsid w:val="006C0AE1"/>
    <w:rsid w:val="006C4EF3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86A3D"/>
    <w:rsid w:val="0079085F"/>
    <w:rsid w:val="007959FE"/>
    <w:rsid w:val="007A0CF1"/>
    <w:rsid w:val="007A478E"/>
    <w:rsid w:val="007B6BA5"/>
    <w:rsid w:val="007C3390"/>
    <w:rsid w:val="007C42D8"/>
    <w:rsid w:val="007C4F4B"/>
    <w:rsid w:val="007D000B"/>
    <w:rsid w:val="007D7362"/>
    <w:rsid w:val="007F5CE2"/>
    <w:rsid w:val="007F6611"/>
    <w:rsid w:val="00800522"/>
    <w:rsid w:val="00810BAC"/>
    <w:rsid w:val="008175E9"/>
    <w:rsid w:val="00820234"/>
    <w:rsid w:val="008242D7"/>
    <w:rsid w:val="0082577B"/>
    <w:rsid w:val="008272DD"/>
    <w:rsid w:val="00844561"/>
    <w:rsid w:val="00844C63"/>
    <w:rsid w:val="00862153"/>
    <w:rsid w:val="008653AC"/>
    <w:rsid w:val="00866893"/>
    <w:rsid w:val="00866F02"/>
    <w:rsid w:val="00867D18"/>
    <w:rsid w:val="00871865"/>
    <w:rsid w:val="00871F9A"/>
    <w:rsid w:val="00871FD5"/>
    <w:rsid w:val="0088172E"/>
    <w:rsid w:val="00881EFA"/>
    <w:rsid w:val="008879CB"/>
    <w:rsid w:val="008979B1"/>
    <w:rsid w:val="008A6B25"/>
    <w:rsid w:val="008A6C4F"/>
    <w:rsid w:val="008A77AE"/>
    <w:rsid w:val="008B389E"/>
    <w:rsid w:val="008D045E"/>
    <w:rsid w:val="008D3F25"/>
    <w:rsid w:val="008D4D82"/>
    <w:rsid w:val="008D4EE0"/>
    <w:rsid w:val="008E0E46"/>
    <w:rsid w:val="008E7116"/>
    <w:rsid w:val="008E76E2"/>
    <w:rsid w:val="008F143B"/>
    <w:rsid w:val="008F3882"/>
    <w:rsid w:val="008F4B7C"/>
    <w:rsid w:val="00906FA4"/>
    <w:rsid w:val="00926E47"/>
    <w:rsid w:val="00947162"/>
    <w:rsid w:val="00955667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D01C0"/>
    <w:rsid w:val="009D6A08"/>
    <w:rsid w:val="009E0A16"/>
    <w:rsid w:val="009E1875"/>
    <w:rsid w:val="009E6CB7"/>
    <w:rsid w:val="009E7970"/>
    <w:rsid w:val="009F2EAC"/>
    <w:rsid w:val="009F3F7C"/>
    <w:rsid w:val="009F57E3"/>
    <w:rsid w:val="00A10F4F"/>
    <w:rsid w:val="00A11067"/>
    <w:rsid w:val="00A1704A"/>
    <w:rsid w:val="00A30C7C"/>
    <w:rsid w:val="00A408E2"/>
    <w:rsid w:val="00A416F3"/>
    <w:rsid w:val="00A425EB"/>
    <w:rsid w:val="00A72F22"/>
    <w:rsid w:val="00A733BC"/>
    <w:rsid w:val="00A748A6"/>
    <w:rsid w:val="00A76A69"/>
    <w:rsid w:val="00A77FDB"/>
    <w:rsid w:val="00A879A4"/>
    <w:rsid w:val="00AA0FF8"/>
    <w:rsid w:val="00AC095D"/>
    <w:rsid w:val="00AC0F2C"/>
    <w:rsid w:val="00AC502A"/>
    <w:rsid w:val="00AF58C1"/>
    <w:rsid w:val="00B010CD"/>
    <w:rsid w:val="00B04A3F"/>
    <w:rsid w:val="00B06643"/>
    <w:rsid w:val="00B15055"/>
    <w:rsid w:val="00B20551"/>
    <w:rsid w:val="00B30179"/>
    <w:rsid w:val="00B33FC7"/>
    <w:rsid w:val="00B37B15"/>
    <w:rsid w:val="00B45C02"/>
    <w:rsid w:val="00B70B63"/>
    <w:rsid w:val="00B72A1E"/>
    <w:rsid w:val="00B81E12"/>
    <w:rsid w:val="00BA339B"/>
    <w:rsid w:val="00BB23CC"/>
    <w:rsid w:val="00BC1E7E"/>
    <w:rsid w:val="00BC74E9"/>
    <w:rsid w:val="00BD25AE"/>
    <w:rsid w:val="00BD6757"/>
    <w:rsid w:val="00BE36A9"/>
    <w:rsid w:val="00BE618E"/>
    <w:rsid w:val="00BE7BEC"/>
    <w:rsid w:val="00BF0A5A"/>
    <w:rsid w:val="00BF0E63"/>
    <w:rsid w:val="00BF12A3"/>
    <w:rsid w:val="00BF16D7"/>
    <w:rsid w:val="00BF2373"/>
    <w:rsid w:val="00C0294F"/>
    <w:rsid w:val="00C044E2"/>
    <w:rsid w:val="00C048CB"/>
    <w:rsid w:val="00C066F3"/>
    <w:rsid w:val="00C408B7"/>
    <w:rsid w:val="00C411EB"/>
    <w:rsid w:val="00C463DD"/>
    <w:rsid w:val="00C66FA4"/>
    <w:rsid w:val="00C745C3"/>
    <w:rsid w:val="00C978F5"/>
    <w:rsid w:val="00CA24A4"/>
    <w:rsid w:val="00CB348D"/>
    <w:rsid w:val="00CD46F5"/>
    <w:rsid w:val="00CE4A8F"/>
    <w:rsid w:val="00CE78F6"/>
    <w:rsid w:val="00CF071D"/>
    <w:rsid w:val="00D0123D"/>
    <w:rsid w:val="00D07651"/>
    <w:rsid w:val="00D15B04"/>
    <w:rsid w:val="00D2031B"/>
    <w:rsid w:val="00D25FE2"/>
    <w:rsid w:val="00D368BE"/>
    <w:rsid w:val="00D37DA9"/>
    <w:rsid w:val="00D4063F"/>
    <w:rsid w:val="00D406A7"/>
    <w:rsid w:val="00D40765"/>
    <w:rsid w:val="00D43252"/>
    <w:rsid w:val="00D44D86"/>
    <w:rsid w:val="00D50B7D"/>
    <w:rsid w:val="00D52012"/>
    <w:rsid w:val="00D635C9"/>
    <w:rsid w:val="00D704E5"/>
    <w:rsid w:val="00D72727"/>
    <w:rsid w:val="00D978C6"/>
    <w:rsid w:val="00DA0956"/>
    <w:rsid w:val="00DA357F"/>
    <w:rsid w:val="00DA3E12"/>
    <w:rsid w:val="00DC18AD"/>
    <w:rsid w:val="00DF7CAE"/>
    <w:rsid w:val="00E34B01"/>
    <w:rsid w:val="00E423C0"/>
    <w:rsid w:val="00E524D0"/>
    <w:rsid w:val="00E6414C"/>
    <w:rsid w:val="00E71C1C"/>
    <w:rsid w:val="00E7260F"/>
    <w:rsid w:val="00E8702D"/>
    <w:rsid w:val="00E905F4"/>
    <w:rsid w:val="00E916A9"/>
    <w:rsid w:val="00E916DE"/>
    <w:rsid w:val="00E925AD"/>
    <w:rsid w:val="00E92B15"/>
    <w:rsid w:val="00E96630"/>
    <w:rsid w:val="00EC1ECD"/>
    <w:rsid w:val="00ED18DC"/>
    <w:rsid w:val="00ED6201"/>
    <w:rsid w:val="00ED7A2A"/>
    <w:rsid w:val="00EF1D7F"/>
    <w:rsid w:val="00F0137E"/>
    <w:rsid w:val="00F21786"/>
    <w:rsid w:val="00F23AE3"/>
    <w:rsid w:val="00F328A7"/>
    <w:rsid w:val="00F3742B"/>
    <w:rsid w:val="00F41FDB"/>
    <w:rsid w:val="00F50596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D8CA0"/>
  <w15:docId w15:val="{180B709C-BD39-48DC-B2F8-C6680DBB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,4_GR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5_GR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264441"/>
    <w:rPr>
      <w:lang w:val="en-GB" w:eastAsia="en-US"/>
    </w:rPr>
  </w:style>
  <w:style w:type="paragraph" w:customStyle="1" w:styleId="ParNoG">
    <w:name w:val="_ParNo_G"/>
    <w:basedOn w:val="SingleTxtG"/>
    <w:qFormat/>
    <w:rsid w:val="007A478E"/>
    <w:pPr>
      <w:numPr>
        <w:numId w:val="20"/>
      </w:numPr>
      <w:suppressAutoHyphens w:val="0"/>
    </w:pPr>
  </w:style>
  <w:style w:type="character" w:customStyle="1" w:styleId="FootnoteTextChar">
    <w:name w:val="Footnote Text Char"/>
    <w:aliases w:val="5_G Char,5_GR Char"/>
    <w:basedOn w:val="DefaultParagraphFont"/>
    <w:link w:val="FootnoteText"/>
    <w:locked/>
    <w:rsid w:val="004C0480"/>
    <w:rPr>
      <w:sz w:val="18"/>
      <w:lang w:val="en-GB"/>
    </w:rPr>
  </w:style>
  <w:style w:type="paragraph" w:styleId="ListParagraph">
    <w:name w:val="List Paragraph"/>
    <w:basedOn w:val="Normal"/>
    <w:uiPriority w:val="34"/>
    <w:semiHidden/>
    <w:qFormat/>
    <w:rsid w:val="009F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UN-Docs2017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0C1D-8C7C-42FF-B910-DDD54D737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7E9A5-7102-4586-B497-E20C9D086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2DA57-E103-4F03-AA91-7D15930D2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88</TotalTime>
  <Pages>2</Pages>
  <Words>584</Words>
  <Characters>3598</Characters>
  <Application>Microsoft Office Word</Application>
  <DocSecurity>0</DocSecurity>
  <Lines>599</Lines>
  <Paragraphs>220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ECE/TRANS/WP.15/AC.1/2022/3</dc:title>
  <dc:creator>Christine Barrio-Champeau</dc:creator>
  <cp:lastModifiedBy>Christine Barrio-Champeau</cp:lastModifiedBy>
  <cp:revision>60</cp:revision>
  <cp:lastPrinted>2009-02-18T09:36:00Z</cp:lastPrinted>
  <dcterms:created xsi:type="dcterms:W3CDTF">2021-12-02T13:16:00Z</dcterms:created>
  <dcterms:modified xsi:type="dcterms:W3CDTF">2021-12-16T09:01:00Z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