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F2F2DE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FABED9F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C7A5A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2A0C85" w14:textId="42F99602" w:rsidR="009E6CB7" w:rsidRPr="00D47EEA" w:rsidRDefault="005B00F2" w:rsidP="005B00F2">
            <w:pPr>
              <w:jc w:val="right"/>
            </w:pPr>
            <w:r w:rsidRPr="005B00F2">
              <w:rPr>
                <w:sz w:val="40"/>
              </w:rPr>
              <w:t>ECE</w:t>
            </w:r>
            <w:r>
              <w:t>/TRANS/WP.15/AC.1/2022/16</w:t>
            </w:r>
          </w:p>
        </w:tc>
      </w:tr>
      <w:tr w:rsidR="009E6CB7" w14:paraId="5756999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009377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CC5107" wp14:editId="5D4D5D0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261DE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329A71A" w14:textId="77777777" w:rsidR="009E6CB7" w:rsidRDefault="005B00F2" w:rsidP="005B00F2">
            <w:pPr>
              <w:spacing w:before="240" w:line="240" w:lineRule="exact"/>
            </w:pPr>
            <w:r>
              <w:t>Distr.: General</w:t>
            </w:r>
          </w:p>
          <w:p w14:paraId="4F492416" w14:textId="7052635A" w:rsidR="005B00F2" w:rsidRDefault="00180487" w:rsidP="005B00F2">
            <w:pPr>
              <w:spacing w:line="240" w:lineRule="exact"/>
            </w:pPr>
            <w:r>
              <w:t>22</w:t>
            </w:r>
            <w:r w:rsidR="005B00F2">
              <w:t xml:space="preserve"> December 2021</w:t>
            </w:r>
          </w:p>
          <w:p w14:paraId="733E5E64" w14:textId="77777777" w:rsidR="005B00F2" w:rsidRDefault="005B00F2" w:rsidP="005B00F2">
            <w:pPr>
              <w:spacing w:line="240" w:lineRule="exact"/>
            </w:pPr>
          </w:p>
          <w:p w14:paraId="5E5754A1" w14:textId="3AB8157E" w:rsidR="005B00F2" w:rsidRDefault="005B00F2" w:rsidP="005B00F2">
            <w:pPr>
              <w:spacing w:line="240" w:lineRule="exact"/>
            </w:pPr>
            <w:r>
              <w:t>Original: English</w:t>
            </w:r>
          </w:p>
        </w:tc>
      </w:tr>
    </w:tbl>
    <w:p w14:paraId="3F200D14" w14:textId="77777777" w:rsidR="00A77769" w:rsidRPr="000D2B9C" w:rsidRDefault="00A77769" w:rsidP="00A77769">
      <w:pPr>
        <w:spacing w:before="120"/>
        <w:rPr>
          <w:b/>
          <w:color w:val="000000" w:themeColor="text1"/>
          <w:sz w:val="28"/>
          <w:szCs w:val="28"/>
        </w:rPr>
      </w:pPr>
      <w:r w:rsidRPr="000D2B9C">
        <w:rPr>
          <w:b/>
          <w:color w:val="000000" w:themeColor="text1"/>
          <w:sz w:val="28"/>
          <w:szCs w:val="28"/>
        </w:rPr>
        <w:t>Economic Commission for Europe</w:t>
      </w:r>
    </w:p>
    <w:p w14:paraId="4BA2806C" w14:textId="77777777" w:rsidR="00A77769" w:rsidRPr="000D2B9C" w:rsidRDefault="00A77769" w:rsidP="00A77769">
      <w:pPr>
        <w:spacing w:before="120"/>
        <w:rPr>
          <w:color w:val="000000" w:themeColor="text1"/>
          <w:sz w:val="28"/>
          <w:szCs w:val="28"/>
        </w:rPr>
      </w:pPr>
      <w:r w:rsidRPr="000D2B9C">
        <w:rPr>
          <w:color w:val="000000" w:themeColor="text1"/>
          <w:sz w:val="28"/>
          <w:szCs w:val="28"/>
        </w:rPr>
        <w:t>Inland Transport Committee</w:t>
      </w:r>
    </w:p>
    <w:p w14:paraId="34258601" w14:textId="77777777" w:rsidR="00A77769" w:rsidRPr="000D2B9C" w:rsidRDefault="00A77769" w:rsidP="00A77769">
      <w:pPr>
        <w:spacing w:before="120"/>
        <w:rPr>
          <w:b/>
          <w:color w:val="000000" w:themeColor="text1"/>
          <w:sz w:val="24"/>
          <w:szCs w:val="24"/>
        </w:rPr>
      </w:pPr>
      <w:r w:rsidRPr="000D2B9C">
        <w:rPr>
          <w:b/>
          <w:color w:val="000000" w:themeColor="text1"/>
          <w:sz w:val="24"/>
          <w:szCs w:val="24"/>
        </w:rPr>
        <w:t>Working Party on the Transport of Dangerous Goods</w:t>
      </w:r>
    </w:p>
    <w:p w14:paraId="1E9294E1" w14:textId="77777777" w:rsidR="00A77769" w:rsidRPr="000D2B9C" w:rsidRDefault="00A77769" w:rsidP="00A77769">
      <w:pPr>
        <w:spacing w:before="120"/>
        <w:rPr>
          <w:b/>
          <w:color w:val="000000" w:themeColor="text1"/>
        </w:rPr>
      </w:pPr>
      <w:r w:rsidRPr="000D2B9C">
        <w:rPr>
          <w:b/>
          <w:color w:val="000000" w:themeColor="text1"/>
        </w:rPr>
        <w:t>Joint Meeting of the RID Committee of Experts and the</w:t>
      </w:r>
      <w:r w:rsidRPr="000D2B9C">
        <w:rPr>
          <w:b/>
          <w:color w:val="000000" w:themeColor="text1"/>
        </w:rPr>
        <w:br/>
        <w:t>Working Party on the Transport of Dangerous Goods</w:t>
      </w:r>
    </w:p>
    <w:p w14:paraId="78663E46" w14:textId="77777777" w:rsidR="00A77769" w:rsidRPr="000D2B9C" w:rsidRDefault="00A77769" w:rsidP="00A77769">
      <w:pPr>
        <w:rPr>
          <w:color w:val="000000" w:themeColor="text1"/>
        </w:rPr>
      </w:pPr>
      <w:r w:rsidRPr="000D2B9C">
        <w:rPr>
          <w:color w:val="000000" w:themeColor="text1"/>
        </w:rPr>
        <w:t>Bern, 14 – 18 March 2022</w:t>
      </w:r>
    </w:p>
    <w:p w14:paraId="056FE8A9" w14:textId="77777777" w:rsidR="00A77769" w:rsidRPr="000D2B9C" w:rsidRDefault="00A77769" w:rsidP="00A77769">
      <w:pPr>
        <w:rPr>
          <w:color w:val="000000" w:themeColor="text1"/>
        </w:rPr>
      </w:pPr>
      <w:r w:rsidRPr="000D2B9C">
        <w:rPr>
          <w:color w:val="000000" w:themeColor="text1"/>
        </w:rPr>
        <w:t>Item 2 of the provisional agenda</w:t>
      </w:r>
    </w:p>
    <w:p w14:paraId="313D5E28" w14:textId="77777777" w:rsidR="00A77769" w:rsidRPr="000D2B9C" w:rsidRDefault="00A77769" w:rsidP="00A77769">
      <w:pPr>
        <w:rPr>
          <w:b/>
          <w:bCs/>
          <w:color w:val="000000" w:themeColor="text1"/>
        </w:rPr>
      </w:pPr>
      <w:r w:rsidRPr="000D2B9C">
        <w:rPr>
          <w:b/>
          <w:bCs/>
          <w:color w:val="000000" w:themeColor="text1"/>
        </w:rPr>
        <w:t>Tanks</w:t>
      </w:r>
    </w:p>
    <w:p w14:paraId="1A51F84E" w14:textId="5BDEB88B" w:rsidR="00A77769" w:rsidRPr="000D2B9C" w:rsidRDefault="00A77769" w:rsidP="00A77769">
      <w:pPr>
        <w:pStyle w:val="HChG"/>
        <w:rPr>
          <w:color w:val="000000" w:themeColor="text1"/>
        </w:rPr>
      </w:pPr>
      <w:r w:rsidRPr="000D2B9C">
        <w:rPr>
          <w:color w:val="000000" w:themeColor="text1"/>
        </w:rPr>
        <w:tab/>
      </w:r>
      <w:r w:rsidRPr="000D2B9C">
        <w:rPr>
          <w:color w:val="000000" w:themeColor="text1"/>
        </w:rPr>
        <w:tab/>
      </w:r>
      <w:r w:rsidRPr="000D2B9C">
        <w:t>Instant</w:t>
      </w:r>
      <w:r w:rsidRPr="000D2B9C">
        <w:rPr>
          <w:color w:val="000000" w:themeColor="text1"/>
        </w:rPr>
        <w:t>/</w:t>
      </w:r>
      <w:r w:rsidR="00C82422">
        <w:t>a</w:t>
      </w:r>
      <w:r w:rsidRPr="000D2B9C">
        <w:t>utomatic closing stop-valves on connections to the vapour phase on cryogenic tanks carrying flammable gases</w:t>
      </w:r>
    </w:p>
    <w:p w14:paraId="1597856F" w14:textId="77777777" w:rsidR="0080417C" w:rsidRPr="000D2B9C" w:rsidRDefault="00A77769" w:rsidP="0080417C">
      <w:pPr>
        <w:pStyle w:val="H1G"/>
      </w:pPr>
      <w:r w:rsidRPr="000D2B9C">
        <w:rPr>
          <w:color w:val="000000" w:themeColor="text1"/>
        </w:rPr>
        <w:tab/>
      </w:r>
      <w:r w:rsidRPr="000D2B9C">
        <w:rPr>
          <w:color w:val="000000" w:themeColor="text1"/>
        </w:rPr>
        <w:tab/>
        <w:t>Transmitted</w:t>
      </w:r>
      <w:r w:rsidRPr="000D2B9C">
        <w:rPr>
          <w:color w:val="000000" w:themeColor="text1"/>
          <w:spacing w:val="-3"/>
        </w:rPr>
        <w:t xml:space="preserve"> </w:t>
      </w:r>
      <w:r w:rsidRPr="000D2B9C">
        <w:rPr>
          <w:color w:val="000000" w:themeColor="text1"/>
        </w:rPr>
        <w:t>by</w:t>
      </w:r>
      <w:r w:rsidRPr="000D2B9C">
        <w:rPr>
          <w:color w:val="000000" w:themeColor="text1"/>
          <w:spacing w:val="-2"/>
        </w:rPr>
        <w:t xml:space="preserve"> </w:t>
      </w:r>
      <w:r w:rsidRPr="000D2B9C">
        <w:rPr>
          <w:color w:val="000000" w:themeColor="text1"/>
        </w:rPr>
        <w:t>the</w:t>
      </w:r>
      <w:r w:rsidRPr="000D2B9C">
        <w:rPr>
          <w:color w:val="000000" w:themeColor="text1"/>
          <w:spacing w:val="-2"/>
        </w:rPr>
        <w:t xml:space="preserve"> </w:t>
      </w:r>
      <w:r w:rsidRPr="000D2B9C">
        <w:rPr>
          <w:color w:val="000000" w:themeColor="text1"/>
        </w:rPr>
        <w:t>Government of the Netherlands</w:t>
      </w:r>
      <w:r w:rsidR="0080417C" w:rsidRPr="000D2B9C">
        <w:rPr>
          <w:rStyle w:val="FootnoteReference"/>
          <w:sz w:val="20"/>
        </w:rPr>
        <w:footnoteReference w:customMarkFollows="1" w:id="2"/>
        <w:t>*</w:t>
      </w:r>
      <w:r w:rsidR="0080417C" w:rsidRPr="000D2B9C">
        <w:rPr>
          <w:sz w:val="20"/>
          <w:vertAlign w:val="superscript"/>
        </w:rPr>
        <w:t xml:space="preserve">, </w:t>
      </w:r>
      <w:r w:rsidR="0080417C" w:rsidRPr="000D2B9C">
        <w:rPr>
          <w:rStyle w:val="FootnoteReference"/>
          <w:sz w:val="20"/>
        </w:rPr>
        <w:footnoteReference w:customMarkFollows="1" w:id="3"/>
        <w:t>**</w:t>
      </w:r>
      <w:r w:rsidR="0080417C" w:rsidRPr="000D2B9C">
        <w:rPr>
          <w:sz w:val="20"/>
          <w:vertAlign w:val="superscript"/>
        </w:rPr>
        <w:t>,</w:t>
      </w:r>
      <w:r w:rsidR="0080417C" w:rsidRPr="000D2B9C">
        <w:rPr>
          <w:sz w:val="20"/>
        </w:rPr>
        <w:t xml:space="preserve"> </w:t>
      </w:r>
      <w:r w:rsidR="0080417C" w:rsidRPr="000D2B9C">
        <w:rPr>
          <w:rStyle w:val="FootnoteReference"/>
          <w:sz w:val="20"/>
        </w:rPr>
        <w:footnoteReference w:customMarkFollows="1" w:id="4"/>
        <w:sym w:font="Symbol" w:char="F02A"/>
      </w:r>
      <w:r w:rsidR="0080417C" w:rsidRPr="000D2B9C">
        <w:rPr>
          <w:rStyle w:val="FootnoteReference"/>
          <w:sz w:val="20"/>
        </w:rPr>
        <w:sym w:font="Symbol" w:char="F02A"/>
      </w:r>
      <w:r w:rsidR="0080417C" w:rsidRPr="000D2B9C">
        <w:rPr>
          <w:rStyle w:val="FootnoteReference"/>
          <w:sz w:val="20"/>
        </w:rPr>
        <w:sym w:font="Symbol" w:char="F02A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A77769" w:rsidRPr="000D2B9C" w14:paraId="79A90B07" w14:textId="77777777" w:rsidTr="00A77769">
        <w:trPr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E752" w14:textId="77777777" w:rsidR="00A77769" w:rsidRPr="000D2B9C" w:rsidRDefault="00A77769">
            <w:pPr>
              <w:spacing w:before="240" w:after="120"/>
              <w:ind w:left="255"/>
              <w:rPr>
                <w:i/>
                <w:sz w:val="24"/>
                <w:lang w:eastAsia="en-US"/>
              </w:rPr>
            </w:pPr>
            <w:r w:rsidRPr="000D2B9C">
              <w:rPr>
                <w:i/>
                <w:iCs/>
                <w:lang w:eastAsia="en-US"/>
              </w:rPr>
              <w:t>Summary</w:t>
            </w:r>
          </w:p>
        </w:tc>
      </w:tr>
      <w:tr w:rsidR="00A77769" w:rsidRPr="000D2B9C" w14:paraId="0D490BAF" w14:textId="77777777" w:rsidTr="00A77769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190E5E" w14:textId="20F6FC08" w:rsidR="00A77769" w:rsidRPr="000D2B9C" w:rsidRDefault="00A77769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color w:val="000000" w:themeColor="text1"/>
              </w:rPr>
            </w:pPr>
            <w:r w:rsidRPr="000D2B9C">
              <w:rPr>
                <w:b/>
                <w:bCs/>
                <w:color w:val="000000" w:themeColor="text1"/>
              </w:rPr>
              <w:t>Executive summary:</w:t>
            </w:r>
            <w:r w:rsidR="00D52D03" w:rsidRPr="000D2B9C">
              <w:rPr>
                <w:b/>
                <w:bCs/>
                <w:color w:val="000000" w:themeColor="text1"/>
              </w:rPr>
              <w:tab/>
            </w:r>
            <w:r w:rsidR="00EE0303" w:rsidRPr="00EE0303">
              <w:rPr>
                <w:color w:val="000000" w:themeColor="text1"/>
              </w:rPr>
              <w:t>It should</w:t>
            </w:r>
            <w:r w:rsidR="00EE0303" w:rsidRPr="000D2B9C">
              <w:rPr>
                <w:color w:val="000000" w:themeColor="text1"/>
              </w:rPr>
              <w:t xml:space="preserve"> be </w:t>
            </w:r>
            <w:r w:rsidR="00EE0303">
              <w:rPr>
                <w:color w:val="000000" w:themeColor="text1"/>
              </w:rPr>
              <w:t>possible</w:t>
            </w:r>
            <w:r w:rsidR="00EE0303" w:rsidRPr="000D2B9C">
              <w:rPr>
                <w:color w:val="000000" w:themeColor="text1"/>
              </w:rPr>
              <w:t xml:space="preserve"> to stop </w:t>
            </w:r>
            <w:r w:rsidR="0014402A">
              <w:rPr>
                <w:color w:val="000000" w:themeColor="text1"/>
              </w:rPr>
              <w:t>u</w:t>
            </w:r>
            <w:r w:rsidRPr="000D2B9C">
              <w:rPr>
                <w:color w:val="000000" w:themeColor="text1"/>
              </w:rPr>
              <w:t xml:space="preserve">ncontrolled outflow of gases due to unintended events during </w:t>
            </w:r>
            <w:r w:rsidR="0014402A">
              <w:rPr>
                <w:color w:val="000000" w:themeColor="text1"/>
              </w:rPr>
              <w:t xml:space="preserve">the </w:t>
            </w:r>
            <w:r w:rsidRPr="000D2B9C">
              <w:rPr>
                <w:color w:val="000000" w:themeColor="text1"/>
              </w:rPr>
              <w:t>handling</w:t>
            </w:r>
            <w:r w:rsidR="0014402A">
              <w:rPr>
                <w:color w:val="000000" w:themeColor="text1"/>
              </w:rPr>
              <w:t xml:space="preserve"> of tanks</w:t>
            </w:r>
            <w:r w:rsidRPr="000D2B9C">
              <w:rPr>
                <w:color w:val="000000" w:themeColor="text1"/>
              </w:rPr>
              <w:t xml:space="preserve">. To stop the outflow </w:t>
            </w:r>
            <w:r w:rsidR="0080353A">
              <w:rPr>
                <w:color w:val="000000" w:themeColor="text1"/>
              </w:rPr>
              <w:t xml:space="preserve">the </w:t>
            </w:r>
            <w:r w:rsidRPr="000D2B9C">
              <w:rPr>
                <w:color w:val="000000" w:themeColor="text1"/>
              </w:rPr>
              <w:t xml:space="preserve">openings in gas tanks, used during handling, should be supplied with instant/automatic closing stop-valves. These stop-valves are provided on most tanks but new tank designs for the carriage of refrigerated liquefied gases like </w:t>
            </w:r>
            <w:r w:rsidR="00A72F05" w:rsidRPr="00A72F05">
              <w:rPr>
                <w:color w:val="000000" w:themeColor="text1"/>
              </w:rPr>
              <w:t xml:space="preserve">Liquefied Natural Gas </w:t>
            </w:r>
            <w:r w:rsidR="00A72F05">
              <w:rPr>
                <w:color w:val="000000" w:themeColor="text1"/>
              </w:rPr>
              <w:t>(</w:t>
            </w:r>
            <w:r w:rsidRPr="000D2B9C">
              <w:rPr>
                <w:color w:val="000000" w:themeColor="text1"/>
              </w:rPr>
              <w:t>LNG</w:t>
            </w:r>
            <w:r w:rsidR="00A72F05">
              <w:rPr>
                <w:color w:val="000000" w:themeColor="text1"/>
              </w:rPr>
              <w:t>)</w:t>
            </w:r>
            <w:r w:rsidRPr="000D2B9C">
              <w:rPr>
                <w:color w:val="000000" w:themeColor="text1"/>
              </w:rPr>
              <w:t xml:space="preserve"> come into the market that are not so equipped.</w:t>
            </w:r>
          </w:p>
        </w:tc>
      </w:tr>
      <w:tr w:rsidR="00A77769" w:rsidRPr="000D2B9C" w14:paraId="53407935" w14:textId="77777777" w:rsidTr="00A77769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202C1" w14:textId="77777777" w:rsidR="00A77769" w:rsidRPr="000D2B9C" w:rsidRDefault="00A77769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color w:val="000000" w:themeColor="text1"/>
              </w:rPr>
            </w:pPr>
            <w:r w:rsidRPr="000D2B9C">
              <w:rPr>
                <w:b/>
                <w:bCs/>
                <w:color w:val="000000" w:themeColor="text1"/>
              </w:rPr>
              <w:t>Action to be taken:</w:t>
            </w:r>
            <w:r w:rsidRPr="000D2B9C">
              <w:rPr>
                <w:color w:val="000000" w:themeColor="text1"/>
              </w:rPr>
              <w:tab/>
              <w:t>Prevent the approval of new tanks that do not comply with the basic safety philosophy and introduce appropriate transitional measures for existing tanks.</w:t>
            </w:r>
          </w:p>
        </w:tc>
      </w:tr>
      <w:tr w:rsidR="00A77769" w:rsidRPr="000D2B9C" w14:paraId="483AED4B" w14:textId="77777777" w:rsidTr="005B4985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6D0F3" w14:textId="0D4A03AE" w:rsidR="00A77769" w:rsidRPr="000D2B9C" w:rsidRDefault="00A77769" w:rsidP="00DD1C47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b/>
                <w:color w:val="000000" w:themeColor="text1"/>
              </w:rPr>
            </w:pPr>
            <w:r w:rsidRPr="000D2B9C">
              <w:rPr>
                <w:b/>
                <w:bCs/>
                <w:color w:val="000000" w:themeColor="text1"/>
              </w:rPr>
              <w:t>Related document:</w:t>
            </w:r>
            <w:r w:rsidRPr="000D2B9C">
              <w:rPr>
                <w:color w:val="000000" w:themeColor="text1"/>
              </w:rPr>
              <w:tab/>
            </w:r>
            <w:r w:rsidR="00A60DD8">
              <w:rPr>
                <w:color w:val="000000" w:themeColor="text1"/>
              </w:rPr>
              <w:t xml:space="preserve">Informal document </w:t>
            </w:r>
            <w:r w:rsidRPr="000D2B9C">
              <w:rPr>
                <w:color w:val="000000" w:themeColor="text1"/>
              </w:rPr>
              <w:t>INF.13 (</w:t>
            </w:r>
            <w:r w:rsidR="00DD1C47">
              <w:rPr>
                <w:color w:val="000000" w:themeColor="text1"/>
              </w:rPr>
              <w:t>Autumn</w:t>
            </w:r>
            <w:r w:rsidR="00DD1C47" w:rsidRPr="000D2B9C">
              <w:rPr>
                <w:color w:val="000000" w:themeColor="text1"/>
              </w:rPr>
              <w:t xml:space="preserve"> </w:t>
            </w:r>
            <w:r w:rsidRPr="000D2B9C">
              <w:rPr>
                <w:color w:val="000000" w:themeColor="text1"/>
              </w:rPr>
              <w:t xml:space="preserve">2020 session of the Joint Meeting), </w:t>
            </w:r>
            <w:r w:rsidR="00A60DD8">
              <w:rPr>
                <w:color w:val="000000" w:themeColor="text1"/>
              </w:rPr>
              <w:t xml:space="preserve">document </w:t>
            </w:r>
            <w:r w:rsidRPr="000D2B9C">
              <w:rPr>
                <w:color w:val="000000" w:themeColor="text1"/>
              </w:rPr>
              <w:t>ECE/TRANS/</w:t>
            </w:r>
            <w:r w:rsidR="00A60DD8">
              <w:rPr>
                <w:color w:val="000000" w:themeColor="text1"/>
              </w:rPr>
              <w:t>WP.15/</w:t>
            </w:r>
            <w:r w:rsidRPr="000D2B9C">
              <w:rPr>
                <w:color w:val="000000" w:themeColor="text1"/>
              </w:rPr>
              <w:t xml:space="preserve">AC.1/2021/11, </w:t>
            </w:r>
            <w:r w:rsidR="00A60DD8">
              <w:rPr>
                <w:color w:val="000000" w:themeColor="text1"/>
              </w:rPr>
              <w:t xml:space="preserve">informal document </w:t>
            </w:r>
            <w:r w:rsidRPr="000D2B9C">
              <w:rPr>
                <w:color w:val="000000" w:themeColor="text1"/>
              </w:rPr>
              <w:t>INF.32 (Autumn 2021 session of the Joint Meeting).</w:t>
            </w:r>
          </w:p>
        </w:tc>
      </w:tr>
      <w:tr w:rsidR="005B4985" w:rsidRPr="000D2B9C" w14:paraId="5A6BCA88" w14:textId="77777777" w:rsidTr="00A77769">
        <w:trPr>
          <w:jc w:val="center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360" w14:textId="77777777" w:rsidR="005B4985" w:rsidRPr="000D2B9C" w:rsidRDefault="005B4985">
            <w:pPr>
              <w:tabs>
                <w:tab w:val="left" w:pos="3260"/>
              </w:tabs>
              <w:suppressAutoHyphens w:val="0"/>
              <w:spacing w:after="120" w:line="276" w:lineRule="auto"/>
              <w:ind w:left="3260" w:right="1134" w:hanging="2126"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17AE2932" w14:textId="77777777" w:rsidR="00A77769" w:rsidRPr="000D2B9C" w:rsidRDefault="00A77769" w:rsidP="00A77769"/>
    <w:p w14:paraId="0F6F1991" w14:textId="77777777" w:rsidR="00A77769" w:rsidRPr="000D2B9C" w:rsidRDefault="00A77769" w:rsidP="0080417C">
      <w:pPr>
        <w:pStyle w:val="HChG"/>
        <w:spacing w:before="240" w:line="240" w:lineRule="auto"/>
      </w:pPr>
      <w:r w:rsidRPr="000D2B9C">
        <w:rPr>
          <w:color w:val="000000" w:themeColor="text1"/>
        </w:rPr>
        <w:lastRenderedPageBreak/>
        <w:tab/>
      </w:r>
      <w:r w:rsidRPr="000D2B9C">
        <w:rPr>
          <w:color w:val="000000" w:themeColor="text1"/>
        </w:rPr>
        <w:tab/>
      </w:r>
      <w:r w:rsidRPr="000D2B9C">
        <w:t>Introduction</w:t>
      </w:r>
    </w:p>
    <w:p w14:paraId="34347E35" w14:textId="553C9887" w:rsidR="00A77769" w:rsidRPr="000D2B9C" w:rsidRDefault="0080417C" w:rsidP="0080417C">
      <w:pPr>
        <w:pStyle w:val="SingleTxtG"/>
      </w:pPr>
      <w:r w:rsidRPr="000D2B9C">
        <w:t>1.</w:t>
      </w:r>
      <w:r w:rsidRPr="000D2B9C">
        <w:tab/>
      </w:r>
      <w:r w:rsidR="00A77769" w:rsidRPr="000D2B9C">
        <w:t xml:space="preserve">Based on findings </w:t>
      </w:r>
      <w:r w:rsidR="00F077A2">
        <w:t>by</w:t>
      </w:r>
      <w:r w:rsidR="00A77769" w:rsidRPr="000D2B9C">
        <w:t xml:space="preserve"> safety advisors involved in handling tanks with LNG the Netherlands was made aware of the issue that new designs </w:t>
      </w:r>
      <w:r w:rsidR="0092075E" w:rsidRPr="000D2B9C">
        <w:t xml:space="preserve">were </w:t>
      </w:r>
      <w:r w:rsidR="00A77769" w:rsidRPr="000D2B9C">
        <w:t>no longer provided with automatic closing valves on the opening that is used to regulate the pressure in the tank during filling and discharge. After investigation</w:t>
      </w:r>
      <w:r w:rsidR="00F077A2">
        <w:t>s</w:t>
      </w:r>
      <w:r w:rsidR="00A77769" w:rsidRPr="000D2B9C">
        <w:t xml:space="preserve"> this was based on a possible interpretation of the provisions </w:t>
      </w:r>
      <w:r w:rsidR="00723AB1">
        <w:t>whether</w:t>
      </w:r>
      <w:r w:rsidR="00A77769" w:rsidRPr="000D2B9C">
        <w:t xml:space="preserve"> this opening/line was </w:t>
      </w:r>
      <w:r w:rsidR="00417B02">
        <w:t>considered</w:t>
      </w:r>
      <w:r w:rsidR="00A77769" w:rsidRPr="000D2B9C">
        <w:t xml:space="preserve"> </w:t>
      </w:r>
      <w:r w:rsidR="00356588" w:rsidRPr="000D2B9C">
        <w:t xml:space="preserve">or not </w:t>
      </w:r>
      <w:r w:rsidR="00A77769" w:rsidRPr="000D2B9C">
        <w:t>as a filling or discharge line.</w:t>
      </w:r>
    </w:p>
    <w:p w14:paraId="5CDA8960" w14:textId="62AB9121" w:rsidR="00A77769" w:rsidRPr="000D2B9C" w:rsidRDefault="0080417C" w:rsidP="0080417C">
      <w:pPr>
        <w:pStyle w:val="SingleTxtG"/>
      </w:pPr>
      <w:r w:rsidRPr="000D2B9C">
        <w:t>2.</w:t>
      </w:r>
      <w:r w:rsidRPr="000D2B9C">
        <w:tab/>
      </w:r>
      <w:r w:rsidR="00A77769" w:rsidRPr="000D2B9C">
        <w:t xml:space="preserve">The ability to stop the outflow of gases in an unintended event, like rupture of pipework or hoses, or a fire, is an essential safety aspect in particular for flammable and toxic gases. The carriage of flammable refrigerated liquefied gases is not </w:t>
      </w:r>
      <w:r w:rsidR="00356588" w:rsidRPr="000D2B9C">
        <w:t>new,</w:t>
      </w:r>
      <w:r w:rsidR="00A77769" w:rsidRPr="000D2B9C">
        <w:t xml:space="preserve"> but </w:t>
      </w:r>
      <w:r w:rsidR="00191F48">
        <w:t xml:space="preserve">the </w:t>
      </w:r>
      <w:r w:rsidR="009B67B6">
        <w:t>amount</w:t>
      </w:r>
      <w:r w:rsidR="00191F48">
        <w:t xml:space="preserve"> </w:t>
      </w:r>
      <w:r w:rsidR="00A77769" w:rsidRPr="000D2B9C">
        <w:t xml:space="preserve">increases due to the demand for natural gas and </w:t>
      </w:r>
      <w:r w:rsidR="001D2948">
        <w:t xml:space="preserve">similar challenges </w:t>
      </w:r>
      <w:r w:rsidR="00A77769" w:rsidRPr="000D2B9C">
        <w:t xml:space="preserve">probably also </w:t>
      </w:r>
      <w:r w:rsidR="001D2948">
        <w:t xml:space="preserve">occur </w:t>
      </w:r>
      <w:r w:rsidR="00A77769" w:rsidRPr="000D2B9C">
        <w:t>in the future for liquefied hydrogen.</w:t>
      </w:r>
    </w:p>
    <w:p w14:paraId="46D504B6" w14:textId="5E80DB9D" w:rsidR="00A77769" w:rsidRPr="000D2B9C" w:rsidRDefault="0080417C" w:rsidP="0080417C">
      <w:pPr>
        <w:pStyle w:val="SingleTxtG"/>
      </w:pPr>
      <w:r w:rsidRPr="000D2B9C">
        <w:t>3.</w:t>
      </w:r>
      <w:r w:rsidRPr="000D2B9C">
        <w:tab/>
      </w:r>
      <w:r w:rsidR="005665A5">
        <w:t>The i</w:t>
      </w:r>
      <w:r w:rsidR="00A77769" w:rsidRPr="000D2B9C">
        <w:t xml:space="preserve">nitial discussion </w:t>
      </w:r>
      <w:r w:rsidR="005665A5">
        <w:t xml:space="preserve">started </w:t>
      </w:r>
      <w:r w:rsidR="00C647D6">
        <w:t xml:space="preserve">with </w:t>
      </w:r>
      <w:r w:rsidR="00356588">
        <w:rPr>
          <w:color w:val="000000" w:themeColor="text1"/>
        </w:rPr>
        <w:t xml:space="preserve">informal document </w:t>
      </w:r>
      <w:r w:rsidR="00A77769" w:rsidRPr="000D2B9C">
        <w:t xml:space="preserve">INF.13 </w:t>
      </w:r>
      <w:r w:rsidR="00233DC2">
        <w:t>at</w:t>
      </w:r>
      <w:r w:rsidR="00A77769" w:rsidRPr="000D2B9C">
        <w:t xml:space="preserve"> the </w:t>
      </w:r>
      <w:r w:rsidR="00DD1C47">
        <w:t>autumn</w:t>
      </w:r>
      <w:r w:rsidR="00DD1C47" w:rsidRPr="000D2B9C">
        <w:t xml:space="preserve"> </w:t>
      </w:r>
      <w:r w:rsidR="00A77769" w:rsidRPr="000D2B9C">
        <w:t xml:space="preserve">2020 session of the Joint Meeting. Although the principle was supported it was proposed that a re-organization of 6.8.3.2 would improve the readability and solve the issue. During </w:t>
      </w:r>
      <w:r w:rsidR="006D4206">
        <w:t xml:space="preserve">the </w:t>
      </w:r>
      <w:r w:rsidR="00A77769" w:rsidRPr="000D2B9C">
        <w:t xml:space="preserve">discussion on the resulting document </w:t>
      </w:r>
      <w:r w:rsidR="0095778D" w:rsidRPr="000D2B9C">
        <w:rPr>
          <w:color w:val="000000" w:themeColor="text1"/>
        </w:rPr>
        <w:t>ECE/TRANS/</w:t>
      </w:r>
      <w:r w:rsidR="0095778D">
        <w:rPr>
          <w:color w:val="000000" w:themeColor="text1"/>
        </w:rPr>
        <w:t>WP.15/</w:t>
      </w:r>
      <w:r w:rsidR="0095778D" w:rsidRPr="000D2B9C">
        <w:rPr>
          <w:color w:val="000000" w:themeColor="text1"/>
        </w:rPr>
        <w:t>AC.1/2021</w:t>
      </w:r>
      <w:r w:rsidR="00A77769" w:rsidRPr="000D2B9C">
        <w:t xml:space="preserve">/11 it was felt it would be beneficial to develop further </w:t>
      </w:r>
      <w:r w:rsidR="004B0340">
        <w:t xml:space="preserve">the proposal </w:t>
      </w:r>
      <w:proofErr w:type="gramStart"/>
      <w:r w:rsidR="00A77769" w:rsidRPr="000D2B9C">
        <w:t>in particular on</w:t>
      </w:r>
      <w:proofErr w:type="gramEnd"/>
      <w:r w:rsidR="00A77769" w:rsidRPr="000D2B9C">
        <w:t xml:space="preserve"> the issue of </w:t>
      </w:r>
      <w:r w:rsidR="00D978A8">
        <w:t xml:space="preserve">the </w:t>
      </w:r>
      <w:r w:rsidR="00A77769" w:rsidRPr="000D2B9C">
        <w:t xml:space="preserve">carriage of refrigerated liquefied hydrogen, </w:t>
      </w:r>
      <w:r w:rsidR="00B66D0B">
        <w:t xml:space="preserve">appropriate </w:t>
      </w:r>
      <w:r w:rsidR="00A77769" w:rsidRPr="000D2B9C">
        <w:t xml:space="preserve">transitional measures </w:t>
      </w:r>
      <w:r w:rsidR="00F72BAF">
        <w:t>and</w:t>
      </w:r>
      <w:r w:rsidR="00A77769" w:rsidRPr="000D2B9C">
        <w:t xml:space="preserve"> also </w:t>
      </w:r>
      <w:r w:rsidR="00F72BAF">
        <w:t>portable</w:t>
      </w:r>
      <w:r w:rsidR="00153056">
        <w:t xml:space="preserve"> </w:t>
      </w:r>
      <w:r w:rsidR="00A77769" w:rsidRPr="000D2B9C">
        <w:t>tanks</w:t>
      </w:r>
      <w:r w:rsidR="00153056">
        <w:t xml:space="preserve"> </w:t>
      </w:r>
      <w:r w:rsidR="00F72BAF">
        <w:t xml:space="preserve">according to </w:t>
      </w:r>
      <w:r w:rsidR="00153056" w:rsidRPr="000D2B9C">
        <w:t>6.7</w:t>
      </w:r>
      <w:r w:rsidR="00A77769" w:rsidRPr="000D2B9C">
        <w:t xml:space="preserve">. It was decided to </w:t>
      </w:r>
      <w:r w:rsidR="00A3022E">
        <w:t>establish</w:t>
      </w:r>
      <w:r w:rsidR="00A77769" w:rsidRPr="000D2B9C">
        <w:t xml:space="preserve"> an Ad-</w:t>
      </w:r>
      <w:r w:rsidR="00FE7AD8">
        <w:t>h</w:t>
      </w:r>
      <w:r w:rsidR="00A77769" w:rsidRPr="000D2B9C">
        <w:t xml:space="preserve">oc working group </w:t>
      </w:r>
      <w:r w:rsidR="00CB1F0F">
        <w:t>but</w:t>
      </w:r>
      <w:r w:rsidR="00A77769" w:rsidRPr="000D2B9C">
        <w:t xml:space="preserve"> due to various reasons did not materialize up </w:t>
      </w:r>
      <w:r w:rsidR="00EB5C95">
        <w:t>to</w:t>
      </w:r>
      <w:r w:rsidR="00A77769" w:rsidRPr="000D2B9C">
        <w:t xml:space="preserve"> the deadline for </w:t>
      </w:r>
      <w:r w:rsidR="00EB5C95">
        <w:t xml:space="preserve">submission of official documents to </w:t>
      </w:r>
      <w:r w:rsidR="00A77769" w:rsidRPr="000D2B9C">
        <w:t>the March 2022 session of the Joint Meeting.</w:t>
      </w:r>
    </w:p>
    <w:p w14:paraId="752295FA" w14:textId="3AD5DA09" w:rsidR="00A77769" w:rsidRPr="000D2B9C" w:rsidRDefault="0080417C" w:rsidP="0080417C">
      <w:pPr>
        <w:pStyle w:val="SingleTxtG"/>
      </w:pPr>
      <w:r w:rsidRPr="000D2B9C">
        <w:t>4.</w:t>
      </w:r>
      <w:r w:rsidRPr="000D2B9C">
        <w:tab/>
      </w:r>
      <w:r w:rsidR="00A77769" w:rsidRPr="000D2B9C">
        <w:t>The Netherlands is of the opinion that this issue is of such importance that it cannot await the outcome of further discussion</w:t>
      </w:r>
      <w:r w:rsidR="00CA6B72">
        <w:t>s</w:t>
      </w:r>
      <w:r w:rsidR="00A77769" w:rsidRPr="000D2B9C">
        <w:t xml:space="preserve"> and re-organization of 6.8.3.2, but </w:t>
      </w:r>
      <w:r w:rsidR="00195EDD">
        <w:t>should</w:t>
      </w:r>
      <w:r w:rsidR="00A77769" w:rsidRPr="000D2B9C">
        <w:t xml:space="preserve"> be resolved in RID/ADR 2023</w:t>
      </w:r>
      <w:r w:rsidR="00517715">
        <w:t xml:space="preserve"> edition</w:t>
      </w:r>
      <w:r w:rsidR="00A77769" w:rsidRPr="000D2B9C">
        <w:t>, at least for Chapter 6.8. The following amendments are proposed</w:t>
      </w:r>
      <w:r w:rsidR="00517715">
        <w:t>.</w:t>
      </w:r>
    </w:p>
    <w:p w14:paraId="4AE08C2F" w14:textId="4C06D1C2" w:rsidR="00A77769" w:rsidRPr="000D2B9C" w:rsidRDefault="00A77769" w:rsidP="00740100">
      <w:pPr>
        <w:pStyle w:val="HChG"/>
        <w:spacing w:before="240" w:line="240" w:lineRule="auto"/>
      </w:pPr>
      <w:r w:rsidRPr="000D2B9C">
        <w:tab/>
      </w:r>
      <w:r w:rsidRPr="000D2B9C">
        <w:tab/>
        <w:t>Proposal</w:t>
      </w:r>
      <w:r w:rsidR="007C4FE2">
        <w:t>s</w:t>
      </w:r>
    </w:p>
    <w:p w14:paraId="236EC45D" w14:textId="32992A28" w:rsidR="00A77769" w:rsidRPr="000D2B9C" w:rsidRDefault="00A77769" w:rsidP="0080417C">
      <w:pPr>
        <w:pStyle w:val="SingleTxtG"/>
      </w:pPr>
      <w:r w:rsidRPr="000D2B9C">
        <w:t>In 6.8.4 (b) Items of equipment (TE)</w:t>
      </w:r>
      <w:r w:rsidR="001B5E50">
        <w:t>,</w:t>
      </w:r>
      <w:r w:rsidRPr="000D2B9C">
        <w:t xml:space="preserve"> insert a new </w:t>
      </w:r>
      <w:r w:rsidR="001B5E50">
        <w:t>s</w:t>
      </w:r>
      <w:r w:rsidRPr="000D2B9C">
        <w:t xml:space="preserve">pecial </w:t>
      </w:r>
      <w:r w:rsidR="00845E5E">
        <w:t>p</w:t>
      </w:r>
      <w:r w:rsidRPr="000D2B9C">
        <w:t>rovision TE to read as follows:</w:t>
      </w:r>
    </w:p>
    <w:p w14:paraId="3D73CD92" w14:textId="2CBBFB6E" w:rsidR="00A77769" w:rsidRPr="000D2B9C" w:rsidRDefault="00A77769" w:rsidP="00845E5E">
      <w:pPr>
        <w:tabs>
          <w:tab w:val="left" w:pos="1985"/>
          <w:tab w:val="left" w:pos="8505"/>
        </w:tabs>
        <w:snapToGrid w:val="0"/>
        <w:spacing w:before="120" w:after="120" w:line="240" w:lineRule="auto"/>
        <w:ind w:left="1985" w:right="1134" w:hanging="851"/>
        <w:jc w:val="both"/>
        <w:rPr>
          <w:i/>
        </w:rPr>
      </w:pPr>
      <w:r w:rsidRPr="001F60A8">
        <w:rPr>
          <w:iCs/>
        </w:rPr>
        <w:t>"</w:t>
      </w:r>
      <w:proofErr w:type="spellStart"/>
      <w:r w:rsidRPr="00180487">
        <w:rPr>
          <w:iCs/>
        </w:rPr>
        <w:t>TExy</w:t>
      </w:r>
      <w:proofErr w:type="spellEnd"/>
      <w:r w:rsidRPr="00180487">
        <w:rPr>
          <w:iCs/>
        </w:rPr>
        <w:t>:</w:t>
      </w:r>
      <w:r w:rsidR="00845E5E" w:rsidRPr="00FE7AD8">
        <w:rPr>
          <w:i/>
        </w:rPr>
        <w:tab/>
      </w:r>
      <w:r w:rsidRPr="00180487">
        <w:rPr>
          <w:iCs/>
        </w:rPr>
        <w:t>Connections of the tank in the vapour phase that are intended for the handling (filling/discharge) of flammable refrigerated liquefied gases shall be equipped with an instant closing automatic stop-valve (see 6.8.3.2.3) as close as possible to the tank</w:t>
      </w:r>
      <w:r w:rsidRPr="00FE7AD8">
        <w:rPr>
          <w:i/>
        </w:rPr>
        <w:t>.</w:t>
      </w:r>
      <w:r w:rsidRPr="001F60A8">
        <w:rPr>
          <w:iCs/>
        </w:rPr>
        <w:t>"</w:t>
      </w:r>
    </w:p>
    <w:p w14:paraId="1EA23993" w14:textId="38F30684" w:rsidR="00A77769" w:rsidRPr="000D2B9C" w:rsidRDefault="00A77769" w:rsidP="0080417C">
      <w:pPr>
        <w:tabs>
          <w:tab w:val="left" w:pos="1985"/>
          <w:tab w:val="left" w:pos="8505"/>
        </w:tabs>
        <w:snapToGrid w:val="0"/>
        <w:spacing w:before="120" w:after="120" w:line="240" w:lineRule="auto"/>
        <w:ind w:left="1134" w:right="1134"/>
        <w:jc w:val="both"/>
        <w:rPr>
          <w:iCs/>
        </w:rPr>
      </w:pPr>
      <w:r w:rsidRPr="000D2B9C">
        <w:rPr>
          <w:iCs/>
        </w:rPr>
        <w:t xml:space="preserve">In </w:t>
      </w:r>
      <w:r w:rsidR="00170C96">
        <w:rPr>
          <w:iCs/>
        </w:rPr>
        <w:t>T</w:t>
      </w:r>
      <w:r w:rsidRPr="000D2B9C">
        <w:rPr>
          <w:iCs/>
        </w:rPr>
        <w:t>able A of Chapter 3.2</w:t>
      </w:r>
      <w:r w:rsidR="00C82422">
        <w:rPr>
          <w:iCs/>
        </w:rPr>
        <w:t>,</w:t>
      </w:r>
      <w:r w:rsidRPr="000D2B9C">
        <w:rPr>
          <w:iCs/>
        </w:rPr>
        <w:t xml:space="preserve"> introduce “</w:t>
      </w:r>
      <w:proofErr w:type="spellStart"/>
      <w:r w:rsidRPr="000D2B9C">
        <w:rPr>
          <w:iCs/>
        </w:rPr>
        <w:t>TExy</w:t>
      </w:r>
      <w:proofErr w:type="spellEnd"/>
      <w:r w:rsidRPr="000D2B9C">
        <w:rPr>
          <w:iCs/>
        </w:rPr>
        <w:t xml:space="preserve">” in column 13 for UN </w:t>
      </w:r>
      <w:r w:rsidR="00E54FE8">
        <w:rPr>
          <w:iCs/>
        </w:rPr>
        <w:t>N</w:t>
      </w:r>
      <w:r w:rsidRPr="000D2B9C">
        <w:rPr>
          <w:iCs/>
        </w:rPr>
        <w:t>os</w:t>
      </w:r>
      <w:r w:rsidR="00E54FE8">
        <w:rPr>
          <w:iCs/>
        </w:rPr>
        <w:t>.</w:t>
      </w:r>
      <w:r w:rsidRPr="000D2B9C">
        <w:rPr>
          <w:iCs/>
        </w:rPr>
        <w:t xml:space="preserve"> 1961, 1966, 1972 and 3312.</w:t>
      </w:r>
    </w:p>
    <w:p w14:paraId="50878695" w14:textId="5E4DC274" w:rsidR="00A77769" w:rsidRPr="000D2B9C" w:rsidRDefault="00A77769" w:rsidP="0080417C">
      <w:pPr>
        <w:snapToGrid w:val="0"/>
        <w:spacing w:before="120" w:after="120" w:line="240" w:lineRule="auto"/>
        <w:ind w:left="1134" w:right="992"/>
      </w:pPr>
      <w:r w:rsidRPr="000D2B9C">
        <w:t>In Chapter 1.6 insert a new transitional measure 1.6.3.x/1.6.</w:t>
      </w:r>
      <w:proofErr w:type="gramStart"/>
      <w:r w:rsidRPr="000D2B9C">
        <w:t>4.y</w:t>
      </w:r>
      <w:proofErr w:type="gramEnd"/>
      <w:r w:rsidRPr="000D2B9C">
        <w:t xml:space="preserve"> to read as follows:</w:t>
      </w:r>
    </w:p>
    <w:p w14:paraId="7A42D539" w14:textId="754A1E78" w:rsidR="00A77769" w:rsidRDefault="0080417C" w:rsidP="00180487">
      <w:pPr>
        <w:snapToGrid w:val="0"/>
        <w:spacing w:before="120" w:after="120" w:line="240" w:lineRule="auto"/>
        <w:ind w:left="1134" w:right="1134"/>
        <w:jc w:val="both"/>
        <w:rPr>
          <w:iCs/>
        </w:rPr>
      </w:pPr>
      <w:r w:rsidRPr="00170C96">
        <w:rPr>
          <w:iCs/>
        </w:rPr>
        <w:t>“</w:t>
      </w:r>
      <w:r w:rsidR="00170C96" w:rsidRPr="00170C96">
        <w:rPr>
          <w:iCs/>
        </w:rPr>
        <w:t>1.6.3.x</w:t>
      </w:r>
      <w:r w:rsidR="00170C96">
        <w:rPr>
          <w:iCs/>
        </w:rPr>
        <w:tab/>
      </w:r>
      <w:r w:rsidR="00A77769" w:rsidRPr="00180487">
        <w:rPr>
          <w:iCs/>
        </w:rPr>
        <w:t xml:space="preserve">Tank-wagons/Fixed tanks (tank-vehicles) and demountable tanks constructed before 1 July 2023 in accordance with the requirements in force up to 31 December 2022, but which do not, however, meet the requirements of </w:t>
      </w:r>
      <w:r w:rsidR="00170C96">
        <w:rPr>
          <w:iCs/>
        </w:rPr>
        <w:t>s</w:t>
      </w:r>
      <w:r w:rsidR="00A77769" w:rsidRPr="00180487">
        <w:rPr>
          <w:iCs/>
        </w:rPr>
        <w:t xml:space="preserve">pecial </w:t>
      </w:r>
      <w:r w:rsidR="00170C96">
        <w:rPr>
          <w:iCs/>
        </w:rPr>
        <w:t>p</w:t>
      </w:r>
      <w:r w:rsidR="00A77769" w:rsidRPr="00180487">
        <w:rPr>
          <w:iCs/>
        </w:rPr>
        <w:t xml:space="preserve">rovision </w:t>
      </w:r>
      <w:proofErr w:type="spellStart"/>
      <w:r w:rsidR="00A77769" w:rsidRPr="00180487">
        <w:rPr>
          <w:iCs/>
        </w:rPr>
        <w:t>TExy</w:t>
      </w:r>
      <w:proofErr w:type="spellEnd"/>
      <w:r w:rsidR="00A77769" w:rsidRPr="00180487">
        <w:rPr>
          <w:iCs/>
        </w:rPr>
        <w:t xml:space="preserve"> of 6.8.4 (b) applicable as from 1 January 2023 may continue to be used for UN 1966 and may continue to be used for UN </w:t>
      </w:r>
      <w:r w:rsidR="00445966" w:rsidRPr="00180487">
        <w:rPr>
          <w:iCs/>
        </w:rPr>
        <w:t>N</w:t>
      </w:r>
      <w:r w:rsidR="00A77769" w:rsidRPr="00180487">
        <w:rPr>
          <w:iCs/>
        </w:rPr>
        <w:t>os</w:t>
      </w:r>
      <w:r w:rsidR="00445966" w:rsidRPr="00180487">
        <w:rPr>
          <w:iCs/>
        </w:rPr>
        <w:t>.</w:t>
      </w:r>
      <w:r w:rsidR="00A77769" w:rsidRPr="00180487">
        <w:rPr>
          <w:iCs/>
        </w:rPr>
        <w:t xml:space="preserve"> 1961, 1972 and 3312 until the first periodic inspection after 1 January 2025 according to 6.8.3.4.6 is performed.</w:t>
      </w:r>
      <w:r w:rsidRPr="00A31804">
        <w:rPr>
          <w:iCs/>
        </w:rPr>
        <w:t>”</w:t>
      </w:r>
    </w:p>
    <w:p w14:paraId="3DA7046B" w14:textId="400D74B8" w:rsidR="00170C96" w:rsidRPr="00A31804" w:rsidRDefault="00170C96" w:rsidP="00180487">
      <w:pPr>
        <w:snapToGrid w:val="0"/>
        <w:spacing w:before="120" w:after="120" w:line="240" w:lineRule="auto"/>
        <w:ind w:left="1134" w:right="1134"/>
        <w:jc w:val="both"/>
        <w:rPr>
          <w:iCs/>
          <w:u w:val="single"/>
        </w:rPr>
      </w:pPr>
      <w:r>
        <w:rPr>
          <w:iCs/>
        </w:rPr>
        <w:t>"1.6.4.y</w:t>
      </w:r>
      <w:r>
        <w:rPr>
          <w:iCs/>
        </w:rPr>
        <w:tab/>
        <w:t xml:space="preserve">Tank-containers </w:t>
      </w:r>
      <w:r w:rsidRPr="00D218C1">
        <w:rPr>
          <w:iCs/>
        </w:rPr>
        <w:t>constructed before 1 July 2023 in accordance with the requirements in force up to 31 December 2022, but which do not, how</w:t>
      </w:r>
      <w:r w:rsidR="00C768EB">
        <w:rPr>
          <w:iCs/>
        </w:rPr>
        <w:t>ever, meet the requirements of special p</w:t>
      </w:r>
      <w:r w:rsidRPr="00D218C1">
        <w:rPr>
          <w:iCs/>
        </w:rPr>
        <w:t xml:space="preserve">rovision </w:t>
      </w:r>
      <w:proofErr w:type="spellStart"/>
      <w:r w:rsidRPr="00D218C1">
        <w:rPr>
          <w:iCs/>
        </w:rPr>
        <w:t>TExy</w:t>
      </w:r>
      <w:proofErr w:type="spellEnd"/>
      <w:r w:rsidRPr="00D218C1">
        <w:rPr>
          <w:iCs/>
        </w:rPr>
        <w:t xml:space="preserve"> of 6.8.4 (b) applicable as from 1 January 2023 may continue to be used for UN 1966 and may continue to be used for UN Nos. 1961, 1972 and 3312 until the first periodic inspection after 1 January 2025 according to 6.8.3.4.6 is performed.</w:t>
      </w:r>
      <w:r w:rsidRPr="00A31804">
        <w:rPr>
          <w:iCs/>
        </w:rPr>
        <w:t>”</w:t>
      </w:r>
    </w:p>
    <w:p w14:paraId="70FAD667" w14:textId="7A0F3469" w:rsidR="00A77769" w:rsidRPr="000D2B9C" w:rsidRDefault="00740100" w:rsidP="00740100">
      <w:pPr>
        <w:pStyle w:val="HChG"/>
        <w:spacing w:before="240" w:line="240" w:lineRule="auto"/>
        <w:rPr>
          <w:b w:val="0"/>
          <w:bCs/>
          <w:iCs/>
          <w:szCs w:val="28"/>
        </w:rPr>
      </w:pPr>
      <w:r>
        <w:tab/>
      </w:r>
      <w:r>
        <w:tab/>
      </w:r>
      <w:r w:rsidR="00A77769" w:rsidRPr="00740100">
        <w:t>Justification</w:t>
      </w:r>
    </w:p>
    <w:p w14:paraId="6200206E" w14:textId="3C26B267" w:rsidR="00A77769" w:rsidRPr="000D2B9C" w:rsidRDefault="0080417C" w:rsidP="0080417C">
      <w:pPr>
        <w:pStyle w:val="SingleTxtG"/>
      </w:pPr>
      <w:r w:rsidRPr="000D2B9C">
        <w:t>5.</w:t>
      </w:r>
      <w:r w:rsidRPr="000D2B9C">
        <w:tab/>
      </w:r>
      <w:r w:rsidR="00A77769" w:rsidRPr="000D2B9C">
        <w:t xml:space="preserve">The fitting of an instant/automatic closing stop-valve is essential. However, </w:t>
      </w:r>
      <w:r w:rsidR="00804A3D" w:rsidRPr="000D2B9C">
        <w:t>several</w:t>
      </w:r>
      <w:r w:rsidR="00A77769" w:rsidRPr="000D2B9C">
        <w:t xml:space="preserve"> </w:t>
      </w:r>
      <w:r w:rsidR="00426FF0">
        <w:t xml:space="preserve">additional </w:t>
      </w:r>
      <w:r w:rsidR="00A77769" w:rsidRPr="000D2B9C">
        <w:t xml:space="preserve">details need to be </w:t>
      </w:r>
      <w:r w:rsidR="00804A3D">
        <w:t xml:space="preserve">further </w:t>
      </w:r>
      <w:r w:rsidR="00A77769" w:rsidRPr="000D2B9C">
        <w:t xml:space="preserve">discussed and decided upon. To allow for this discussion the date for which existing tanks need to be modified is set at </w:t>
      </w:r>
      <w:r w:rsidR="00404758">
        <w:t>1</w:t>
      </w:r>
      <w:r w:rsidR="00A77769" w:rsidRPr="000D2B9C">
        <w:t xml:space="preserve"> January 2025.</w:t>
      </w:r>
    </w:p>
    <w:p w14:paraId="3DE1D4D4" w14:textId="477991F4" w:rsidR="00A77769" w:rsidRPr="000D2B9C" w:rsidRDefault="0080417C" w:rsidP="0080417C">
      <w:pPr>
        <w:pStyle w:val="SingleTxtG"/>
      </w:pPr>
      <w:r w:rsidRPr="000D2B9C">
        <w:lastRenderedPageBreak/>
        <w:t>6.</w:t>
      </w:r>
      <w:r w:rsidRPr="000D2B9C">
        <w:tab/>
      </w:r>
      <w:r w:rsidR="00A77769" w:rsidRPr="000D2B9C">
        <w:t xml:space="preserve">Cryogenic tanks (vacuum insulated) have due to the design and functioning valves not on the shell itself but outside the vacuum jacket. </w:t>
      </w:r>
      <w:r w:rsidR="004E0FA2">
        <w:t>L</w:t>
      </w:r>
      <w:r w:rsidR="00A77769" w:rsidRPr="000D2B9C">
        <w:t>ow temperatures and limited space, in particular for refrigerated liquefied hydrogen, may require a different approach. For th</w:t>
      </w:r>
      <w:r w:rsidR="00A526A4">
        <w:t>at</w:t>
      </w:r>
      <w:r w:rsidR="00A77769" w:rsidRPr="000D2B9C">
        <w:t xml:space="preserve"> reason, and the limited number of tanks in circulation for UN 1966, the</w:t>
      </w:r>
      <w:r w:rsidR="00EE4DDF">
        <w:t>se</w:t>
      </w:r>
      <w:r w:rsidR="00B234E0">
        <w:t xml:space="preserve"> tanks</w:t>
      </w:r>
      <w:r w:rsidR="00A77769" w:rsidRPr="000D2B9C">
        <w:t xml:space="preserve"> are excluded from </w:t>
      </w:r>
      <w:r w:rsidR="00477C8A">
        <w:t xml:space="preserve">a </w:t>
      </w:r>
      <w:r w:rsidR="00A77769" w:rsidRPr="000D2B9C">
        <w:t>modification for now.</w:t>
      </w:r>
    </w:p>
    <w:p w14:paraId="14ECC5C5" w14:textId="65E3018C" w:rsidR="00A77769" w:rsidRPr="000D2B9C" w:rsidRDefault="0080417C" w:rsidP="0080417C">
      <w:pPr>
        <w:pStyle w:val="SingleTxtG"/>
      </w:pPr>
      <w:r w:rsidRPr="000D2B9C">
        <w:t>7.</w:t>
      </w:r>
      <w:r w:rsidRPr="000D2B9C">
        <w:tab/>
      </w:r>
      <w:r w:rsidR="00A77769" w:rsidRPr="000D2B9C">
        <w:t xml:space="preserve">During </w:t>
      </w:r>
      <w:r w:rsidR="00477C8A">
        <w:t xml:space="preserve">the </w:t>
      </w:r>
      <w:r w:rsidR="00A77769" w:rsidRPr="000D2B9C">
        <w:t xml:space="preserve">discussion </w:t>
      </w:r>
      <w:r w:rsidR="00671EE2">
        <w:t xml:space="preserve">of </w:t>
      </w:r>
      <w:r w:rsidR="00A77769" w:rsidRPr="000D2B9C">
        <w:t xml:space="preserve">the </w:t>
      </w:r>
      <w:r w:rsidR="00A12A4F">
        <w:t>i</w:t>
      </w:r>
      <w:r w:rsidR="00A77769" w:rsidRPr="000D2B9C">
        <w:t xml:space="preserve">nformal </w:t>
      </w:r>
      <w:r w:rsidR="00A12A4F">
        <w:t>w</w:t>
      </w:r>
      <w:r w:rsidR="00A77769" w:rsidRPr="000D2B9C">
        <w:t xml:space="preserve">orking </w:t>
      </w:r>
      <w:r w:rsidR="00A12A4F">
        <w:t>g</w:t>
      </w:r>
      <w:r w:rsidR="00A77769" w:rsidRPr="000D2B9C">
        <w:t xml:space="preserve">roup </w:t>
      </w:r>
      <w:r w:rsidR="00F25A15">
        <w:t xml:space="preserve">on </w:t>
      </w:r>
      <w:r w:rsidR="00A12A4F">
        <w:t>t</w:t>
      </w:r>
      <w:r w:rsidR="00F25A15" w:rsidRPr="000D2B9C">
        <w:t>anks</w:t>
      </w:r>
      <w:r w:rsidR="00A77769" w:rsidRPr="000D2B9C">
        <w:t>, that met virtually</w:t>
      </w:r>
      <w:r w:rsidR="00671EE2" w:rsidRPr="00671EE2">
        <w:t xml:space="preserve"> </w:t>
      </w:r>
      <w:r w:rsidR="00671EE2">
        <w:t>on</w:t>
      </w:r>
      <w:r w:rsidR="00671EE2" w:rsidRPr="000D2B9C">
        <w:t xml:space="preserve"> 14 December 2021</w:t>
      </w:r>
      <w:r w:rsidR="00A77769" w:rsidRPr="000D2B9C">
        <w:t>, it was recognized that also UN</w:t>
      </w:r>
      <w:r w:rsidR="00671EE2">
        <w:t xml:space="preserve"> </w:t>
      </w:r>
      <w:r w:rsidR="00A77769" w:rsidRPr="000D2B9C">
        <w:t>1961 Ethane</w:t>
      </w:r>
      <w:r w:rsidR="00A12A4F">
        <w:t>,</w:t>
      </w:r>
      <w:r w:rsidR="00A77769" w:rsidRPr="000D2B9C">
        <w:t xml:space="preserve"> refrigerated liquid and UN 3312 Gas, </w:t>
      </w:r>
      <w:r w:rsidR="00A12A4F">
        <w:t>r</w:t>
      </w:r>
      <w:r w:rsidR="00A77769" w:rsidRPr="000D2B9C">
        <w:t xml:space="preserve">efrigerated </w:t>
      </w:r>
      <w:r w:rsidR="00A12A4F">
        <w:t>l</w:t>
      </w:r>
      <w:r w:rsidR="00A77769" w:rsidRPr="000D2B9C">
        <w:t xml:space="preserve">iquid, </w:t>
      </w:r>
      <w:r w:rsidR="00A12A4F">
        <w:t>f</w:t>
      </w:r>
      <w:r w:rsidR="00A77769" w:rsidRPr="000D2B9C">
        <w:t xml:space="preserve">lammable, </w:t>
      </w:r>
      <w:proofErr w:type="spellStart"/>
      <w:r w:rsidR="00A77769" w:rsidRPr="000D2B9C">
        <w:t>n</w:t>
      </w:r>
      <w:r w:rsidR="00597AFD">
        <w:t>.</w:t>
      </w:r>
      <w:r w:rsidR="00A77769" w:rsidRPr="000D2B9C">
        <w:t>o</w:t>
      </w:r>
      <w:r w:rsidR="00597AFD">
        <w:t>.</w:t>
      </w:r>
      <w:r w:rsidR="00A77769" w:rsidRPr="000D2B9C">
        <w:t>s</w:t>
      </w:r>
      <w:proofErr w:type="spellEnd"/>
      <w:r w:rsidR="00597AFD">
        <w:t>.</w:t>
      </w:r>
      <w:r w:rsidR="00A77769" w:rsidRPr="000D2B9C">
        <w:t xml:space="preserve"> would be affected as well.</w:t>
      </w:r>
    </w:p>
    <w:p w14:paraId="72BF1F58" w14:textId="480D5ED2" w:rsidR="001C6663" w:rsidRPr="0080417C" w:rsidRDefault="0080417C" w:rsidP="0080417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80417C" w:rsidSect="005B00F2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C0A5" w14:textId="77777777" w:rsidR="00804781" w:rsidRDefault="00804781"/>
  </w:endnote>
  <w:endnote w:type="continuationSeparator" w:id="0">
    <w:p w14:paraId="7DF89F7A" w14:textId="77777777" w:rsidR="00804781" w:rsidRDefault="00804781"/>
  </w:endnote>
  <w:endnote w:type="continuationNotice" w:id="1">
    <w:p w14:paraId="31B75A90" w14:textId="77777777" w:rsidR="00804781" w:rsidRDefault="00804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855C" w14:textId="3D80A368" w:rsidR="005B00F2" w:rsidRPr="005B00F2" w:rsidRDefault="005B00F2" w:rsidP="005B00F2">
    <w:pPr>
      <w:pStyle w:val="Footer"/>
      <w:tabs>
        <w:tab w:val="right" w:pos="9638"/>
      </w:tabs>
      <w:rPr>
        <w:sz w:val="18"/>
      </w:rPr>
    </w:pPr>
    <w:r w:rsidRPr="005B00F2">
      <w:rPr>
        <w:b/>
        <w:sz w:val="18"/>
      </w:rPr>
      <w:fldChar w:fldCharType="begin"/>
    </w:r>
    <w:r w:rsidRPr="005B00F2">
      <w:rPr>
        <w:b/>
        <w:sz w:val="18"/>
      </w:rPr>
      <w:instrText xml:space="preserve"> PAGE  \* MERGEFORMAT </w:instrText>
    </w:r>
    <w:r w:rsidRPr="005B00F2">
      <w:rPr>
        <w:b/>
        <w:sz w:val="18"/>
      </w:rPr>
      <w:fldChar w:fldCharType="separate"/>
    </w:r>
    <w:r w:rsidR="00C768EB">
      <w:rPr>
        <w:b/>
        <w:noProof/>
        <w:sz w:val="18"/>
      </w:rPr>
      <w:t>2</w:t>
    </w:r>
    <w:r w:rsidRPr="005B00F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74BA" w14:textId="6794FE37" w:rsidR="005B00F2" w:rsidRPr="005B00F2" w:rsidRDefault="005B00F2" w:rsidP="005B00F2">
    <w:pPr>
      <w:pStyle w:val="Footer"/>
      <w:tabs>
        <w:tab w:val="right" w:pos="9638"/>
      </w:tabs>
      <w:rPr>
        <w:b/>
        <w:sz w:val="18"/>
      </w:rPr>
    </w:pPr>
    <w:r>
      <w:tab/>
    </w:r>
    <w:r w:rsidRPr="005B00F2">
      <w:rPr>
        <w:b/>
        <w:sz w:val="18"/>
      </w:rPr>
      <w:fldChar w:fldCharType="begin"/>
    </w:r>
    <w:r w:rsidRPr="005B00F2">
      <w:rPr>
        <w:b/>
        <w:sz w:val="18"/>
      </w:rPr>
      <w:instrText xml:space="preserve"> PAGE  \* MERGEFORMAT </w:instrText>
    </w:r>
    <w:r w:rsidRPr="005B00F2">
      <w:rPr>
        <w:b/>
        <w:sz w:val="18"/>
      </w:rPr>
      <w:fldChar w:fldCharType="separate"/>
    </w:r>
    <w:r w:rsidR="00A12A4F">
      <w:rPr>
        <w:b/>
        <w:noProof/>
        <w:sz w:val="18"/>
      </w:rPr>
      <w:t>3</w:t>
    </w:r>
    <w:r w:rsidRPr="005B00F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2946" w14:textId="77777777" w:rsidR="00804781" w:rsidRPr="000B175B" w:rsidRDefault="0080478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CA7761" w14:textId="77777777" w:rsidR="00804781" w:rsidRPr="00FC68B7" w:rsidRDefault="0080478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FF6EFB" w14:textId="77777777" w:rsidR="00804781" w:rsidRDefault="00804781"/>
  </w:footnote>
  <w:footnote w:id="2">
    <w:p w14:paraId="5AE7A029" w14:textId="77777777" w:rsidR="0080417C" w:rsidRDefault="0080417C" w:rsidP="0080417C">
      <w:pPr>
        <w:pStyle w:val="FootnoteText"/>
        <w:rPr>
          <w:sz w:val="20"/>
        </w:rPr>
      </w:pPr>
      <w:r>
        <w:rPr>
          <w:sz w:val="20"/>
        </w:rP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A/76/6 (Sect.20), para. 20.76.</w:t>
      </w:r>
    </w:p>
  </w:footnote>
  <w:footnote w:id="3">
    <w:p w14:paraId="02F8379D" w14:textId="0D3C3B8E" w:rsidR="0080417C" w:rsidRDefault="0080417C" w:rsidP="0080417C">
      <w:pPr>
        <w:pStyle w:val="FootnoteText"/>
        <w:rPr>
          <w:sz w:val="20"/>
        </w:rPr>
      </w:pPr>
      <w:r>
        <w:rPr>
          <w:rStyle w:val="FootnoteReference"/>
          <w:sz w:val="20"/>
        </w:rPr>
        <w:tab/>
        <w:t>**</w:t>
      </w:r>
      <w:r>
        <w:rPr>
          <w:sz w:val="20"/>
        </w:rPr>
        <w:tab/>
      </w:r>
      <w:r>
        <w:rPr>
          <w:sz w:val="20"/>
        </w:rPr>
        <w:tab/>
      </w:r>
      <w:r>
        <w:t>Circulated by the Intergovernmental Organisation for International Carriage by Rail (OTIF) under the symbol OTIF/RID/RC/2022/16.</w:t>
      </w:r>
    </w:p>
  </w:footnote>
  <w:footnote w:id="4">
    <w:p w14:paraId="077A3909" w14:textId="77777777" w:rsidR="0080417C" w:rsidRPr="00E92690" w:rsidRDefault="0080417C" w:rsidP="0080417C">
      <w:pPr>
        <w:pStyle w:val="FootnoteText"/>
        <w:ind w:hanging="283"/>
      </w:pPr>
      <w:r>
        <w:tab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rPr>
          <w:rStyle w:val="FootnoteReference"/>
          <w:sz w:val="20"/>
        </w:rPr>
        <w:sym w:font="Symbol" w:char="F02A"/>
      </w:r>
      <w:r>
        <w:t xml:space="preserve"> </w:t>
      </w:r>
      <w:r>
        <w:rPr>
          <w:szCs w:val="18"/>
        </w:rPr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0F93" w14:textId="334F69CB" w:rsidR="005B00F2" w:rsidRPr="005B00F2" w:rsidRDefault="001804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00F2">
      <w:t>ECE/TRANS/WP.15/AC.1/2022/16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68CED" w14:textId="32B567C8" w:rsidR="005B00F2" w:rsidRPr="005B00F2" w:rsidRDefault="00180487" w:rsidP="005B00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00F2">
      <w:t>ECE/TRANS/WP.15/AC.1/2022/16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3881669"/>
    <w:multiLevelType w:val="hybridMultilevel"/>
    <w:tmpl w:val="C112802E"/>
    <w:lvl w:ilvl="0" w:tplc="103665C6">
      <w:start w:val="1"/>
      <w:numFmt w:val="decimal"/>
      <w:lvlText w:val="%1."/>
      <w:lvlJc w:val="left"/>
      <w:pPr>
        <w:ind w:left="1710" w:hanging="576"/>
      </w:p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>
      <w:start w:val="1"/>
      <w:numFmt w:val="lowerRoman"/>
      <w:lvlText w:val="%3."/>
      <w:lvlJc w:val="right"/>
      <w:pPr>
        <w:ind w:left="2934" w:hanging="180"/>
      </w:pPr>
    </w:lvl>
    <w:lvl w:ilvl="3" w:tplc="0413000F">
      <w:start w:val="1"/>
      <w:numFmt w:val="decimal"/>
      <w:lvlText w:val="%4."/>
      <w:lvlJc w:val="left"/>
      <w:pPr>
        <w:ind w:left="3654" w:hanging="360"/>
      </w:pPr>
    </w:lvl>
    <w:lvl w:ilvl="4" w:tplc="04130019">
      <w:start w:val="1"/>
      <w:numFmt w:val="lowerLetter"/>
      <w:lvlText w:val="%5."/>
      <w:lvlJc w:val="left"/>
      <w:pPr>
        <w:ind w:left="4374" w:hanging="360"/>
      </w:pPr>
    </w:lvl>
    <w:lvl w:ilvl="5" w:tplc="0413001B">
      <w:start w:val="1"/>
      <w:numFmt w:val="lowerRoman"/>
      <w:lvlText w:val="%6."/>
      <w:lvlJc w:val="right"/>
      <w:pPr>
        <w:ind w:left="5094" w:hanging="180"/>
      </w:pPr>
    </w:lvl>
    <w:lvl w:ilvl="6" w:tplc="0413000F">
      <w:start w:val="1"/>
      <w:numFmt w:val="decimal"/>
      <w:lvlText w:val="%7."/>
      <w:lvlJc w:val="left"/>
      <w:pPr>
        <w:ind w:left="5814" w:hanging="360"/>
      </w:pPr>
    </w:lvl>
    <w:lvl w:ilvl="7" w:tplc="04130019">
      <w:start w:val="1"/>
      <w:numFmt w:val="lowerLetter"/>
      <w:lvlText w:val="%8."/>
      <w:lvlJc w:val="left"/>
      <w:pPr>
        <w:ind w:left="6534" w:hanging="360"/>
      </w:pPr>
    </w:lvl>
    <w:lvl w:ilvl="8" w:tplc="0413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F2"/>
    <w:rsid w:val="00002A7D"/>
    <w:rsid w:val="000038A8"/>
    <w:rsid w:val="00006790"/>
    <w:rsid w:val="00027624"/>
    <w:rsid w:val="00050F6B"/>
    <w:rsid w:val="000678CD"/>
    <w:rsid w:val="00072C8C"/>
    <w:rsid w:val="0007305F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D2B9C"/>
    <w:rsid w:val="000E0415"/>
    <w:rsid w:val="000F7715"/>
    <w:rsid w:val="0014402A"/>
    <w:rsid w:val="00153056"/>
    <w:rsid w:val="00156B99"/>
    <w:rsid w:val="00166124"/>
    <w:rsid w:val="00170C96"/>
    <w:rsid w:val="00180487"/>
    <w:rsid w:val="00184DDA"/>
    <w:rsid w:val="001900CD"/>
    <w:rsid w:val="00191F48"/>
    <w:rsid w:val="00195EDD"/>
    <w:rsid w:val="001A0452"/>
    <w:rsid w:val="001B4B04"/>
    <w:rsid w:val="001B5875"/>
    <w:rsid w:val="001B5E50"/>
    <w:rsid w:val="001C4B9C"/>
    <w:rsid w:val="001C6663"/>
    <w:rsid w:val="001C7895"/>
    <w:rsid w:val="001D26DF"/>
    <w:rsid w:val="001D2948"/>
    <w:rsid w:val="001F1599"/>
    <w:rsid w:val="001F19C4"/>
    <w:rsid w:val="001F60A8"/>
    <w:rsid w:val="002043F0"/>
    <w:rsid w:val="00211E0B"/>
    <w:rsid w:val="00232575"/>
    <w:rsid w:val="00233DC2"/>
    <w:rsid w:val="00247258"/>
    <w:rsid w:val="00257CAC"/>
    <w:rsid w:val="00264441"/>
    <w:rsid w:val="0027237A"/>
    <w:rsid w:val="00296F39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23AE9"/>
    <w:rsid w:val="00336C97"/>
    <w:rsid w:val="00337F88"/>
    <w:rsid w:val="00342432"/>
    <w:rsid w:val="0035223F"/>
    <w:rsid w:val="00352D4B"/>
    <w:rsid w:val="0035638C"/>
    <w:rsid w:val="00356588"/>
    <w:rsid w:val="0038348C"/>
    <w:rsid w:val="003A46BB"/>
    <w:rsid w:val="003A4EC7"/>
    <w:rsid w:val="003A7295"/>
    <w:rsid w:val="003B1F60"/>
    <w:rsid w:val="003C2CC4"/>
    <w:rsid w:val="003D4B23"/>
    <w:rsid w:val="003E278A"/>
    <w:rsid w:val="00404758"/>
    <w:rsid w:val="00413520"/>
    <w:rsid w:val="00417B02"/>
    <w:rsid w:val="00426FF0"/>
    <w:rsid w:val="004325CB"/>
    <w:rsid w:val="00440A07"/>
    <w:rsid w:val="00445966"/>
    <w:rsid w:val="00462880"/>
    <w:rsid w:val="00476F24"/>
    <w:rsid w:val="00477C8A"/>
    <w:rsid w:val="004B0340"/>
    <w:rsid w:val="004C55B0"/>
    <w:rsid w:val="004D292A"/>
    <w:rsid w:val="004E0FA2"/>
    <w:rsid w:val="004F6BA0"/>
    <w:rsid w:val="00503BEA"/>
    <w:rsid w:val="00517715"/>
    <w:rsid w:val="00533616"/>
    <w:rsid w:val="00535ABA"/>
    <w:rsid w:val="0053768B"/>
    <w:rsid w:val="005420F2"/>
    <w:rsid w:val="0054285C"/>
    <w:rsid w:val="005665A5"/>
    <w:rsid w:val="00566F0E"/>
    <w:rsid w:val="005831EB"/>
    <w:rsid w:val="00584173"/>
    <w:rsid w:val="00595520"/>
    <w:rsid w:val="00597AFD"/>
    <w:rsid w:val="005A44B9"/>
    <w:rsid w:val="005B00F2"/>
    <w:rsid w:val="005B1BA0"/>
    <w:rsid w:val="005B3DB3"/>
    <w:rsid w:val="005B4985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1EE2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D4206"/>
    <w:rsid w:val="006E564B"/>
    <w:rsid w:val="006E7154"/>
    <w:rsid w:val="007003CD"/>
    <w:rsid w:val="0070701E"/>
    <w:rsid w:val="00710CC7"/>
    <w:rsid w:val="00723AB1"/>
    <w:rsid w:val="0072632A"/>
    <w:rsid w:val="007358E8"/>
    <w:rsid w:val="00736ECE"/>
    <w:rsid w:val="00740100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C4FE2"/>
    <w:rsid w:val="007D7362"/>
    <w:rsid w:val="007F2ABA"/>
    <w:rsid w:val="007F5CE2"/>
    <w:rsid w:val="007F6611"/>
    <w:rsid w:val="00800522"/>
    <w:rsid w:val="0080353A"/>
    <w:rsid w:val="0080417C"/>
    <w:rsid w:val="00804781"/>
    <w:rsid w:val="00804A3D"/>
    <w:rsid w:val="00810BAC"/>
    <w:rsid w:val="008175E9"/>
    <w:rsid w:val="008242D7"/>
    <w:rsid w:val="0082577B"/>
    <w:rsid w:val="008263ED"/>
    <w:rsid w:val="008272DD"/>
    <w:rsid w:val="00845E5E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075E"/>
    <w:rsid w:val="00926E47"/>
    <w:rsid w:val="00947162"/>
    <w:rsid w:val="0095778D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67B6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2A4F"/>
    <w:rsid w:val="00A1704A"/>
    <w:rsid w:val="00A3022E"/>
    <w:rsid w:val="00A31804"/>
    <w:rsid w:val="00A425EB"/>
    <w:rsid w:val="00A526A4"/>
    <w:rsid w:val="00A57EAD"/>
    <w:rsid w:val="00A60DD8"/>
    <w:rsid w:val="00A72F05"/>
    <w:rsid w:val="00A72F22"/>
    <w:rsid w:val="00A733BC"/>
    <w:rsid w:val="00A748A6"/>
    <w:rsid w:val="00A76A69"/>
    <w:rsid w:val="00A777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234E0"/>
    <w:rsid w:val="00B30179"/>
    <w:rsid w:val="00B33FC7"/>
    <w:rsid w:val="00B37B15"/>
    <w:rsid w:val="00B45C02"/>
    <w:rsid w:val="00B66D0B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ED7"/>
    <w:rsid w:val="00C0294F"/>
    <w:rsid w:val="00C044E2"/>
    <w:rsid w:val="00C048CB"/>
    <w:rsid w:val="00C066F3"/>
    <w:rsid w:val="00C408B7"/>
    <w:rsid w:val="00C411EB"/>
    <w:rsid w:val="00C463DD"/>
    <w:rsid w:val="00C647D6"/>
    <w:rsid w:val="00C745C3"/>
    <w:rsid w:val="00C768EB"/>
    <w:rsid w:val="00C82422"/>
    <w:rsid w:val="00C978F5"/>
    <w:rsid w:val="00CA24A4"/>
    <w:rsid w:val="00CA6B72"/>
    <w:rsid w:val="00CB1F0F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2D03"/>
    <w:rsid w:val="00D704E5"/>
    <w:rsid w:val="00D72727"/>
    <w:rsid w:val="00D978A8"/>
    <w:rsid w:val="00D978C6"/>
    <w:rsid w:val="00DA0956"/>
    <w:rsid w:val="00DA357F"/>
    <w:rsid w:val="00DA3E12"/>
    <w:rsid w:val="00DC18AD"/>
    <w:rsid w:val="00DD1C47"/>
    <w:rsid w:val="00DF7CAE"/>
    <w:rsid w:val="00E423C0"/>
    <w:rsid w:val="00E54FE8"/>
    <w:rsid w:val="00E6414C"/>
    <w:rsid w:val="00E7260F"/>
    <w:rsid w:val="00E8702D"/>
    <w:rsid w:val="00E905F4"/>
    <w:rsid w:val="00E916A9"/>
    <w:rsid w:val="00E916DE"/>
    <w:rsid w:val="00E925AD"/>
    <w:rsid w:val="00E92690"/>
    <w:rsid w:val="00E96630"/>
    <w:rsid w:val="00EB5C95"/>
    <w:rsid w:val="00ED18DC"/>
    <w:rsid w:val="00ED6201"/>
    <w:rsid w:val="00ED7A2A"/>
    <w:rsid w:val="00EE0303"/>
    <w:rsid w:val="00EE4DDF"/>
    <w:rsid w:val="00EF1D7F"/>
    <w:rsid w:val="00F0137E"/>
    <w:rsid w:val="00F077A2"/>
    <w:rsid w:val="00F21786"/>
    <w:rsid w:val="00F25A15"/>
    <w:rsid w:val="00F3742B"/>
    <w:rsid w:val="00F40373"/>
    <w:rsid w:val="00F41FDB"/>
    <w:rsid w:val="00F50596"/>
    <w:rsid w:val="00F56B83"/>
    <w:rsid w:val="00F56D63"/>
    <w:rsid w:val="00F609A9"/>
    <w:rsid w:val="00F72BAF"/>
    <w:rsid w:val="00F80C99"/>
    <w:rsid w:val="00F867EC"/>
    <w:rsid w:val="00F91B2B"/>
    <w:rsid w:val="00FA3F80"/>
    <w:rsid w:val="00FC03CD"/>
    <w:rsid w:val="00FC0646"/>
    <w:rsid w:val="00FC68B7"/>
    <w:rsid w:val="00FE6985"/>
    <w:rsid w:val="00FE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9F3AE"/>
  <w15:docId w15:val="{936D13E1-6F7B-488C-81E7-40D25AD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A77769"/>
    <w:pPr>
      <w:ind w:left="720"/>
      <w:contextualSpacing/>
    </w:p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80417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039C3-2C83-459A-9A84-5B02D7CEC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68DCC-1918-406D-A026-92854B254C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B8A38-B533-49D6-AF77-C70C303F1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C6DD4-1EEE-482C-9FF2-D13C39C84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</TotalTime>
  <Pages>3</Pages>
  <Words>852</Words>
  <Characters>4863</Characters>
  <Application>Microsoft Office Word</Application>
  <DocSecurity>4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ECE/TRANS/WP.15/AC.1/2022/16</vt:lpstr>
      <vt:lpstr/>
      <vt:lpstr>United Nations</vt:lpstr>
    </vt:vector>
  </TitlesOfParts>
  <Company>CSD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ECE/TRANS/WP.15/AC.1/2022/16</dc:title>
  <dc:creator>Christine Barrio-Champeau</dc:creator>
  <cp:lastModifiedBy>Christine Barrio-Champeau</cp:lastModifiedBy>
  <cp:revision>2</cp:revision>
  <cp:lastPrinted>2009-02-18T09:36:00Z</cp:lastPrinted>
  <dcterms:created xsi:type="dcterms:W3CDTF">2021-12-22T08:25:00Z</dcterms:created>
  <dcterms:modified xsi:type="dcterms:W3CDTF">2021-12-22T08:25:00Z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