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6ACA24B" w14:textId="77777777" w:rsidTr="00B20551">
        <w:trPr>
          <w:cantSplit/>
          <w:trHeight w:hRule="exact" w:val="851"/>
        </w:trPr>
        <w:tc>
          <w:tcPr>
            <w:tcW w:w="1276" w:type="dxa"/>
            <w:tcBorders>
              <w:bottom w:val="single" w:sz="4" w:space="0" w:color="auto"/>
            </w:tcBorders>
            <w:vAlign w:val="bottom"/>
          </w:tcPr>
          <w:p w14:paraId="6E652332" w14:textId="77777777" w:rsidR="009E6CB7" w:rsidRDefault="009E6CB7" w:rsidP="00B20551">
            <w:pPr>
              <w:spacing w:after="80"/>
            </w:pPr>
          </w:p>
        </w:tc>
        <w:tc>
          <w:tcPr>
            <w:tcW w:w="2268" w:type="dxa"/>
            <w:tcBorders>
              <w:bottom w:val="single" w:sz="4" w:space="0" w:color="auto"/>
            </w:tcBorders>
            <w:vAlign w:val="bottom"/>
          </w:tcPr>
          <w:p w14:paraId="39042F5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9A333D" w14:textId="2D5F2394" w:rsidR="009E6CB7" w:rsidRPr="00D47EEA" w:rsidRDefault="001235F8" w:rsidP="001235F8">
            <w:pPr>
              <w:jc w:val="right"/>
            </w:pPr>
            <w:r w:rsidRPr="001235F8">
              <w:rPr>
                <w:sz w:val="40"/>
              </w:rPr>
              <w:t>ECE</w:t>
            </w:r>
            <w:r>
              <w:t>/TRANS/WP.15/AC.1/2022/15</w:t>
            </w:r>
          </w:p>
        </w:tc>
      </w:tr>
      <w:tr w:rsidR="009E6CB7" w14:paraId="22F17575" w14:textId="77777777" w:rsidTr="00B20551">
        <w:trPr>
          <w:cantSplit/>
          <w:trHeight w:hRule="exact" w:val="2835"/>
        </w:trPr>
        <w:tc>
          <w:tcPr>
            <w:tcW w:w="1276" w:type="dxa"/>
            <w:tcBorders>
              <w:top w:val="single" w:sz="4" w:space="0" w:color="auto"/>
              <w:bottom w:val="single" w:sz="12" w:space="0" w:color="auto"/>
            </w:tcBorders>
          </w:tcPr>
          <w:p w14:paraId="07DB1042" w14:textId="77777777" w:rsidR="009E6CB7" w:rsidRDefault="00686A48" w:rsidP="00B20551">
            <w:pPr>
              <w:spacing w:before="120"/>
            </w:pPr>
            <w:r>
              <w:rPr>
                <w:noProof/>
                <w:lang w:val="de-DE" w:eastAsia="de-DE"/>
              </w:rPr>
              <w:drawing>
                <wp:inline distT="0" distB="0" distL="0" distR="0" wp14:anchorId="73807157" wp14:editId="218903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0B74D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1B5420C" w14:textId="77777777" w:rsidR="009E6CB7" w:rsidRDefault="001235F8" w:rsidP="001235F8">
            <w:pPr>
              <w:spacing w:before="240" w:line="240" w:lineRule="exact"/>
            </w:pPr>
            <w:r>
              <w:t>Distr.: General</w:t>
            </w:r>
          </w:p>
          <w:p w14:paraId="5D88F4F2" w14:textId="27AC11EC" w:rsidR="001235F8" w:rsidRDefault="0081292C" w:rsidP="001235F8">
            <w:pPr>
              <w:spacing w:line="240" w:lineRule="exact"/>
            </w:pPr>
            <w:r>
              <w:t>21</w:t>
            </w:r>
            <w:r w:rsidR="001235F8">
              <w:t xml:space="preserve"> December 2021</w:t>
            </w:r>
          </w:p>
          <w:p w14:paraId="6067EA5C" w14:textId="77777777" w:rsidR="001235F8" w:rsidRDefault="001235F8" w:rsidP="001235F8">
            <w:pPr>
              <w:spacing w:line="240" w:lineRule="exact"/>
            </w:pPr>
          </w:p>
          <w:p w14:paraId="248F27AA" w14:textId="0D96B287" w:rsidR="001235F8" w:rsidRDefault="001235F8" w:rsidP="001235F8">
            <w:pPr>
              <w:spacing w:line="240" w:lineRule="exact"/>
            </w:pPr>
            <w:r>
              <w:t>Original: English</w:t>
            </w:r>
          </w:p>
        </w:tc>
      </w:tr>
    </w:tbl>
    <w:p w14:paraId="46153FBD" w14:textId="77777777" w:rsidR="00177314" w:rsidRPr="00633AF5" w:rsidRDefault="00177314" w:rsidP="00177314">
      <w:pPr>
        <w:pStyle w:val="Heading1"/>
        <w:spacing w:after="90"/>
        <w:ind w:left="-5" w:right="702"/>
      </w:pPr>
      <w:r w:rsidRPr="00633AF5">
        <w:t xml:space="preserve">Economic Commission for Europe </w:t>
      </w:r>
    </w:p>
    <w:p w14:paraId="383B0888" w14:textId="77777777" w:rsidR="00177314" w:rsidRPr="00057578" w:rsidRDefault="00177314" w:rsidP="00177314">
      <w:pPr>
        <w:spacing w:after="54" w:line="259" w:lineRule="auto"/>
      </w:pPr>
      <w:r w:rsidRPr="00057578">
        <w:rPr>
          <w:sz w:val="28"/>
        </w:rPr>
        <w:t xml:space="preserve">Inland Transport Committee </w:t>
      </w:r>
    </w:p>
    <w:p w14:paraId="4BC31F33" w14:textId="77777777" w:rsidR="00177314" w:rsidRPr="00057578" w:rsidRDefault="00177314" w:rsidP="00177314">
      <w:pPr>
        <w:spacing w:after="69" w:line="259" w:lineRule="auto"/>
        <w:ind w:left="-5"/>
      </w:pPr>
      <w:r w:rsidRPr="00057578">
        <w:rPr>
          <w:b/>
          <w:sz w:val="24"/>
        </w:rPr>
        <w:t xml:space="preserve">Working Party on the Transport of Dangerous Goods </w:t>
      </w:r>
    </w:p>
    <w:p w14:paraId="1790C08C" w14:textId="77777777" w:rsidR="00177314" w:rsidRPr="00057578" w:rsidRDefault="00177314" w:rsidP="00177314">
      <w:pPr>
        <w:spacing w:after="4" w:line="254" w:lineRule="auto"/>
        <w:ind w:left="-5"/>
      </w:pPr>
      <w:r w:rsidRPr="00057578">
        <w:rPr>
          <w:b/>
        </w:rPr>
        <w:t xml:space="preserve">Joint Meeting of the RID Committee of Experts and the </w:t>
      </w:r>
    </w:p>
    <w:p w14:paraId="2737663F" w14:textId="77777777" w:rsidR="00177314" w:rsidRPr="00057578" w:rsidRDefault="00177314" w:rsidP="00177314">
      <w:pPr>
        <w:spacing w:after="4" w:line="254" w:lineRule="auto"/>
        <w:ind w:left="-5"/>
      </w:pPr>
      <w:r w:rsidRPr="00057578">
        <w:rPr>
          <w:b/>
        </w:rPr>
        <w:t xml:space="preserve">Working Party on the Transport of Dangerous Goods </w:t>
      </w:r>
    </w:p>
    <w:p w14:paraId="135A38E2" w14:textId="77777777" w:rsidR="00177314" w:rsidRPr="00057578" w:rsidRDefault="00177314" w:rsidP="00177314">
      <w:pPr>
        <w:ind w:right="1119"/>
      </w:pPr>
      <w:r w:rsidRPr="00057578">
        <w:t xml:space="preserve">Bern, 14 March - 18 March 2022 </w:t>
      </w:r>
    </w:p>
    <w:p w14:paraId="07450036" w14:textId="77777777" w:rsidR="00177314" w:rsidRPr="00057578" w:rsidRDefault="00177314" w:rsidP="00177314">
      <w:pPr>
        <w:ind w:right="1119"/>
      </w:pPr>
      <w:r w:rsidRPr="00057578">
        <w:t xml:space="preserve">Item 5(b) of the provisional agenda </w:t>
      </w:r>
    </w:p>
    <w:p w14:paraId="7D25BD61" w14:textId="69DE4627" w:rsidR="00177314" w:rsidRPr="00057578" w:rsidRDefault="00177314" w:rsidP="00177314">
      <w:pPr>
        <w:spacing w:after="438" w:line="254" w:lineRule="auto"/>
        <w:ind w:left="-5" w:right="4947"/>
      </w:pPr>
      <w:r w:rsidRPr="00057578">
        <w:rPr>
          <w:b/>
        </w:rPr>
        <w:t>Proposals for amendments to RID/ADR/ADN:</w:t>
      </w:r>
      <w:r w:rsidR="000C4EDE" w:rsidRPr="00057578">
        <w:rPr>
          <w:b/>
        </w:rPr>
        <w:br/>
      </w:r>
      <w:r w:rsidRPr="00057578">
        <w:rPr>
          <w:b/>
        </w:rPr>
        <w:t>New proposals</w:t>
      </w:r>
    </w:p>
    <w:p w14:paraId="2BDF210F" w14:textId="171B8167" w:rsidR="00177314" w:rsidRPr="00057578" w:rsidRDefault="00177314" w:rsidP="00177314">
      <w:pPr>
        <w:pStyle w:val="HChG"/>
      </w:pPr>
      <w:r w:rsidRPr="00057578">
        <w:t xml:space="preserve"> </w:t>
      </w:r>
      <w:r w:rsidRPr="00057578">
        <w:tab/>
      </w:r>
      <w:r w:rsidRPr="00057578">
        <w:tab/>
      </w:r>
      <w:r w:rsidRPr="00057578">
        <w:tab/>
        <w:t>Carriage of paint residues (waste) – Amending and assigning special provision 650 to UN 3082</w:t>
      </w:r>
    </w:p>
    <w:p w14:paraId="2A0408CE" w14:textId="0F364420" w:rsidR="00177314" w:rsidRPr="00057578" w:rsidRDefault="00177314" w:rsidP="00177314">
      <w:pPr>
        <w:pStyle w:val="H1G"/>
      </w:pPr>
      <w:r w:rsidRPr="00057578">
        <w:tab/>
      </w:r>
      <w:r w:rsidRPr="00057578">
        <w:tab/>
      </w:r>
      <w:r w:rsidRPr="00057578">
        <w:tab/>
        <w:t>Transmitted by the Government of Sweden</w:t>
      </w:r>
      <w:r w:rsidR="00A643E1" w:rsidRPr="00057578">
        <w:rPr>
          <w:rStyle w:val="FootnoteReference"/>
          <w:sz w:val="20"/>
        </w:rPr>
        <w:footnoteReference w:customMarkFollows="1" w:id="2"/>
        <w:t>*</w:t>
      </w:r>
      <w:r w:rsidR="00A643E1" w:rsidRPr="00057578">
        <w:rPr>
          <w:sz w:val="20"/>
          <w:vertAlign w:val="superscript"/>
        </w:rPr>
        <w:t xml:space="preserve">, </w:t>
      </w:r>
      <w:r w:rsidR="00A643E1" w:rsidRPr="00057578">
        <w:rPr>
          <w:rStyle w:val="FootnoteReference"/>
          <w:sz w:val="20"/>
        </w:rPr>
        <w:footnoteReference w:customMarkFollows="1" w:id="3"/>
        <w:t>**</w:t>
      </w:r>
      <w:r w:rsidR="00A643E1" w:rsidRPr="00057578">
        <w:rPr>
          <w:sz w:val="20"/>
          <w:vertAlign w:val="superscript"/>
        </w:rPr>
        <w:t>,</w:t>
      </w:r>
      <w:r w:rsidR="00A643E1" w:rsidRPr="00057578">
        <w:rPr>
          <w:sz w:val="20"/>
        </w:rPr>
        <w:t xml:space="preserve"> </w:t>
      </w:r>
      <w:r w:rsidR="00A643E1" w:rsidRPr="00057578">
        <w:rPr>
          <w:rStyle w:val="FootnoteReference"/>
          <w:sz w:val="20"/>
        </w:rPr>
        <w:footnoteReference w:customMarkFollows="1" w:id="4"/>
        <w:sym w:font="Symbol" w:char="F02A"/>
      </w:r>
      <w:r w:rsidR="00A643E1" w:rsidRPr="00057578">
        <w:rPr>
          <w:rStyle w:val="FootnoteReference"/>
          <w:sz w:val="20"/>
        </w:rPr>
        <w:sym w:font="Symbol" w:char="F02A"/>
      </w:r>
      <w:r w:rsidR="00A643E1" w:rsidRPr="00057578">
        <w:rPr>
          <w:rStyle w:val="FootnoteReference"/>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77314" w:rsidRPr="00057578" w14:paraId="61323AA8" w14:textId="77777777" w:rsidTr="006765FA">
        <w:trPr>
          <w:jc w:val="center"/>
        </w:trPr>
        <w:tc>
          <w:tcPr>
            <w:tcW w:w="9082" w:type="dxa"/>
            <w:shd w:val="clear" w:color="auto" w:fill="auto"/>
          </w:tcPr>
          <w:p w14:paraId="77D27DD5" w14:textId="77777777" w:rsidR="00177314" w:rsidRPr="00057578" w:rsidRDefault="00177314" w:rsidP="006765FA">
            <w:pPr>
              <w:spacing w:before="240" w:after="120"/>
              <w:ind w:left="255"/>
              <w:rPr>
                <w:i/>
              </w:rPr>
            </w:pPr>
            <w:r w:rsidRPr="00057578">
              <w:rPr>
                <w:i/>
              </w:rPr>
              <w:t>Summary</w:t>
            </w:r>
          </w:p>
        </w:tc>
      </w:tr>
      <w:tr w:rsidR="00177314" w:rsidRPr="00057578" w14:paraId="47CDB890" w14:textId="77777777" w:rsidTr="006765FA">
        <w:trPr>
          <w:jc w:val="center"/>
        </w:trPr>
        <w:tc>
          <w:tcPr>
            <w:tcW w:w="9082" w:type="dxa"/>
            <w:shd w:val="clear" w:color="auto" w:fill="auto"/>
          </w:tcPr>
          <w:p w14:paraId="5F01169F" w14:textId="77777777" w:rsidR="00177314" w:rsidRPr="00057578" w:rsidRDefault="00177314" w:rsidP="009F3C85">
            <w:pPr>
              <w:tabs>
                <w:tab w:val="left" w:pos="3260"/>
              </w:tabs>
              <w:spacing w:after="120"/>
              <w:ind w:left="3260" w:right="1134" w:hanging="2126"/>
              <w:jc w:val="both"/>
            </w:pPr>
            <w:r w:rsidRPr="00057578">
              <w:rPr>
                <w:b/>
              </w:rPr>
              <w:t>Executive summary:</w:t>
            </w:r>
            <w:r w:rsidRPr="00057578">
              <w:tab/>
              <w:t>Waste consisting of packaging residues, solidified residues and liquid residues of paint classified as UN 1263, PG II, may be carried under the provisions of special provision 650. Sweden believes it would be appropriate to facilitate the transport of similar waste classified as UN 3082 under these provisions as well.</w:t>
            </w:r>
          </w:p>
        </w:tc>
      </w:tr>
      <w:tr w:rsidR="00177314" w:rsidRPr="00057578" w14:paraId="1D7C89E0" w14:textId="77777777" w:rsidTr="006765FA">
        <w:trPr>
          <w:jc w:val="center"/>
        </w:trPr>
        <w:tc>
          <w:tcPr>
            <w:tcW w:w="9082" w:type="dxa"/>
            <w:shd w:val="clear" w:color="auto" w:fill="auto"/>
          </w:tcPr>
          <w:p w14:paraId="3A2E4E3F" w14:textId="77777777" w:rsidR="00177314" w:rsidRPr="00057578" w:rsidRDefault="00177314" w:rsidP="0084660F">
            <w:pPr>
              <w:tabs>
                <w:tab w:val="left" w:pos="3260"/>
              </w:tabs>
              <w:spacing w:after="120"/>
              <w:ind w:left="3260" w:right="1134" w:hanging="2126"/>
              <w:jc w:val="both"/>
            </w:pPr>
            <w:r w:rsidRPr="00057578">
              <w:rPr>
                <w:b/>
              </w:rPr>
              <w:t>Action to be taken:</w:t>
            </w:r>
            <w:r w:rsidRPr="00057578">
              <w:rPr>
                <w:b/>
              </w:rPr>
              <w:tab/>
            </w:r>
            <w:r w:rsidRPr="00057578">
              <w:t>Amend special provision 650 in Chapter 3.3 and assign this special provision to UN 3082.</w:t>
            </w:r>
          </w:p>
        </w:tc>
      </w:tr>
      <w:tr w:rsidR="00177314" w:rsidRPr="00057578" w14:paraId="2A39E843" w14:textId="77777777" w:rsidTr="006765FA">
        <w:trPr>
          <w:jc w:val="center"/>
        </w:trPr>
        <w:tc>
          <w:tcPr>
            <w:tcW w:w="9082" w:type="dxa"/>
            <w:shd w:val="clear" w:color="auto" w:fill="auto"/>
          </w:tcPr>
          <w:p w14:paraId="4DC218B0" w14:textId="7A35033F" w:rsidR="00177314" w:rsidRPr="00057578" w:rsidRDefault="00177314" w:rsidP="0084660F">
            <w:pPr>
              <w:tabs>
                <w:tab w:val="left" w:pos="3260"/>
              </w:tabs>
              <w:spacing w:after="120"/>
              <w:ind w:left="3260" w:right="1134" w:hanging="2126"/>
              <w:jc w:val="both"/>
            </w:pPr>
            <w:r w:rsidRPr="00057578">
              <w:rPr>
                <w:b/>
              </w:rPr>
              <w:t>Related documents:</w:t>
            </w:r>
            <w:r w:rsidRPr="00057578">
              <w:tab/>
            </w:r>
            <w:r w:rsidR="00C0792D" w:rsidRPr="00057578">
              <w:t>ECE/</w:t>
            </w:r>
            <w:r w:rsidRPr="00057578">
              <w:t>TRANS/WP.15/AC.1/2003/23</w:t>
            </w:r>
            <w:r w:rsidRPr="00057578">
              <w:br/>
            </w:r>
            <w:r w:rsidR="00C0792D" w:rsidRPr="00057578">
              <w:t>ECE/</w:t>
            </w:r>
            <w:r w:rsidRPr="00057578">
              <w:t>TRANS/WP.15/AC.1/2021/37</w:t>
            </w:r>
          </w:p>
        </w:tc>
      </w:tr>
      <w:tr w:rsidR="009F3C85" w:rsidRPr="00057578" w14:paraId="2BA0C8DA" w14:textId="77777777" w:rsidTr="006765FA">
        <w:trPr>
          <w:jc w:val="center"/>
        </w:trPr>
        <w:tc>
          <w:tcPr>
            <w:tcW w:w="9082" w:type="dxa"/>
            <w:shd w:val="clear" w:color="auto" w:fill="auto"/>
          </w:tcPr>
          <w:p w14:paraId="10FBEC31" w14:textId="77777777" w:rsidR="009F3C85" w:rsidRPr="00057578" w:rsidRDefault="009F3C85" w:rsidP="006765FA">
            <w:pPr>
              <w:tabs>
                <w:tab w:val="left" w:pos="3260"/>
              </w:tabs>
              <w:spacing w:after="120"/>
              <w:ind w:left="3260" w:right="1134" w:hanging="2126"/>
              <w:rPr>
                <w:b/>
              </w:rPr>
            </w:pPr>
          </w:p>
        </w:tc>
      </w:tr>
    </w:tbl>
    <w:p w14:paraId="0A902165" w14:textId="79C44D63" w:rsidR="00177314" w:rsidRPr="00057578" w:rsidRDefault="00177314" w:rsidP="00C0792D">
      <w:pPr>
        <w:pStyle w:val="HChG"/>
      </w:pPr>
      <w:r w:rsidRPr="00057578">
        <w:t xml:space="preserve"> </w:t>
      </w:r>
      <w:r w:rsidRPr="00057578">
        <w:tab/>
      </w:r>
      <w:r w:rsidR="00C0792D" w:rsidRPr="00057578">
        <w:tab/>
      </w:r>
      <w:r w:rsidRPr="00057578">
        <w:t>Introduction</w:t>
      </w:r>
    </w:p>
    <w:p w14:paraId="565DC501" w14:textId="7AD9C4AD" w:rsidR="00177314" w:rsidRPr="00057578" w:rsidRDefault="00177314" w:rsidP="00C0792D">
      <w:pPr>
        <w:pStyle w:val="SingleTxtG"/>
      </w:pPr>
      <w:r w:rsidRPr="00057578">
        <w:t>1.</w:t>
      </w:r>
      <w:r w:rsidR="00C0792D" w:rsidRPr="00057578">
        <w:tab/>
      </w:r>
      <w:r w:rsidRPr="00057578">
        <w:t xml:space="preserve">The Government of Sweden has received information from </w:t>
      </w:r>
      <w:r w:rsidR="000A4597" w:rsidRPr="00057578">
        <w:t>the</w:t>
      </w:r>
      <w:r w:rsidRPr="00057578">
        <w:t xml:space="preserve"> waste industry concerning problems related to the handling and transport of waste paint products.</w:t>
      </w:r>
    </w:p>
    <w:p w14:paraId="665BA2BC" w14:textId="77777777" w:rsidR="00177314" w:rsidRPr="00057578" w:rsidRDefault="00177314" w:rsidP="00177314">
      <w:pPr>
        <w:ind w:left="1118" w:right="1119"/>
      </w:pPr>
    </w:p>
    <w:p w14:paraId="7415BD1D" w14:textId="7AAB1394" w:rsidR="00177314" w:rsidRPr="00057578" w:rsidRDefault="00177314" w:rsidP="00C0792D">
      <w:pPr>
        <w:pStyle w:val="SingleTxtG"/>
      </w:pPr>
      <w:r w:rsidRPr="00057578">
        <w:lastRenderedPageBreak/>
        <w:t>2.</w:t>
      </w:r>
      <w:r w:rsidR="00C0792D" w:rsidRPr="00057578">
        <w:tab/>
      </w:r>
      <w:r w:rsidRPr="00057578">
        <w:t xml:space="preserve">Historically, most paint products have been classified under UN 1263 due to their flammable ingredients. However, for the past </w:t>
      </w:r>
      <w:r w:rsidR="00693CDC" w:rsidRPr="00057578">
        <w:t>fifteen</w:t>
      </w:r>
      <w:r w:rsidRPr="00057578">
        <w:t xml:space="preserve"> years, more and more paints have shifted from solvent-based ingredients to water-based and consequently, for a large fraction of paint products, the classification has changed to UN 3082. This fraction will increase even more when new substances used in paint will be considered environmentally hazardous as from 1</w:t>
      </w:r>
      <w:r w:rsidR="00A81AC0" w:rsidRPr="00057578">
        <w:t> </w:t>
      </w:r>
      <w:r w:rsidRPr="00057578">
        <w:t>March 2022 (</w:t>
      </w:r>
      <w:r w:rsidR="00057578" w:rsidRPr="00057578">
        <w:t xml:space="preserve">according to the </w:t>
      </w:r>
      <w:r w:rsidR="00A67B80" w:rsidRPr="00057578">
        <w:t>European Union Regulation on Classification, Labelling and Packaging of substances and mixtures</w:t>
      </w:r>
      <w:r w:rsidR="00333E9E" w:rsidRPr="00057578">
        <w:t xml:space="preserve"> - </w:t>
      </w:r>
      <w:r w:rsidRPr="00057578">
        <w:t xml:space="preserve">CLP regulation), see background information in </w:t>
      </w:r>
      <w:r w:rsidR="00E044D1" w:rsidRPr="00057578">
        <w:t xml:space="preserve">document </w:t>
      </w:r>
      <w:hyperlink r:id="rId12" w:history="1">
        <w:r w:rsidRPr="00057578">
          <w:rPr>
            <w:rStyle w:val="Hyperlink"/>
          </w:rPr>
          <w:t>ECE</w:t>
        </w:r>
        <w:r w:rsidR="0066326D" w:rsidRPr="00057578">
          <w:rPr>
            <w:rStyle w:val="Hyperlink"/>
          </w:rPr>
          <w:t>/</w:t>
        </w:r>
        <w:r w:rsidRPr="00057578">
          <w:rPr>
            <w:rStyle w:val="Hyperlink"/>
          </w:rPr>
          <w:t>TRANS</w:t>
        </w:r>
        <w:r w:rsidR="0066326D" w:rsidRPr="00057578">
          <w:rPr>
            <w:rStyle w:val="Hyperlink"/>
          </w:rPr>
          <w:t>/</w:t>
        </w:r>
        <w:r w:rsidRPr="00057578">
          <w:rPr>
            <w:rStyle w:val="Hyperlink"/>
          </w:rPr>
          <w:t>WP</w:t>
        </w:r>
        <w:r w:rsidR="0066326D" w:rsidRPr="00057578">
          <w:rPr>
            <w:rStyle w:val="Hyperlink"/>
          </w:rPr>
          <w:t>.</w:t>
        </w:r>
        <w:r w:rsidRPr="00057578">
          <w:rPr>
            <w:rStyle w:val="Hyperlink"/>
          </w:rPr>
          <w:t>15</w:t>
        </w:r>
        <w:r w:rsidR="0066326D" w:rsidRPr="00057578">
          <w:rPr>
            <w:rStyle w:val="Hyperlink"/>
          </w:rPr>
          <w:t>/</w:t>
        </w:r>
        <w:r w:rsidRPr="00057578">
          <w:rPr>
            <w:rStyle w:val="Hyperlink"/>
          </w:rPr>
          <w:t>AC</w:t>
        </w:r>
        <w:r w:rsidR="0066326D" w:rsidRPr="00057578">
          <w:rPr>
            <w:rStyle w:val="Hyperlink"/>
          </w:rPr>
          <w:t>.</w:t>
        </w:r>
        <w:r w:rsidRPr="00057578">
          <w:rPr>
            <w:rStyle w:val="Hyperlink"/>
          </w:rPr>
          <w:t>1</w:t>
        </w:r>
        <w:r w:rsidR="0066326D" w:rsidRPr="00057578">
          <w:rPr>
            <w:rStyle w:val="Hyperlink"/>
          </w:rPr>
          <w:t>/</w:t>
        </w:r>
        <w:r w:rsidRPr="00057578">
          <w:rPr>
            <w:rStyle w:val="Hyperlink"/>
          </w:rPr>
          <w:t>2021</w:t>
        </w:r>
        <w:r w:rsidR="0066326D" w:rsidRPr="00057578">
          <w:rPr>
            <w:rStyle w:val="Hyperlink"/>
          </w:rPr>
          <w:t>/</w:t>
        </w:r>
        <w:r w:rsidRPr="00057578">
          <w:rPr>
            <w:rStyle w:val="Hyperlink"/>
          </w:rPr>
          <w:t>37</w:t>
        </w:r>
      </w:hyperlink>
      <w:r w:rsidRPr="00057578">
        <w:t>.</w:t>
      </w:r>
    </w:p>
    <w:p w14:paraId="3806A2A6" w14:textId="4100497A" w:rsidR="00177314" w:rsidRPr="00057578" w:rsidRDefault="00177314" w:rsidP="00C0792D">
      <w:pPr>
        <w:pStyle w:val="SingleTxtG"/>
      </w:pPr>
      <w:r w:rsidRPr="00057578">
        <w:t>3.</w:t>
      </w:r>
      <w:r w:rsidR="00C0792D" w:rsidRPr="00057578">
        <w:tab/>
      </w:r>
      <w:r w:rsidRPr="00057578">
        <w:t xml:space="preserve">To facilitate the handling and transport of waste paint, special provision 650 was added to UN 1263 in ADR/RID 2005, based on a proposal from the Netherlands, </w:t>
      </w:r>
      <w:r w:rsidR="00FC78A9" w:rsidRPr="00057578">
        <w:t>(</w:t>
      </w:r>
      <w:r w:rsidRPr="00057578">
        <w:t>see</w:t>
      </w:r>
      <w:r w:rsidR="00FC78A9" w:rsidRPr="00057578">
        <w:t xml:space="preserve"> document</w:t>
      </w:r>
      <w:r w:rsidRPr="00057578">
        <w:t xml:space="preserve"> </w:t>
      </w:r>
      <w:hyperlink r:id="rId13" w:history="1">
        <w:r w:rsidRPr="00057578">
          <w:rPr>
            <w:rStyle w:val="Hyperlink"/>
          </w:rPr>
          <w:t>TRANS</w:t>
        </w:r>
        <w:r w:rsidR="00E044D1" w:rsidRPr="00057578">
          <w:rPr>
            <w:rStyle w:val="Hyperlink"/>
          </w:rPr>
          <w:t>/</w:t>
        </w:r>
        <w:r w:rsidRPr="00057578">
          <w:rPr>
            <w:rStyle w:val="Hyperlink"/>
          </w:rPr>
          <w:t>WP</w:t>
        </w:r>
        <w:r w:rsidR="00E044D1" w:rsidRPr="00057578">
          <w:rPr>
            <w:rStyle w:val="Hyperlink"/>
          </w:rPr>
          <w:t>.</w:t>
        </w:r>
        <w:r w:rsidRPr="00057578">
          <w:rPr>
            <w:rStyle w:val="Hyperlink"/>
          </w:rPr>
          <w:t>15</w:t>
        </w:r>
        <w:r w:rsidR="00E044D1" w:rsidRPr="00057578">
          <w:rPr>
            <w:rStyle w:val="Hyperlink"/>
          </w:rPr>
          <w:t>/</w:t>
        </w:r>
        <w:r w:rsidRPr="00057578">
          <w:rPr>
            <w:rStyle w:val="Hyperlink"/>
          </w:rPr>
          <w:t>AC</w:t>
        </w:r>
        <w:r w:rsidR="00E044D1" w:rsidRPr="00057578">
          <w:rPr>
            <w:rStyle w:val="Hyperlink"/>
          </w:rPr>
          <w:t>.</w:t>
        </w:r>
        <w:r w:rsidRPr="00057578">
          <w:rPr>
            <w:rStyle w:val="Hyperlink"/>
          </w:rPr>
          <w:t>1</w:t>
        </w:r>
        <w:r w:rsidR="00E044D1" w:rsidRPr="00057578">
          <w:rPr>
            <w:rStyle w:val="Hyperlink"/>
          </w:rPr>
          <w:t>/</w:t>
        </w:r>
        <w:r w:rsidRPr="00057578">
          <w:rPr>
            <w:rStyle w:val="Hyperlink"/>
          </w:rPr>
          <w:t>2003</w:t>
        </w:r>
        <w:r w:rsidR="00E044D1" w:rsidRPr="00057578">
          <w:rPr>
            <w:rStyle w:val="Hyperlink"/>
          </w:rPr>
          <w:t>/</w:t>
        </w:r>
        <w:r w:rsidRPr="00057578">
          <w:rPr>
            <w:rStyle w:val="Hyperlink"/>
          </w:rPr>
          <w:t>23</w:t>
        </w:r>
      </w:hyperlink>
      <w:r w:rsidR="00FC78A9" w:rsidRPr="00057578">
        <w:t>).</w:t>
      </w:r>
      <w:r w:rsidRPr="00057578">
        <w:t xml:space="preserve"> However, it seems adding the same transport condition to waste of UN 3082 (paint) was never discussed or considered relevant at that point in time, probably due to the small number or even non-existing paints meeting the criteria as environmentally hazardous substances. </w:t>
      </w:r>
    </w:p>
    <w:p w14:paraId="4E46F9B6" w14:textId="00DED3EF" w:rsidR="00177314" w:rsidRPr="00057578" w:rsidRDefault="00177314" w:rsidP="00C0792D">
      <w:pPr>
        <w:pStyle w:val="SingleTxtG"/>
      </w:pPr>
      <w:r w:rsidRPr="00057578">
        <w:t>4.</w:t>
      </w:r>
      <w:r w:rsidR="00C0792D" w:rsidRPr="00057578">
        <w:tab/>
      </w:r>
      <w:r w:rsidRPr="00057578">
        <w:t xml:space="preserve">Today, with the increasing amount of water-based paint, </w:t>
      </w:r>
      <w:r w:rsidR="00D51DB4" w:rsidRPr="00057578">
        <w:t>Sw</w:t>
      </w:r>
      <w:r w:rsidR="00255B12" w:rsidRPr="00057578">
        <w:t>e</w:t>
      </w:r>
      <w:r w:rsidR="00D51DB4" w:rsidRPr="00057578">
        <w:t>den</w:t>
      </w:r>
      <w:r w:rsidRPr="00057578">
        <w:t xml:space="preserve"> believe</w:t>
      </w:r>
      <w:r w:rsidR="00255B12" w:rsidRPr="00057578">
        <w:t>s</w:t>
      </w:r>
      <w:r w:rsidRPr="00057578">
        <w:t xml:space="preserve"> it would be appropriate to facilitate the transport of waste paint under UN 3082 in the same manner as for UN 1263, and </w:t>
      </w:r>
      <w:r w:rsidR="00667A0F" w:rsidRPr="00057578">
        <w:t>that</w:t>
      </w:r>
      <w:r w:rsidRPr="00057578">
        <w:t xml:space="preserve"> special provision 650 should be adjusted and assigned to UN 3082 (paint) as well. </w:t>
      </w:r>
      <w:r w:rsidR="00145C7A">
        <w:t>Sweden</w:t>
      </w:r>
      <w:r w:rsidR="00145C7A" w:rsidRPr="00057578">
        <w:t xml:space="preserve"> </w:t>
      </w:r>
      <w:r w:rsidRPr="00057578">
        <w:t>also believe</w:t>
      </w:r>
      <w:r w:rsidR="00145C7A">
        <w:t>s</w:t>
      </w:r>
      <w:r w:rsidRPr="00057578">
        <w:t xml:space="preserve"> that this type of waste under UN 3082 should be permitted to be carried in </w:t>
      </w:r>
      <w:proofErr w:type="spellStart"/>
      <w:r w:rsidRPr="00057578">
        <w:t>packaging</w:t>
      </w:r>
      <w:r w:rsidR="00145C7A">
        <w:t>s</w:t>
      </w:r>
      <w:proofErr w:type="spellEnd"/>
      <w:r w:rsidRPr="00057578">
        <w:t xml:space="preserve"> and in bulk mixed with waste under UN 1263.</w:t>
      </w:r>
    </w:p>
    <w:p w14:paraId="117FBA93" w14:textId="1B92FF71" w:rsidR="00177314" w:rsidRPr="00057578" w:rsidRDefault="00C0792D" w:rsidP="00C0792D">
      <w:pPr>
        <w:pStyle w:val="HChG"/>
      </w:pPr>
      <w:r w:rsidRPr="00057578">
        <w:tab/>
      </w:r>
      <w:r w:rsidRPr="00057578">
        <w:tab/>
      </w:r>
      <w:r w:rsidR="00177314" w:rsidRPr="00057578">
        <w:t>Proposals</w:t>
      </w:r>
    </w:p>
    <w:p w14:paraId="6C254AED" w14:textId="33AA2A01" w:rsidR="00177314" w:rsidRPr="00057578" w:rsidRDefault="00C0792D" w:rsidP="00C0792D">
      <w:pPr>
        <w:pStyle w:val="H1G"/>
      </w:pPr>
      <w:r w:rsidRPr="00057578">
        <w:tab/>
      </w:r>
      <w:r w:rsidRPr="00057578">
        <w:tab/>
      </w:r>
      <w:r w:rsidR="00177314" w:rsidRPr="00057578">
        <w:t>Proposal 1</w:t>
      </w:r>
    </w:p>
    <w:p w14:paraId="6DB868C5" w14:textId="01E07BD1" w:rsidR="00177314" w:rsidRPr="00057578" w:rsidRDefault="00177314" w:rsidP="00C0792D">
      <w:pPr>
        <w:pStyle w:val="SingleTxtG"/>
      </w:pPr>
      <w:r w:rsidRPr="00057578">
        <w:t>5.</w:t>
      </w:r>
      <w:r w:rsidR="00C0792D" w:rsidRPr="00057578">
        <w:tab/>
      </w:r>
      <w:r w:rsidRPr="00057578">
        <w:t>Amend special provision 650 to read as follows (new text underlined</w:t>
      </w:r>
      <w:r w:rsidR="003D3FFA" w:rsidRPr="00057578">
        <w:t>, deleted text is stricken through</w:t>
      </w:r>
      <w:r w:rsidRPr="00057578">
        <w:t>):</w:t>
      </w:r>
    </w:p>
    <w:p w14:paraId="56984560" w14:textId="2F2D9673" w:rsidR="00177314" w:rsidRPr="00057578" w:rsidRDefault="00177314" w:rsidP="00235295">
      <w:pPr>
        <w:pStyle w:val="SingleTxtG"/>
        <w:ind w:left="1701" w:hanging="567"/>
      </w:pPr>
      <w:r w:rsidRPr="00057578">
        <w:t>“650</w:t>
      </w:r>
      <w:r w:rsidRPr="00057578">
        <w:tab/>
        <w:t xml:space="preserve">Waste consisting of packaging residues, solidified residues and liquid residues of paint may be carried under the conditions of </w:t>
      </w:r>
      <w:r w:rsidRPr="00057578">
        <w:rPr>
          <w:u w:val="single"/>
        </w:rPr>
        <w:t>UN No. 1263,</w:t>
      </w:r>
      <w:r w:rsidRPr="00057578">
        <w:t xml:space="preserve"> packing group II</w:t>
      </w:r>
      <w:r w:rsidRPr="00057578">
        <w:rPr>
          <w:u w:val="single"/>
        </w:rPr>
        <w:t>, or UN No. 3082, as appropriate</w:t>
      </w:r>
      <w:r w:rsidRPr="00057578">
        <w:t xml:space="preserve">. </w:t>
      </w:r>
    </w:p>
    <w:p w14:paraId="2AAA5ECD" w14:textId="4B366FBA" w:rsidR="00177314" w:rsidRPr="00057578" w:rsidRDefault="00177314" w:rsidP="00235295">
      <w:pPr>
        <w:pStyle w:val="SingleTxtG"/>
        <w:ind w:left="1701"/>
      </w:pPr>
      <w:r w:rsidRPr="00057578">
        <w:t xml:space="preserve">In addition to the provisions </w:t>
      </w:r>
      <w:r w:rsidRPr="00057578">
        <w:rPr>
          <w:u w:val="single"/>
        </w:rPr>
        <w:t>for</w:t>
      </w:r>
      <w:r w:rsidRPr="00057578">
        <w:t xml:space="preserve"> UN No. 1263 packing group II, </w:t>
      </w:r>
      <w:r w:rsidRPr="00057578">
        <w:rPr>
          <w:u w:val="single"/>
        </w:rPr>
        <w:t xml:space="preserve">and UN No. 3082, </w:t>
      </w:r>
      <w:r w:rsidRPr="00057578">
        <w:t>the waste may also be packed and carried as follows:</w:t>
      </w:r>
    </w:p>
    <w:p w14:paraId="650399AA" w14:textId="77777777" w:rsidR="00177314" w:rsidRPr="00057578" w:rsidRDefault="00177314" w:rsidP="00536A65">
      <w:pPr>
        <w:pStyle w:val="SingleTxtG"/>
        <w:ind w:left="2268" w:hanging="567"/>
      </w:pPr>
      <w:r w:rsidRPr="00057578">
        <w:t>(a)</w:t>
      </w:r>
      <w:r w:rsidRPr="00057578">
        <w:tab/>
        <w:t>The waste may be packed in accordance with packing instruction P002 of 4.1.4.1 or to packing instruction IBC06 of 4.1.4.2.</w:t>
      </w:r>
      <w:r w:rsidRPr="00057578">
        <w:rPr>
          <w:u w:val="single"/>
        </w:rPr>
        <w:t xml:space="preserve"> Mixed packing of waste classified as UN 1263 and waste classified as UN 3082 is permitted</w:t>
      </w:r>
      <w:r w:rsidRPr="00057578">
        <w:t>;</w:t>
      </w:r>
    </w:p>
    <w:p w14:paraId="562AFBA1" w14:textId="77777777" w:rsidR="00177314" w:rsidRPr="00057578" w:rsidRDefault="00177314" w:rsidP="00536A65">
      <w:pPr>
        <w:pStyle w:val="SingleTxtG"/>
        <w:ind w:left="2268" w:hanging="567"/>
      </w:pPr>
      <w:r w:rsidRPr="00057578">
        <w:t>(b)</w:t>
      </w:r>
      <w:r w:rsidRPr="00057578">
        <w:tab/>
        <w:t>The waste may be packed in flexible IBCs of types 13H3, 13H4 and 13H5 in overpacks with complete walls;</w:t>
      </w:r>
    </w:p>
    <w:p w14:paraId="4A042668" w14:textId="77777777" w:rsidR="00177314" w:rsidRPr="00057578" w:rsidRDefault="00177314" w:rsidP="00536A65">
      <w:pPr>
        <w:pStyle w:val="SingleTxtG"/>
        <w:ind w:left="2268" w:hanging="567"/>
      </w:pPr>
      <w:r w:rsidRPr="00057578">
        <w:t>(c)</w:t>
      </w:r>
      <w:r w:rsidRPr="00057578">
        <w:tab/>
        <w:t xml:space="preserve">Testing of </w:t>
      </w:r>
      <w:proofErr w:type="spellStart"/>
      <w:r w:rsidRPr="00057578">
        <w:t>packagings</w:t>
      </w:r>
      <w:proofErr w:type="spellEnd"/>
      <w:r w:rsidRPr="00057578">
        <w:t xml:space="preserve"> and IBCs indicated under (a) or (b) may be carried out in accordance with the requirements of Chapters 6.1 or 6.5, as appropriate, in relation to solids, at the packing group II performance level.</w:t>
      </w:r>
    </w:p>
    <w:p w14:paraId="1C42323C" w14:textId="68BC2225" w:rsidR="00177314" w:rsidRPr="00057578" w:rsidRDefault="008F6713" w:rsidP="00536A65">
      <w:pPr>
        <w:pStyle w:val="SingleTxtG"/>
        <w:ind w:left="2268" w:hanging="567"/>
      </w:pPr>
      <w:r w:rsidRPr="00057578">
        <w:tab/>
      </w:r>
      <w:r w:rsidR="00177314" w:rsidRPr="00057578">
        <w:t xml:space="preserve">The tests shall be carried out on </w:t>
      </w:r>
      <w:proofErr w:type="spellStart"/>
      <w:r w:rsidR="00177314" w:rsidRPr="00057578">
        <w:t>packagings</w:t>
      </w:r>
      <w:proofErr w:type="spellEnd"/>
      <w:r w:rsidR="00177314" w:rsidRPr="00057578">
        <w:t xml:space="preserve"> and IBCs, filled with a representative sample of the waste, as prepared for carriage;</w:t>
      </w:r>
    </w:p>
    <w:p w14:paraId="328DE218" w14:textId="232E5EBB" w:rsidR="00177314" w:rsidRPr="00057578" w:rsidRDefault="00177314" w:rsidP="00536A65">
      <w:pPr>
        <w:pStyle w:val="SingleTxtG"/>
        <w:ind w:left="2268" w:hanging="567"/>
      </w:pPr>
      <w:r w:rsidRPr="00057578">
        <w:t>(d)</w:t>
      </w:r>
      <w:r w:rsidRPr="00057578">
        <w:tab/>
        <w:t xml:space="preserve">Carriage in bulk </w:t>
      </w:r>
      <w:r w:rsidR="00145C7A" w:rsidRPr="00DF215A">
        <w:rPr>
          <w:lang w:val="en-US"/>
        </w:rPr>
        <w:t>in shee</w:t>
      </w:r>
      <w:r w:rsidR="00145C7A">
        <w:rPr>
          <w:lang w:val="en-US"/>
        </w:rPr>
        <w:t>ted wagons, movable roof wagons /</w:t>
      </w:r>
      <w:r w:rsidR="00145C7A" w:rsidRPr="00DF215A">
        <w:rPr>
          <w:lang w:val="en-US"/>
        </w:rPr>
        <w:t xml:space="preserve"> </w:t>
      </w:r>
      <w:r w:rsidRPr="00057578">
        <w:t xml:space="preserve">in sheeted vehicles, closed containers or sheeted large containers, all with complete walls is allowed. </w:t>
      </w:r>
      <w:r w:rsidRPr="00057578">
        <w:rPr>
          <w:u w:val="single"/>
        </w:rPr>
        <w:t xml:space="preserve">Waste classified as UN 1263 may be mixed and loaded with waste classified as UN 3082 in the same </w:t>
      </w:r>
      <w:r w:rsidR="00145C7A">
        <w:rPr>
          <w:u w:val="single"/>
        </w:rPr>
        <w:t>wagon/</w:t>
      </w:r>
      <w:r w:rsidRPr="00057578">
        <w:rPr>
          <w:u w:val="single"/>
        </w:rPr>
        <w:t>vehicle or container.</w:t>
      </w:r>
      <w:r w:rsidRPr="00057578">
        <w:t xml:space="preserve"> The body of </w:t>
      </w:r>
      <w:r w:rsidR="00145C7A">
        <w:t>wagons/</w:t>
      </w:r>
      <w:r w:rsidRPr="00057578">
        <w:t>vehicles or containers shall be leakproof or rendered leakproof, for example by means of a suitable and sufficiently stout inner lining;</w:t>
      </w:r>
    </w:p>
    <w:p w14:paraId="08277256" w14:textId="77777777" w:rsidR="00177314" w:rsidRPr="00057578" w:rsidRDefault="00177314" w:rsidP="00536A65">
      <w:pPr>
        <w:pStyle w:val="SingleTxtG"/>
        <w:ind w:left="2268" w:hanging="567"/>
      </w:pPr>
      <w:r w:rsidRPr="00057578">
        <w:t>(e)</w:t>
      </w:r>
      <w:r w:rsidRPr="00057578">
        <w:tab/>
        <w:t xml:space="preserve">If the waste is carried under the conditions of this special provision, the goods shall be declared in accordance with 5.4.1.1.3 in the transport document, </w:t>
      </w:r>
      <w:r w:rsidRPr="00057578">
        <w:rPr>
          <w:u w:val="single"/>
        </w:rPr>
        <w:t xml:space="preserve">with the appropriate UN number(s) </w:t>
      </w:r>
      <w:r w:rsidRPr="00057578">
        <w:t xml:space="preserve">as follows: </w:t>
      </w:r>
    </w:p>
    <w:p w14:paraId="5513B66B" w14:textId="07FE4A40" w:rsidR="00177314" w:rsidRPr="00057578" w:rsidRDefault="00177314" w:rsidP="00536A65">
      <w:pPr>
        <w:pStyle w:val="SingleTxtG"/>
        <w:ind w:left="2268" w:hanging="567"/>
        <w:rPr>
          <w:bCs/>
        </w:rPr>
      </w:pPr>
      <w:r w:rsidRPr="00057578">
        <w:rPr>
          <w:bCs/>
        </w:rPr>
        <w:tab/>
      </w:r>
      <w:r w:rsidR="007103D8" w:rsidRPr="00057578">
        <w:rPr>
          <w:bCs/>
        </w:rPr>
        <w:t>“</w:t>
      </w:r>
      <w:r w:rsidRPr="00057578">
        <w:rPr>
          <w:bCs/>
        </w:rPr>
        <w:t>UN 1263 WASTE PAINT, 3, II</w:t>
      </w:r>
      <w:r w:rsidR="00145C7A">
        <w:rPr>
          <w:bCs/>
        </w:rPr>
        <w:t xml:space="preserve"> (ADR only:)</w:t>
      </w:r>
      <w:r w:rsidRPr="00057578">
        <w:rPr>
          <w:bCs/>
        </w:rPr>
        <w:t>, (D/E)</w:t>
      </w:r>
      <w:r w:rsidR="007103D8" w:rsidRPr="00057578">
        <w:rPr>
          <w:bCs/>
        </w:rPr>
        <w:t>”</w:t>
      </w:r>
      <w:r w:rsidRPr="00057578">
        <w:rPr>
          <w:bCs/>
        </w:rPr>
        <w:t>, or</w:t>
      </w:r>
    </w:p>
    <w:p w14:paraId="144F3B44" w14:textId="67E4819F" w:rsidR="008F6713" w:rsidRPr="00057578" w:rsidRDefault="00177314" w:rsidP="00536A65">
      <w:pPr>
        <w:pStyle w:val="SingleTxtG"/>
        <w:ind w:left="2268" w:hanging="567"/>
        <w:rPr>
          <w:bCs/>
        </w:rPr>
      </w:pPr>
      <w:r w:rsidRPr="00057578">
        <w:rPr>
          <w:bCs/>
        </w:rPr>
        <w:tab/>
      </w:r>
      <w:r w:rsidR="007103D8" w:rsidRPr="00057578">
        <w:rPr>
          <w:bCs/>
        </w:rPr>
        <w:t>“</w:t>
      </w:r>
      <w:r w:rsidRPr="00057578">
        <w:rPr>
          <w:bCs/>
        </w:rPr>
        <w:t>UN 1263 WASTE PAINT, 3, PG II</w:t>
      </w:r>
      <w:r w:rsidR="00145C7A">
        <w:rPr>
          <w:bCs/>
        </w:rPr>
        <w:t xml:space="preserve"> (ADR only:)</w:t>
      </w:r>
      <w:r w:rsidRPr="00057578">
        <w:rPr>
          <w:bCs/>
        </w:rPr>
        <w:t>, (D/E)</w:t>
      </w:r>
      <w:r w:rsidR="007103D8" w:rsidRPr="00057578">
        <w:rPr>
          <w:bCs/>
        </w:rPr>
        <w:t>”</w:t>
      </w:r>
      <w:r w:rsidRPr="00057578">
        <w:rPr>
          <w:bCs/>
          <w:u w:val="single"/>
        </w:rPr>
        <w:t>, or</w:t>
      </w:r>
    </w:p>
    <w:p w14:paraId="0EEA8731" w14:textId="2E404E3D" w:rsidR="008F6713" w:rsidRPr="00057578" w:rsidRDefault="003F0C0C" w:rsidP="00536A65">
      <w:pPr>
        <w:pStyle w:val="SingleTxtG"/>
        <w:ind w:left="2268" w:hanging="567"/>
        <w:rPr>
          <w:u w:val="single"/>
        </w:rPr>
      </w:pPr>
      <w:r w:rsidRPr="00057578">
        <w:lastRenderedPageBreak/>
        <w:tab/>
      </w:r>
      <w:r w:rsidR="007103D8" w:rsidRPr="00057578">
        <w:t>“</w:t>
      </w:r>
      <w:r w:rsidR="00177314" w:rsidRPr="00057578">
        <w:t>UN 3082 WASTE ENVIRONMENTALLY HAZARDOUS SUBSTANCE,</w:t>
      </w:r>
      <w:r w:rsidR="00177314" w:rsidRPr="00057578">
        <w:rPr>
          <w:u w:val="single"/>
        </w:rPr>
        <w:t xml:space="preserve"> LIQUID, N.O.S. (PAINT), 9, III</w:t>
      </w:r>
      <w:r w:rsidR="00145C7A">
        <w:rPr>
          <w:bCs/>
        </w:rPr>
        <w:t xml:space="preserve"> (ADR only:)</w:t>
      </w:r>
      <w:r w:rsidR="00177314" w:rsidRPr="00057578">
        <w:rPr>
          <w:u w:val="single"/>
        </w:rPr>
        <w:t>, (-)”, or</w:t>
      </w:r>
    </w:p>
    <w:p w14:paraId="704A0B7F" w14:textId="0C8AA3E4" w:rsidR="00177314" w:rsidRPr="00057578" w:rsidRDefault="00F9001D" w:rsidP="00536A65">
      <w:pPr>
        <w:pStyle w:val="SingleTxtG"/>
        <w:ind w:left="2268" w:hanging="567"/>
      </w:pPr>
      <w:r w:rsidRPr="00057578">
        <w:tab/>
      </w:r>
      <w:r w:rsidR="007103D8" w:rsidRPr="00057578">
        <w:rPr>
          <w:u w:val="single"/>
        </w:rPr>
        <w:t>“</w:t>
      </w:r>
      <w:r w:rsidR="00177314" w:rsidRPr="00057578">
        <w:rPr>
          <w:u w:val="single"/>
        </w:rPr>
        <w:t xml:space="preserve">UN 3082 WASTE ENVIRONMENTALLY </w:t>
      </w:r>
      <w:r w:rsidR="00177314" w:rsidRPr="00057578">
        <w:rPr>
          <w:bCs/>
          <w:u w:val="single"/>
        </w:rPr>
        <w:t xml:space="preserve">HAZARDOUS </w:t>
      </w:r>
      <w:r w:rsidR="00177314" w:rsidRPr="00057578">
        <w:rPr>
          <w:u w:val="single"/>
        </w:rPr>
        <w:t>SUBSTANCE, LIQUID, N.O.S. (PAINT), 9, PG III</w:t>
      </w:r>
      <w:r w:rsidR="00145C7A">
        <w:rPr>
          <w:bCs/>
        </w:rPr>
        <w:t xml:space="preserve"> (ADR only:)</w:t>
      </w:r>
      <w:r w:rsidR="00177314" w:rsidRPr="00057578">
        <w:rPr>
          <w:u w:val="single"/>
        </w:rPr>
        <w:t>, (-)”</w:t>
      </w:r>
      <w:r w:rsidR="00177314" w:rsidRPr="00057578">
        <w:t>.”</w:t>
      </w:r>
    </w:p>
    <w:p w14:paraId="63A8052A" w14:textId="7ABE9D43" w:rsidR="00177314" w:rsidRPr="00057578" w:rsidRDefault="008F6713" w:rsidP="008F6713">
      <w:pPr>
        <w:pStyle w:val="H1G"/>
      </w:pPr>
      <w:r w:rsidRPr="00057578">
        <w:tab/>
      </w:r>
      <w:r w:rsidRPr="00057578">
        <w:tab/>
      </w:r>
      <w:r w:rsidR="00177314" w:rsidRPr="00057578">
        <w:t>Proposal 2</w:t>
      </w:r>
    </w:p>
    <w:p w14:paraId="3FDB0A2E" w14:textId="5C9A6A87" w:rsidR="00177314" w:rsidRPr="00057578" w:rsidRDefault="00071603" w:rsidP="008F6713">
      <w:pPr>
        <w:pStyle w:val="SingleTxtG"/>
      </w:pPr>
      <w:r>
        <w:t>6</w:t>
      </w:r>
      <w:r w:rsidR="00177314" w:rsidRPr="00057578">
        <w:t>.</w:t>
      </w:r>
      <w:r w:rsidR="008F6713" w:rsidRPr="00057578">
        <w:tab/>
      </w:r>
      <w:r w:rsidR="00177314" w:rsidRPr="00057578">
        <w:t xml:space="preserve">Add special provision 650 in column (6) of Table A in </w:t>
      </w:r>
      <w:r w:rsidR="00145C7A">
        <w:t xml:space="preserve">Chapter </w:t>
      </w:r>
      <w:r w:rsidR="00177314" w:rsidRPr="00057578">
        <w:t>3.2 against the entry of UN 3082</w:t>
      </w:r>
    </w:p>
    <w:p w14:paraId="51224C18" w14:textId="78806869" w:rsidR="00177314" w:rsidRPr="00057578" w:rsidRDefault="008F6713" w:rsidP="008F6713">
      <w:pPr>
        <w:pStyle w:val="HChG"/>
      </w:pPr>
      <w:r w:rsidRPr="00057578">
        <w:tab/>
      </w:r>
      <w:r w:rsidRPr="00057578">
        <w:tab/>
      </w:r>
      <w:r w:rsidR="00177314" w:rsidRPr="00057578">
        <w:t>Justification</w:t>
      </w:r>
    </w:p>
    <w:p w14:paraId="2BCE1634" w14:textId="1D9BF4C6" w:rsidR="00177314" w:rsidRPr="00057578" w:rsidRDefault="00177314" w:rsidP="007C6407">
      <w:pPr>
        <w:spacing w:before="120" w:after="120"/>
        <w:ind w:left="2268" w:right="1117" w:hanging="1134"/>
        <w:jc w:val="both"/>
      </w:pPr>
      <w:r w:rsidRPr="00057578">
        <w:rPr>
          <w:b/>
        </w:rPr>
        <w:t>Safety</w:t>
      </w:r>
      <w:r w:rsidRPr="00057578">
        <w:t>:</w:t>
      </w:r>
      <w:r w:rsidR="008F6713" w:rsidRPr="00057578">
        <w:tab/>
      </w:r>
      <w:r w:rsidRPr="00057578">
        <w:t xml:space="preserve">Since waste consisting of packaging residues, solidified residues and liquid residues of paint classified as UN 1263 is already permitted to be carried under the conditions listed in special provision 650, the level of safety will be upheld when </w:t>
      </w:r>
      <w:r w:rsidR="00145C7A">
        <w:t xml:space="preserve">the carriage of </w:t>
      </w:r>
      <w:r w:rsidRPr="00057578">
        <w:t>similar waste under UN 3082 is permitted under the same transport conditions.</w:t>
      </w:r>
    </w:p>
    <w:p w14:paraId="1C36886F" w14:textId="4A2ED36B" w:rsidR="00177314" w:rsidRPr="00057578" w:rsidRDefault="00177314" w:rsidP="007C6407">
      <w:pPr>
        <w:ind w:left="2268" w:right="1119" w:hanging="1134"/>
        <w:jc w:val="both"/>
      </w:pPr>
      <w:r w:rsidRPr="00057578">
        <w:rPr>
          <w:b/>
        </w:rPr>
        <w:t>Feasibility</w:t>
      </w:r>
      <w:r w:rsidRPr="00057578">
        <w:t>:</w:t>
      </w:r>
      <w:r w:rsidR="008F6713" w:rsidRPr="00057578">
        <w:tab/>
      </w:r>
      <w:r w:rsidRPr="00057578">
        <w:t>Allowing UN 3082 to be transported in line with special provision 650 will facilitate and improve handling of all fractions of waste paint.</w:t>
      </w:r>
    </w:p>
    <w:p w14:paraId="6B564BD8" w14:textId="68A8907B" w:rsidR="008F6713" w:rsidRPr="008F6713" w:rsidRDefault="008F6713" w:rsidP="008F6713">
      <w:pPr>
        <w:spacing w:before="240"/>
        <w:jc w:val="center"/>
        <w:rPr>
          <w:u w:val="single"/>
        </w:rPr>
      </w:pPr>
      <w:r>
        <w:rPr>
          <w:u w:val="single"/>
        </w:rPr>
        <w:tab/>
      </w:r>
      <w:r>
        <w:rPr>
          <w:u w:val="single"/>
        </w:rPr>
        <w:tab/>
      </w:r>
      <w:r>
        <w:rPr>
          <w:u w:val="single"/>
        </w:rPr>
        <w:tab/>
      </w:r>
    </w:p>
    <w:sectPr w:rsidR="008F6713" w:rsidRPr="008F6713" w:rsidSect="001235F8">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722D" w14:textId="77777777" w:rsidR="005E0870" w:rsidRDefault="005E0870"/>
  </w:endnote>
  <w:endnote w:type="continuationSeparator" w:id="0">
    <w:p w14:paraId="4C4A2AF2" w14:textId="77777777" w:rsidR="005E0870" w:rsidRDefault="005E0870"/>
  </w:endnote>
  <w:endnote w:type="continuationNotice" w:id="1">
    <w:p w14:paraId="465520B6" w14:textId="77777777" w:rsidR="005E0870" w:rsidRDefault="005E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CFEC" w14:textId="709F6706" w:rsidR="001235F8" w:rsidRPr="001235F8" w:rsidRDefault="001235F8" w:rsidP="001235F8">
    <w:pPr>
      <w:pStyle w:val="Footer"/>
      <w:tabs>
        <w:tab w:val="right" w:pos="9638"/>
      </w:tabs>
      <w:rPr>
        <w:sz w:val="18"/>
      </w:rPr>
    </w:pPr>
    <w:r w:rsidRPr="001235F8">
      <w:rPr>
        <w:b/>
        <w:sz w:val="18"/>
      </w:rPr>
      <w:fldChar w:fldCharType="begin"/>
    </w:r>
    <w:r w:rsidRPr="001235F8">
      <w:rPr>
        <w:b/>
        <w:sz w:val="18"/>
      </w:rPr>
      <w:instrText xml:space="preserve"> PAGE  \* MERGEFORMAT </w:instrText>
    </w:r>
    <w:r w:rsidRPr="001235F8">
      <w:rPr>
        <w:b/>
        <w:sz w:val="18"/>
      </w:rPr>
      <w:fldChar w:fldCharType="separate"/>
    </w:r>
    <w:r w:rsidR="00145C7A">
      <w:rPr>
        <w:b/>
        <w:noProof/>
        <w:sz w:val="18"/>
      </w:rPr>
      <w:t>2</w:t>
    </w:r>
    <w:r w:rsidRPr="001235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108E" w14:textId="501F7175" w:rsidR="001235F8" w:rsidRPr="001235F8" w:rsidRDefault="001235F8" w:rsidP="001235F8">
    <w:pPr>
      <w:pStyle w:val="Footer"/>
      <w:tabs>
        <w:tab w:val="right" w:pos="9638"/>
      </w:tabs>
      <w:rPr>
        <w:b/>
        <w:sz w:val="18"/>
      </w:rPr>
    </w:pPr>
    <w:r>
      <w:tab/>
    </w:r>
    <w:r w:rsidRPr="001235F8">
      <w:rPr>
        <w:b/>
        <w:sz w:val="18"/>
      </w:rPr>
      <w:fldChar w:fldCharType="begin"/>
    </w:r>
    <w:r w:rsidRPr="001235F8">
      <w:rPr>
        <w:b/>
        <w:sz w:val="18"/>
      </w:rPr>
      <w:instrText xml:space="preserve"> PAGE  \* MERGEFORMAT </w:instrText>
    </w:r>
    <w:r w:rsidRPr="001235F8">
      <w:rPr>
        <w:b/>
        <w:sz w:val="18"/>
      </w:rPr>
      <w:fldChar w:fldCharType="separate"/>
    </w:r>
    <w:r w:rsidR="00145C7A">
      <w:rPr>
        <w:b/>
        <w:noProof/>
        <w:sz w:val="18"/>
      </w:rPr>
      <w:t>3</w:t>
    </w:r>
    <w:r w:rsidRPr="001235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E2C2" w14:textId="77777777" w:rsidR="005E0870" w:rsidRPr="000B175B" w:rsidRDefault="005E0870" w:rsidP="000B175B">
      <w:pPr>
        <w:tabs>
          <w:tab w:val="right" w:pos="2155"/>
        </w:tabs>
        <w:spacing w:after="80"/>
        <w:ind w:left="680"/>
        <w:rPr>
          <w:u w:val="single"/>
        </w:rPr>
      </w:pPr>
      <w:r>
        <w:rPr>
          <w:u w:val="single"/>
        </w:rPr>
        <w:tab/>
      </w:r>
    </w:p>
  </w:footnote>
  <w:footnote w:type="continuationSeparator" w:id="0">
    <w:p w14:paraId="1ECBC4D6" w14:textId="77777777" w:rsidR="005E0870" w:rsidRPr="00FC68B7" w:rsidRDefault="005E0870" w:rsidP="00FC68B7">
      <w:pPr>
        <w:tabs>
          <w:tab w:val="left" w:pos="2155"/>
        </w:tabs>
        <w:spacing w:after="80"/>
        <w:ind w:left="680"/>
        <w:rPr>
          <w:u w:val="single"/>
        </w:rPr>
      </w:pPr>
      <w:r>
        <w:rPr>
          <w:u w:val="single"/>
        </w:rPr>
        <w:tab/>
      </w:r>
    </w:p>
  </w:footnote>
  <w:footnote w:type="continuationNotice" w:id="1">
    <w:p w14:paraId="7E2CF2A0" w14:textId="77777777" w:rsidR="005E0870" w:rsidRDefault="005E0870"/>
  </w:footnote>
  <w:footnote w:id="2">
    <w:p w14:paraId="56B0A02F" w14:textId="77777777" w:rsidR="00A643E1" w:rsidRPr="00AD0729" w:rsidRDefault="00A643E1" w:rsidP="00A643E1">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50FE2222" w14:textId="662A43D6" w:rsidR="00A643E1" w:rsidRPr="00AD0729" w:rsidRDefault="00A643E1" w:rsidP="00A643E1">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OTIF/RID/RC/2022/</w:t>
      </w:r>
      <w:r>
        <w:t>15</w:t>
      </w:r>
      <w:r w:rsidRPr="00AD0729">
        <w:t>.</w:t>
      </w:r>
    </w:p>
  </w:footnote>
  <w:footnote w:id="4">
    <w:p w14:paraId="4070643E" w14:textId="77777777" w:rsidR="00A643E1" w:rsidRPr="000C4EDE" w:rsidRDefault="00A643E1" w:rsidP="00A643E1">
      <w:pPr>
        <w:pStyle w:val="FootnoteText"/>
        <w:ind w:hanging="283"/>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 xml:space="preserve"> </w:t>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0080" w14:textId="483DCC6A" w:rsidR="001235F8" w:rsidRPr="001235F8" w:rsidRDefault="0081292C">
    <w:pPr>
      <w:pStyle w:val="Header"/>
    </w:pPr>
    <w:r>
      <w:fldChar w:fldCharType="begin"/>
    </w:r>
    <w:r>
      <w:instrText xml:space="preserve"> TITLE  \* MERGEFORMAT </w:instrText>
    </w:r>
    <w:r>
      <w:fldChar w:fldCharType="separate"/>
    </w:r>
    <w:r w:rsidR="001235F8">
      <w:t>ECE/TRANS/WP.15/AC.1/2022/15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3A45" w14:textId="425FD3CC" w:rsidR="001235F8" w:rsidRPr="001235F8" w:rsidRDefault="0081292C" w:rsidP="001235F8">
    <w:pPr>
      <w:pStyle w:val="Header"/>
      <w:jc w:val="right"/>
    </w:pPr>
    <w:r>
      <w:fldChar w:fldCharType="begin"/>
    </w:r>
    <w:r>
      <w:instrText xml:space="preserve"> TITLE  \* MERGEFORMAT </w:instrText>
    </w:r>
    <w:r>
      <w:fldChar w:fldCharType="separate"/>
    </w:r>
    <w:r w:rsidR="001235F8">
      <w:t>ECE/TRANS/WP.15/AC.1/2022/15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F8"/>
    <w:rsid w:val="00002A7D"/>
    <w:rsid w:val="000038A8"/>
    <w:rsid w:val="00006790"/>
    <w:rsid w:val="00027624"/>
    <w:rsid w:val="00050F6B"/>
    <w:rsid w:val="00057578"/>
    <w:rsid w:val="000678CD"/>
    <w:rsid w:val="00071603"/>
    <w:rsid w:val="00072C8C"/>
    <w:rsid w:val="0008082B"/>
    <w:rsid w:val="00081CE0"/>
    <w:rsid w:val="00084D30"/>
    <w:rsid w:val="00090320"/>
    <w:rsid w:val="000931C0"/>
    <w:rsid w:val="0009732C"/>
    <w:rsid w:val="000A01F9"/>
    <w:rsid w:val="000A2E09"/>
    <w:rsid w:val="000A4597"/>
    <w:rsid w:val="000B175B"/>
    <w:rsid w:val="000B3A0F"/>
    <w:rsid w:val="000C4EDE"/>
    <w:rsid w:val="000E0415"/>
    <w:rsid w:val="000F4659"/>
    <w:rsid w:val="000F7715"/>
    <w:rsid w:val="001235F8"/>
    <w:rsid w:val="00145C7A"/>
    <w:rsid w:val="00156B99"/>
    <w:rsid w:val="00166124"/>
    <w:rsid w:val="0017731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5295"/>
    <w:rsid w:val="00247258"/>
    <w:rsid w:val="00255B12"/>
    <w:rsid w:val="00257CAC"/>
    <w:rsid w:val="00264441"/>
    <w:rsid w:val="0027237A"/>
    <w:rsid w:val="002974E9"/>
    <w:rsid w:val="002A7F94"/>
    <w:rsid w:val="002B109A"/>
    <w:rsid w:val="002C6D45"/>
    <w:rsid w:val="002D6E53"/>
    <w:rsid w:val="002F046D"/>
    <w:rsid w:val="002F3023"/>
    <w:rsid w:val="00301764"/>
    <w:rsid w:val="003229D8"/>
    <w:rsid w:val="00333E9E"/>
    <w:rsid w:val="00336C97"/>
    <w:rsid w:val="00337F88"/>
    <w:rsid w:val="00342432"/>
    <w:rsid w:val="0035223F"/>
    <w:rsid w:val="00352D4B"/>
    <w:rsid w:val="0035638C"/>
    <w:rsid w:val="003A46BB"/>
    <w:rsid w:val="003A4EC7"/>
    <w:rsid w:val="003A7295"/>
    <w:rsid w:val="003B1F60"/>
    <w:rsid w:val="003C2CC4"/>
    <w:rsid w:val="003D3FFA"/>
    <w:rsid w:val="003D4B23"/>
    <w:rsid w:val="003E278A"/>
    <w:rsid w:val="003F0C0C"/>
    <w:rsid w:val="00413520"/>
    <w:rsid w:val="004325CB"/>
    <w:rsid w:val="00440A07"/>
    <w:rsid w:val="00462880"/>
    <w:rsid w:val="00476F24"/>
    <w:rsid w:val="004C55B0"/>
    <w:rsid w:val="004F6BA0"/>
    <w:rsid w:val="00503BEA"/>
    <w:rsid w:val="00533616"/>
    <w:rsid w:val="00535ABA"/>
    <w:rsid w:val="00536A65"/>
    <w:rsid w:val="0053768B"/>
    <w:rsid w:val="005420F2"/>
    <w:rsid w:val="0054285C"/>
    <w:rsid w:val="00584173"/>
    <w:rsid w:val="00595520"/>
    <w:rsid w:val="005A44B9"/>
    <w:rsid w:val="005B1BA0"/>
    <w:rsid w:val="005B3DB3"/>
    <w:rsid w:val="005D15CA"/>
    <w:rsid w:val="005D7969"/>
    <w:rsid w:val="005E0870"/>
    <w:rsid w:val="005F08DF"/>
    <w:rsid w:val="005F3066"/>
    <w:rsid w:val="005F3E61"/>
    <w:rsid w:val="00604DDD"/>
    <w:rsid w:val="006115CC"/>
    <w:rsid w:val="00611FC4"/>
    <w:rsid w:val="006176FB"/>
    <w:rsid w:val="00630FCB"/>
    <w:rsid w:val="00640B26"/>
    <w:rsid w:val="0065766B"/>
    <w:rsid w:val="0066326D"/>
    <w:rsid w:val="00667A0F"/>
    <w:rsid w:val="006770B2"/>
    <w:rsid w:val="00686A48"/>
    <w:rsid w:val="00693CDC"/>
    <w:rsid w:val="006940E1"/>
    <w:rsid w:val="006A3C72"/>
    <w:rsid w:val="006A4DCE"/>
    <w:rsid w:val="006A7392"/>
    <w:rsid w:val="006B03A1"/>
    <w:rsid w:val="006B67D9"/>
    <w:rsid w:val="006C5535"/>
    <w:rsid w:val="006D0589"/>
    <w:rsid w:val="006E564B"/>
    <w:rsid w:val="006E7154"/>
    <w:rsid w:val="007003CD"/>
    <w:rsid w:val="0070701E"/>
    <w:rsid w:val="007103D8"/>
    <w:rsid w:val="0072632A"/>
    <w:rsid w:val="007358E8"/>
    <w:rsid w:val="00736ECE"/>
    <w:rsid w:val="0074533B"/>
    <w:rsid w:val="007643BC"/>
    <w:rsid w:val="00780C68"/>
    <w:rsid w:val="007959FE"/>
    <w:rsid w:val="007A0CF1"/>
    <w:rsid w:val="007A478E"/>
    <w:rsid w:val="007B6BA5"/>
    <w:rsid w:val="007C3390"/>
    <w:rsid w:val="007C42D8"/>
    <w:rsid w:val="007C4F4B"/>
    <w:rsid w:val="007C6407"/>
    <w:rsid w:val="007D7362"/>
    <w:rsid w:val="007F5CE2"/>
    <w:rsid w:val="007F6611"/>
    <w:rsid w:val="00800522"/>
    <w:rsid w:val="00810BAC"/>
    <w:rsid w:val="0081292C"/>
    <w:rsid w:val="008175E9"/>
    <w:rsid w:val="008242D7"/>
    <w:rsid w:val="0082577B"/>
    <w:rsid w:val="008272DD"/>
    <w:rsid w:val="0084660F"/>
    <w:rsid w:val="00866893"/>
    <w:rsid w:val="00866F02"/>
    <w:rsid w:val="00867D18"/>
    <w:rsid w:val="00871F9A"/>
    <w:rsid w:val="00871FD5"/>
    <w:rsid w:val="0088172E"/>
    <w:rsid w:val="00881EFA"/>
    <w:rsid w:val="008879CB"/>
    <w:rsid w:val="008979B1"/>
    <w:rsid w:val="008A6B25"/>
    <w:rsid w:val="008A6C4F"/>
    <w:rsid w:val="008A77AE"/>
    <w:rsid w:val="008B389E"/>
    <w:rsid w:val="008C50A2"/>
    <w:rsid w:val="008D045E"/>
    <w:rsid w:val="008D3F25"/>
    <w:rsid w:val="008D4D82"/>
    <w:rsid w:val="008E0E46"/>
    <w:rsid w:val="008E7116"/>
    <w:rsid w:val="008F143B"/>
    <w:rsid w:val="008F3882"/>
    <w:rsid w:val="008F4B7C"/>
    <w:rsid w:val="008F6713"/>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3C85"/>
    <w:rsid w:val="009F57E3"/>
    <w:rsid w:val="00A10F4F"/>
    <w:rsid w:val="00A11067"/>
    <w:rsid w:val="00A1704A"/>
    <w:rsid w:val="00A425EB"/>
    <w:rsid w:val="00A643E1"/>
    <w:rsid w:val="00A67B80"/>
    <w:rsid w:val="00A72F22"/>
    <w:rsid w:val="00A733BC"/>
    <w:rsid w:val="00A748A6"/>
    <w:rsid w:val="00A76A69"/>
    <w:rsid w:val="00A81AC0"/>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351D"/>
    <w:rsid w:val="00B81E12"/>
    <w:rsid w:val="00B83F0E"/>
    <w:rsid w:val="00B87354"/>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0792D"/>
    <w:rsid w:val="00C408B7"/>
    <w:rsid w:val="00C411EB"/>
    <w:rsid w:val="00C463DD"/>
    <w:rsid w:val="00C745C3"/>
    <w:rsid w:val="00C978F5"/>
    <w:rsid w:val="00CA24A4"/>
    <w:rsid w:val="00CB001F"/>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1DB4"/>
    <w:rsid w:val="00D52012"/>
    <w:rsid w:val="00D704E5"/>
    <w:rsid w:val="00D72727"/>
    <w:rsid w:val="00D978C6"/>
    <w:rsid w:val="00DA0956"/>
    <w:rsid w:val="00DA357F"/>
    <w:rsid w:val="00DA3E12"/>
    <w:rsid w:val="00DC18AD"/>
    <w:rsid w:val="00DF7CAE"/>
    <w:rsid w:val="00E044D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001D"/>
    <w:rsid w:val="00F91B2B"/>
    <w:rsid w:val="00FC03CD"/>
    <w:rsid w:val="00FC0646"/>
    <w:rsid w:val="00FC68B7"/>
    <w:rsid w:val="00FC78A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5A575"/>
  <w15:docId w15:val="{86DDD2AF-C949-4C74-9625-F5B79C7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1Char">
    <w:name w:val="Heading 1 Char"/>
    <w:aliases w:val="Table_G Char"/>
    <w:basedOn w:val="DefaultParagraphFont"/>
    <w:link w:val="Heading1"/>
    <w:uiPriority w:val="9"/>
    <w:rsid w:val="00177314"/>
    <w:rPr>
      <w:lang w:val="en-GB"/>
    </w:rPr>
  </w:style>
  <w:style w:type="paragraph" w:customStyle="1" w:styleId="Style1">
    <w:name w:val="Style1"/>
    <w:basedOn w:val="Normal"/>
    <w:rsid w:val="00177314"/>
    <w:pPr>
      <w:tabs>
        <w:tab w:val="left" w:pos="1418"/>
        <w:tab w:val="left" w:pos="1985"/>
        <w:tab w:val="left" w:pos="2552"/>
        <w:tab w:val="left" w:pos="3119"/>
        <w:tab w:val="left" w:pos="3686"/>
        <w:tab w:val="left" w:pos="4253"/>
        <w:tab w:val="left" w:pos="4820"/>
      </w:tabs>
      <w:suppressAutoHyphens w:val="0"/>
      <w:spacing w:line="240" w:lineRule="auto"/>
      <w:jc w:val="both"/>
    </w:pPr>
    <w:rPr>
      <w:sz w:val="22"/>
      <w:lang w:eastAsia="en-US"/>
    </w:rPr>
  </w:style>
  <w:style w:type="character" w:customStyle="1" w:styleId="FootnoteTextChar">
    <w:name w:val="Footnote Text Char"/>
    <w:aliases w:val="5_G Char,5_GR Char"/>
    <w:basedOn w:val="DefaultParagraphFont"/>
    <w:link w:val="FootnoteText"/>
    <w:locked/>
    <w:rsid w:val="00A643E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03/wp15ac1/TRANS-WP15-AC1-2003-23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7/ECE-TRANS-WP15-AC1-2021-37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B8D37-124F-4CD3-9E79-DEA8815D5DF6}">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E43EC531-EA67-47DE-B8A5-D5D1F740E316}">
  <ds:schemaRefs>
    <ds:schemaRef ds:uri="http://schemas.microsoft.com/sharepoint/v3/contenttype/forms"/>
  </ds:schemaRefs>
</ds:datastoreItem>
</file>

<file path=customXml/itemProps3.xml><?xml version="1.0" encoding="utf-8"?>
<ds:datastoreItem xmlns:ds="http://schemas.openxmlformats.org/officeDocument/2006/customXml" ds:itemID="{4C948B09-23DB-420C-925F-C077CE5CEE84}">
  <ds:schemaRefs>
    <ds:schemaRef ds:uri="http://schemas.openxmlformats.org/officeDocument/2006/bibliography"/>
  </ds:schemaRefs>
</ds:datastoreItem>
</file>

<file path=customXml/itemProps4.xml><?xml version="1.0" encoding="utf-8"?>
<ds:datastoreItem xmlns:ds="http://schemas.openxmlformats.org/officeDocument/2006/customXml" ds:itemID="{8526E5A6-93DF-4D27-9035-A9F32A7B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Pages>
  <Words>872</Words>
  <Characters>4973</Characters>
  <Application>Microsoft Office Word</Application>
  <DocSecurity>4</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ECE/TRANS/WP.15/AC.1/2022/15</vt:lpstr>
      <vt:lpstr/>
      <vt:lpstr>United Nations</vt:lpstr>
    </vt:vector>
  </TitlesOfParts>
  <Company>CSD</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ECE/TRANS/WP.15/AC.1/2022/15</dc:title>
  <dc:creator>Christine Barrio-Champeau</dc:creator>
  <cp:lastModifiedBy>Christine Barrio-Champeau</cp:lastModifiedBy>
  <cp:revision>2</cp:revision>
  <cp:lastPrinted>2009-02-18T09:36:00Z</cp:lastPrinted>
  <dcterms:created xsi:type="dcterms:W3CDTF">2021-12-21T12:38:00Z</dcterms:created>
  <dcterms:modified xsi:type="dcterms:W3CDTF">2021-12-21T12:38:00Z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