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C9219EB" w14:textId="77777777" w:rsidTr="00B20551">
        <w:trPr>
          <w:cantSplit/>
          <w:trHeight w:hRule="exact" w:val="851"/>
        </w:trPr>
        <w:tc>
          <w:tcPr>
            <w:tcW w:w="1276" w:type="dxa"/>
            <w:tcBorders>
              <w:bottom w:val="single" w:sz="4" w:space="0" w:color="auto"/>
            </w:tcBorders>
            <w:vAlign w:val="bottom"/>
          </w:tcPr>
          <w:p w14:paraId="6FEA2B6C" w14:textId="77777777" w:rsidR="009E6CB7" w:rsidRDefault="009E6CB7" w:rsidP="00B20551">
            <w:pPr>
              <w:spacing w:after="80"/>
            </w:pPr>
          </w:p>
        </w:tc>
        <w:tc>
          <w:tcPr>
            <w:tcW w:w="2268" w:type="dxa"/>
            <w:tcBorders>
              <w:bottom w:val="single" w:sz="4" w:space="0" w:color="auto"/>
            </w:tcBorders>
            <w:vAlign w:val="bottom"/>
          </w:tcPr>
          <w:p w14:paraId="0590C60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E090F06" w14:textId="67223A8D" w:rsidR="009E6CB7" w:rsidRPr="00D47EEA" w:rsidRDefault="00757109" w:rsidP="00757109">
            <w:pPr>
              <w:jc w:val="right"/>
            </w:pPr>
            <w:r w:rsidRPr="00757109">
              <w:rPr>
                <w:sz w:val="40"/>
              </w:rPr>
              <w:t>ECE</w:t>
            </w:r>
            <w:r>
              <w:t>/TRANS/WP.15/AC.1/163/Add.1</w:t>
            </w:r>
          </w:p>
        </w:tc>
      </w:tr>
      <w:tr w:rsidR="009E6CB7" w14:paraId="34E2E3E9" w14:textId="77777777" w:rsidTr="00B20551">
        <w:trPr>
          <w:cantSplit/>
          <w:trHeight w:hRule="exact" w:val="2835"/>
        </w:trPr>
        <w:tc>
          <w:tcPr>
            <w:tcW w:w="1276" w:type="dxa"/>
            <w:tcBorders>
              <w:top w:val="single" w:sz="4" w:space="0" w:color="auto"/>
              <w:bottom w:val="single" w:sz="12" w:space="0" w:color="auto"/>
            </w:tcBorders>
          </w:tcPr>
          <w:p w14:paraId="6BF923CF" w14:textId="77777777" w:rsidR="009E6CB7" w:rsidRDefault="00686A48" w:rsidP="00B20551">
            <w:pPr>
              <w:spacing w:before="120"/>
            </w:pPr>
            <w:r>
              <w:rPr>
                <w:noProof/>
                <w:lang w:val="de-DE" w:eastAsia="de-DE"/>
              </w:rPr>
              <w:drawing>
                <wp:inline distT="0" distB="0" distL="0" distR="0" wp14:anchorId="73984065" wp14:editId="32EB4D5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FDFBB6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820D478" w14:textId="77777777" w:rsidR="009E6CB7" w:rsidRDefault="00757109" w:rsidP="00757109">
            <w:pPr>
              <w:spacing w:before="240" w:line="240" w:lineRule="exact"/>
            </w:pPr>
            <w:r>
              <w:t>Distr.: General</w:t>
            </w:r>
          </w:p>
          <w:p w14:paraId="3BE8CD10" w14:textId="07A922FC" w:rsidR="00757109" w:rsidRDefault="008225A2" w:rsidP="00757109">
            <w:pPr>
              <w:spacing w:line="240" w:lineRule="exact"/>
            </w:pPr>
            <w:r>
              <w:t>28</w:t>
            </w:r>
            <w:r w:rsidR="00757109">
              <w:t xml:space="preserve"> December 2021</w:t>
            </w:r>
          </w:p>
          <w:p w14:paraId="0C31F29D" w14:textId="77777777" w:rsidR="00757109" w:rsidRDefault="00757109" w:rsidP="00757109">
            <w:pPr>
              <w:spacing w:line="240" w:lineRule="exact"/>
            </w:pPr>
          </w:p>
          <w:p w14:paraId="55262EEC" w14:textId="7335360B" w:rsidR="00757109" w:rsidRDefault="00757109" w:rsidP="00757109">
            <w:pPr>
              <w:spacing w:line="240" w:lineRule="exact"/>
            </w:pPr>
            <w:r>
              <w:t>Original: English</w:t>
            </w:r>
          </w:p>
        </w:tc>
      </w:tr>
    </w:tbl>
    <w:p w14:paraId="6860B4D4" w14:textId="77777777" w:rsidR="00F65EDF" w:rsidRPr="004A74EC" w:rsidRDefault="00F65EDF" w:rsidP="00F65EDF">
      <w:pPr>
        <w:rPr>
          <w:b/>
          <w:sz w:val="28"/>
          <w:szCs w:val="28"/>
        </w:rPr>
      </w:pPr>
      <w:r w:rsidRPr="004A74EC">
        <w:rPr>
          <w:b/>
          <w:sz w:val="28"/>
          <w:szCs w:val="28"/>
        </w:rPr>
        <w:t>Economic Commission for Europe</w:t>
      </w:r>
    </w:p>
    <w:p w14:paraId="610606AD" w14:textId="77777777" w:rsidR="00F65EDF" w:rsidRPr="004A74EC" w:rsidRDefault="00F65EDF" w:rsidP="00F65EDF">
      <w:pPr>
        <w:spacing w:before="120"/>
        <w:rPr>
          <w:sz w:val="28"/>
          <w:szCs w:val="28"/>
        </w:rPr>
      </w:pPr>
      <w:r w:rsidRPr="004A74EC">
        <w:rPr>
          <w:sz w:val="28"/>
          <w:szCs w:val="28"/>
        </w:rPr>
        <w:t>Inland Transport Committee</w:t>
      </w:r>
    </w:p>
    <w:p w14:paraId="3F3AF6A3" w14:textId="77777777" w:rsidR="00F65EDF" w:rsidRPr="004A74EC" w:rsidRDefault="00F65EDF" w:rsidP="00F65EDF">
      <w:pPr>
        <w:spacing w:before="120"/>
        <w:rPr>
          <w:b/>
          <w:sz w:val="24"/>
          <w:szCs w:val="24"/>
        </w:rPr>
      </w:pPr>
      <w:r w:rsidRPr="004A74EC">
        <w:rPr>
          <w:b/>
          <w:sz w:val="24"/>
          <w:szCs w:val="24"/>
        </w:rPr>
        <w:t>Working Party on the Transport of Dangerous Goods</w:t>
      </w:r>
    </w:p>
    <w:p w14:paraId="5414923F" w14:textId="77777777" w:rsidR="00F65EDF" w:rsidRPr="004A74EC" w:rsidRDefault="00F65EDF" w:rsidP="00F65EDF">
      <w:pPr>
        <w:spacing w:before="120"/>
        <w:rPr>
          <w:b/>
        </w:rPr>
      </w:pPr>
      <w:r w:rsidRPr="004A74EC">
        <w:rPr>
          <w:b/>
        </w:rPr>
        <w:t>Joint Meeting of the RID Committee of Experts and the</w:t>
      </w:r>
      <w:r w:rsidRPr="004A74EC">
        <w:rPr>
          <w:b/>
        </w:rPr>
        <w:br/>
        <w:t>Working Party on the Transport of Dangerous Goods</w:t>
      </w:r>
    </w:p>
    <w:p w14:paraId="343B5C38" w14:textId="00B7E261" w:rsidR="00F65EDF" w:rsidRPr="004A74EC" w:rsidRDefault="00F65EDF" w:rsidP="00F65EDF">
      <w:r w:rsidRPr="004A74EC">
        <w:t>Bern, 14 – 18 March 2022</w:t>
      </w:r>
    </w:p>
    <w:p w14:paraId="644DA84F" w14:textId="77777777" w:rsidR="00F65EDF" w:rsidRPr="004A74EC" w:rsidRDefault="00F65EDF" w:rsidP="00F65EDF">
      <w:r w:rsidRPr="004A74EC">
        <w:t>Item 1 of the provisional agenda</w:t>
      </w:r>
    </w:p>
    <w:p w14:paraId="123EC1FB" w14:textId="77777777" w:rsidR="00F65EDF" w:rsidRPr="004A74EC" w:rsidRDefault="00F65EDF" w:rsidP="00F65EDF">
      <w:r w:rsidRPr="004A74EC">
        <w:rPr>
          <w:b/>
        </w:rPr>
        <w:t>Adoption of the agenda</w:t>
      </w:r>
    </w:p>
    <w:p w14:paraId="0CA48783" w14:textId="0BE0B287" w:rsidR="00F65EDF" w:rsidRPr="004A74EC" w:rsidRDefault="00F65EDF" w:rsidP="00F65EDF">
      <w:pPr>
        <w:pStyle w:val="HChG"/>
      </w:pPr>
      <w:r w:rsidRPr="004A74EC">
        <w:tab/>
      </w:r>
      <w:r w:rsidRPr="004A74EC">
        <w:tab/>
        <w:t>Provisional agenda for the spring 202</w:t>
      </w:r>
      <w:r w:rsidR="00CE02E6" w:rsidRPr="004A74EC">
        <w:t>2</w:t>
      </w:r>
      <w:r w:rsidRPr="004A74EC">
        <w:t xml:space="preserve"> session</w:t>
      </w:r>
    </w:p>
    <w:p w14:paraId="1EEF7174" w14:textId="77777777" w:rsidR="00F65EDF" w:rsidRPr="004A74EC" w:rsidRDefault="00F65EDF" w:rsidP="00F65EDF">
      <w:pPr>
        <w:pStyle w:val="H23G"/>
      </w:pPr>
      <w:r w:rsidRPr="004A74EC">
        <w:tab/>
      </w:r>
      <w:r w:rsidRPr="004A74EC">
        <w:tab/>
        <w:t>Addendum</w:t>
      </w:r>
    </w:p>
    <w:p w14:paraId="3FF81B15" w14:textId="795CEAF9" w:rsidR="00711797" w:rsidRPr="0087772D" w:rsidRDefault="00711797" w:rsidP="00711797">
      <w:pPr>
        <w:pStyle w:val="H1G"/>
      </w:pPr>
      <w:r w:rsidRPr="0087772D">
        <w:tab/>
      </w:r>
      <w:r w:rsidRPr="0087772D">
        <w:tab/>
        <w:t>Annotations and list of documents</w:t>
      </w:r>
      <w:r w:rsidR="0058178F" w:rsidRPr="0058178F">
        <w:rPr>
          <w:rStyle w:val="FootnoteReference"/>
          <w:sz w:val="20"/>
        </w:rPr>
        <w:footnoteReference w:customMarkFollows="1" w:id="2"/>
        <w:sym w:font="Symbol" w:char="F02A"/>
      </w:r>
    </w:p>
    <w:p w14:paraId="4B327DDB" w14:textId="39F8DA52" w:rsidR="00F65EDF" w:rsidRPr="004A74EC" w:rsidRDefault="00F65EDF" w:rsidP="00A745BF">
      <w:pPr>
        <w:pStyle w:val="H1G"/>
      </w:pPr>
      <w:r w:rsidRPr="004A74EC">
        <w:tab/>
        <w:t>1.</w:t>
      </w:r>
      <w:r w:rsidRPr="004A74EC">
        <w:tab/>
        <w:t>Adoption of the agenda</w:t>
      </w:r>
    </w:p>
    <w:p w14:paraId="6B1312F9" w14:textId="64151CB2" w:rsidR="00F65EDF" w:rsidRPr="004A74EC" w:rsidRDefault="00F65EDF" w:rsidP="00F65EDF">
      <w:pPr>
        <w:pStyle w:val="SingleTxtG"/>
        <w:ind w:firstLine="567"/>
      </w:pPr>
      <w:r w:rsidRPr="004A74EC">
        <w:t>The first item on the agenda concerns its adoption. The Joint Meeting will also have before it the report on its autumn 202</w:t>
      </w:r>
      <w:r w:rsidR="009B175D" w:rsidRPr="004A74EC">
        <w:t>1</w:t>
      </w:r>
      <w:r w:rsidRPr="004A74EC">
        <w:t xml:space="preserve"> session, held in Geneva, </w:t>
      </w:r>
      <w:r w:rsidR="00AE6E35" w:rsidRPr="004A74EC">
        <w:t>21</w:t>
      </w:r>
      <w:r w:rsidRPr="004A74EC">
        <w:t xml:space="preserve"> September 202</w:t>
      </w:r>
      <w:r w:rsidR="00AE6E35" w:rsidRPr="004A74EC">
        <w:t>1 to 1</w:t>
      </w:r>
      <w:r w:rsidR="0071465F" w:rsidRPr="004A74EC">
        <w:t> </w:t>
      </w:r>
      <w:r w:rsidR="00AE6E35" w:rsidRPr="004A74EC">
        <w:t>October 2021</w:t>
      </w:r>
      <w:r w:rsidRPr="004A74EC">
        <w:t xml:space="preserve"> (ECE/TRANS/WP.15/AC.1/1</w:t>
      </w:r>
      <w:r w:rsidR="00AD39EB" w:rsidRPr="004A74EC">
        <w:t>62</w:t>
      </w:r>
      <w:r w:rsidRPr="004A74EC">
        <w:t xml:space="preserve"> </w:t>
      </w:r>
      <w:r w:rsidR="002B109D" w:rsidRPr="002B109D">
        <w:t>– OTIF/RID/RC/2021-</w:t>
      </w:r>
      <w:r w:rsidR="00B349E7">
        <w:t xml:space="preserve">B </w:t>
      </w:r>
      <w:r w:rsidRPr="004A74EC">
        <w:t>and Add.1</w:t>
      </w:r>
      <w:r w:rsidR="00937BEE" w:rsidRPr="004A74EC">
        <w:t>)</w:t>
      </w:r>
      <w:r w:rsidRPr="004A74EC">
        <w:t>.</w:t>
      </w:r>
    </w:p>
    <w:p w14:paraId="55CBC12F" w14:textId="77777777" w:rsidR="00F65EDF" w:rsidRPr="004A74EC" w:rsidRDefault="00F65EDF" w:rsidP="00F65EDF">
      <w:pPr>
        <w:pStyle w:val="SingleTxtG"/>
      </w:pPr>
      <w:r w:rsidRPr="004A74EC">
        <w:tab/>
      </w:r>
      <w:r w:rsidRPr="004A74EC">
        <w:tab/>
        <w:t xml:space="preserve">The following points should be borne in mind: </w:t>
      </w:r>
    </w:p>
    <w:p w14:paraId="04BF031E" w14:textId="6DB63116" w:rsidR="00F65EDF" w:rsidRPr="004A74EC" w:rsidRDefault="00F65EDF" w:rsidP="00F65EDF">
      <w:pPr>
        <w:pStyle w:val="SingleTxtG"/>
        <w:ind w:firstLine="567"/>
      </w:pPr>
      <w:r w:rsidRPr="004A74EC">
        <w:t>(a)</w:t>
      </w:r>
      <w:r w:rsidRPr="004A74EC">
        <w:tab/>
        <w:t>At its autumn 202</w:t>
      </w:r>
      <w:r w:rsidR="00B649A2" w:rsidRPr="004A74EC">
        <w:t>1</w:t>
      </w:r>
      <w:r w:rsidRPr="004A74EC">
        <w:t xml:space="preserve"> session, the Joint Meeting re-elected Mr. C. </w:t>
      </w:r>
      <w:proofErr w:type="spellStart"/>
      <w:r w:rsidRPr="004A74EC">
        <w:t>Pfauvadel</w:t>
      </w:r>
      <w:proofErr w:type="spellEnd"/>
      <w:r w:rsidRPr="004A74EC">
        <w:t xml:space="preserve"> (France) as Chair and Ms. S. García Wolfrum (Spain) as Vice-Chair for 202</w:t>
      </w:r>
      <w:r w:rsidR="00B649A2" w:rsidRPr="004A74EC">
        <w:t>2</w:t>
      </w:r>
      <w:r w:rsidRPr="004A74EC">
        <w:t>.</w:t>
      </w:r>
    </w:p>
    <w:p w14:paraId="2EE73D9D" w14:textId="77777777" w:rsidR="00F65EDF" w:rsidRPr="004A74EC" w:rsidRDefault="00F65EDF" w:rsidP="00F65EDF">
      <w:pPr>
        <w:pStyle w:val="SingleTxtG"/>
        <w:ind w:firstLine="567"/>
      </w:pPr>
      <w:r w:rsidRPr="004A74EC">
        <w:t>(b)</w:t>
      </w:r>
      <w:r w:rsidRPr="004A74EC">
        <w:tab/>
        <w:t xml:space="preserve">UNECE documents (other than agendas or reports) with the symbol ECE/TRANS/WP.15/AC.1/ are circulated by the </w:t>
      </w:r>
      <w:r w:rsidRPr="004A74EC">
        <w:rPr>
          <w:szCs w:val="24"/>
        </w:rPr>
        <w:t>Intergovernmental Organisation for International Carriage by Rail (OTIF)</w:t>
      </w:r>
      <w:r w:rsidRPr="004A74EC">
        <w:t xml:space="preserve"> in German under the symbol OTIF/RID/RC/ followed by the same document number. As part of the secretariat’s efforts to reduce expenditure, documents will not be available in the conference room. Delegates are kindly requested to bring their copies of documents to the meeting.</w:t>
      </w:r>
    </w:p>
    <w:p w14:paraId="78336DD9" w14:textId="19E48EFE" w:rsidR="00F65EDF" w:rsidRPr="004A74EC" w:rsidRDefault="00F65EDF" w:rsidP="002D4454">
      <w:pPr>
        <w:pStyle w:val="SingleTxtG"/>
        <w:ind w:firstLine="567"/>
      </w:pPr>
      <w:r w:rsidRPr="004A74EC">
        <w:t>(c)</w:t>
      </w:r>
      <w:r w:rsidRPr="004A74EC">
        <w:tab/>
        <w:t>The documentation will be available on the UNECE website (</w:t>
      </w:r>
      <w:hyperlink r:id="rId12" w:history="1">
        <w:r w:rsidR="002D4454" w:rsidRPr="001C4A8F">
          <w:rPr>
            <w:rStyle w:val="Hyperlink"/>
          </w:rPr>
          <w:t>https://unece.org/info/Transport/events/362959</w:t>
        </w:r>
      </w:hyperlink>
      <w:r w:rsidRPr="004A74EC">
        <w:t xml:space="preserve">) in English, French and Russian and on the OTIF website </w:t>
      </w:r>
      <w:r w:rsidRPr="008F439C">
        <w:t>(</w:t>
      </w:r>
      <w:hyperlink r:id="rId13" w:history="1">
        <w:r w:rsidR="002D4454" w:rsidRPr="001C4A8F">
          <w:rPr>
            <w:rStyle w:val="Hyperlink"/>
          </w:rPr>
          <w:t>http://otif.org/de/?page_id=1124</w:t>
        </w:r>
      </w:hyperlink>
      <w:r w:rsidRPr="004A74EC">
        <w:t>) in German.</w:t>
      </w:r>
    </w:p>
    <w:p w14:paraId="680A186A" w14:textId="77777777" w:rsidR="00F65EDF" w:rsidRPr="004A74EC" w:rsidRDefault="00F65EDF" w:rsidP="00F65EDF">
      <w:pPr>
        <w:pStyle w:val="SingleTxtG"/>
        <w:ind w:firstLine="567"/>
      </w:pPr>
      <w:r w:rsidRPr="004A74EC">
        <w:t>(d)</w:t>
      </w:r>
      <w:r w:rsidRPr="004A74EC">
        <w:tab/>
        <w:t>The Joint Meeting would, if necessary, like an ad hoc working group to meet outside the times of the plenary session to consider documents concerning standards (item 3), in accordance with the mandate to be decided by the Joint Meeting.</w:t>
      </w:r>
    </w:p>
    <w:p w14:paraId="66577AA4" w14:textId="77777777" w:rsidR="00F65EDF" w:rsidRPr="004A74EC" w:rsidRDefault="00F65EDF" w:rsidP="00F65EDF">
      <w:pPr>
        <w:pStyle w:val="SingleTxtG"/>
        <w:ind w:firstLine="567"/>
      </w:pPr>
      <w:r w:rsidRPr="004A74EC">
        <w:lastRenderedPageBreak/>
        <w:t>(e)</w:t>
      </w:r>
      <w:r w:rsidRPr="004A74EC">
        <w:tab/>
        <w:t>The Joint Meeting would like, if necessary, an ad hoc working group to meet concurrently with it to consider documents concerning tanks (item 2), after this item have been discussed in plenary.</w:t>
      </w:r>
    </w:p>
    <w:p w14:paraId="0643A19F" w14:textId="704E7565" w:rsidR="00670948" w:rsidRPr="004A74EC" w:rsidRDefault="00670948" w:rsidP="00670948">
      <w:pPr>
        <w:pStyle w:val="SingleTxtG"/>
        <w:ind w:firstLine="567"/>
        <w:rPr>
          <w:b/>
        </w:rPr>
      </w:pPr>
      <w:r w:rsidRPr="004A74EC">
        <w:t>(</w:t>
      </w:r>
      <w:r>
        <w:t>f</w:t>
      </w:r>
      <w:r w:rsidRPr="004A74EC">
        <w:t>)</w:t>
      </w:r>
      <w:r w:rsidRPr="004A74EC">
        <w:tab/>
        <w:t>The reading of the report (item 10) is scheduled for Friday morning (18 March 2022) without interpretation.</w:t>
      </w:r>
    </w:p>
    <w:p w14:paraId="7BE65A91" w14:textId="0CFA9CB4" w:rsidR="00F65EDF" w:rsidRDefault="00F65EDF" w:rsidP="00670948">
      <w:pPr>
        <w:pStyle w:val="SingleTxtG"/>
        <w:ind w:firstLine="567"/>
        <w:rPr>
          <w:b/>
        </w:rPr>
      </w:pPr>
      <w:r w:rsidRPr="004A74EC">
        <w:rPr>
          <w:bCs/>
        </w:rPr>
        <w:t>(g)</w:t>
      </w:r>
      <w:r w:rsidRPr="004A74EC">
        <w:rPr>
          <w:bCs/>
        </w:rPr>
        <w:tab/>
        <w:t>Due to the COVID</w:t>
      </w:r>
      <w:r w:rsidR="000A1832">
        <w:rPr>
          <w:bCs/>
        </w:rPr>
        <w:t>-</w:t>
      </w:r>
      <w:r w:rsidRPr="004A74EC">
        <w:rPr>
          <w:bCs/>
        </w:rPr>
        <w:t xml:space="preserve">19 pandemic and the current technical restrictions in the </w:t>
      </w:r>
      <w:r w:rsidR="00345EE5" w:rsidRPr="00345EE5">
        <w:rPr>
          <w:bCs/>
        </w:rPr>
        <w:t>Universal Postal Union</w:t>
      </w:r>
      <w:r w:rsidRPr="004A74EC">
        <w:rPr>
          <w:bCs/>
        </w:rPr>
        <w:t xml:space="preserve">, it is not yet possible to indicate whether physical participation in the conference will be possible and which conference platform will be used. More detailed information will be circulated </w:t>
      </w:r>
      <w:proofErr w:type="gramStart"/>
      <w:r w:rsidRPr="004A74EC">
        <w:rPr>
          <w:bCs/>
        </w:rPr>
        <w:t>at a later date</w:t>
      </w:r>
      <w:proofErr w:type="gramEnd"/>
      <w:r w:rsidRPr="004A74EC">
        <w:rPr>
          <w:bCs/>
        </w:rPr>
        <w:t xml:space="preserve">. For this reason, it is important that you register using the </w:t>
      </w:r>
      <w:hyperlink r:id="rId14" w:history="1">
        <w:r w:rsidRPr="00A840A4">
          <w:rPr>
            <w:rStyle w:val="Hyperlink"/>
            <w:b/>
            <w:bCs/>
          </w:rPr>
          <w:t>online form</w:t>
        </w:r>
      </w:hyperlink>
      <w:r w:rsidRPr="004A74EC">
        <w:rPr>
          <w:bCs/>
        </w:rPr>
        <w:t xml:space="preserve"> by</w:t>
      </w:r>
      <w:r w:rsidRPr="004A74EC">
        <w:rPr>
          <w:b/>
        </w:rPr>
        <w:t xml:space="preserve"> 1</w:t>
      </w:r>
      <w:r w:rsidR="00923DF9" w:rsidRPr="004A74EC">
        <w:rPr>
          <w:b/>
        </w:rPr>
        <w:t>1</w:t>
      </w:r>
      <w:r w:rsidRPr="004A74EC">
        <w:rPr>
          <w:b/>
        </w:rPr>
        <w:t xml:space="preserve"> February 202</w:t>
      </w:r>
      <w:r w:rsidR="00923DF9" w:rsidRPr="004A74EC">
        <w:rPr>
          <w:b/>
        </w:rPr>
        <w:t>2</w:t>
      </w:r>
      <w:r w:rsidRPr="004A74EC">
        <w:rPr>
          <w:b/>
        </w:rPr>
        <w:t xml:space="preserve"> at the latest so that we can keep you informed of developments.</w:t>
      </w:r>
    </w:p>
    <w:p w14:paraId="4F2D5A5F" w14:textId="77777777" w:rsidR="00F65EDF" w:rsidRPr="004A74EC" w:rsidRDefault="00F65EDF" w:rsidP="00F65EDF">
      <w:pPr>
        <w:pStyle w:val="HChG"/>
      </w:pPr>
      <w:r w:rsidRPr="004A74EC">
        <w:tab/>
        <w:t>2.</w:t>
      </w:r>
      <w:r w:rsidRPr="004A74EC">
        <w:tab/>
        <w:t>Tanks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F65EDF" w:rsidRPr="004A74EC" w14:paraId="4AA8ED3F" w14:textId="77777777" w:rsidTr="008B660F">
        <w:tc>
          <w:tcPr>
            <w:tcW w:w="3654" w:type="dxa"/>
          </w:tcPr>
          <w:p w14:paraId="44CFFB8A" w14:textId="27A577A1" w:rsidR="00F65EDF" w:rsidRPr="004A74EC" w:rsidRDefault="00BC417C">
            <w:pPr>
              <w:pStyle w:val="SingleTxtG"/>
              <w:spacing w:after="60"/>
              <w:ind w:left="0" w:right="175"/>
              <w:jc w:val="left"/>
            </w:pPr>
            <w:r w:rsidRPr="004A74EC">
              <w:t>ECE/TRANS/WP.15/AC.1/202</w:t>
            </w:r>
            <w:r>
              <w:t>1</w:t>
            </w:r>
            <w:r w:rsidRPr="004A74EC">
              <w:t>/2</w:t>
            </w:r>
            <w:r w:rsidR="00C53FD2">
              <w:t>9</w:t>
            </w:r>
            <w:r>
              <w:br/>
            </w:r>
            <w:r w:rsidRPr="004A74EC">
              <w:t>(</w:t>
            </w:r>
            <w:r w:rsidR="00C53FD2">
              <w:t>UIC</w:t>
            </w:r>
            <w:r w:rsidRPr="004A74EC">
              <w:t>)</w:t>
            </w:r>
          </w:p>
        </w:tc>
        <w:tc>
          <w:tcPr>
            <w:tcW w:w="4851" w:type="dxa"/>
          </w:tcPr>
          <w:p w14:paraId="79F1C1E8" w14:textId="0B8B4D61" w:rsidR="00F65EDF" w:rsidRPr="004A74EC" w:rsidRDefault="00BC417C" w:rsidP="00BC417C">
            <w:pPr>
              <w:pStyle w:val="SingleTxtG"/>
              <w:spacing w:after="60"/>
              <w:ind w:left="0" w:right="175"/>
              <w:jc w:val="left"/>
            </w:pPr>
            <w:r>
              <w:t>Validity of the provisions on the holding time for refrigerated liquefied gases</w:t>
            </w:r>
          </w:p>
        </w:tc>
      </w:tr>
      <w:tr w:rsidR="00B17A4E" w:rsidRPr="004A74EC" w14:paraId="46EC6C7B" w14:textId="77777777" w:rsidTr="008B660F">
        <w:tc>
          <w:tcPr>
            <w:tcW w:w="3654" w:type="dxa"/>
          </w:tcPr>
          <w:p w14:paraId="101B9C02" w14:textId="66CC7057" w:rsidR="00B17A4E" w:rsidRPr="004A74EC" w:rsidRDefault="00B17A4E" w:rsidP="00E24AE9">
            <w:pPr>
              <w:pStyle w:val="SingleTxtG"/>
              <w:spacing w:after="60"/>
              <w:ind w:left="0" w:right="175"/>
              <w:jc w:val="left"/>
            </w:pPr>
            <w:r w:rsidRPr="004A74EC">
              <w:t>ECE/TRANS/WP.15/AC.1/2021/42 (Netherlands)</w:t>
            </w:r>
          </w:p>
        </w:tc>
        <w:tc>
          <w:tcPr>
            <w:tcW w:w="4851" w:type="dxa"/>
          </w:tcPr>
          <w:p w14:paraId="0E3CA0AB" w14:textId="4A244E91" w:rsidR="00B17A4E" w:rsidRPr="004A74EC" w:rsidRDefault="00B17A4E" w:rsidP="00B17A4E">
            <w:pPr>
              <w:pStyle w:val="SingleTxtG"/>
              <w:spacing w:after="60"/>
              <w:ind w:left="0" w:right="175"/>
              <w:jc w:val="left"/>
            </w:pPr>
            <w:r w:rsidRPr="004A74EC">
              <w:t>Filling degree of substances carried at and above 50 °C</w:t>
            </w:r>
          </w:p>
        </w:tc>
      </w:tr>
      <w:tr w:rsidR="00B17A4E" w:rsidRPr="004A74EC" w14:paraId="73D52B7E" w14:textId="77777777" w:rsidTr="008B660F">
        <w:tc>
          <w:tcPr>
            <w:tcW w:w="3654" w:type="dxa"/>
          </w:tcPr>
          <w:p w14:paraId="4C478483" w14:textId="5051E06D" w:rsidR="00B17A4E" w:rsidRPr="004A74EC" w:rsidRDefault="00B17A4E" w:rsidP="00B17A4E">
            <w:pPr>
              <w:pStyle w:val="SingleTxtG"/>
              <w:spacing w:after="60"/>
              <w:ind w:left="0" w:right="175"/>
              <w:jc w:val="left"/>
            </w:pPr>
            <w:r w:rsidRPr="004A74EC">
              <w:t xml:space="preserve">ECE/TRANS/WP.15/AC.1/2022/2 </w:t>
            </w:r>
            <w:r>
              <w:br/>
            </w:r>
            <w:r w:rsidRPr="004A74EC">
              <w:t>(OTIF</w:t>
            </w:r>
            <w:r w:rsidR="00670948">
              <w:t xml:space="preserve"> Secretariat</w:t>
            </w:r>
            <w:r w:rsidRPr="004A74EC">
              <w:t>)</w:t>
            </w:r>
          </w:p>
        </w:tc>
        <w:tc>
          <w:tcPr>
            <w:tcW w:w="4851" w:type="dxa"/>
          </w:tcPr>
          <w:p w14:paraId="6EB36922" w14:textId="32906591" w:rsidR="00B17A4E" w:rsidRPr="004A74EC" w:rsidRDefault="00B17A4E" w:rsidP="00B17A4E">
            <w:pPr>
              <w:pStyle w:val="SingleTxtG"/>
              <w:spacing w:after="60"/>
              <w:ind w:left="0" w:right="175"/>
              <w:jc w:val="left"/>
            </w:pPr>
            <w:r w:rsidRPr="004A74EC">
              <w:t>Extra-large tank-containers: pressure resistance of closures</w:t>
            </w:r>
          </w:p>
        </w:tc>
      </w:tr>
      <w:tr w:rsidR="00B17A4E" w:rsidRPr="004A74EC" w14:paraId="6AA3B2DB" w14:textId="77777777" w:rsidTr="008B660F">
        <w:tc>
          <w:tcPr>
            <w:tcW w:w="3654" w:type="dxa"/>
          </w:tcPr>
          <w:p w14:paraId="4DA26F6A" w14:textId="7B07431B" w:rsidR="00B17A4E" w:rsidRPr="004A74EC" w:rsidRDefault="00B17A4E" w:rsidP="00B17A4E">
            <w:pPr>
              <w:pStyle w:val="SingleTxtG"/>
              <w:spacing w:after="60"/>
              <w:ind w:left="0" w:right="175"/>
              <w:jc w:val="left"/>
            </w:pPr>
            <w:r w:rsidRPr="004A74EC">
              <w:t xml:space="preserve">ECE/TRANS/WP.15/AC.1/2022/3 </w:t>
            </w:r>
            <w:r>
              <w:br/>
            </w:r>
            <w:r w:rsidRPr="004A74EC">
              <w:t>(United Kingdom)</w:t>
            </w:r>
          </w:p>
        </w:tc>
        <w:tc>
          <w:tcPr>
            <w:tcW w:w="4851" w:type="dxa"/>
          </w:tcPr>
          <w:p w14:paraId="6B991411" w14:textId="5D36AE9A" w:rsidR="00B17A4E" w:rsidRPr="004A74EC" w:rsidRDefault="00B17A4E" w:rsidP="00B17A4E">
            <w:pPr>
              <w:pStyle w:val="SingleTxtG"/>
              <w:spacing w:after="60"/>
              <w:ind w:left="0" w:right="175"/>
              <w:jc w:val="left"/>
            </w:pPr>
            <w:r w:rsidRPr="004A74EC">
              <w:t>Interpretation of RID/ADR 6.8.2.2.11 on level-gauges</w:t>
            </w:r>
          </w:p>
        </w:tc>
      </w:tr>
      <w:tr w:rsidR="00B17A4E" w:rsidRPr="004A74EC" w14:paraId="0CF20F80" w14:textId="77777777" w:rsidTr="008B660F">
        <w:tc>
          <w:tcPr>
            <w:tcW w:w="3654" w:type="dxa"/>
          </w:tcPr>
          <w:p w14:paraId="25115DF1" w14:textId="60A666E8" w:rsidR="00B17A4E" w:rsidRPr="004A74EC" w:rsidRDefault="00B17A4E" w:rsidP="00B17A4E">
            <w:pPr>
              <w:pStyle w:val="SingleTxtG"/>
              <w:spacing w:after="60"/>
              <w:ind w:left="0" w:right="175"/>
              <w:jc w:val="left"/>
            </w:pPr>
            <w:r w:rsidRPr="004A74EC">
              <w:t xml:space="preserve">ECE/TRANS/WP.15/AC.1/2022/4 </w:t>
            </w:r>
            <w:r>
              <w:br/>
            </w:r>
            <w:r w:rsidRPr="004A74EC">
              <w:t>(United Kingdom)</w:t>
            </w:r>
          </w:p>
        </w:tc>
        <w:tc>
          <w:tcPr>
            <w:tcW w:w="4851" w:type="dxa"/>
          </w:tcPr>
          <w:p w14:paraId="264DACFC" w14:textId="13539E84" w:rsidR="00B17A4E" w:rsidRPr="004A74EC" w:rsidRDefault="00B17A4E" w:rsidP="00B17A4E">
            <w:pPr>
              <w:pStyle w:val="SingleTxtG"/>
              <w:spacing w:after="60"/>
              <w:ind w:left="0" w:right="175"/>
              <w:jc w:val="left"/>
            </w:pPr>
            <w:r w:rsidRPr="004A74EC">
              <w:t>Tanks: Clarification of the thickness required by partitions and surge-plates in ADR 6.8.2.1.20</w:t>
            </w:r>
          </w:p>
        </w:tc>
      </w:tr>
      <w:tr w:rsidR="00B17A4E" w:rsidRPr="004A74EC" w14:paraId="17FCB7C5" w14:textId="77777777" w:rsidTr="008B660F">
        <w:tc>
          <w:tcPr>
            <w:tcW w:w="3654" w:type="dxa"/>
          </w:tcPr>
          <w:p w14:paraId="3D494DB5" w14:textId="6AC6B51C" w:rsidR="00B17A4E" w:rsidRPr="004A74EC" w:rsidRDefault="00B17A4E" w:rsidP="00B17A4E">
            <w:pPr>
              <w:pStyle w:val="SingleTxtG"/>
              <w:tabs>
                <w:tab w:val="left" w:pos="3720"/>
              </w:tabs>
              <w:ind w:left="0" w:right="176"/>
              <w:jc w:val="left"/>
            </w:pPr>
            <w:r w:rsidRPr="004A74EC">
              <w:t xml:space="preserve">ECE/TRANS/WP.15/AC.1/2022/5 </w:t>
            </w:r>
            <w:r>
              <w:br/>
            </w:r>
            <w:r w:rsidRPr="004A74EC">
              <w:t>(United Kingdom)</w:t>
            </w:r>
          </w:p>
        </w:tc>
        <w:tc>
          <w:tcPr>
            <w:tcW w:w="4851" w:type="dxa"/>
          </w:tcPr>
          <w:p w14:paraId="4036F909" w14:textId="58128BC0" w:rsidR="00B17A4E" w:rsidRPr="004A74EC" w:rsidRDefault="00B17A4E" w:rsidP="00B17A4E">
            <w:pPr>
              <w:pStyle w:val="SingleTxtG"/>
              <w:tabs>
                <w:tab w:val="left" w:pos="3720"/>
              </w:tabs>
              <w:ind w:left="0" w:right="176"/>
              <w:jc w:val="left"/>
              <w:rPr>
                <w:bCs/>
                <w:lang w:eastAsia="ru-RU"/>
              </w:rPr>
            </w:pPr>
            <w:r w:rsidRPr="004A74EC">
              <w:t>Comments on document ECE/TRANS/WP.15/AC.1/2021/27 – Clarification on using tanks after the deadline specified for the next test or inspection</w:t>
            </w:r>
          </w:p>
        </w:tc>
      </w:tr>
      <w:tr w:rsidR="00B17A4E" w:rsidRPr="004A74EC" w14:paraId="59A223D2" w14:textId="77777777" w:rsidTr="008B660F">
        <w:tc>
          <w:tcPr>
            <w:tcW w:w="3654" w:type="dxa"/>
          </w:tcPr>
          <w:p w14:paraId="183CC660" w14:textId="7A885223" w:rsidR="00B17A4E" w:rsidRPr="004A74EC" w:rsidRDefault="00B17A4E" w:rsidP="00B17A4E">
            <w:pPr>
              <w:pStyle w:val="SingleTxtG"/>
              <w:tabs>
                <w:tab w:val="left" w:pos="3720"/>
              </w:tabs>
              <w:ind w:left="0" w:right="176"/>
              <w:jc w:val="left"/>
            </w:pPr>
            <w:r w:rsidRPr="004A74EC">
              <w:t>ECE/TRANS/WP.15/AC.1/2022/7 (CEFIC/UIP)</w:t>
            </w:r>
          </w:p>
        </w:tc>
        <w:tc>
          <w:tcPr>
            <w:tcW w:w="4851" w:type="dxa"/>
          </w:tcPr>
          <w:p w14:paraId="1B59A881" w14:textId="70CC9902" w:rsidR="00B17A4E" w:rsidRPr="004A74EC" w:rsidRDefault="00B17A4E" w:rsidP="00B17A4E">
            <w:pPr>
              <w:pStyle w:val="SingleTxtG"/>
              <w:tabs>
                <w:tab w:val="left" w:pos="3720"/>
              </w:tabs>
              <w:ind w:left="0" w:right="176"/>
              <w:jc w:val="left"/>
            </w:pPr>
            <w:r w:rsidRPr="004A74EC">
              <w:t>Definition of “extra-large tank-containers” and consequential amendments</w:t>
            </w:r>
          </w:p>
        </w:tc>
      </w:tr>
      <w:tr w:rsidR="00B17A4E" w:rsidRPr="004A74EC" w14:paraId="1851FA05" w14:textId="77777777" w:rsidTr="008B660F">
        <w:tc>
          <w:tcPr>
            <w:tcW w:w="3654" w:type="dxa"/>
          </w:tcPr>
          <w:p w14:paraId="3C4509A7" w14:textId="1F56C2B2" w:rsidR="00B17A4E" w:rsidRPr="004A74EC" w:rsidRDefault="00B17A4E" w:rsidP="00B17A4E">
            <w:pPr>
              <w:pStyle w:val="SingleTxtG"/>
              <w:tabs>
                <w:tab w:val="left" w:pos="3720"/>
              </w:tabs>
              <w:ind w:left="0" w:right="176"/>
              <w:jc w:val="left"/>
            </w:pPr>
            <w:r w:rsidRPr="004A74EC">
              <w:t xml:space="preserve">ECE/TRANS/WP.15/AC.1/2022/9 </w:t>
            </w:r>
            <w:r>
              <w:br/>
            </w:r>
            <w:r w:rsidRPr="004A74EC">
              <w:t>(OTIF</w:t>
            </w:r>
            <w:r w:rsidR="00E43895">
              <w:t xml:space="preserve"> Secretariat</w:t>
            </w:r>
            <w:r w:rsidRPr="004A74EC">
              <w:t>)</w:t>
            </w:r>
          </w:p>
        </w:tc>
        <w:tc>
          <w:tcPr>
            <w:tcW w:w="4851" w:type="dxa"/>
          </w:tcPr>
          <w:p w14:paraId="3F9027C1" w14:textId="24E2C947" w:rsidR="00B17A4E" w:rsidRPr="004A74EC" w:rsidRDefault="00B17A4E" w:rsidP="00B17A4E">
            <w:pPr>
              <w:pStyle w:val="SingleTxtG"/>
              <w:tabs>
                <w:tab w:val="left" w:pos="3720"/>
              </w:tabs>
              <w:ind w:left="0" w:right="176"/>
              <w:jc w:val="left"/>
            </w:pPr>
            <w:r w:rsidRPr="004A74EC">
              <w:t>Deletion of transitional measures for tank-wagons</w:t>
            </w:r>
          </w:p>
        </w:tc>
      </w:tr>
      <w:tr w:rsidR="00B17A4E" w:rsidRPr="004A74EC" w14:paraId="6C3378E6" w14:textId="77777777" w:rsidTr="008B660F">
        <w:tc>
          <w:tcPr>
            <w:tcW w:w="3654" w:type="dxa"/>
          </w:tcPr>
          <w:p w14:paraId="1BF162AB" w14:textId="22863FF5" w:rsidR="00B17A4E" w:rsidRPr="004A74EC" w:rsidRDefault="00B17A4E" w:rsidP="00B17A4E">
            <w:pPr>
              <w:pStyle w:val="SingleTxtG"/>
              <w:tabs>
                <w:tab w:val="left" w:pos="3720"/>
              </w:tabs>
              <w:ind w:left="0" w:right="176"/>
              <w:jc w:val="left"/>
            </w:pPr>
            <w:r w:rsidRPr="004A74EC">
              <w:t>ECE/TRANS/WP.15/AC.1/2022/10</w:t>
            </w:r>
            <w:r>
              <w:br/>
            </w:r>
            <w:r w:rsidRPr="004A74EC">
              <w:t>(UIP)</w:t>
            </w:r>
          </w:p>
        </w:tc>
        <w:tc>
          <w:tcPr>
            <w:tcW w:w="4851" w:type="dxa"/>
          </w:tcPr>
          <w:p w14:paraId="1662ED3A" w14:textId="194F42A3" w:rsidR="00B17A4E" w:rsidRPr="004A74EC" w:rsidRDefault="00B17A4E" w:rsidP="00B17A4E">
            <w:pPr>
              <w:pStyle w:val="SingleTxtG"/>
              <w:tabs>
                <w:tab w:val="left" w:pos="3720"/>
              </w:tabs>
              <w:ind w:left="0" w:right="176"/>
              <w:jc w:val="left"/>
            </w:pPr>
            <w:r w:rsidRPr="004A74EC">
              <w:t>Qualification for welding – Interpretation of EN 14025</w:t>
            </w:r>
          </w:p>
        </w:tc>
      </w:tr>
      <w:tr w:rsidR="00B17A4E" w:rsidRPr="004A74EC" w14:paraId="6B2CA2C3" w14:textId="77777777" w:rsidTr="008B660F">
        <w:tc>
          <w:tcPr>
            <w:tcW w:w="3654" w:type="dxa"/>
          </w:tcPr>
          <w:p w14:paraId="0DB1FD8E" w14:textId="706618E6" w:rsidR="00B17A4E" w:rsidRPr="004A74EC" w:rsidRDefault="00B17A4E" w:rsidP="00B17A4E">
            <w:pPr>
              <w:pStyle w:val="SingleTxtG"/>
              <w:tabs>
                <w:tab w:val="left" w:pos="3720"/>
              </w:tabs>
              <w:ind w:left="0" w:right="176"/>
              <w:jc w:val="left"/>
            </w:pPr>
            <w:r w:rsidRPr="004A74EC">
              <w:t>ECE/TRANS/WP.15/AC.1/2022/12 (Liquid Gas Europe)</w:t>
            </w:r>
          </w:p>
        </w:tc>
        <w:tc>
          <w:tcPr>
            <w:tcW w:w="4851" w:type="dxa"/>
          </w:tcPr>
          <w:p w14:paraId="0058D694" w14:textId="16BCE6B2" w:rsidR="00B17A4E" w:rsidRPr="004A74EC" w:rsidRDefault="00B17A4E" w:rsidP="00B17A4E">
            <w:pPr>
              <w:pStyle w:val="SingleTxtG"/>
              <w:tabs>
                <w:tab w:val="left" w:pos="3720"/>
              </w:tabs>
              <w:ind w:left="0" w:right="176"/>
              <w:jc w:val="left"/>
            </w:pPr>
            <w:r w:rsidRPr="004A74EC">
              <w:t>Marking of tanks carrying flammable liquefied gases that are fitted with safety valves</w:t>
            </w:r>
          </w:p>
        </w:tc>
      </w:tr>
      <w:tr w:rsidR="00B17A4E" w:rsidRPr="004A74EC" w14:paraId="2594F293" w14:textId="77777777" w:rsidTr="008B660F">
        <w:tc>
          <w:tcPr>
            <w:tcW w:w="3654" w:type="dxa"/>
          </w:tcPr>
          <w:p w14:paraId="1FC332C7" w14:textId="00D84191" w:rsidR="00B17A4E" w:rsidRPr="004A74EC" w:rsidRDefault="00B17A4E" w:rsidP="00B17A4E">
            <w:pPr>
              <w:pStyle w:val="SingleTxtG"/>
              <w:tabs>
                <w:tab w:val="left" w:pos="3720"/>
              </w:tabs>
              <w:ind w:left="0" w:right="176"/>
              <w:jc w:val="left"/>
            </w:pPr>
            <w:r w:rsidRPr="004A74EC">
              <w:t>ECE/TRANS/WP.15/AC.1/2022/13 (Germany)</w:t>
            </w:r>
          </w:p>
        </w:tc>
        <w:tc>
          <w:tcPr>
            <w:tcW w:w="4851" w:type="dxa"/>
          </w:tcPr>
          <w:p w14:paraId="1E7FBD7C" w14:textId="5E2AB18A" w:rsidR="00B17A4E" w:rsidRPr="004A74EC" w:rsidRDefault="00B17A4E" w:rsidP="00B17A4E">
            <w:pPr>
              <w:pStyle w:val="SingleTxtG"/>
              <w:tabs>
                <w:tab w:val="left" w:pos="3720"/>
              </w:tabs>
              <w:ind w:left="0" w:right="176"/>
              <w:jc w:val="left"/>
            </w:pPr>
            <w:r w:rsidRPr="004A74EC">
              <w:t>Vacuum-operated waste tanks: Non-electrical explosion protection</w:t>
            </w:r>
          </w:p>
        </w:tc>
      </w:tr>
      <w:tr w:rsidR="00B17A4E" w:rsidRPr="004A74EC" w14:paraId="4168C83E" w14:textId="77777777" w:rsidTr="008B660F">
        <w:tc>
          <w:tcPr>
            <w:tcW w:w="3654" w:type="dxa"/>
          </w:tcPr>
          <w:p w14:paraId="560FB109" w14:textId="6B1C080D" w:rsidR="00B17A4E" w:rsidRPr="004A74EC" w:rsidRDefault="00B17A4E" w:rsidP="00B17A4E">
            <w:pPr>
              <w:pStyle w:val="SingleTxtG"/>
              <w:tabs>
                <w:tab w:val="left" w:pos="3720"/>
              </w:tabs>
              <w:ind w:left="0" w:right="176"/>
              <w:jc w:val="left"/>
            </w:pPr>
            <w:r w:rsidRPr="004A74EC">
              <w:t>ECE/TRANS/WP.15/AC.1/2022/16 (Netherlands)</w:t>
            </w:r>
            <w:r w:rsidR="00DE3B22" w:rsidRPr="004A74EC">
              <w:t xml:space="preserve"> and informal document INF.</w:t>
            </w:r>
            <w:r w:rsidR="00AB0500">
              <w:t>32</w:t>
            </w:r>
            <w:r w:rsidR="00DE3B22" w:rsidRPr="004A74EC">
              <w:t xml:space="preserve"> of the autumn 2021 session (</w:t>
            </w:r>
            <w:r w:rsidR="00F01526" w:rsidRPr="00F01526">
              <w:t>Chair of the Ad-hoc working group</w:t>
            </w:r>
            <w:r w:rsidR="00DE3B22" w:rsidRPr="004A74EC">
              <w:t>)</w:t>
            </w:r>
          </w:p>
        </w:tc>
        <w:tc>
          <w:tcPr>
            <w:tcW w:w="4851" w:type="dxa"/>
          </w:tcPr>
          <w:p w14:paraId="33077D90" w14:textId="6BD6BE93" w:rsidR="00B17A4E" w:rsidRPr="004A74EC" w:rsidRDefault="00B17A4E" w:rsidP="00B17A4E">
            <w:pPr>
              <w:pStyle w:val="SingleTxtG"/>
              <w:tabs>
                <w:tab w:val="left" w:pos="3720"/>
              </w:tabs>
              <w:ind w:left="0" w:right="176"/>
              <w:jc w:val="left"/>
            </w:pPr>
            <w:r w:rsidRPr="004A74EC">
              <w:t>Instant</w:t>
            </w:r>
            <w:r w:rsidRPr="004A74EC">
              <w:rPr>
                <w:color w:val="000000" w:themeColor="text1"/>
              </w:rPr>
              <w:t>/</w:t>
            </w:r>
            <w:r w:rsidRPr="004A74EC">
              <w:t>automatic closing stop-valves on connections to the vapour phase on cryogenic tanks carrying flammable gases</w:t>
            </w:r>
          </w:p>
        </w:tc>
      </w:tr>
      <w:tr w:rsidR="00B17A4E" w:rsidRPr="004A74EC" w14:paraId="40CE32F5" w14:textId="77777777" w:rsidTr="008B660F">
        <w:tc>
          <w:tcPr>
            <w:tcW w:w="3654" w:type="dxa"/>
          </w:tcPr>
          <w:p w14:paraId="1FBBDEBA" w14:textId="1B314765" w:rsidR="00B17A4E" w:rsidRPr="004A74EC" w:rsidRDefault="00B17A4E" w:rsidP="00B17A4E">
            <w:pPr>
              <w:pStyle w:val="SingleTxtG"/>
              <w:tabs>
                <w:tab w:val="left" w:pos="3720"/>
              </w:tabs>
              <w:ind w:left="0" w:right="176"/>
              <w:jc w:val="left"/>
            </w:pPr>
            <w:r w:rsidRPr="004A74EC">
              <w:t>ECE/TRANS/WP.15/AC.1/2022/17 (United Kingdom)</w:t>
            </w:r>
          </w:p>
        </w:tc>
        <w:tc>
          <w:tcPr>
            <w:tcW w:w="4851" w:type="dxa"/>
          </w:tcPr>
          <w:p w14:paraId="055C4BA2" w14:textId="53969550" w:rsidR="00B17A4E" w:rsidRPr="004A74EC" w:rsidRDefault="00B17A4E" w:rsidP="00B17A4E">
            <w:pPr>
              <w:pStyle w:val="SingleTxtG"/>
              <w:tabs>
                <w:tab w:val="left" w:pos="3720"/>
              </w:tabs>
              <w:ind w:left="0" w:right="176"/>
              <w:jc w:val="left"/>
            </w:pPr>
            <w:r w:rsidRPr="004A74EC">
              <w:t xml:space="preserve">Comments on </w:t>
            </w:r>
            <w:bookmarkStart w:id="0" w:name="_Hlk90281674"/>
            <w:r w:rsidRPr="004A74EC">
              <w:t>new 1.8.6.2.1, 6.8.1.5.3 (b) and 6.8.1.5.4 (b) from ECE/TRANS/WP.15/AC.1/2021/23/Rev.1</w:t>
            </w:r>
            <w:bookmarkEnd w:id="0"/>
          </w:p>
        </w:tc>
      </w:tr>
      <w:tr w:rsidR="00B17A4E" w:rsidRPr="004A74EC" w14:paraId="6C86278E" w14:textId="77777777" w:rsidTr="008B660F">
        <w:tc>
          <w:tcPr>
            <w:tcW w:w="3654" w:type="dxa"/>
          </w:tcPr>
          <w:p w14:paraId="2B1958F0" w14:textId="4E8B88CE" w:rsidR="00B17A4E" w:rsidRPr="004A74EC" w:rsidRDefault="00B17A4E" w:rsidP="00B17A4E">
            <w:pPr>
              <w:pStyle w:val="SingleTxtG"/>
              <w:tabs>
                <w:tab w:val="left" w:pos="3720"/>
              </w:tabs>
              <w:ind w:left="0" w:right="176"/>
              <w:jc w:val="left"/>
            </w:pPr>
            <w:r w:rsidRPr="004A74EC">
              <w:t>ECE/TRANS/WP.15/AC.1/2022/18 (United Kingdom)</w:t>
            </w:r>
          </w:p>
        </w:tc>
        <w:tc>
          <w:tcPr>
            <w:tcW w:w="4851" w:type="dxa"/>
          </w:tcPr>
          <w:p w14:paraId="0675B3FA" w14:textId="64B65757" w:rsidR="00B17A4E" w:rsidRPr="004A74EC" w:rsidRDefault="00B17A4E" w:rsidP="001B0AEE">
            <w:pPr>
              <w:pStyle w:val="SingleTxtG"/>
              <w:tabs>
                <w:tab w:val="left" w:pos="3720"/>
              </w:tabs>
              <w:ind w:left="0" w:right="176"/>
              <w:jc w:val="left"/>
            </w:pPr>
            <w:r w:rsidRPr="004A74EC">
              <w:t>Comments on notes to new 6.8.1.5.1 (a) and 6.8.1.5.4 (</w:t>
            </w:r>
            <w:r w:rsidR="00EE6DF1">
              <w:t>a</w:t>
            </w:r>
            <w:r w:rsidRPr="004A74EC">
              <w:t>) from ECE/TRANS/WP.15/AC.1/2021/23/Rev.1</w:t>
            </w:r>
          </w:p>
        </w:tc>
      </w:tr>
      <w:tr w:rsidR="00B17A4E" w:rsidRPr="004A74EC" w14:paraId="258695CE" w14:textId="77777777" w:rsidTr="008B660F">
        <w:tc>
          <w:tcPr>
            <w:tcW w:w="3654" w:type="dxa"/>
          </w:tcPr>
          <w:p w14:paraId="09FFBCC4" w14:textId="7248E359" w:rsidR="00B17A4E" w:rsidRPr="004A74EC" w:rsidRDefault="00B17A4E" w:rsidP="00B17A4E">
            <w:pPr>
              <w:pStyle w:val="SingleTxtG"/>
              <w:tabs>
                <w:tab w:val="left" w:pos="3720"/>
              </w:tabs>
              <w:ind w:left="0" w:right="176"/>
              <w:jc w:val="left"/>
            </w:pPr>
            <w:r w:rsidRPr="004A74EC">
              <w:t xml:space="preserve">ECE/TRANS/WP.15/AC.1/2021/34/Rev.1 </w:t>
            </w:r>
            <w:r w:rsidR="004313AB" w:rsidRPr="004A74EC">
              <w:t>and informal document INF.</w:t>
            </w:r>
            <w:r w:rsidR="00DE01B8">
              <w:t>17</w:t>
            </w:r>
            <w:r w:rsidR="004313AB" w:rsidRPr="004A74EC">
              <w:t xml:space="preserve"> of the autumn 2021 session </w:t>
            </w:r>
            <w:r w:rsidRPr="004A74EC">
              <w:t>(Switzerland)</w:t>
            </w:r>
          </w:p>
        </w:tc>
        <w:tc>
          <w:tcPr>
            <w:tcW w:w="4851" w:type="dxa"/>
          </w:tcPr>
          <w:p w14:paraId="32F96AE5" w14:textId="7CF0540F" w:rsidR="00B17A4E" w:rsidRPr="004A74EC" w:rsidRDefault="00B17A4E" w:rsidP="00B17A4E">
            <w:pPr>
              <w:pStyle w:val="SingleTxtG"/>
              <w:tabs>
                <w:tab w:val="left" w:pos="3720"/>
              </w:tabs>
              <w:ind w:left="0" w:right="176"/>
              <w:jc w:val="left"/>
            </w:pPr>
            <w:r w:rsidRPr="004A74EC">
              <w:t>Inspection and certification of tanks: explanations on the amendments planned for entry into force on 1 January 2023 - Revision of ECE/TRANS/WP.15/AC.1/2021/34</w:t>
            </w:r>
          </w:p>
        </w:tc>
      </w:tr>
      <w:tr w:rsidR="003D0309" w:rsidRPr="004A74EC" w14:paraId="712AC32B" w14:textId="77777777" w:rsidTr="008B660F">
        <w:tc>
          <w:tcPr>
            <w:tcW w:w="3654" w:type="dxa"/>
          </w:tcPr>
          <w:p w14:paraId="15E94763" w14:textId="76967612" w:rsidR="003D0309" w:rsidRPr="004A74EC" w:rsidRDefault="003D0309" w:rsidP="003D0309">
            <w:pPr>
              <w:pStyle w:val="SingleTxtG"/>
              <w:tabs>
                <w:tab w:val="left" w:pos="3720"/>
              </w:tabs>
              <w:ind w:left="0" w:right="176"/>
              <w:jc w:val="left"/>
            </w:pPr>
            <w:r>
              <w:t>I</w:t>
            </w:r>
            <w:r w:rsidRPr="004A74EC">
              <w:t>nformal document INF.</w:t>
            </w:r>
            <w:r>
              <w:t>3</w:t>
            </w:r>
            <w:r w:rsidRPr="004A74EC">
              <w:t xml:space="preserve"> of the autumn 2021 session (</w:t>
            </w:r>
            <w:r w:rsidR="00FF359A">
              <w:t>Netherlands</w:t>
            </w:r>
            <w:r w:rsidRPr="004A74EC">
              <w:t>)</w:t>
            </w:r>
          </w:p>
        </w:tc>
        <w:tc>
          <w:tcPr>
            <w:tcW w:w="4851" w:type="dxa"/>
          </w:tcPr>
          <w:p w14:paraId="31645557" w14:textId="1C350656" w:rsidR="003D0309" w:rsidRPr="004A74EC" w:rsidRDefault="006301C2" w:rsidP="003D0309">
            <w:pPr>
              <w:pStyle w:val="SingleTxtG"/>
              <w:tabs>
                <w:tab w:val="left" w:pos="3720"/>
              </w:tabs>
              <w:ind w:left="0" w:right="176"/>
              <w:jc w:val="left"/>
            </w:pPr>
            <w:r>
              <w:t>Special Provision TT4 of 6.8.4 (d) in RID</w:t>
            </w:r>
          </w:p>
        </w:tc>
      </w:tr>
      <w:tr w:rsidR="006E4612" w:rsidRPr="004A74EC" w14:paraId="6BA65A7B" w14:textId="77777777" w:rsidTr="008B660F">
        <w:tc>
          <w:tcPr>
            <w:tcW w:w="3654" w:type="dxa"/>
          </w:tcPr>
          <w:p w14:paraId="398E8799" w14:textId="044BB126" w:rsidR="006E4612" w:rsidRDefault="00380E7B" w:rsidP="006E4612">
            <w:pPr>
              <w:pStyle w:val="SingleTxtG"/>
              <w:tabs>
                <w:tab w:val="left" w:pos="3720"/>
              </w:tabs>
              <w:ind w:left="0" w:right="176"/>
              <w:jc w:val="left"/>
            </w:pPr>
            <w:r>
              <w:t>I</w:t>
            </w:r>
            <w:r w:rsidRPr="004A74EC">
              <w:t>nformal document INF.</w:t>
            </w:r>
            <w:r w:rsidR="00E040A7">
              <w:t>11</w:t>
            </w:r>
            <w:r w:rsidRPr="004A74EC">
              <w:t xml:space="preserve"> of the </w:t>
            </w:r>
            <w:r w:rsidR="00E040A7">
              <w:t xml:space="preserve">spring </w:t>
            </w:r>
            <w:r w:rsidRPr="004A74EC">
              <w:t>2021 session (</w:t>
            </w:r>
            <w:r w:rsidR="00E040A7">
              <w:t>United Kingdom</w:t>
            </w:r>
            <w:r w:rsidRPr="004A74EC">
              <w:t>)</w:t>
            </w:r>
            <w:r w:rsidR="00E040A7">
              <w:t xml:space="preserve"> and </w:t>
            </w:r>
            <w:r w:rsidR="006E4612">
              <w:t>I</w:t>
            </w:r>
            <w:r w:rsidR="006E4612" w:rsidRPr="004A74EC">
              <w:t>nformal document INF.</w:t>
            </w:r>
            <w:r w:rsidR="006E4612">
              <w:t>6</w:t>
            </w:r>
            <w:r w:rsidR="006E4612" w:rsidRPr="004A74EC">
              <w:t xml:space="preserve"> of the autumn 2021 session (</w:t>
            </w:r>
            <w:r w:rsidR="006E4612">
              <w:t>C</w:t>
            </w:r>
            <w:r w:rsidR="00777EE3">
              <w:t>LCCR</w:t>
            </w:r>
            <w:r w:rsidR="006E4612" w:rsidRPr="004A74EC">
              <w:t>)</w:t>
            </w:r>
          </w:p>
        </w:tc>
        <w:tc>
          <w:tcPr>
            <w:tcW w:w="4851" w:type="dxa"/>
          </w:tcPr>
          <w:p w14:paraId="2BF4DBF0" w14:textId="09EAA1F3" w:rsidR="006E4612" w:rsidRDefault="00777EE3" w:rsidP="006E4612">
            <w:pPr>
              <w:pStyle w:val="SingleTxtG"/>
              <w:tabs>
                <w:tab w:val="left" w:pos="3720"/>
              </w:tabs>
              <w:ind w:left="0" w:right="176"/>
              <w:jc w:val="left"/>
            </w:pPr>
            <w:r>
              <w:t>Non-destructive testing according to 6.8.2.1.23</w:t>
            </w:r>
          </w:p>
        </w:tc>
      </w:tr>
    </w:tbl>
    <w:p w14:paraId="2A6CF91F" w14:textId="41480AB0" w:rsidR="00F65EDF" w:rsidRPr="004A74EC" w:rsidRDefault="00F65EDF" w:rsidP="00F65EDF">
      <w:pPr>
        <w:pStyle w:val="HChG"/>
      </w:pPr>
      <w:r w:rsidRPr="004A74EC">
        <w:tab/>
        <w:t>3.</w:t>
      </w:r>
      <w:r w:rsidRPr="004A74EC">
        <w:tab/>
        <w:t>Standards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F90D1C" w:rsidRPr="004A74EC" w14:paraId="4AD9BC0C" w14:textId="77777777" w:rsidTr="000C6758">
        <w:tc>
          <w:tcPr>
            <w:tcW w:w="3654" w:type="dxa"/>
          </w:tcPr>
          <w:p w14:paraId="2F2331E0" w14:textId="4C62E95F" w:rsidR="00F90D1C" w:rsidRPr="004A74EC" w:rsidRDefault="00F90D1C" w:rsidP="000C6758">
            <w:pPr>
              <w:pStyle w:val="SingleTxtG"/>
              <w:tabs>
                <w:tab w:val="left" w:pos="3720"/>
              </w:tabs>
              <w:ind w:left="0" w:right="176"/>
              <w:jc w:val="left"/>
            </w:pPr>
            <w:r w:rsidRPr="004A74EC">
              <w:t>ECE/TRANS/WP.15/AC.1/2022/11</w:t>
            </w:r>
            <w:r w:rsidR="00B17AFA">
              <w:br/>
            </w:r>
            <w:r w:rsidRPr="004A74EC">
              <w:t>(CEN)</w:t>
            </w:r>
          </w:p>
        </w:tc>
        <w:tc>
          <w:tcPr>
            <w:tcW w:w="4851" w:type="dxa"/>
          </w:tcPr>
          <w:p w14:paraId="69B11E06" w14:textId="4DBB498E" w:rsidR="00F90D1C" w:rsidRPr="004A74EC" w:rsidRDefault="00A12648" w:rsidP="00B17AFA">
            <w:pPr>
              <w:pStyle w:val="SingleTxtG"/>
              <w:tabs>
                <w:tab w:val="left" w:pos="3720"/>
              </w:tabs>
              <w:ind w:left="0" w:right="176"/>
              <w:jc w:val="left"/>
            </w:pPr>
            <w:r w:rsidRPr="004A74EC">
              <w:t>Information on work of the Working Group on Standards</w:t>
            </w:r>
          </w:p>
        </w:tc>
      </w:tr>
    </w:tbl>
    <w:p w14:paraId="1C0FA924" w14:textId="77777777" w:rsidR="00F65EDF" w:rsidRPr="004A74EC" w:rsidRDefault="00F65EDF" w:rsidP="00F65EDF">
      <w:pPr>
        <w:pStyle w:val="HChG"/>
      </w:pPr>
      <w:r w:rsidRPr="004A74EC">
        <w:tab/>
        <w:t>4.</w:t>
      </w:r>
      <w:r w:rsidRPr="004A74EC">
        <w:tab/>
        <w:t>Interpretation of RID/ADR/ADN</w:t>
      </w:r>
    </w:p>
    <w:p w14:paraId="1FD89AC7" w14:textId="77777777" w:rsidR="00F65EDF" w:rsidRPr="004A74EC" w:rsidRDefault="00F65EDF" w:rsidP="00F65EDF">
      <w:pPr>
        <w:ind w:left="1134" w:right="1134"/>
      </w:pPr>
      <w:r w:rsidRPr="004A74EC">
        <w:tab/>
      </w:r>
      <w:r w:rsidRPr="004A74EC">
        <w:tab/>
        <w:t>No document has been submitted under this agenda item.</w:t>
      </w:r>
    </w:p>
    <w:p w14:paraId="53B68FD2" w14:textId="77777777" w:rsidR="00F65EDF" w:rsidRPr="004A74EC" w:rsidRDefault="00F65EDF" w:rsidP="00F65EDF">
      <w:pPr>
        <w:pStyle w:val="HChG"/>
      </w:pPr>
      <w:r w:rsidRPr="004A74EC">
        <w:tab/>
        <w:t>5.</w:t>
      </w:r>
      <w:r w:rsidRPr="004A74EC">
        <w:tab/>
        <w:t>Proposals for amendments to RID/ADR/ADN</w:t>
      </w:r>
    </w:p>
    <w:p w14:paraId="1DB848BA" w14:textId="77777777" w:rsidR="00F65EDF" w:rsidRPr="004A74EC" w:rsidRDefault="00F65EDF" w:rsidP="00F65EDF">
      <w:pPr>
        <w:pStyle w:val="H1G"/>
      </w:pPr>
      <w:r w:rsidRPr="004A74EC">
        <w:tab/>
        <w:t>(a)</w:t>
      </w:r>
      <w:r w:rsidRPr="004A74EC">
        <w:tab/>
        <w:t>Pending issues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F65EDF" w:rsidRPr="004A74EC" w14:paraId="054A66FB" w14:textId="77777777" w:rsidTr="008B660F">
        <w:tc>
          <w:tcPr>
            <w:tcW w:w="3654" w:type="dxa"/>
          </w:tcPr>
          <w:p w14:paraId="41CACE74" w14:textId="25414CEC" w:rsidR="00F65EDF" w:rsidRPr="004A74EC" w:rsidRDefault="000D67AB">
            <w:pPr>
              <w:pStyle w:val="SingleTxtG"/>
              <w:spacing w:after="0"/>
              <w:ind w:left="0" w:right="175"/>
              <w:jc w:val="left"/>
            </w:pPr>
            <w:r w:rsidRPr="004A74EC">
              <w:t>ECE/TRANS/WP.15/AC.1/2022/</w:t>
            </w:r>
            <w:r w:rsidR="00A8510E" w:rsidRPr="004A74EC">
              <w:t>6</w:t>
            </w:r>
            <w:r w:rsidR="00CD4454">
              <w:br/>
            </w:r>
            <w:r w:rsidRPr="004A74EC">
              <w:t>(</w:t>
            </w:r>
            <w:r w:rsidR="00A8510E" w:rsidRPr="004A74EC">
              <w:t>IASA</w:t>
            </w:r>
            <w:r w:rsidRPr="004A74EC">
              <w:t>)</w:t>
            </w:r>
          </w:p>
        </w:tc>
        <w:tc>
          <w:tcPr>
            <w:tcW w:w="4851" w:type="dxa"/>
          </w:tcPr>
          <w:p w14:paraId="1C5F0B8A" w14:textId="1F0DEDB5" w:rsidR="00F65EDF" w:rsidRPr="004A74EC" w:rsidRDefault="000D67AB" w:rsidP="00CD4454">
            <w:pPr>
              <w:pStyle w:val="SingleTxtG"/>
              <w:tabs>
                <w:tab w:val="left" w:pos="3720"/>
              </w:tabs>
              <w:ind w:left="0" w:right="176"/>
              <w:jc w:val="left"/>
            </w:pPr>
            <w:r w:rsidRPr="004A74EC">
              <w:t>Amendment to existing special provision 668</w:t>
            </w:r>
          </w:p>
        </w:tc>
      </w:tr>
      <w:tr w:rsidR="00F65EDF" w:rsidRPr="004A74EC" w14:paraId="15059FE3" w14:textId="77777777" w:rsidTr="008B660F">
        <w:tc>
          <w:tcPr>
            <w:tcW w:w="3654" w:type="dxa"/>
          </w:tcPr>
          <w:p w14:paraId="125D675B" w14:textId="5F2EE073" w:rsidR="00F65EDF" w:rsidRPr="004A74EC" w:rsidRDefault="00B93BFD">
            <w:pPr>
              <w:pStyle w:val="SingleTxtG"/>
              <w:spacing w:after="0"/>
              <w:ind w:left="0" w:right="175"/>
              <w:jc w:val="left"/>
            </w:pPr>
            <w:r w:rsidRPr="004A74EC">
              <w:t>ECE/TRANS/WP.15/AC.1/2022/8</w:t>
            </w:r>
            <w:r w:rsidR="00CD4454">
              <w:br/>
            </w:r>
            <w:r w:rsidRPr="004A74EC">
              <w:t>(EIGA)</w:t>
            </w:r>
          </w:p>
        </w:tc>
        <w:tc>
          <w:tcPr>
            <w:tcW w:w="4851" w:type="dxa"/>
          </w:tcPr>
          <w:p w14:paraId="2452BC11" w14:textId="70DCA6FB" w:rsidR="00F65EDF" w:rsidRPr="004A74EC" w:rsidRDefault="00B93BFD">
            <w:pPr>
              <w:pStyle w:val="SingleTxtG"/>
              <w:spacing w:after="60"/>
              <w:ind w:left="0" w:right="175"/>
              <w:jc w:val="left"/>
            </w:pPr>
            <w:r w:rsidRPr="004A74EC">
              <w:rPr>
                <w:bCs/>
                <w:szCs w:val="28"/>
              </w:rPr>
              <w:t>Proposal to amend the Note related to EN ISO 18119:2018 in RID/ADR 6.2.3.5.1 and 6.2.4.2</w:t>
            </w:r>
          </w:p>
        </w:tc>
      </w:tr>
      <w:tr w:rsidR="00E865C1" w:rsidRPr="004A74EC" w14:paraId="1889ED0E" w14:textId="77777777" w:rsidTr="008B660F">
        <w:tc>
          <w:tcPr>
            <w:tcW w:w="3654" w:type="dxa"/>
          </w:tcPr>
          <w:p w14:paraId="4011FD29" w14:textId="43A6AC36" w:rsidR="00E865C1" w:rsidRPr="004A74EC" w:rsidRDefault="00E865C1" w:rsidP="00E865C1">
            <w:pPr>
              <w:pStyle w:val="SingleTxtG"/>
              <w:spacing w:after="0"/>
              <w:ind w:left="0" w:right="175"/>
              <w:jc w:val="left"/>
            </w:pPr>
            <w:r w:rsidRPr="004A74EC">
              <w:t>ECE/TRANS/WP.15/AC.1/2022/</w:t>
            </w:r>
            <w:r>
              <w:t>20</w:t>
            </w:r>
            <w:r>
              <w:br/>
            </w:r>
            <w:r w:rsidRPr="004A74EC">
              <w:t>(</w:t>
            </w:r>
            <w:r>
              <w:t>Sweden</w:t>
            </w:r>
            <w:r w:rsidRPr="004A74EC">
              <w:t>)</w:t>
            </w:r>
          </w:p>
        </w:tc>
        <w:tc>
          <w:tcPr>
            <w:tcW w:w="4851" w:type="dxa"/>
          </w:tcPr>
          <w:p w14:paraId="0D29D2D5" w14:textId="688CB746" w:rsidR="00E865C1" w:rsidRPr="004A74EC" w:rsidRDefault="00A83898" w:rsidP="00E865C1">
            <w:pPr>
              <w:pStyle w:val="SingleTxtG"/>
              <w:spacing w:after="60"/>
              <w:ind w:left="0" w:right="175"/>
              <w:jc w:val="left"/>
              <w:rPr>
                <w:bCs/>
                <w:szCs w:val="28"/>
              </w:rPr>
            </w:pPr>
            <w:r w:rsidRPr="00E12FCC">
              <w:t xml:space="preserve">Transport of electric energy systems containing </w:t>
            </w:r>
            <w:proofErr w:type="gramStart"/>
            <w:r w:rsidRPr="00E12FCC">
              <w:t>lithium ion</w:t>
            </w:r>
            <w:proofErr w:type="gramEnd"/>
            <w:r w:rsidRPr="00E12FCC">
              <w:t xml:space="preserve"> batteries</w:t>
            </w:r>
          </w:p>
        </w:tc>
      </w:tr>
    </w:tbl>
    <w:p w14:paraId="74CED61A" w14:textId="77777777" w:rsidR="00F65EDF" w:rsidRPr="004A74EC" w:rsidRDefault="00F65EDF" w:rsidP="00F65EDF">
      <w:pPr>
        <w:pStyle w:val="H1G"/>
      </w:pPr>
      <w:r w:rsidRPr="004A74EC">
        <w:tab/>
        <w:t>(b)</w:t>
      </w:r>
      <w:r w:rsidRPr="004A74EC">
        <w:tab/>
        <w:t>New proposals</w:t>
      </w:r>
    </w:p>
    <w:tbl>
      <w:tblPr>
        <w:tblW w:w="8505" w:type="dxa"/>
        <w:tblInd w:w="1134" w:type="dxa"/>
        <w:tblLayout w:type="fixed"/>
        <w:tblCellMar>
          <w:left w:w="0" w:type="dxa"/>
          <w:right w:w="0" w:type="dxa"/>
        </w:tblCellMar>
        <w:tblLook w:val="01E0" w:firstRow="1" w:lastRow="1" w:firstColumn="1" w:lastColumn="1" w:noHBand="0" w:noVBand="0"/>
      </w:tblPr>
      <w:tblGrid>
        <w:gridCol w:w="3654"/>
        <w:gridCol w:w="4851"/>
      </w:tblGrid>
      <w:tr w:rsidR="00F65EDF" w:rsidRPr="004A74EC" w14:paraId="32D2F123" w14:textId="77777777" w:rsidTr="008B660F">
        <w:tc>
          <w:tcPr>
            <w:tcW w:w="3654" w:type="dxa"/>
          </w:tcPr>
          <w:p w14:paraId="3DF897F6" w14:textId="25C1769E" w:rsidR="00F65EDF" w:rsidRPr="004A74EC" w:rsidRDefault="005B1D43">
            <w:pPr>
              <w:pStyle w:val="SingleTxtG"/>
              <w:spacing w:after="60"/>
              <w:ind w:left="0" w:right="175"/>
              <w:jc w:val="left"/>
            </w:pPr>
            <w:r w:rsidRPr="004A74EC">
              <w:t>ECE/TRANS/WP.15/AC.1</w:t>
            </w:r>
            <w:r w:rsidR="006144D7" w:rsidRPr="004A74EC">
              <w:t>/</w:t>
            </w:r>
            <w:r w:rsidRPr="004A74EC">
              <w:t>2022/1</w:t>
            </w:r>
            <w:r w:rsidR="00BC22CF">
              <w:br/>
            </w:r>
            <w:r w:rsidRPr="004A74EC">
              <w:t>(Germany)</w:t>
            </w:r>
          </w:p>
        </w:tc>
        <w:tc>
          <w:tcPr>
            <w:tcW w:w="4851" w:type="dxa"/>
          </w:tcPr>
          <w:p w14:paraId="04EA7D3B" w14:textId="7E39F61D" w:rsidR="00F65EDF" w:rsidRPr="004A74EC" w:rsidRDefault="005B1D43">
            <w:pPr>
              <w:pStyle w:val="SingleTxtG"/>
              <w:spacing w:after="60"/>
              <w:ind w:left="0" w:right="175"/>
              <w:jc w:val="left"/>
            </w:pPr>
            <w:r w:rsidRPr="004A74EC">
              <w:t>Amendment of special provision 376 on damaged or defective lithium-ion cells or batteries and lithium metal cells or batteries</w:t>
            </w:r>
          </w:p>
        </w:tc>
      </w:tr>
      <w:tr w:rsidR="00F65EDF" w:rsidRPr="004A74EC" w14:paraId="22A76449" w14:textId="77777777" w:rsidTr="008B660F">
        <w:tc>
          <w:tcPr>
            <w:tcW w:w="3654" w:type="dxa"/>
          </w:tcPr>
          <w:p w14:paraId="53110E44" w14:textId="3AE2D76A" w:rsidR="00F65EDF" w:rsidRPr="004A74EC" w:rsidRDefault="00FC0232">
            <w:pPr>
              <w:pStyle w:val="SingleTxtG"/>
              <w:spacing w:after="60"/>
              <w:ind w:left="0" w:right="175"/>
              <w:jc w:val="left"/>
            </w:pPr>
            <w:r w:rsidRPr="004A74EC">
              <w:t>ECE/TRANS/WP.15/AC.1/2022/</w:t>
            </w:r>
            <w:r w:rsidR="00857B27" w:rsidRPr="004A74EC">
              <w:t>14</w:t>
            </w:r>
            <w:r w:rsidRPr="004A74EC">
              <w:t xml:space="preserve"> (</w:t>
            </w:r>
            <w:r w:rsidR="00857B27" w:rsidRPr="004A74EC">
              <w:t>Norway/Sweden)</w:t>
            </w:r>
          </w:p>
        </w:tc>
        <w:tc>
          <w:tcPr>
            <w:tcW w:w="4851" w:type="dxa"/>
          </w:tcPr>
          <w:p w14:paraId="505D342C" w14:textId="158E7065" w:rsidR="00F65EDF" w:rsidRPr="004A74EC" w:rsidRDefault="00FC0232">
            <w:pPr>
              <w:pStyle w:val="SingleTxtG"/>
              <w:spacing w:after="60"/>
              <w:ind w:left="0" w:right="175"/>
            </w:pPr>
            <w:r w:rsidRPr="004A74EC">
              <w:t>Section 1.10.4 – text referring to 1.1.3.6</w:t>
            </w:r>
          </w:p>
        </w:tc>
      </w:tr>
      <w:tr w:rsidR="00F65EDF" w:rsidRPr="004A74EC" w14:paraId="5BF037DB" w14:textId="77777777" w:rsidTr="008B660F">
        <w:tc>
          <w:tcPr>
            <w:tcW w:w="3654" w:type="dxa"/>
          </w:tcPr>
          <w:p w14:paraId="0ABF185E" w14:textId="0D29188B" w:rsidR="00F65EDF" w:rsidRPr="004A74EC" w:rsidRDefault="00CA33E5">
            <w:pPr>
              <w:pStyle w:val="SingleTxtG"/>
              <w:spacing w:after="60"/>
              <w:ind w:left="0" w:right="175"/>
              <w:jc w:val="left"/>
            </w:pPr>
            <w:r w:rsidRPr="004A74EC">
              <w:t>ECE/TRANS/WP.15/AC.1/2022/15 (Sweden)</w:t>
            </w:r>
          </w:p>
        </w:tc>
        <w:tc>
          <w:tcPr>
            <w:tcW w:w="4851" w:type="dxa"/>
          </w:tcPr>
          <w:p w14:paraId="60168B70" w14:textId="1F18BD70" w:rsidR="00F65EDF" w:rsidRPr="004A74EC" w:rsidRDefault="00CA33E5">
            <w:pPr>
              <w:pStyle w:val="SingleTxtG"/>
              <w:spacing w:after="60"/>
              <w:ind w:left="0" w:right="175"/>
              <w:rPr>
                <w:lang w:eastAsia="en-US"/>
              </w:rPr>
            </w:pPr>
            <w:r w:rsidRPr="004A74EC">
              <w:t>Carriage of paint residues (waste) – Amending and assigning special provision 650 to UN 3082</w:t>
            </w:r>
          </w:p>
        </w:tc>
      </w:tr>
      <w:tr w:rsidR="00F65EDF" w:rsidRPr="004A74EC" w14:paraId="0929B7AA" w14:textId="77777777" w:rsidTr="008B660F">
        <w:tc>
          <w:tcPr>
            <w:tcW w:w="3654" w:type="dxa"/>
          </w:tcPr>
          <w:p w14:paraId="299BA32D" w14:textId="69AC2E69" w:rsidR="00F65EDF" w:rsidRPr="004A74EC" w:rsidRDefault="0051166B" w:rsidP="0051166B">
            <w:pPr>
              <w:pStyle w:val="SingleTxtG"/>
              <w:spacing w:after="60"/>
              <w:ind w:left="0" w:right="175"/>
            </w:pPr>
            <w:r w:rsidRPr="004A74EC">
              <w:t>ECE/TRANS/WP.15/AC.1/2022/19 (France)</w:t>
            </w:r>
          </w:p>
        </w:tc>
        <w:tc>
          <w:tcPr>
            <w:tcW w:w="4851" w:type="dxa"/>
          </w:tcPr>
          <w:p w14:paraId="52CFCE49" w14:textId="252AC60A" w:rsidR="00F65EDF" w:rsidRPr="004A74EC" w:rsidRDefault="0051166B" w:rsidP="00BC22CF">
            <w:pPr>
              <w:pStyle w:val="SingleTxtG"/>
              <w:spacing w:after="60"/>
              <w:ind w:left="0" w:right="175"/>
            </w:pPr>
            <w:r w:rsidRPr="004A74EC">
              <w:t>Clarification of the content of the type approval certificate referred to in 1.8.7.2.2.1 of RID/ADR</w:t>
            </w:r>
          </w:p>
        </w:tc>
      </w:tr>
    </w:tbl>
    <w:p w14:paraId="41BAE191" w14:textId="2A75C502" w:rsidR="00F65EDF" w:rsidRDefault="00F65EDF" w:rsidP="000F0E03">
      <w:pPr>
        <w:pStyle w:val="HChG"/>
        <w:keepNext w:val="0"/>
        <w:keepLines w:val="0"/>
      </w:pPr>
      <w:r w:rsidRPr="004A74EC">
        <w:tab/>
        <w:t>6.</w:t>
      </w:r>
      <w:r w:rsidRPr="004A74EC">
        <w:tab/>
        <w:t>Reports of informal working groups</w:t>
      </w:r>
    </w:p>
    <w:p w14:paraId="0564408E" w14:textId="10216750" w:rsidR="000F0E03" w:rsidRPr="004A74EC" w:rsidRDefault="000F0E03" w:rsidP="000F0E03">
      <w:pPr>
        <w:ind w:left="1134" w:right="1134"/>
      </w:pPr>
      <w:r>
        <w:tab/>
      </w:r>
      <w:r w:rsidRPr="004A74EC">
        <w:tab/>
        <w:t>No document has been submitted under this agenda item.</w:t>
      </w:r>
    </w:p>
    <w:p w14:paraId="4D5D6968" w14:textId="77777777" w:rsidR="00F65EDF" w:rsidRPr="004A74EC" w:rsidRDefault="00F65EDF" w:rsidP="005979C2">
      <w:pPr>
        <w:pStyle w:val="HChG"/>
      </w:pPr>
      <w:r w:rsidRPr="004A74EC">
        <w:tab/>
        <w:t>7.</w:t>
      </w:r>
      <w:r w:rsidRPr="004A74EC">
        <w:tab/>
        <w:t>Accidents and risk management</w:t>
      </w:r>
    </w:p>
    <w:p w14:paraId="13A1A974" w14:textId="77777777" w:rsidR="00F65EDF" w:rsidRPr="004A74EC" w:rsidRDefault="00F65EDF" w:rsidP="005979C2">
      <w:pPr>
        <w:keepNext/>
        <w:keepLines/>
        <w:ind w:left="1134" w:right="1134"/>
      </w:pPr>
      <w:r w:rsidRPr="004A74EC">
        <w:tab/>
      </w:r>
      <w:bookmarkStart w:id="1" w:name="_Hlk91496170"/>
      <w:r w:rsidRPr="004A74EC">
        <w:tab/>
        <w:t>No document has been submitted under this agenda item.</w:t>
      </w:r>
    </w:p>
    <w:bookmarkEnd w:id="1"/>
    <w:p w14:paraId="3BEE857B" w14:textId="77777777" w:rsidR="00F65EDF" w:rsidRPr="004A74EC" w:rsidRDefault="00F65EDF" w:rsidP="005979C2">
      <w:pPr>
        <w:pStyle w:val="HChG"/>
        <w:keepNext w:val="0"/>
        <w:keepLines w:val="0"/>
      </w:pPr>
      <w:r w:rsidRPr="004A74EC">
        <w:tab/>
        <w:t>8.</w:t>
      </w:r>
      <w:r w:rsidRPr="004A74EC">
        <w:tab/>
        <w:t>Future work</w:t>
      </w:r>
    </w:p>
    <w:p w14:paraId="48839E51" w14:textId="445D8FA7" w:rsidR="00F65EDF" w:rsidRPr="00915DEC" w:rsidRDefault="00F65EDF" w:rsidP="005979C2">
      <w:pPr>
        <w:ind w:left="1134" w:right="1134"/>
      </w:pPr>
      <w:r w:rsidRPr="004A74EC">
        <w:tab/>
      </w:r>
      <w:r w:rsidRPr="004A74EC">
        <w:tab/>
        <w:t>The Joint Meeting may wish to arrange for the organization of the agenda for the autumn 202</w:t>
      </w:r>
      <w:r w:rsidR="00F4354D" w:rsidRPr="004A74EC">
        <w:t>2</w:t>
      </w:r>
      <w:r w:rsidRPr="004A74EC">
        <w:t xml:space="preserve"> session (Geneva</w:t>
      </w:r>
      <w:r w:rsidRPr="00915DEC">
        <w:t>, 1</w:t>
      </w:r>
      <w:r w:rsidR="00915DEC" w:rsidRPr="00915DEC">
        <w:t>2</w:t>
      </w:r>
      <w:r w:rsidRPr="00915DEC">
        <w:t xml:space="preserve"> </w:t>
      </w:r>
      <w:r w:rsidR="00915DEC" w:rsidRPr="00915DEC">
        <w:t xml:space="preserve">– 16 </w:t>
      </w:r>
      <w:r w:rsidRPr="00915DEC">
        <w:t>September 202</w:t>
      </w:r>
      <w:r w:rsidR="00915DEC" w:rsidRPr="00915DEC">
        <w:t>2</w:t>
      </w:r>
      <w:r w:rsidRPr="00915DEC">
        <w:t>).</w:t>
      </w:r>
    </w:p>
    <w:p w14:paraId="7C5D7312" w14:textId="77777777" w:rsidR="00F65EDF" w:rsidRPr="004A74EC" w:rsidRDefault="00F65EDF" w:rsidP="005979C2">
      <w:pPr>
        <w:pStyle w:val="HChG"/>
        <w:keepNext w:val="0"/>
        <w:keepLines w:val="0"/>
      </w:pPr>
      <w:r w:rsidRPr="004A74EC">
        <w:tab/>
        <w:t>9.</w:t>
      </w:r>
      <w:r w:rsidRPr="004A74EC">
        <w:tab/>
        <w:t>Any other business</w:t>
      </w:r>
    </w:p>
    <w:p w14:paraId="7ABD5631" w14:textId="77777777" w:rsidR="00692D23" w:rsidRPr="004A74EC" w:rsidRDefault="00692D23" w:rsidP="005979C2">
      <w:pPr>
        <w:ind w:left="1134" w:right="1134"/>
      </w:pPr>
      <w:r w:rsidRPr="004A74EC">
        <w:tab/>
      </w:r>
      <w:r w:rsidRPr="004A74EC">
        <w:tab/>
        <w:t>No document has been submitted under this agenda item.</w:t>
      </w:r>
    </w:p>
    <w:p w14:paraId="0ADAA1F7" w14:textId="77777777" w:rsidR="00F65EDF" w:rsidRPr="004A74EC" w:rsidRDefault="00F65EDF" w:rsidP="00557181">
      <w:pPr>
        <w:pStyle w:val="HChG"/>
      </w:pPr>
      <w:r w:rsidRPr="004A74EC">
        <w:tab/>
        <w:t>10.</w:t>
      </w:r>
      <w:r w:rsidRPr="004A74EC">
        <w:tab/>
        <w:t>Adoption of the report</w:t>
      </w:r>
    </w:p>
    <w:p w14:paraId="00844080" w14:textId="1051DC3C" w:rsidR="00F65EDF" w:rsidRDefault="00F65EDF" w:rsidP="00557181">
      <w:pPr>
        <w:keepNext/>
        <w:keepLines/>
        <w:ind w:left="1134" w:right="1134"/>
      </w:pPr>
      <w:r w:rsidRPr="004A74EC">
        <w:tab/>
      </w:r>
      <w:r w:rsidRPr="004A74EC">
        <w:tab/>
        <w:t xml:space="preserve">In accordance with established practice, the Joint Meeting will adopt the report of the session </w:t>
      </w:r>
      <w:proofErr w:type="gramStart"/>
      <w:r w:rsidRPr="004A74EC">
        <w:t>on the basis of</w:t>
      </w:r>
      <w:proofErr w:type="gramEnd"/>
      <w:r w:rsidRPr="004A74EC">
        <w:t xml:space="preserve"> a draft established by the secretariat.</w:t>
      </w:r>
    </w:p>
    <w:p w14:paraId="2F7AACB6" w14:textId="10407D77" w:rsidR="00DD1D19" w:rsidRPr="00DD1D19" w:rsidRDefault="00DD1D19" w:rsidP="00DD1D19">
      <w:pPr>
        <w:spacing w:before="240"/>
        <w:jc w:val="center"/>
        <w:rPr>
          <w:u w:val="single"/>
        </w:rPr>
      </w:pPr>
      <w:r>
        <w:rPr>
          <w:u w:val="single"/>
        </w:rPr>
        <w:tab/>
      </w:r>
      <w:r>
        <w:rPr>
          <w:u w:val="single"/>
        </w:rPr>
        <w:tab/>
      </w:r>
      <w:r>
        <w:rPr>
          <w:u w:val="single"/>
        </w:rPr>
        <w:tab/>
      </w:r>
    </w:p>
    <w:sectPr w:rsidR="00DD1D19" w:rsidRPr="00DD1D19" w:rsidSect="007B5210">
      <w:headerReference w:type="even" r:id="rId15"/>
      <w:headerReference w:type="default" r:id="rId16"/>
      <w:footerReference w:type="even" r:id="rId17"/>
      <w:footerReference w:type="default" r:id="rId18"/>
      <w:footnotePr>
        <w:numFmt w:val="chicago"/>
      </w:footnotePr>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0D2E2" w14:textId="77777777" w:rsidR="00D77248" w:rsidRDefault="00D77248"/>
  </w:endnote>
  <w:endnote w:type="continuationSeparator" w:id="0">
    <w:p w14:paraId="5A0D7AD6" w14:textId="77777777" w:rsidR="00D77248" w:rsidRDefault="00D77248"/>
  </w:endnote>
  <w:endnote w:type="continuationNotice" w:id="1">
    <w:p w14:paraId="53B82665" w14:textId="77777777" w:rsidR="00D77248" w:rsidRDefault="00D77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2D79B" w14:textId="1F5BCD1A" w:rsidR="00757109" w:rsidRPr="00757109" w:rsidRDefault="00757109" w:rsidP="00757109">
    <w:pPr>
      <w:pStyle w:val="Footer"/>
      <w:tabs>
        <w:tab w:val="right" w:pos="9638"/>
      </w:tabs>
      <w:rPr>
        <w:sz w:val="18"/>
      </w:rPr>
    </w:pPr>
    <w:r w:rsidRPr="00757109">
      <w:rPr>
        <w:b/>
        <w:sz w:val="18"/>
      </w:rPr>
      <w:fldChar w:fldCharType="begin"/>
    </w:r>
    <w:r w:rsidRPr="00757109">
      <w:rPr>
        <w:b/>
        <w:sz w:val="18"/>
      </w:rPr>
      <w:instrText xml:space="preserve"> PAGE  \* MERGEFORMAT </w:instrText>
    </w:r>
    <w:r w:rsidRPr="00757109">
      <w:rPr>
        <w:b/>
        <w:sz w:val="18"/>
      </w:rPr>
      <w:fldChar w:fldCharType="separate"/>
    </w:r>
    <w:r w:rsidR="00B6715A">
      <w:rPr>
        <w:b/>
        <w:noProof/>
        <w:sz w:val="18"/>
      </w:rPr>
      <w:t>4</w:t>
    </w:r>
    <w:r w:rsidRPr="007571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EFCF2" w14:textId="68D99FA3" w:rsidR="00757109" w:rsidRPr="00757109" w:rsidRDefault="00757109" w:rsidP="00757109">
    <w:pPr>
      <w:pStyle w:val="Footer"/>
      <w:tabs>
        <w:tab w:val="right" w:pos="9638"/>
      </w:tabs>
      <w:rPr>
        <w:b/>
        <w:sz w:val="18"/>
      </w:rPr>
    </w:pPr>
    <w:r>
      <w:tab/>
    </w:r>
    <w:r w:rsidRPr="00757109">
      <w:rPr>
        <w:b/>
        <w:sz w:val="18"/>
      </w:rPr>
      <w:fldChar w:fldCharType="begin"/>
    </w:r>
    <w:r w:rsidRPr="00757109">
      <w:rPr>
        <w:b/>
        <w:sz w:val="18"/>
      </w:rPr>
      <w:instrText xml:space="preserve"> PAGE  \* MERGEFORMAT </w:instrText>
    </w:r>
    <w:r w:rsidRPr="00757109">
      <w:rPr>
        <w:b/>
        <w:sz w:val="18"/>
      </w:rPr>
      <w:fldChar w:fldCharType="separate"/>
    </w:r>
    <w:r w:rsidR="00B6715A">
      <w:rPr>
        <w:b/>
        <w:noProof/>
        <w:sz w:val="18"/>
      </w:rPr>
      <w:t>3</w:t>
    </w:r>
    <w:r w:rsidRPr="0075710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B305A" w14:textId="77777777" w:rsidR="00D77248" w:rsidRPr="000B175B" w:rsidRDefault="00D77248" w:rsidP="000B175B">
      <w:pPr>
        <w:tabs>
          <w:tab w:val="right" w:pos="2155"/>
        </w:tabs>
        <w:spacing w:after="80"/>
        <w:ind w:left="680"/>
        <w:rPr>
          <w:u w:val="single"/>
        </w:rPr>
      </w:pPr>
      <w:r>
        <w:rPr>
          <w:u w:val="single"/>
        </w:rPr>
        <w:tab/>
      </w:r>
    </w:p>
  </w:footnote>
  <w:footnote w:type="continuationSeparator" w:id="0">
    <w:p w14:paraId="2A0E4275" w14:textId="77777777" w:rsidR="00D77248" w:rsidRPr="00FC68B7" w:rsidRDefault="00D77248" w:rsidP="00FC68B7">
      <w:pPr>
        <w:tabs>
          <w:tab w:val="left" w:pos="2155"/>
        </w:tabs>
        <w:spacing w:after="80"/>
        <w:ind w:left="680"/>
        <w:rPr>
          <w:u w:val="single"/>
        </w:rPr>
      </w:pPr>
      <w:r>
        <w:rPr>
          <w:u w:val="single"/>
        </w:rPr>
        <w:tab/>
      </w:r>
    </w:p>
  </w:footnote>
  <w:footnote w:type="continuationNotice" w:id="1">
    <w:p w14:paraId="407EDA72" w14:textId="77777777" w:rsidR="00D77248" w:rsidRDefault="00D77248"/>
  </w:footnote>
  <w:footnote w:id="2">
    <w:p w14:paraId="7CAF494A" w14:textId="4135DB78" w:rsidR="0058178F" w:rsidRPr="0058178F" w:rsidRDefault="0058178F">
      <w:pPr>
        <w:pStyle w:val="FootnoteText"/>
        <w:rPr>
          <w:lang w:val="fr-CH"/>
        </w:rPr>
      </w:pPr>
      <w:r>
        <w:tab/>
      </w:r>
      <w:r>
        <w:tab/>
      </w:r>
      <w:r w:rsidRPr="0058178F">
        <w:rPr>
          <w:rStyle w:val="FootnoteReference"/>
          <w:b/>
          <w:bCs/>
          <w:sz w:val="20"/>
        </w:rPr>
        <w:sym w:font="Symbol" w:char="F02A"/>
      </w:r>
      <w:r>
        <w:tab/>
      </w:r>
      <w:r>
        <w:rPr>
          <w:szCs w:val="18"/>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58ED" w14:textId="69B584E9" w:rsidR="00757109" w:rsidRPr="00757109" w:rsidRDefault="008225A2">
    <w:pPr>
      <w:pStyle w:val="Header"/>
    </w:pPr>
    <w:fldSimple w:instr=" TITLE  \* MERGEFORMAT ">
      <w:r w:rsidR="00757109">
        <w:t>ECE/TRANS/WP.15/AC.1/163/Add.1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6387" w14:textId="20D0D000" w:rsidR="00757109" w:rsidRPr="00757109" w:rsidRDefault="008225A2" w:rsidP="00757109">
    <w:pPr>
      <w:pStyle w:val="Header"/>
      <w:jc w:val="right"/>
    </w:pPr>
    <w:fldSimple w:instr=" TITLE  \* MERGEFORMAT ">
      <w:r w:rsidR="00757109">
        <w:t>ECE/TRANS/WP.15/AC.1/163/Add.1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09"/>
    <w:rsid w:val="00001C15"/>
    <w:rsid w:val="00002A7D"/>
    <w:rsid w:val="000038A8"/>
    <w:rsid w:val="00006790"/>
    <w:rsid w:val="00017A5A"/>
    <w:rsid w:val="00027624"/>
    <w:rsid w:val="00050F6B"/>
    <w:rsid w:val="000678CD"/>
    <w:rsid w:val="00071BF8"/>
    <w:rsid w:val="00072C8C"/>
    <w:rsid w:val="000770E0"/>
    <w:rsid w:val="00081CE0"/>
    <w:rsid w:val="00084D30"/>
    <w:rsid w:val="00090320"/>
    <w:rsid w:val="000931C0"/>
    <w:rsid w:val="0009732C"/>
    <w:rsid w:val="000A01F9"/>
    <w:rsid w:val="000A1832"/>
    <w:rsid w:val="000A2E09"/>
    <w:rsid w:val="000B175B"/>
    <w:rsid w:val="000B3A0F"/>
    <w:rsid w:val="000D67AB"/>
    <w:rsid w:val="000E0415"/>
    <w:rsid w:val="000F0E03"/>
    <w:rsid w:val="000F0E60"/>
    <w:rsid w:val="000F7715"/>
    <w:rsid w:val="00140297"/>
    <w:rsid w:val="00146600"/>
    <w:rsid w:val="00156B99"/>
    <w:rsid w:val="00166124"/>
    <w:rsid w:val="001764CE"/>
    <w:rsid w:val="0017695D"/>
    <w:rsid w:val="00184DDA"/>
    <w:rsid w:val="001900CD"/>
    <w:rsid w:val="00195FCC"/>
    <w:rsid w:val="001A0452"/>
    <w:rsid w:val="001B0AEE"/>
    <w:rsid w:val="001B4B04"/>
    <w:rsid w:val="001B5875"/>
    <w:rsid w:val="001C2966"/>
    <w:rsid w:val="001C4B9C"/>
    <w:rsid w:val="001C6663"/>
    <w:rsid w:val="001C7895"/>
    <w:rsid w:val="001D26DF"/>
    <w:rsid w:val="001E49E3"/>
    <w:rsid w:val="001F1599"/>
    <w:rsid w:val="001F19C4"/>
    <w:rsid w:val="002043F0"/>
    <w:rsid w:val="00204D9D"/>
    <w:rsid w:val="00207883"/>
    <w:rsid w:val="00211E0B"/>
    <w:rsid w:val="00232575"/>
    <w:rsid w:val="00234B18"/>
    <w:rsid w:val="00247258"/>
    <w:rsid w:val="00257CAC"/>
    <w:rsid w:val="00264441"/>
    <w:rsid w:val="0027237A"/>
    <w:rsid w:val="00293A39"/>
    <w:rsid w:val="002974E9"/>
    <w:rsid w:val="002A7F94"/>
    <w:rsid w:val="002B109A"/>
    <w:rsid w:val="002B109D"/>
    <w:rsid w:val="002C6D45"/>
    <w:rsid w:val="002D4454"/>
    <w:rsid w:val="002D6E53"/>
    <w:rsid w:val="002F046D"/>
    <w:rsid w:val="002F3023"/>
    <w:rsid w:val="00301764"/>
    <w:rsid w:val="0031743D"/>
    <w:rsid w:val="003229D8"/>
    <w:rsid w:val="00336C97"/>
    <w:rsid w:val="00337F88"/>
    <w:rsid w:val="00342432"/>
    <w:rsid w:val="00345EE5"/>
    <w:rsid w:val="0035223F"/>
    <w:rsid w:val="00352D4B"/>
    <w:rsid w:val="0035638C"/>
    <w:rsid w:val="00380E7B"/>
    <w:rsid w:val="003A46BB"/>
    <w:rsid w:val="003A4EC7"/>
    <w:rsid w:val="003A7295"/>
    <w:rsid w:val="003B1F60"/>
    <w:rsid w:val="003C2CC4"/>
    <w:rsid w:val="003D0309"/>
    <w:rsid w:val="003D32DE"/>
    <w:rsid w:val="003D4B23"/>
    <w:rsid w:val="003E278A"/>
    <w:rsid w:val="00413520"/>
    <w:rsid w:val="004313AB"/>
    <w:rsid w:val="004325CB"/>
    <w:rsid w:val="00440A07"/>
    <w:rsid w:val="00462880"/>
    <w:rsid w:val="004654CB"/>
    <w:rsid w:val="00476F24"/>
    <w:rsid w:val="004A74EC"/>
    <w:rsid w:val="004C55B0"/>
    <w:rsid w:val="004C62BB"/>
    <w:rsid w:val="004F6BA0"/>
    <w:rsid w:val="00503BEA"/>
    <w:rsid w:val="0051166B"/>
    <w:rsid w:val="00516ECA"/>
    <w:rsid w:val="00533616"/>
    <w:rsid w:val="00535ABA"/>
    <w:rsid w:val="0053768B"/>
    <w:rsid w:val="005420F2"/>
    <w:rsid w:val="0054225C"/>
    <w:rsid w:val="0054285C"/>
    <w:rsid w:val="00557181"/>
    <w:rsid w:val="0058178F"/>
    <w:rsid w:val="00584173"/>
    <w:rsid w:val="00595520"/>
    <w:rsid w:val="005979C2"/>
    <w:rsid w:val="005A44B9"/>
    <w:rsid w:val="005B1BA0"/>
    <w:rsid w:val="005B1D43"/>
    <w:rsid w:val="005B29A2"/>
    <w:rsid w:val="005B3DB3"/>
    <w:rsid w:val="005D15CA"/>
    <w:rsid w:val="005D7969"/>
    <w:rsid w:val="005F08DF"/>
    <w:rsid w:val="005F3066"/>
    <w:rsid w:val="005F3E61"/>
    <w:rsid w:val="00604DDD"/>
    <w:rsid w:val="006115CC"/>
    <w:rsid w:val="00611FC4"/>
    <w:rsid w:val="006144D7"/>
    <w:rsid w:val="006176FB"/>
    <w:rsid w:val="006301C2"/>
    <w:rsid w:val="006308B7"/>
    <w:rsid w:val="00630FCB"/>
    <w:rsid w:val="00640B26"/>
    <w:rsid w:val="0065766B"/>
    <w:rsid w:val="00670948"/>
    <w:rsid w:val="006770B2"/>
    <w:rsid w:val="00686A48"/>
    <w:rsid w:val="00692D23"/>
    <w:rsid w:val="006940E1"/>
    <w:rsid w:val="006A3C72"/>
    <w:rsid w:val="006A7392"/>
    <w:rsid w:val="006B03A1"/>
    <w:rsid w:val="006B67D9"/>
    <w:rsid w:val="006C5535"/>
    <w:rsid w:val="006D0589"/>
    <w:rsid w:val="006D4B50"/>
    <w:rsid w:val="006E3000"/>
    <w:rsid w:val="006E4612"/>
    <w:rsid w:val="006E564B"/>
    <w:rsid w:val="006E7154"/>
    <w:rsid w:val="007003CD"/>
    <w:rsid w:val="0070701E"/>
    <w:rsid w:val="00711797"/>
    <w:rsid w:val="0071465F"/>
    <w:rsid w:val="00714E51"/>
    <w:rsid w:val="0072632A"/>
    <w:rsid w:val="007358E8"/>
    <w:rsid w:val="00736ECE"/>
    <w:rsid w:val="00740C96"/>
    <w:rsid w:val="0074533B"/>
    <w:rsid w:val="00757109"/>
    <w:rsid w:val="007643BC"/>
    <w:rsid w:val="00777EE3"/>
    <w:rsid w:val="00780C68"/>
    <w:rsid w:val="007959FE"/>
    <w:rsid w:val="007A0CF1"/>
    <w:rsid w:val="007A478E"/>
    <w:rsid w:val="007B5210"/>
    <w:rsid w:val="007B6BA5"/>
    <w:rsid w:val="007C3390"/>
    <w:rsid w:val="007C42D8"/>
    <w:rsid w:val="007C4F4B"/>
    <w:rsid w:val="007D0F2A"/>
    <w:rsid w:val="007D4A46"/>
    <w:rsid w:val="007D6826"/>
    <w:rsid w:val="007D7362"/>
    <w:rsid w:val="007E0286"/>
    <w:rsid w:val="007F5CE2"/>
    <w:rsid w:val="007F6611"/>
    <w:rsid w:val="00800522"/>
    <w:rsid w:val="00810BAC"/>
    <w:rsid w:val="008175E9"/>
    <w:rsid w:val="008225A2"/>
    <w:rsid w:val="008242D7"/>
    <w:rsid w:val="0082577B"/>
    <w:rsid w:val="008272DD"/>
    <w:rsid w:val="00832101"/>
    <w:rsid w:val="0084019C"/>
    <w:rsid w:val="00857B27"/>
    <w:rsid w:val="00866893"/>
    <w:rsid w:val="00866F02"/>
    <w:rsid w:val="00867D18"/>
    <w:rsid w:val="00871F9A"/>
    <w:rsid w:val="00871FD5"/>
    <w:rsid w:val="00880591"/>
    <w:rsid w:val="0088172E"/>
    <w:rsid w:val="00881EFA"/>
    <w:rsid w:val="00887432"/>
    <w:rsid w:val="008879CB"/>
    <w:rsid w:val="00890B89"/>
    <w:rsid w:val="008979B1"/>
    <w:rsid w:val="008A6B25"/>
    <w:rsid w:val="008A6C4F"/>
    <w:rsid w:val="008A77AE"/>
    <w:rsid w:val="008B389E"/>
    <w:rsid w:val="008B660F"/>
    <w:rsid w:val="008D045E"/>
    <w:rsid w:val="008D3F25"/>
    <w:rsid w:val="008D4D82"/>
    <w:rsid w:val="008E05C2"/>
    <w:rsid w:val="008E0E46"/>
    <w:rsid w:val="008E7116"/>
    <w:rsid w:val="008E740D"/>
    <w:rsid w:val="008F143B"/>
    <w:rsid w:val="008F1D9B"/>
    <w:rsid w:val="008F3882"/>
    <w:rsid w:val="008F439C"/>
    <w:rsid w:val="008F4B7C"/>
    <w:rsid w:val="00915DEC"/>
    <w:rsid w:val="00920688"/>
    <w:rsid w:val="00923DF9"/>
    <w:rsid w:val="00926E47"/>
    <w:rsid w:val="00937BEE"/>
    <w:rsid w:val="009442F8"/>
    <w:rsid w:val="00947162"/>
    <w:rsid w:val="009610D0"/>
    <w:rsid w:val="0096375C"/>
    <w:rsid w:val="009662E6"/>
    <w:rsid w:val="0097095E"/>
    <w:rsid w:val="00972409"/>
    <w:rsid w:val="0098338E"/>
    <w:rsid w:val="0098592B"/>
    <w:rsid w:val="00985FC4"/>
    <w:rsid w:val="00990766"/>
    <w:rsid w:val="00991261"/>
    <w:rsid w:val="009964C4"/>
    <w:rsid w:val="009A7B81"/>
    <w:rsid w:val="009B14AB"/>
    <w:rsid w:val="009B175D"/>
    <w:rsid w:val="009C1C43"/>
    <w:rsid w:val="009D01C0"/>
    <w:rsid w:val="009D6A08"/>
    <w:rsid w:val="009E0A16"/>
    <w:rsid w:val="009E1FF1"/>
    <w:rsid w:val="009E6CB7"/>
    <w:rsid w:val="009E7970"/>
    <w:rsid w:val="009F2EAC"/>
    <w:rsid w:val="009F57E3"/>
    <w:rsid w:val="00A10F4F"/>
    <w:rsid w:val="00A11067"/>
    <w:rsid w:val="00A12648"/>
    <w:rsid w:val="00A1704A"/>
    <w:rsid w:val="00A425EB"/>
    <w:rsid w:val="00A70F15"/>
    <w:rsid w:val="00A72F22"/>
    <w:rsid w:val="00A733BC"/>
    <w:rsid w:val="00A745BF"/>
    <w:rsid w:val="00A748A6"/>
    <w:rsid w:val="00A76A69"/>
    <w:rsid w:val="00A83898"/>
    <w:rsid w:val="00A840A4"/>
    <w:rsid w:val="00A8510E"/>
    <w:rsid w:val="00A879A4"/>
    <w:rsid w:val="00AA0FF8"/>
    <w:rsid w:val="00AB0500"/>
    <w:rsid w:val="00AC0F2C"/>
    <w:rsid w:val="00AC15D6"/>
    <w:rsid w:val="00AC502A"/>
    <w:rsid w:val="00AD39EB"/>
    <w:rsid w:val="00AD7F35"/>
    <w:rsid w:val="00AE6E35"/>
    <w:rsid w:val="00AF58C1"/>
    <w:rsid w:val="00B04A3F"/>
    <w:rsid w:val="00B06643"/>
    <w:rsid w:val="00B15055"/>
    <w:rsid w:val="00B17A4E"/>
    <w:rsid w:val="00B17AFA"/>
    <w:rsid w:val="00B20551"/>
    <w:rsid w:val="00B30179"/>
    <w:rsid w:val="00B33FC7"/>
    <w:rsid w:val="00B349E7"/>
    <w:rsid w:val="00B37B15"/>
    <w:rsid w:val="00B45C02"/>
    <w:rsid w:val="00B649A2"/>
    <w:rsid w:val="00B6715A"/>
    <w:rsid w:val="00B70B63"/>
    <w:rsid w:val="00B72A1E"/>
    <w:rsid w:val="00B81BB3"/>
    <w:rsid w:val="00B81E12"/>
    <w:rsid w:val="00B85F5F"/>
    <w:rsid w:val="00B93BFD"/>
    <w:rsid w:val="00BA339B"/>
    <w:rsid w:val="00BB23CC"/>
    <w:rsid w:val="00BB3B74"/>
    <w:rsid w:val="00BC1E7E"/>
    <w:rsid w:val="00BC22CF"/>
    <w:rsid w:val="00BC417C"/>
    <w:rsid w:val="00BC74E9"/>
    <w:rsid w:val="00BD34EA"/>
    <w:rsid w:val="00BE36A9"/>
    <w:rsid w:val="00BE618E"/>
    <w:rsid w:val="00BE7BEC"/>
    <w:rsid w:val="00BF0A5A"/>
    <w:rsid w:val="00BF0E63"/>
    <w:rsid w:val="00BF12A3"/>
    <w:rsid w:val="00BF16D7"/>
    <w:rsid w:val="00BF2373"/>
    <w:rsid w:val="00C0294F"/>
    <w:rsid w:val="00C044E2"/>
    <w:rsid w:val="00C048CB"/>
    <w:rsid w:val="00C066F3"/>
    <w:rsid w:val="00C35C2A"/>
    <w:rsid w:val="00C408B7"/>
    <w:rsid w:val="00C411EB"/>
    <w:rsid w:val="00C463DD"/>
    <w:rsid w:val="00C53FD2"/>
    <w:rsid w:val="00C745C3"/>
    <w:rsid w:val="00C978F5"/>
    <w:rsid w:val="00CA24A4"/>
    <w:rsid w:val="00CA33E5"/>
    <w:rsid w:val="00CB11B6"/>
    <w:rsid w:val="00CB348D"/>
    <w:rsid w:val="00CC3790"/>
    <w:rsid w:val="00CD4454"/>
    <w:rsid w:val="00CD46F5"/>
    <w:rsid w:val="00CE02E6"/>
    <w:rsid w:val="00CE4A8F"/>
    <w:rsid w:val="00CE55CC"/>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53800"/>
    <w:rsid w:val="00D704E5"/>
    <w:rsid w:val="00D72727"/>
    <w:rsid w:val="00D77248"/>
    <w:rsid w:val="00D808A1"/>
    <w:rsid w:val="00D81735"/>
    <w:rsid w:val="00D83045"/>
    <w:rsid w:val="00D978C6"/>
    <w:rsid w:val="00DA0956"/>
    <w:rsid w:val="00DA357F"/>
    <w:rsid w:val="00DA3E12"/>
    <w:rsid w:val="00DB51E8"/>
    <w:rsid w:val="00DB6735"/>
    <w:rsid w:val="00DC18AD"/>
    <w:rsid w:val="00DD1D19"/>
    <w:rsid w:val="00DE01B8"/>
    <w:rsid w:val="00DE3B22"/>
    <w:rsid w:val="00DF7CAE"/>
    <w:rsid w:val="00E040A7"/>
    <w:rsid w:val="00E24AE9"/>
    <w:rsid w:val="00E423C0"/>
    <w:rsid w:val="00E43895"/>
    <w:rsid w:val="00E47ACD"/>
    <w:rsid w:val="00E56E68"/>
    <w:rsid w:val="00E6414C"/>
    <w:rsid w:val="00E7260F"/>
    <w:rsid w:val="00E865C1"/>
    <w:rsid w:val="00E8702D"/>
    <w:rsid w:val="00E905F4"/>
    <w:rsid w:val="00E916A9"/>
    <w:rsid w:val="00E916DE"/>
    <w:rsid w:val="00E925AD"/>
    <w:rsid w:val="00E96630"/>
    <w:rsid w:val="00EC14CC"/>
    <w:rsid w:val="00ED18DC"/>
    <w:rsid w:val="00ED6201"/>
    <w:rsid w:val="00ED7A2A"/>
    <w:rsid w:val="00EE6DF1"/>
    <w:rsid w:val="00EF1D7F"/>
    <w:rsid w:val="00F0137E"/>
    <w:rsid w:val="00F01526"/>
    <w:rsid w:val="00F21786"/>
    <w:rsid w:val="00F311CA"/>
    <w:rsid w:val="00F350D5"/>
    <w:rsid w:val="00F3742B"/>
    <w:rsid w:val="00F41FDB"/>
    <w:rsid w:val="00F4354D"/>
    <w:rsid w:val="00F50596"/>
    <w:rsid w:val="00F56D63"/>
    <w:rsid w:val="00F609A9"/>
    <w:rsid w:val="00F65EDF"/>
    <w:rsid w:val="00F80C99"/>
    <w:rsid w:val="00F859FC"/>
    <w:rsid w:val="00F867EC"/>
    <w:rsid w:val="00F90D1C"/>
    <w:rsid w:val="00F91B2B"/>
    <w:rsid w:val="00FC0232"/>
    <w:rsid w:val="00FC03CD"/>
    <w:rsid w:val="00FC0646"/>
    <w:rsid w:val="00FC68B7"/>
    <w:rsid w:val="00FE094A"/>
    <w:rsid w:val="00FE6985"/>
    <w:rsid w:val="00FF359A"/>
    <w:rsid w:val="00FF7F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98662"/>
  <w15:docId w15:val="{72F8EB7D-B187-43A0-AC5F-430BA34C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D23"/>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uiPriority w:val="99"/>
    <w:qFormat/>
    <w:locked/>
    <w:rsid w:val="00F65EDF"/>
    <w:rPr>
      <w:b/>
      <w:sz w:val="28"/>
      <w:lang w:val="en-GB"/>
    </w:rPr>
  </w:style>
  <w:style w:type="character" w:customStyle="1" w:styleId="UnresolvedMention1">
    <w:name w:val="Unresolved Mention1"/>
    <w:basedOn w:val="DefaultParagraphFont"/>
    <w:uiPriority w:val="99"/>
    <w:semiHidden/>
    <w:unhideWhenUsed/>
    <w:rsid w:val="00CE55CC"/>
    <w:rPr>
      <w:color w:val="605E5C"/>
      <w:shd w:val="clear" w:color="auto" w:fill="E1DFDD"/>
    </w:rPr>
  </w:style>
  <w:style w:type="character" w:styleId="CommentReference">
    <w:name w:val="annotation reference"/>
    <w:basedOn w:val="DefaultParagraphFont"/>
    <w:semiHidden/>
    <w:unhideWhenUsed/>
    <w:rsid w:val="00E24AE9"/>
    <w:rPr>
      <w:sz w:val="16"/>
      <w:szCs w:val="16"/>
    </w:rPr>
  </w:style>
  <w:style w:type="paragraph" w:styleId="CommentText">
    <w:name w:val="annotation text"/>
    <w:basedOn w:val="Normal"/>
    <w:link w:val="CommentTextChar"/>
    <w:semiHidden/>
    <w:unhideWhenUsed/>
    <w:rsid w:val="00E24AE9"/>
    <w:pPr>
      <w:spacing w:line="240" w:lineRule="auto"/>
    </w:pPr>
  </w:style>
  <w:style w:type="character" w:customStyle="1" w:styleId="CommentTextChar">
    <w:name w:val="Comment Text Char"/>
    <w:basedOn w:val="DefaultParagraphFont"/>
    <w:link w:val="CommentText"/>
    <w:semiHidden/>
    <w:rsid w:val="00E24AE9"/>
    <w:rPr>
      <w:lang w:val="en-GB"/>
    </w:rPr>
  </w:style>
  <w:style w:type="paragraph" w:styleId="CommentSubject">
    <w:name w:val="annotation subject"/>
    <w:basedOn w:val="CommentText"/>
    <w:next w:val="CommentText"/>
    <w:link w:val="CommentSubjectChar"/>
    <w:semiHidden/>
    <w:unhideWhenUsed/>
    <w:rsid w:val="00E24AE9"/>
    <w:rPr>
      <w:b/>
      <w:bCs/>
    </w:rPr>
  </w:style>
  <w:style w:type="character" w:customStyle="1" w:styleId="CommentSubjectChar">
    <w:name w:val="Comment Subject Char"/>
    <w:basedOn w:val="CommentTextChar"/>
    <w:link w:val="CommentSubject"/>
    <w:semiHidden/>
    <w:rsid w:val="00E24AE9"/>
    <w:rPr>
      <w:b/>
      <w:bCs/>
      <w:lang w:val="en-GB"/>
    </w:rPr>
  </w:style>
  <w:style w:type="character" w:customStyle="1" w:styleId="FootnoteTextChar">
    <w:name w:val="Footnote Text Char"/>
    <w:aliases w:val="5_G Char,5_GR Char"/>
    <w:basedOn w:val="DefaultParagraphFont"/>
    <w:link w:val="FootnoteText"/>
    <w:rsid w:val="00B6715A"/>
    <w:rPr>
      <w:sz w:val="18"/>
      <w:lang w:val="en-GB"/>
    </w:rPr>
  </w:style>
  <w:style w:type="character" w:styleId="UnresolvedMention">
    <w:name w:val="Unresolved Mention"/>
    <w:basedOn w:val="DefaultParagraphFont"/>
    <w:uiPriority w:val="99"/>
    <w:semiHidden/>
    <w:unhideWhenUsed/>
    <w:rsid w:val="002D4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68675">
      <w:bodyDiv w:val="1"/>
      <w:marLeft w:val="0"/>
      <w:marRight w:val="0"/>
      <w:marTop w:val="0"/>
      <w:marBottom w:val="0"/>
      <w:divBdr>
        <w:top w:val="none" w:sz="0" w:space="0" w:color="auto"/>
        <w:left w:val="none" w:sz="0" w:space="0" w:color="auto"/>
        <w:bottom w:val="none" w:sz="0" w:space="0" w:color="auto"/>
        <w:right w:val="none" w:sz="0" w:space="0" w:color="auto"/>
      </w:divBdr>
    </w:div>
    <w:div w:id="582107962">
      <w:bodyDiv w:val="1"/>
      <w:marLeft w:val="0"/>
      <w:marRight w:val="0"/>
      <w:marTop w:val="0"/>
      <w:marBottom w:val="0"/>
      <w:divBdr>
        <w:top w:val="none" w:sz="0" w:space="0" w:color="auto"/>
        <w:left w:val="none" w:sz="0" w:space="0" w:color="auto"/>
        <w:bottom w:val="none" w:sz="0" w:space="0" w:color="auto"/>
        <w:right w:val="none" w:sz="0" w:space="0" w:color="auto"/>
      </w:divBdr>
    </w:div>
    <w:div w:id="712196828">
      <w:bodyDiv w:val="1"/>
      <w:marLeft w:val="0"/>
      <w:marRight w:val="0"/>
      <w:marTop w:val="0"/>
      <w:marBottom w:val="0"/>
      <w:divBdr>
        <w:top w:val="none" w:sz="0" w:space="0" w:color="auto"/>
        <w:left w:val="none" w:sz="0" w:space="0" w:color="auto"/>
        <w:bottom w:val="none" w:sz="0" w:space="0" w:color="auto"/>
        <w:right w:val="none" w:sz="0" w:space="0" w:color="auto"/>
      </w:divBdr>
    </w:div>
    <w:div w:id="754129570">
      <w:bodyDiv w:val="1"/>
      <w:marLeft w:val="0"/>
      <w:marRight w:val="0"/>
      <w:marTop w:val="0"/>
      <w:marBottom w:val="0"/>
      <w:divBdr>
        <w:top w:val="none" w:sz="0" w:space="0" w:color="auto"/>
        <w:left w:val="none" w:sz="0" w:space="0" w:color="auto"/>
        <w:bottom w:val="none" w:sz="0" w:space="0" w:color="auto"/>
        <w:right w:val="none" w:sz="0" w:space="0" w:color="auto"/>
      </w:divBdr>
    </w:div>
    <w:div w:id="1402217852">
      <w:bodyDiv w:val="1"/>
      <w:marLeft w:val="0"/>
      <w:marRight w:val="0"/>
      <w:marTop w:val="0"/>
      <w:marBottom w:val="0"/>
      <w:divBdr>
        <w:top w:val="none" w:sz="0" w:space="0" w:color="auto"/>
        <w:left w:val="none" w:sz="0" w:space="0" w:color="auto"/>
        <w:bottom w:val="none" w:sz="0" w:space="0" w:color="auto"/>
        <w:right w:val="none" w:sz="0" w:space="0" w:color="auto"/>
      </w:divBdr>
    </w:div>
    <w:div w:id="194996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if.org/de/?page_id=1124"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ece.org/info/Transport/events/36295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if.org/en/?page_id=2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Christine Barrio-Champeau</DisplayName>
        <AccountId>49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7D5941-4C64-431E-94C0-23E323907C4C}">
  <ds:schemaRefs>
    <ds:schemaRef ds:uri="http://schemas.microsoft.com/sharepoint/v3/contenttype/forms"/>
  </ds:schemaRefs>
</ds:datastoreItem>
</file>

<file path=customXml/itemProps2.xml><?xml version="1.0" encoding="utf-8"?>
<ds:datastoreItem xmlns:ds="http://schemas.openxmlformats.org/officeDocument/2006/customXml" ds:itemID="{D670343B-6311-42B9-B55E-CE4DFD5D7D18}">
  <ds:schemaRefs>
    <ds:schemaRef ds:uri="http://schemas.openxmlformats.org/officeDocument/2006/bibliography"/>
  </ds:schemaRefs>
</ds:datastoreItem>
</file>

<file path=customXml/itemProps3.xml><?xml version="1.0" encoding="utf-8"?>
<ds:datastoreItem xmlns:ds="http://schemas.openxmlformats.org/officeDocument/2006/customXml" ds:itemID="{B62EEE4A-C7F9-4D2C-9EC7-E106F4103F6C}">
  <ds:schemaRefs>
    <ds:schemaRef ds:uri="http://schemas.microsoft.com/office/2006/metadata/properties"/>
    <ds:schemaRef ds:uri="http://schemas.microsoft.com/office/infopath/2007/PartnerControls"/>
    <ds:schemaRef ds:uri="4b4a1c0d-4a69-4996-a84a-fc699b9f49de"/>
  </ds:schemaRefs>
</ds:datastoreItem>
</file>

<file path=customXml/itemProps4.xml><?xml version="1.0" encoding="utf-8"?>
<ds:datastoreItem xmlns:ds="http://schemas.openxmlformats.org/officeDocument/2006/customXml" ds:itemID="{65C3B98E-0A81-43D3-BF96-5832448B1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TRANS_WP1_24_E.dotm</Template>
  <TotalTime>11</TotalTime>
  <Pages>4</Pages>
  <Words>1051</Words>
  <Characters>5931</Characters>
  <Application>Microsoft Office Word</Application>
  <DocSecurity>0</DocSecurity>
  <Lines>109</Lines>
  <Paragraphs>43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ECE/TRANS/WP.15/AC.1/163/Add.1</vt:lpstr>
      <vt:lpstr/>
      <vt:lpstr>United Nations</vt:lpstr>
    </vt:vector>
  </TitlesOfParts>
  <Company>CSD</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ECE/TRANS/WP.15/AC.1/163/Add.1</dc:title>
  <dc:creator>Christine Barrio-Champeau</dc:creator>
  <cp:lastModifiedBy>Christine Barrio-Champeau</cp:lastModifiedBy>
  <cp:revision>13</cp:revision>
  <cp:lastPrinted>2009-02-18T09:36:00Z</cp:lastPrinted>
  <dcterms:created xsi:type="dcterms:W3CDTF">2021-12-28T08:40:00Z</dcterms:created>
  <dcterms:modified xsi:type="dcterms:W3CDTF">2021-12-28T16:24:00Z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