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8B0D9B" w14:paraId="4B6B438F" w14:textId="77777777" w:rsidTr="00C97039">
        <w:trPr>
          <w:trHeight w:hRule="exact" w:val="851"/>
        </w:trPr>
        <w:tc>
          <w:tcPr>
            <w:tcW w:w="1276" w:type="dxa"/>
            <w:tcBorders>
              <w:bottom w:val="single" w:sz="4" w:space="0" w:color="auto"/>
            </w:tcBorders>
          </w:tcPr>
          <w:p w14:paraId="22A9C276" w14:textId="77777777" w:rsidR="00F35BAF" w:rsidRPr="008B0D9B" w:rsidRDefault="00F35BAF" w:rsidP="00492AFF"/>
        </w:tc>
        <w:tc>
          <w:tcPr>
            <w:tcW w:w="2268" w:type="dxa"/>
            <w:tcBorders>
              <w:bottom w:val="single" w:sz="4" w:space="0" w:color="auto"/>
            </w:tcBorders>
            <w:vAlign w:val="bottom"/>
          </w:tcPr>
          <w:p w14:paraId="6595F54B" w14:textId="77777777" w:rsidR="00F35BAF" w:rsidRPr="008B0D9B" w:rsidRDefault="00F35BAF" w:rsidP="00C97039">
            <w:pPr>
              <w:spacing w:after="80" w:line="300" w:lineRule="exact"/>
              <w:rPr>
                <w:sz w:val="28"/>
              </w:rPr>
            </w:pPr>
            <w:r w:rsidRPr="008B0D9B">
              <w:rPr>
                <w:sz w:val="28"/>
              </w:rPr>
              <w:t>Nations Unies</w:t>
            </w:r>
          </w:p>
        </w:tc>
        <w:tc>
          <w:tcPr>
            <w:tcW w:w="6095" w:type="dxa"/>
            <w:gridSpan w:val="2"/>
            <w:tcBorders>
              <w:bottom w:val="single" w:sz="4" w:space="0" w:color="auto"/>
            </w:tcBorders>
            <w:vAlign w:val="bottom"/>
          </w:tcPr>
          <w:p w14:paraId="44F02293" w14:textId="117B7881" w:rsidR="00F35BAF" w:rsidRPr="008B0D9B" w:rsidRDefault="00492AFF" w:rsidP="00492AFF">
            <w:pPr>
              <w:jc w:val="right"/>
            </w:pPr>
            <w:r w:rsidRPr="008B0D9B">
              <w:rPr>
                <w:sz w:val="40"/>
              </w:rPr>
              <w:t>ECE</w:t>
            </w:r>
            <w:r w:rsidRPr="008B0D9B">
              <w:t>/TRANS/WP.15/AC.1/162</w:t>
            </w:r>
          </w:p>
        </w:tc>
      </w:tr>
      <w:tr w:rsidR="00F35BAF" w:rsidRPr="008B0D9B" w14:paraId="0E33005A" w14:textId="77777777" w:rsidTr="00C97039">
        <w:trPr>
          <w:trHeight w:hRule="exact" w:val="2835"/>
        </w:trPr>
        <w:tc>
          <w:tcPr>
            <w:tcW w:w="1276" w:type="dxa"/>
            <w:tcBorders>
              <w:top w:val="single" w:sz="4" w:space="0" w:color="auto"/>
              <w:bottom w:val="single" w:sz="12" w:space="0" w:color="auto"/>
            </w:tcBorders>
          </w:tcPr>
          <w:p w14:paraId="6D0B9CD6" w14:textId="77777777" w:rsidR="00F35BAF" w:rsidRPr="008B0D9B" w:rsidRDefault="00F35BAF" w:rsidP="00C97039">
            <w:pPr>
              <w:spacing w:before="120"/>
              <w:jc w:val="center"/>
            </w:pPr>
            <w:r w:rsidRPr="008B0D9B">
              <w:rPr>
                <w:noProof/>
                <w:lang w:eastAsia="fr-CH"/>
              </w:rPr>
              <w:drawing>
                <wp:inline distT="0" distB="0" distL="0" distR="0" wp14:anchorId="07EDD159" wp14:editId="4984FDA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18CC06A" w14:textId="77777777" w:rsidR="00F35BAF" w:rsidRPr="008B0D9B" w:rsidRDefault="00F35BAF" w:rsidP="00C97039">
            <w:pPr>
              <w:spacing w:before="120" w:line="420" w:lineRule="exact"/>
              <w:rPr>
                <w:b/>
                <w:sz w:val="40"/>
                <w:szCs w:val="40"/>
              </w:rPr>
            </w:pPr>
            <w:r w:rsidRPr="008B0D9B">
              <w:rPr>
                <w:b/>
                <w:sz w:val="40"/>
                <w:szCs w:val="40"/>
              </w:rPr>
              <w:t>Conseil économique et social</w:t>
            </w:r>
          </w:p>
        </w:tc>
        <w:tc>
          <w:tcPr>
            <w:tcW w:w="2835" w:type="dxa"/>
            <w:tcBorders>
              <w:top w:val="single" w:sz="4" w:space="0" w:color="auto"/>
              <w:bottom w:val="single" w:sz="12" w:space="0" w:color="auto"/>
            </w:tcBorders>
          </w:tcPr>
          <w:p w14:paraId="5961CD43" w14:textId="77777777" w:rsidR="00F35BAF" w:rsidRPr="008B0D9B" w:rsidRDefault="00492AFF" w:rsidP="00C97039">
            <w:pPr>
              <w:spacing w:before="240"/>
            </w:pPr>
            <w:r w:rsidRPr="008B0D9B">
              <w:t>Distr. générale</w:t>
            </w:r>
          </w:p>
          <w:p w14:paraId="3D758B5F" w14:textId="77777777" w:rsidR="00492AFF" w:rsidRPr="008B0D9B" w:rsidRDefault="00492AFF" w:rsidP="00492AFF">
            <w:pPr>
              <w:spacing w:line="240" w:lineRule="exact"/>
            </w:pPr>
            <w:r w:rsidRPr="008B0D9B">
              <w:t>25 octobre 2021</w:t>
            </w:r>
          </w:p>
          <w:p w14:paraId="3537BA5F" w14:textId="77777777" w:rsidR="00492AFF" w:rsidRPr="008B0D9B" w:rsidRDefault="00492AFF" w:rsidP="00492AFF">
            <w:pPr>
              <w:spacing w:line="240" w:lineRule="exact"/>
            </w:pPr>
            <w:r w:rsidRPr="008B0D9B">
              <w:t>Français</w:t>
            </w:r>
          </w:p>
          <w:p w14:paraId="3FBE9A52" w14:textId="6990C07C" w:rsidR="00492AFF" w:rsidRPr="008B0D9B" w:rsidRDefault="00492AFF" w:rsidP="00492AFF">
            <w:pPr>
              <w:spacing w:line="240" w:lineRule="exact"/>
            </w:pPr>
            <w:r w:rsidRPr="008B0D9B">
              <w:t>Original</w:t>
            </w:r>
            <w:r w:rsidR="00DE2765" w:rsidRPr="008B0D9B">
              <w:t> :</w:t>
            </w:r>
            <w:r w:rsidRPr="008B0D9B">
              <w:t xml:space="preserve"> anglais</w:t>
            </w:r>
          </w:p>
        </w:tc>
      </w:tr>
    </w:tbl>
    <w:p w14:paraId="55A137E3" w14:textId="77777777" w:rsidR="007F20FA" w:rsidRPr="008B0D9B" w:rsidRDefault="007F20FA" w:rsidP="007F20FA">
      <w:pPr>
        <w:spacing w:before="120"/>
        <w:rPr>
          <w:b/>
          <w:sz w:val="28"/>
          <w:szCs w:val="28"/>
        </w:rPr>
      </w:pPr>
      <w:r w:rsidRPr="008B0D9B">
        <w:rPr>
          <w:b/>
          <w:sz w:val="28"/>
          <w:szCs w:val="28"/>
        </w:rPr>
        <w:t>Commission économique pour l’Europe</w:t>
      </w:r>
    </w:p>
    <w:p w14:paraId="24E9EC56" w14:textId="77777777" w:rsidR="007F20FA" w:rsidRPr="008B0D9B" w:rsidRDefault="007F20FA" w:rsidP="007F20FA">
      <w:pPr>
        <w:spacing w:before="120"/>
        <w:rPr>
          <w:sz w:val="28"/>
          <w:szCs w:val="28"/>
        </w:rPr>
      </w:pPr>
      <w:r w:rsidRPr="008B0D9B">
        <w:rPr>
          <w:sz w:val="28"/>
          <w:szCs w:val="28"/>
        </w:rPr>
        <w:t>Comité des transports intérieurs</w:t>
      </w:r>
    </w:p>
    <w:p w14:paraId="7533B4F5" w14:textId="77777777" w:rsidR="00DE2765" w:rsidRPr="008B0D9B" w:rsidRDefault="00DE2765" w:rsidP="00DE2765">
      <w:pPr>
        <w:spacing w:before="120"/>
        <w:outlineLvl w:val="0"/>
        <w:rPr>
          <w:b/>
          <w:sz w:val="24"/>
          <w:szCs w:val="24"/>
        </w:rPr>
      </w:pPr>
      <w:r w:rsidRPr="008B0D9B">
        <w:rPr>
          <w:b/>
          <w:bCs/>
          <w:sz w:val="24"/>
          <w:szCs w:val="24"/>
        </w:rPr>
        <w:t>Groupe de travail des transports de marchandises dangereuses</w:t>
      </w:r>
    </w:p>
    <w:p w14:paraId="5BB1FFC8" w14:textId="7BB7288F" w:rsidR="00DE2765" w:rsidRPr="008B0D9B" w:rsidRDefault="00DE2765" w:rsidP="008B0D9B">
      <w:pPr>
        <w:spacing w:before="120"/>
        <w:ind w:right="3542"/>
        <w:rPr>
          <w:b/>
        </w:rPr>
      </w:pPr>
      <w:r w:rsidRPr="008B0D9B">
        <w:rPr>
          <w:b/>
          <w:bCs/>
        </w:rPr>
        <w:t>Réunion commune de la Commission d’experts du RID et du</w:t>
      </w:r>
      <w:r w:rsidR="008B0D9B" w:rsidRPr="008B0D9B">
        <w:rPr>
          <w:b/>
          <w:bCs/>
        </w:rPr>
        <w:t xml:space="preserve"> </w:t>
      </w:r>
      <w:r w:rsidRPr="008B0D9B">
        <w:rPr>
          <w:b/>
          <w:bCs/>
        </w:rPr>
        <w:t>Groupe de travail des transports de marchandises dangereuses</w:t>
      </w:r>
    </w:p>
    <w:p w14:paraId="56AE8155" w14:textId="290A6EE7" w:rsidR="00DE2765" w:rsidRPr="008B0D9B" w:rsidRDefault="00DE2765" w:rsidP="00DE2765">
      <w:pPr>
        <w:pStyle w:val="HChG"/>
      </w:pPr>
      <w:r w:rsidRPr="008B0D9B">
        <w:tab/>
      </w:r>
      <w:r w:rsidRPr="008B0D9B">
        <w:tab/>
      </w:r>
      <w:r w:rsidRPr="008B0D9B">
        <w:rPr>
          <w:bCs/>
        </w:rPr>
        <w:t>Rapport de la Réunion commune de la Commission d’experts</w:t>
      </w:r>
      <w:r w:rsidR="00494F8C">
        <w:rPr>
          <w:bCs/>
        </w:rPr>
        <w:t> </w:t>
      </w:r>
      <w:r w:rsidRPr="008B0D9B">
        <w:rPr>
          <w:bCs/>
        </w:rPr>
        <w:t>du RID et du Groupe de travail des transports de</w:t>
      </w:r>
      <w:r w:rsidR="008B0D9B" w:rsidRPr="008B0D9B">
        <w:rPr>
          <w:bCs/>
        </w:rPr>
        <w:t> </w:t>
      </w:r>
      <w:r w:rsidRPr="008B0D9B">
        <w:rPr>
          <w:bCs/>
        </w:rPr>
        <w:t>marchandises dangereuses sur sa session d’automne 2021</w:t>
      </w:r>
      <w:r w:rsidRPr="008B0D9B">
        <w:rPr>
          <w:rStyle w:val="FootnoteReference"/>
          <w:b w:val="0"/>
          <w:bCs/>
          <w:sz w:val="20"/>
          <w:vertAlign w:val="baseline"/>
        </w:rPr>
        <w:footnoteReference w:customMarkFollows="1" w:id="2"/>
        <w:sym w:font="Symbol" w:char="F02A"/>
      </w:r>
    </w:p>
    <w:p w14:paraId="7FA4865F" w14:textId="112C6BF2" w:rsidR="00DE2765" w:rsidRPr="008B0D9B" w:rsidRDefault="00DE2765" w:rsidP="004C775C">
      <w:pPr>
        <w:pStyle w:val="SingleTxtG"/>
        <w:spacing w:after="240"/>
      </w:pPr>
      <w:r w:rsidRPr="008B0D9B">
        <w:t>qui s’est tenue à Genève, du 21</w:t>
      </w:r>
      <w:r w:rsidR="008B0D9B" w:rsidRPr="008B0D9B">
        <w:t> </w:t>
      </w:r>
      <w:r w:rsidRPr="008B0D9B">
        <w:t>septembre au 1</w:t>
      </w:r>
      <w:r w:rsidRPr="008B0D9B">
        <w:rPr>
          <w:vertAlign w:val="superscript"/>
        </w:rPr>
        <w:t>er</w:t>
      </w:r>
      <w:r w:rsidR="008B0D9B" w:rsidRPr="008B0D9B">
        <w:t> </w:t>
      </w:r>
      <w:r w:rsidRPr="008B0D9B">
        <w:t>octobre 2021</w:t>
      </w:r>
    </w:p>
    <w:p w14:paraId="17A7946A" w14:textId="69BDA7E3" w:rsidR="008B0D9B" w:rsidRPr="008B0D9B" w:rsidRDefault="008B0D9B" w:rsidP="008B0D9B">
      <w:pPr>
        <w:spacing w:after="120"/>
        <w:rPr>
          <w:sz w:val="28"/>
        </w:rPr>
      </w:pPr>
      <w:r w:rsidRPr="008B0D9B">
        <w:rPr>
          <w:sz w:val="28"/>
        </w:rPr>
        <w:t>Table des matières</w:t>
      </w:r>
    </w:p>
    <w:p w14:paraId="2BDEB1C4" w14:textId="42FA2B87" w:rsidR="008B0D9B" w:rsidRPr="008B0D9B" w:rsidRDefault="008B0D9B" w:rsidP="008B0D9B">
      <w:pPr>
        <w:tabs>
          <w:tab w:val="right" w:pos="8929"/>
          <w:tab w:val="right" w:pos="9638"/>
        </w:tabs>
        <w:spacing w:after="120"/>
        <w:ind w:left="283"/>
        <w:rPr>
          <w:i/>
          <w:sz w:val="18"/>
        </w:rPr>
      </w:pPr>
      <w:r w:rsidRPr="008B0D9B">
        <w:rPr>
          <w:i/>
          <w:sz w:val="18"/>
        </w:rPr>
        <w:tab/>
        <w:t>Paragraphes</w:t>
      </w:r>
      <w:r w:rsidRPr="008B0D9B">
        <w:rPr>
          <w:i/>
          <w:sz w:val="18"/>
        </w:rPr>
        <w:tab/>
        <w:t>Page</w:t>
      </w:r>
    </w:p>
    <w:p w14:paraId="3E1EC236" w14:textId="40255CA1" w:rsidR="008B0D9B" w:rsidRPr="008B0D9B" w:rsidRDefault="008B0D9B" w:rsidP="008B0D9B">
      <w:pPr>
        <w:tabs>
          <w:tab w:val="right" w:pos="850"/>
          <w:tab w:val="right" w:leader="dot" w:pos="7654"/>
          <w:tab w:val="right" w:pos="8929"/>
          <w:tab w:val="right" w:pos="9638"/>
        </w:tabs>
        <w:spacing w:after="120"/>
        <w:ind w:left="1134" w:hanging="1134"/>
      </w:pPr>
      <w:r w:rsidRPr="008B0D9B">
        <w:tab/>
        <w:t>I.</w:t>
      </w:r>
      <w:r w:rsidRPr="008B0D9B">
        <w:tab/>
      </w:r>
      <w:r w:rsidR="00192EB8" w:rsidRPr="008B0D9B">
        <w:t>Participation</w:t>
      </w:r>
      <w:r w:rsidRPr="008B0D9B">
        <w:tab/>
      </w:r>
      <w:r w:rsidRPr="008B0D9B">
        <w:tab/>
        <w:t>1−3</w:t>
      </w:r>
      <w:r w:rsidRPr="008B0D9B">
        <w:tab/>
      </w:r>
      <w:r w:rsidR="00300C28">
        <w:t>4</w:t>
      </w:r>
    </w:p>
    <w:p w14:paraId="3D0D67EF" w14:textId="68F84ADE" w:rsidR="008B0D9B" w:rsidRPr="008B0D9B" w:rsidRDefault="008B0D9B" w:rsidP="008B0D9B">
      <w:pPr>
        <w:tabs>
          <w:tab w:val="right" w:pos="850"/>
          <w:tab w:val="right" w:leader="dot" w:pos="7654"/>
          <w:tab w:val="right" w:pos="8929"/>
          <w:tab w:val="right" w:pos="9638"/>
        </w:tabs>
        <w:spacing w:after="120"/>
        <w:ind w:left="1134" w:hanging="1134"/>
      </w:pPr>
      <w:r w:rsidRPr="008B0D9B">
        <w:tab/>
        <w:t>II.</w:t>
      </w:r>
      <w:r w:rsidRPr="008B0D9B">
        <w:tab/>
      </w:r>
      <w:r w:rsidR="00192EB8" w:rsidRPr="008B0D9B">
        <w:t>Questions</w:t>
      </w:r>
      <w:r w:rsidR="004C775C">
        <w:t xml:space="preserve"> </w:t>
      </w:r>
      <w:r w:rsidR="00192EB8" w:rsidRPr="008B0D9B">
        <w:t>d’organisation</w:t>
      </w:r>
      <w:r w:rsidRPr="008B0D9B">
        <w:tab/>
      </w:r>
      <w:r w:rsidRPr="008B0D9B">
        <w:tab/>
        <w:t>4−6</w:t>
      </w:r>
      <w:r w:rsidRPr="008B0D9B">
        <w:tab/>
      </w:r>
      <w:r w:rsidR="00300C28">
        <w:t>4</w:t>
      </w:r>
    </w:p>
    <w:p w14:paraId="46591F41" w14:textId="52BCE3D1" w:rsidR="008B0D9B" w:rsidRPr="008B0D9B" w:rsidRDefault="008B0D9B" w:rsidP="008B0D9B">
      <w:pPr>
        <w:tabs>
          <w:tab w:val="right" w:pos="850"/>
          <w:tab w:val="right" w:leader="dot" w:pos="7654"/>
          <w:tab w:val="right" w:pos="8929"/>
          <w:tab w:val="right" w:pos="9638"/>
        </w:tabs>
        <w:spacing w:after="120"/>
        <w:ind w:left="1134" w:hanging="1134"/>
      </w:pPr>
      <w:r w:rsidRPr="008B0D9B">
        <w:tab/>
        <w:t>III.</w:t>
      </w:r>
      <w:r w:rsidRPr="008B0D9B">
        <w:tab/>
      </w:r>
      <w:r w:rsidR="00192EB8" w:rsidRPr="008B0D9B">
        <w:t>Adoption</w:t>
      </w:r>
      <w:r w:rsidR="004C775C">
        <w:t xml:space="preserve"> </w:t>
      </w:r>
      <w:r w:rsidR="00192EB8" w:rsidRPr="008B0D9B">
        <w:t>de</w:t>
      </w:r>
      <w:r w:rsidR="004C775C">
        <w:t xml:space="preserve"> </w:t>
      </w:r>
      <w:r w:rsidR="00192EB8" w:rsidRPr="008B0D9B">
        <w:t>l’ordre</w:t>
      </w:r>
      <w:r w:rsidR="004C775C">
        <w:t xml:space="preserve"> </w:t>
      </w:r>
      <w:r w:rsidR="00192EB8" w:rsidRPr="008B0D9B">
        <w:t>du</w:t>
      </w:r>
      <w:r w:rsidR="004C775C">
        <w:t xml:space="preserve"> </w:t>
      </w:r>
      <w:r w:rsidR="00192EB8" w:rsidRPr="008B0D9B">
        <w:t>jour</w:t>
      </w:r>
      <w:r w:rsidR="004C775C">
        <w:t xml:space="preserve"> </w:t>
      </w:r>
      <w:r w:rsidR="00192EB8" w:rsidRPr="008B0D9B">
        <w:t>(point</w:t>
      </w:r>
      <w:r w:rsidR="004C775C">
        <w:t xml:space="preserve"> </w:t>
      </w:r>
      <w:r w:rsidR="00192EB8" w:rsidRPr="008B0D9B">
        <w:t>1</w:t>
      </w:r>
      <w:r w:rsidR="004C775C">
        <w:t xml:space="preserve"> </w:t>
      </w:r>
      <w:r w:rsidR="00192EB8" w:rsidRPr="008B0D9B">
        <w:t>de</w:t>
      </w:r>
      <w:r w:rsidR="004C775C">
        <w:t xml:space="preserve"> </w:t>
      </w:r>
      <w:r w:rsidR="00192EB8" w:rsidRPr="008B0D9B">
        <w:t>l’ordre</w:t>
      </w:r>
      <w:r w:rsidR="004C775C">
        <w:t xml:space="preserve"> </w:t>
      </w:r>
      <w:r w:rsidR="00192EB8" w:rsidRPr="008B0D9B">
        <w:t>du</w:t>
      </w:r>
      <w:r w:rsidR="004C775C">
        <w:t xml:space="preserve"> </w:t>
      </w:r>
      <w:r w:rsidR="00192EB8" w:rsidRPr="008B0D9B">
        <w:t>jour)</w:t>
      </w:r>
      <w:r w:rsidRPr="008B0D9B">
        <w:tab/>
      </w:r>
      <w:r w:rsidRPr="008B0D9B">
        <w:tab/>
        <w:t>7</w:t>
      </w:r>
      <w:r w:rsidRPr="008B0D9B">
        <w:tab/>
      </w:r>
      <w:r w:rsidR="00300C28">
        <w:t>5</w:t>
      </w:r>
    </w:p>
    <w:p w14:paraId="6410DBE0" w14:textId="76EFCF2B" w:rsidR="008B0D9B" w:rsidRPr="008B0D9B" w:rsidRDefault="008B0D9B" w:rsidP="008B0D9B">
      <w:pPr>
        <w:tabs>
          <w:tab w:val="right" w:pos="850"/>
          <w:tab w:val="right" w:leader="dot" w:pos="7654"/>
          <w:tab w:val="right" w:pos="8929"/>
          <w:tab w:val="right" w:pos="9638"/>
        </w:tabs>
        <w:spacing w:after="120"/>
        <w:ind w:left="1134" w:hanging="1134"/>
      </w:pPr>
      <w:r w:rsidRPr="008B0D9B">
        <w:tab/>
        <w:t>IV.</w:t>
      </w:r>
      <w:r w:rsidRPr="008B0D9B">
        <w:tab/>
      </w:r>
      <w:r w:rsidR="00192EB8" w:rsidRPr="008B0D9B">
        <w:t>Citernes</w:t>
      </w:r>
      <w:r w:rsidR="004C775C">
        <w:t xml:space="preserve"> </w:t>
      </w:r>
      <w:r w:rsidR="00192EB8" w:rsidRPr="008B0D9B">
        <w:t>(point</w:t>
      </w:r>
      <w:r w:rsidR="004C775C">
        <w:t xml:space="preserve"> </w:t>
      </w:r>
      <w:r w:rsidR="00192EB8" w:rsidRPr="008B0D9B">
        <w:t>2</w:t>
      </w:r>
      <w:r w:rsidR="004C775C">
        <w:t xml:space="preserve"> </w:t>
      </w:r>
      <w:r w:rsidR="00192EB8" w:rsidRPr="008B0D9B">
        <w:t>de</w:t>
      </w:r>
      <w:r w:rsidR="004C775C">
        <w:t xml:space="preserve"> </w:t>
      </w:r>
      <w:r w:rsidR="00192EB8" w:rsidRPr="008B0D9B">
        <w:t>l’ordre</w:t>
      </w:r>
      <w:r w:rsidR="004C775C">
        <w:t xml:space="preserve"> </w:t>
      </w:r>
      <w:r w:rsidR="00192EB8" w:rsidRPr="008B0D9B">
        <w:t>du</w:t>
      </w:r>
      <w:r w:rsidR="004C775C">
        <w:t xml:space="preserve"> </w:t>
      </w:r>
      <w:r w:rsidR="00192EB8" w:rsidRPr="008B0D9B">
        <w:t>jour)</w:t>
      </w:r>
      <w:r w:rsidRPr="008B0D9B">
        <w:tab/>
      </w:r>
      <w:r w:rsidRPr="008B0D9B">
        <w:tab/>
        <w:t>8−18</w:t>
      </w:r>
      <w:r w:rsidRPr="008B0D9B">
        <w:tab/>
      </w:r>
      <w:r w:rsidR="00300C28">
        <w:t>5</w:t>
      </w:r>
    </w:p>
    <w:p w14:paraId="3062B426" w14:textId="2723EAD2" w:rsidR="008B0D9B" w:rsidRPr="008B0D9B" w:rsidRDefault="008B0D9B" w:rsidP="008B0D9B">
      <w:pPr>
        <w:tabs>
          <w:tab w:val="right" w:leader="dot" w:pos="7654"/>
          <w:tab w:val="right" w:pos="8929"/>
          <w:tab w:val="right" w:pos="9638"/>
        </w:tabs>
        <w:spacing w:after="120"/>
        <w:ind w:left="1559" w:hanging="425"/>
      </w:pPr>
      <w:r w:rsidRPr="008B0D9B">
        <w:t>A.</w:t>
      </w:r>
      <w:r w:rsidRPr="008B0D9B">
        <w:tab/>
      </w:r>
      <w:r w:rsidR="00192EB8" w:rsidRPr="008B0D9B">
        <w:t>Rapport</w:t>
      </w:r>
      <w:r w:rsidR="004C775C">
        <w:t xml:space="preserve"> </w:t>
      </w:r>
      <w:r w:rsidR="00192EB8" w:rsidRPr="008B0D9B">
        <w:t>du</w:t>
      </w:r>
      <w:r w:rsidR="004C775C">
        <w:t xml:space="preserve"> </w:t>
      </w:r>
      <w:r w:rsidR="00192EB8" w:rsidRPr="008B0D9B">
        <w:t>Groupe</w:t>
      </w:r>
      <w:r w:rsidR="004C775C">
        <w:t xml:space="preserve"> </w:t>
      </w:r>
      <w:r w:rsidR="00192EB8" w:rsidRPr="008B0D9B">
        <w:t>de</w:t>
      </w:r>
      <w:r w:rsidR="004C775C">
        <w:t xml:space="preserve"> </w:t>
      </w:r>
      <w:r w:rsidR="00192EB8" w:rsidRPr="008B0D9B">
        <w:t>travail</w:t>
      </w:r>
      <w:r w:rsidR="004C775C">
        <w:t xml:space="preserve"> </w:t>
      </w:r>
      <w:r w:rsidR="00192EB8" w:rsidRPr="008B0D9B">
        <w:t>des</w:t>
      </w:r>
      <w:r w:rsidR="004C775C">
        <w:t xml:space="preserve"> </w:t>
      </w:r>
      <w:r w:rsidR="00192EB8" w:rsidRPr="008B0D9B">
        <w:t>citernes</w:t>
      </w:r>
      <w:r w:rsidRPr="008B0D9B">
        <w:tab/>
      </w:r>
      <w:r w:rsidRPr="008B0D9B">
        <w:tab/>
        <w:t>10−17</w:t>
      </w:r>
      <w:r w:rsidRPr="008B0D9B">
        <w:tab/>
      </w:r>
      <w:r w:rsidR="00300C28">
        <w:t>6</w:t>
      </w:r>
    </w:p>
    <w:p w14:paraId="55A5DF62" w14:textId="58D5CFF6" w:rsidR="008B0D9B" w:rsidRPr="008B0D9B" w:rsidRDefault="008B0D9B" w:rsidP="008B0D9B">
      <w:pPr>
        <w:tabs>
          <w:tab w:val="right" w:leader="dot" w:pos="7654"/>
          <w:tab w:val="right" w:pos="8929"/>
          <w:tab w:val="right" w:pos="9638"/>
        </w:tabs>
        <w:spacing w:after="120"/>
        <w:ind w:left="1559" w:hanging="425"/>
      </w:pPr>
      <w:r w:rsidRPr="008B0D9B">
        <w:t>B.</w:t>
      </w:r>
      <w:r w:rsidRPr="008B0D9B">
        <w:tab/>
      </w:r>
      <w:r w:rsidR="00192EB8" w:rsidRPr="008B0D9B">
        <w:t>Rapport</w:t>
      </w:r>
      <w:r w:rsidR="004C775C">
        <w:t xml:space="preserve"> </w:t>
      </w:r>
      <w:r w:rsidR="00192EB8" w:rsidRPr="008B0D9B">
        <w:t>du</w:t>
      </w:r>
      <w:r w:rsidR="004C775C">
        <w:t xml:space="preserve"> </w:t>
      </w:r>
      <w:r w:rsidR="00192EB8" w:rsidRPr="008B0D9B">
        <w:t>groupe</w:t>
      </w:r>
      <w:r w:rsidR="004C775C">
        <w:t xml:space="preserve"> </w:t>
      </w:r>
      <w:r w:rsidR="00192EB8" w:rsidRPr="008B0D9B">
        <w:t>de</w:t>
      </w:r>
      <w:r w:rsidR="004C775C">
        <w:t xml:space="preserve"> </w:t>
      </w:r>
      <w:r w:rsidR="00192EB8" w:rsidRPr="008B0D9B">
        <w:t>travail</w:t>
      </w:r>
      <w:r w:rsidR="004C775C">
        <w:t xml:space="preserve"> </w:t>
      </w:r>
      <w:r w:rsidR="00192EB8" w:rsidRPr="008B0D9B">
        <w:t>informel</w:t>
      </w:r>
      <w:r w:rsidR="004C775C">
        <w:t xml:space="preserve"> </w:t>
      </w:r>
      <w:r w:rsidR="00192EB8" w:rsidRPr="008B0D9B">
        <w:t>du</w:t>
      </w:r>
      <w:r w:rsidR="004C775C">
        <w:t xml:space="preserve"> </w:t>
      </w:r>
      <w:r w:rsidR="00192EB8" w:rsidRPr="008B0D9B">
        <w:t>contrôle</w:t>
      </w:r>
      <w:r w:rsidR="004C775C">
        <w:t xml:space="preserve"> </w:t>
      </w:r>
      <w:r w:rsidR="00192EB8" w:rsidRPr="008B0D9B">
        <w:t>et</w:t>
      </w:r>
      <w:r w:rsidR="004C775C">
        <w:t xml:space="preserve"> </w:t>
      </w:r>
      <w:r w:rsidR="00192EB8" w:rsidRPr="008B0D9B">
        <w:t>de</w:t>
      </w:r>
      <w:r w:rsidR="004C775C">
        <w:t xml:space="preserve"> </w:t>
      </w:r>
      <w:r w:rsidR="00192EB8" w:rsidRPr="008B0D9B">
        <w:t>l’agrément</w:t>
      </w:r>
      <w:r w:rsidR="004C775C">
        <w:t xml:space="preserve"> </w:t>
      </w:r>
      <w:r w:rsidR="00192EB8">
        <w:br/>
      </w:r>
      <w:r w:rsidR="00192EB8" w:rsidRPr="008B0D9B">
        <w:t>des</w:t>
      </w:r>
      <w:r w:rsidR="004C775C">
        <w:t xml:space="preserve"> </w:t>
      </w:r>
      <w:r w:rsidR="00192EB8" w:rsidRPr="008B0D9B">
        <w:t>citernes</w:t>
      </w:r>
      <w:r w:rsidRPr="008B0D9B">
        <w:tab/>
      </w:r>
      <w:r w:rsidRPr="008B0D9B">
        <w:tab/>
        <w:t>18</w:t>
      </w:r>
      <w:r w:rsidRPr="008B0D9B">
        <w:tab/>
      </w:r>
      <w:r w:rsidR="00300C28">
        <w:t>7</w:t>
      </w:r>
    </w:p>
    <w:p w14:paraId="75D0035A" w14:textId="028D9A9D" w:rsidR="008B0D9B" w:rsidRPr="008B0D9B" w:rsidRDefault="008B0D9B" w:rsidP="008B0D9B">
      <w:pPr>
        <w:tabs>
          <w:tab w:val="right" w:pos="850"/>
          <w:tab w:val="right" w:leader="dot" w:pos="7654"/>
          <w:tab w:val="right" w:pos="8929"/>
          <w:tab w:val="right" w:pos="9638"/>
        </w:tabs>
        <w:spacing w:after="120"/>
        <w:ind w:left="1134" w:hanging="1134"/>
      </w:pPr>
      <w:r w:rsidRPr="008B0D9B">
        <w:tab/>
        <w:t>V.</w:t>
      </w:r>
      <w:r w:rsidRPr="008B0D9B">
        <w:tab/>
      </w:r>
      <w:r w:rsidR="00192EB8" w:rsidRPr="008B0D9B">
        <w:t>Normes</w:t>
      </w:r>
      <w:r w:rsidR="004C775C">
        <w:t xml:space="preserve"> </w:t>
      </w:r>
      <w:r w:rsidR="00192EB8" w:rsidRPr="008B0D9B">
        <w:t>(point</w:t>
      </w:r>
      <w:r w:rsidR="004C775C">
        <w:t xml:space="preserve"> </w:t>
      </w:r>
      <w:r w:rsidR="00192EB8" w:rsidRPr="008B0D9B">
        <w:t>3</w:t>
      </w:r>
      <w:r w:rsidR="004C775C">
        <w:t xml:space="preserve"> </w:t>
      </w:r>
      <w:r w:rsidR="00192EB8" w:rsidRPr="008B0D9B">
        <w:t>de</w:t>
      </w:r>
      <w:r w:rsidR="004C775C">
        <w:t xml:space="preserve"> </w:t>
      </w:r>
      <w:r w:rsidR="00192EB8" w:rsidRPr="008B0D9B">
        <w:t>l’ordre</w:t>
      </w:r>
      <w:r w:rsidR="004C775C">
        <w:t xml:space="preserve"> </w:t>
      </w:r>
      <w:r w:rsidR="00192EB8" w:rsidRPr="008B0D9B">
        <w:t>du</w:t>
      </w:r>
      <w:r w:rsidR="004C775C">
        <w:t xml:space="preserve"> </w:t>
      </w:r>
      <w:r w:rsidR="00192EB8" w:rsidRPr="008B0D9B">
        <w:t>jour)</w:t>
      </w:r>
      <w:r w:rsidRPr="008B0D9B">
        <w:tab/>
      </w:r>
      <w:r w:rsidRPr="008B0D9B">
        <w:tab/>
        <w:t>19−23</w:t>
      </w:r>
      <w:r w:rsidRPr="008B0D9B">
        <w:tab/>
      </w:r>
      <w:r w:rsidR="00300C28">
        <w:t>7</w:t>
      </w:r>
    </w:p>
    <w:p w14:paraId="57779AAD" w14:textId="13C850F1" w:rsidR="008B0D9B" w:rsidRPr="008B0D9B" w:rsidRDefault="008B0D9B" w:rsidP="008B0D9B">
      <w:pPr>
        <w:tabs>
          <w:tab w:val="right" w:leader="dot" w:pos="7654"/>
          <w:tab w:val="right" w:pos="8929"/>
          <w:tab w:val="right" w:pos="9638"/>
        </w:tabs>
        <w:spacing w:after="120"/>
        <w:ind w:left="1559" w:hanging="425"/>
      </w:pPr>
      <w:r w:rsidRPr="008B0D9B">
        <w:t>A.</w:t>
      </w:r>
      <w:r w:rsidRPr="008B0D9B">
        <w:tab/>
      </w:r>
      <w:r w:rsidR="00192EB8" w:rsidRPr="008B0D9B">
        <w:t>Informations</w:t>
      </w:r>
      <w:r w:rsidR="004C775C">
        <w:t xml:space="preserve"> </w:t>
      </w:r>
      <w:r w:rsidR="00192EB8" w:rsidRPr="008B0D9B">
        <w:t>concernant</w:t>
      </w:r>
      <w:r w:rsidR="004C775C">
        <w:t xml:space="preserve"> </w:t>
      </w:r>
      <w:r w:rsidR="00192EB8" w:rsidRPr="008B0D9B">
        <w:t>les</w:t>
      </w:r>
      <w:r w:rsidR="004C775C">
        <w:t xml:space="preserve"> </w:t>
      </w:r>
      <w:r w:rsidR="00192EB8" w:rsidRPr="008B0D9B">
        <w:t>travaux</w:t>
      </w:r>
      <w:r w:rsidR="004C775C">
        <w:t xml:space="preserve"> </w:t>
      </w:r>
      <w:r w:rsidR="00192EB8" w:rsidRPr="008B0D9B">
        <w:t>du</w:t>
      </w:r>
      <w:r w:rsidR="004C775C">
        <w:t xml:space="preserve"> </w:t>
      </w:r>
      <w:r w:rsidR="00192EB8" w:rsidRPr="008B0D9B">
        <w:t>Groupe</w:t>
      </w:r>
      <w:r w:rsidR="004C775C">
        <w:t xml:space="preserve"> </w:t>
      </w:r>
      <w:r w:rsidR="00192EB8" w:rsidRPr="008B0D9B">
        <w:t>de</w:t>
      </w:r>
      <w:r w:rsidR="004C775C">
        <w:t xml:space="preserve"> </w:t>
      </w:r>
      <w:r w:rsidR="00192EB8" w:rsidRPr="008B0D9B">
        <w:t>travail</w:t>
      </w:r>
      <w:r w:rsidR="004C775C">
        <w:t xml:space="preserve"> </w:t>
      </w:r>
      <w:r w:rsidR="00192EB8" w:rsidRPr="008B0D9B">
        <w:t>des</w:t>
      </w:r>
      <w:r w:rsidR="004C775C">
        <w:t xml:space="preserve"> </w:t>
      </w:r>
      <w:r w:rsidR="00192EB8" w:rsidRPr="008B0D9B">
        <w:t>normes</w:t>
      </w:r>
      <w:r w:rsidRPr="008B0D9B">
        <w:tab/>
      </w:r>
      <w:r w:rsidRPr="008B0D9B">
        <w:tab/>
        <w:t>19−21</w:t>
      </w:r>
      <w:r w:rsidRPr="008B0D9B">
        <w:tab/>
      </w:r>
      <w:r w:rsidR="00300C28">
        <w:t>7</w:t>
      </w:r>
    </w:p>
    <w:p w14:paraId="2275C427" w14:textId="69A5E0D0" w:rsidR="008B0D9B" w:rsidRPr="008B0D9B" w:rsidRDefault="008B0D9B" w:rsidP="008B0D9B">
      <w:pPr>
        <w:tabs>
          <w:tab w:val="right" w:leader="dot" w:pos="7654"/>
          <w:tab w:val="right" w:pos="8929"/>
          <w:tab w:val="right" w:pos="9638"/>
        </w:tabs>
        <w:spacing w:after="120"/>
        <w:ind w:left="1559" w:hanging="425"/>
      </w:pPr>
      <w:r w:rsidRPr="008B0D9B">
        <w:t>B.</w:t>
      </w:r>
      <w:r w:rsidRPr="008B0D9B">
        <w:tab/>
      </w:r>
      <w:r w:rsidR="00192EB8" w:rsidRPr="008B0D9B">
        <w:t>Informations</w:t>
      </w:r>
      <w:r w:rsidR="004C775C">
        <w:t xml:space="preserve"> </w:t>
      </w:r>
      <w:r w:rsidR="00192EB8" w:rsidRPr="008B0D9B">
        <w:t>sur</w:t>
      </w:r>
      <w:r w:rsidR="004C775C">
        <w:t xml:space="preserve"> </w:t>
      </w:r>
      <w:r w:rsidR="00192EB8" w:rsidRPr="008B0D9B">
        <w:t>les</w:t>
      </w:r>
      <w:r w:rsidR="004C775C">
        <w:t xml:space="preserve"> </w:t>
      </w:r>
      <w:r w:rsidR="00192EB8" w:rsidRPr="008B0D9B">
        <w:t>difficultés</w:t>
      </w:r>
      <w:r w:rsidR="004C775C">
        <w:t xml:space="preserve"> </w:t>
      </w:r>
      <w:r w:rsidR="00192EB8" w:rsidRPr="008B0D9B">
        <w:t>d’application</w:t>
      </w:r>
      <w:r w:rsidR="004C775C">
        <w:t xml:space="preserve"> </w:t>
      </w:r>
      <w:r w:rsidR="00192EB8" w:rsidRPr="008B0D9B">
        <w:t>d’une</w:t>
      </w:r>
      <w:r w:rsidR="004C775C">
        <w:t xml:space="preserve"> </w:t>
      </w:r>
      <w:r w:rsidR="00192EB8" w:rsidRPr="008B0D9B">
        <w:t>norme</w:t>
      </w:r>
      <w:r w:rsidR="004C775C">
        <w:t xml:space="preserve"> </w:t>
      </w:r>
      <w:r w:rsidR="00192EB8" w:rsidRPr="008B0D9B">
        <w:t>citée</w:t>
      </w:r>
      <w:r w:rsidR="004C775C">
        <w:t xml:space="preserve"> </w:t>
      </w:r>
      <w:r w:rsidR="00192EB8">
        <w:br/>
      </w:r>
      <w:r w:rsidR="00192EB8" w:rsidRPr="008B0D9B">
        <w:t>a</w:t>
      </w:r>
      <w:r w:rsidR="00192EB8">
        <w:t>u</w:t>
      </w:r>
      <w:r w:rsidR="004C775C">
        <w:t xml:space="preserve"> </w:t>
      </w:r>
      <w:r w:rsidR="00192EB8" w:rsidRPr="008B0D9B">
        <w:t>chapitre</w:t>
      </w:r>
      <w:r w:rsidR="004C775C">
        <w:t xml:space="preserve"> </w:t>
      </w:r>
      <w:r w:rsidR="00192EB8" w:rsidRPr="008B0D9B">
        <w:t>6.2</w:t>
      </w:r>
      <w:r w:rsidRPr="008B0D9B">
        <w:tab/>
      </w:r>
      <w:r w:rsidRPr="008B0D9B">
        <w:tab/>
        <w:t>22</w:t>
      </w:r>
      <w:r w:rsidRPr="008B0D9B">
        <w:tab/>
      </w:r>
      <w:r w:rsidR="00300C28">
        <w:t>7</w:t>
      </w:r>
    </w:p>
    <w:p w14:paraId="1AF2D5D3" w14:textId="27EC42BA" w:rsidR="008B0D9B" w:rsidRPr="008B0D9B" w:rsidRDefault="008B0D9B" w:rsidP="008B0D9B">
      <w:pPr>
        <w:tabs>
          <w:tab w:val="right" w:leader="dot" w:pos="7654"/>
          <w:tab w:val="right" w:pos="8929"/>
          <w:tab w:val="right" w:pos="9638"/>
        </w:tabs>
        <w:spacing w:after="120"/>
        <w:ind w:left="1559" w:hanging="425"/>
      </w:pPr>
      <w:r w:rsidRPr="008B0D9B">
        <w:t>C.</w:t>
      </w:r>
      <w:r w:rsidRPr="008B0D9B">
        <w:tab/>
      </w:r>
      <w:r w:rsidR="00192EB8" w:rsidRPr="008B0D9B">
        <w:t>Mentions</w:t>
      </w:r>
      <w:r w:rsidR="004C775C">
        <w:t xml:space="preserve"> </w:t>
      </w:r>
      <w:r w:rsidR="00192EB8" w:rsidRPr="008B0D9B">
        <w:t>entre</w:t>
      </w:r>
      <w:r w:rsidR="004C775C">
        <w:t xml:space="preserve"> </w:t>
      </w:r>
      <w:r w:rsidR="00192EB8" w:rsidRPr="008B0D9B">
        <w:t>crochets</w:t>
      </w:r>
      <w:r w:rsidR="004C775C">
        <w:t xml:space="preserve"> </w:t>
      </w:r>
      <w:r w:rsidR="00192EB8" w:rsidRPr="008B0D9B">
        <w:t>dans</w:t>
      </w:r>
      <w:r w:rsidR="004C775C">
        <w:t xml:space="preserve"> </w:t>
      </w:r>
      <w:r w:rsidR="00192EB8" w:rsidRPr="008B0D9B">
        <w:t>les</w:t>
      </w:r>
      <w:r w:rsidR="004C775C">
        <w:t xml:space="preserve"> </w:t>
      </w:r>
      <w:r w:rsidR="00192EB8" w:rsidRPr="008B0D9B">
        <w:t>propositions</w:t>
      </w:r>
      <w:r w:rsidR="004C775C">
        <w:t xml:space="preserve"> </w:t>
      </w:r>
      <w:r w:rsidR="00192EB8" w:rsidRPr="008B0D9B">
        <w:t>d’amendements</w:t>
      </w:r>
      <w:r w:rsidR="004C775C">
        <w:t xml:space="preserve"> </w:t>
      </w:r>
      <w:r w:rsidR="00192EB8" w:rsidRPr="008B0D9B">
        <w:t>au</w:t>
      </w:r>
      <w:r w:rsidR="004C775C">
        <w:t xml:space="preserve"> </w:t>
      </w:r>
      <w:r w:rsidR="00192EB8" w:rsidRPr="008B0D9B">
        <w:t>6.2.4.1</w:t>
      </w:r>
      <w:r w:rsidRPr="008B0D9B">
        <w:tab/>
      </w:r>
      <w:r w:rsidRPr="008B0D9B">
        <w:tab/>
        <w:t>23</w:t>
      </w:r>
      <w:r w:rsidRPr="008B0D9B">
        <w:tab/>
      </w:r>
      <w:r w:rsidR="00300C28">
        <w:t>8</w:t>
      </w:r>
    </w:p>
    <w:p w14:paraId="481D91E0" w14:textId="6B54897C" w:rsidR="008B0D9B" w:rsidRPr="008B0D9B" w:rsidRDefault="008B0D9B" w:rsidP="00192EB8">
      <w:pPr>
        <w:keepNext/>
        <w:tabs>
          <w:tab w:val="right" w:pos="850"/>
          <w:tab w:val="right" w:leader="dot" w:pos="7654"/>
          <w:tab w:val="right" w:pos="8929"/>
          <w:tab w:val="right" w:pos="9638"/>
        </w:tabs>
        <w:spacing w:after="120"/>
        <w:ind w:left="1134" w:hanging="1134"/>
      </w:pPr>
      <w:r w:rsidRPr="008B0D9B">
        <w:tab/>
        <w:t>VI.</w:t>
      </w:r>
      <w:r w:rsidRPr="008B0D9B">
        <w:tab/>
      </w:r>
      <w:r w:rsidR="00192EB8" w:rsidRPr="008B0D9B">
        <w:t>Harmonisation</w:t>
      </w:r>
      <w:r w:rsidR="004C775C">
        <w:t xml:space="preserve"> </w:t>
      </w:r>
      <w:r w:rsidR="00192EB8" w:rsidRPr="008B0D9B">
        <w:t>avec</w:t>
      </w:r>
      <w:r w:rsidR="004C775C">
        <w:t xml:space="preserve"> </w:t>
      </w:r>
      <w:r w:rsidR="00192EB8" w:rsidRPr="008B0D9B">
        <w:t>les</w:t>
      </w:r>
      <w:r w:rsidR="004C775C">
        <w:t xml:space="preserve"> </w:t>
      </w:r>
      <w:r w:rsidR="00192EB8" w:rsidRPr="008B0D9B">
        <w:t>Recommandations</w:t>
      </w:r>
      <w:r w:rsidR="004C775C">
        <w:t xml:space="preserve"> </w:t>
      </w:r>
      <w:r w:rsidR="00192EB8" w:rsidRPr="008B0D9B">
        <w:t>relatives</w:t>
      </w:r>
      <w:r w:rsidR="004C775C">
        <w:t xml:space="preserve"> </w:t>
      </w:r>
      <w:r w:rsidR="00192EB8" w:rsidRPr="008B0D9B">
        <w:t>au</w:t>
      </w:r>
      <w:r w:rsidR="004C775C">
        <w:t xml:space="preserve"> </w:t>
      </w:r>
      <w:r w:rsidR="00192EB8" w:rsidRPr="008B0D9B">
        <w:t>transport</w:t>
      </w:r>
      <w:r w:rsidR="004C775C">
        <w:t xml:space="preserve"> </w:t>
      </w:r>
      <w:r w:rsidR="00192EB8">
        <w:br/>
      </w:r>
      <w:r w:rsidR="00192EB8" w:rsidRPr="008B0D9B">
        <w:t>des</w:t>
      </w:r>
      <w:r w:rsidR="004C775C">
        <w:t xml:space="preserve"> </w:t>
      </w:r>
      <w:r w:rsidR="00192EB8" w:rsidRPr="008B0D9B">
        <w:t>marchandises</w:t>
      </w:r>
      <w:r w:rsidR="004C775C">
        <w:t xml:space="preserve"> </w:t>
      </w:r>
      <w:r w:rsidR="00192EB8" w:rsidRPr="008B0D9B">
        <w:t>dangereuses</w:t>
      </w:r>
      <w:r w:rsidR="004C775C">
        <w:t xml:space="preserve"> </w:t>
      </w:r>
      <w:r w:rsidR="00192EB8" w:rsidRPr="008B0D9B">
        <w:t>(Nations</w:t>
      </w:r>
      <w:r w:rsidR="004C775C">
        <w:t xml:space="preserve"> </w:t>
      </w:r>
      <w:r w:rsidR="00192EB8" w:rsidRPr="008B0D9B">
        <w:t>Unies)</w:t>
      </w:r>
      <w:r w:rsidR="004C775C">
        <w:t xml:space="preserve"> </w:t>
      </w:r>
      <w:r w:rsidR="00192EB8" w:rsidRPr="008B0D9B">
        <w:t>(point</w:t>
      </w:r>
      <w:r w:rsidR="004C775C">
        <w:t xml:space="preserve"> </w:t>
      </w:r>
      <w:r w:rsidR="00192EB8" w:rsidRPr="008B0D9B">
        <w:t>4</w:t>
      </w:r>
      <w:r w:rsidR="004C775C">
        <w:t xml:space="preserve"> </w:t>
      </w:r>
      <w:r w:rsidR="00192EB8" w:rsidRPr="008B0D9B">
        <w:t>de</w:t>
      </w:r>
      <w:r w:rsidR="004C775C">
        <w:t xml:space="preserve"> </w:t>
      </w:r>
      <w:r w:rsidR="00192EB8" w:rsidRPr="008B0D9B">
        <w:t>l’ordre</w:t>
      </w:r>
      <w:r w:rsidR="004C775C">
        <w:t xml:space="preserve"> </w:t>
      </w:r>
      <w:r w:rsidR="00192EB8" w:rsidRPr="008B0D9B">
        <w:t>du</w:t>
      </w:r>
      <w:r w:rsidR="004C775C">
        <w:t xml:space="preserve"> </w:t>
      </w:r>
      <w:r w:rsidR="00192EB8" w:rsidRPr="008B0D9B">
        <w:t>jour)</w:t>
      </w:r>
      <w:r w:rsidRPr="008B0D9B">
        <w:tab/>
      </w:r>
      <w:r w:rsidRPr="008B0D9B">
        <w:tab/>
        <w:t>24−30</w:t>
      </w:r>
      <w:r w:rsidRPr="008B0D9B">
        <w:tab/>
      </w:r>
      <w:r w:rsidR="00300C28">
        <w:t>8</w:t>
      </w:r>
    </w:p>
    <w:p w14:paraId="7101C855" w14:textId="6C6A8FBC" w:rsidR="008B0D9B" w:rsidRPr="008B0D9B" w:rsidRDefault="008B0D9B" w:rsidP="008B0D9B">
      <w:pPr>
        <w:tabs>
          <w:tab w:val="right" w:leader="dot" w:pos="7654"/>
          <w:tab w:val="right" w:pos="8929"/>
          <w:tab w:val="right" w:pos="9638"/>
        </w:tabs>
        <w:spacing w:after="120"/>
        <w:ind w:left="1559" w:hanging="425"/>
      </w:pPr>
      <w:r w:rsidRPr="008B0D9B">
        <w:t>A.</w:t>
      </w:r>
      <w:r w:rsidRPr="008B0D9B">
        <w:tab/>
      </w:r>
      <w:r w:rsidR="00192EB8" w:rsidRPr="008B0D9B">
        <w:t>Rapport</w:t>
      </w:r>
      <w:r w:rsidR="004C775C">
        <w:t xml:space="preserve"> </w:t>
      </w:r>
      <w:r w:rsidR="00192EB8" w:rsidRPr="008B0D9B">
        <w:t>du</w:t>
      </w:r>
      <w:r w:rsidR="004C775C">
        <w:t xml:space="preserve"> </w:t>
      </w:r>
      <w:r w:rsidR="00192EB8" w:rsidRPr="008B0D9B">
        <w:t>Groupe</w:t>
      </w:r>
      <w:r w:rsidR="004C775C">
        <w:t xml:space="preserve"> </w:t>
      </w:r>
      <w:r w:rsidR="00192EB8" w:rsidRPr="008B0D9B">
        <w:t>de</w:t>
      </w:r>
      <w:r w:rsidR="004C775C">
        <w:t xml:space="preserve"> </w:t>
      </w:r>
      <w:r w:rsidR="00192EB8" w:rsidRPr="008B0D9B">
        <w:t>travail</w:t>
      </w:r>
      <w:r w:rsidR="004C775C">
        <w:t xml:space="preserve"> </w:t>
      </w:r>
      <w:r w:rsidR="00192EB8" w:rsidRPr="008B0D9B">
        <w:t>spécial</w:t>
      </w:r>
      <w:r w:rsidR="004C775C">
        <w:t xml:space="preserve"> </w:t>
      </w:r>
      <w:r w:rsidR="00192EB8" w:rsidRPr="008B0D9B">
        <w:t>de</w:t>
      </w:r>
      <w:r w:rsidR="004C775C">
        <w:t xml:space="preserve"> </w:t>
      </w:r>
      <w:r w:rsidR="00192EB8" w:rsidRPr="008B0D9B">
        <w:t>l’harmonisation</w:t>
      </w:r>
      <w:r w:rsidR="004C775C">
        <w:t xml:space="preserve"> </w:t>
      </w:r>
      <w:r w:rsidR="00192EB8" w:rsidRPr="008B0D9B">
        <w:t>des</w:t>
      </w:r>
      <w:r w:rsidR="004C775C">
        <w:t xml:space="preserve"> </w:t>
      </w:r>
      <w:r w:rsidR="00192EB8" w:rsidRPr="008B0D9B">
        <w:t>Règlements</w:t>
      </w:r>
      <w:r w:rsidR="004C775C">
        <w:t xml:space="preserve"> </w:t>
      </w:r>
      <w:r w:rsidR="00192EB8">
        <w:br/>
      </w:r>
      <w:r w:rsidR="00192EB8" w:rsidRPr="008B0D9B">
        <w:t>RID,</w:t>
      </w:r>
      <w:r w:rsidR="004C775C">
        <w:t xml:space="preserve"> </w:t>
      </w:r>
      <w:r w:rsidR="00192EB8" w:rsidRPr="008B0D9B">
        <w:t>ADR</w:t>
      </w:r>
      <w:r w:rsidR="004C775C">
        <w:t xml:space="preserve"> </w:t>
      </w:r>
      <w:r w:rsidR="00192EB8" w:rsidRPr="008B0D9B">
        <w:t>et</w:t>
      </w:r>
      <w:r w:rsidR="004C775C">
        <w:t xml:space="preserve"> </w:t>
      </w:r>
      <w:r w:rsidR="00192EB8" w:rsidRPr="008B0D9B">
        <w:t>ADN</w:t>
      </w:r>
      <w:r w:rsidR="004C775C">
        <w:t xml:space="preserve"> </w:t>
      </w:r>
      <w:r w:rsidR="00192EB8" w:rsidRPr="008B0D9B">
        <w:t>avec</w:t>
      </w:r>
      <w:r w:rsidR="004C775C">
        <w:t xml:space="preserve"> </w:t>
      </w:r>
      <w:r w:rsidR="00192EB8" w:rsidRPr="008B0D9B">
        <w:t>les</w:t>
      </w:r>
      <w:r w:rsidR="004C775C">
        <w:t xml:space="preserve"> </w:t>
      </w:r>
      <w:r w:rsidR="00192EB8" w:rsidRPr="008B0D9B">
        <w:t>Recommandations</w:t>
      </w:r>
      <w:r w:rsidR="004C775C">
        <w:t xml:space="preserve"> </w:t>
      </w:r>
      <w:r w:rsidR="00192EB8" w:rsidRPr="008B0D9B">
        <w:t>de</w:t>
      </w:r>
      <w:r w:rsidR="004C775C">
        <w:t xml:space="preserve"> </w:t>
      </w:r>
      <w:r w:rsidR="00192EB8" w:rsidRPr="008B0D9B">
        <w:t>l’ONU</w:t>
      </w:r>
      <w:r w:rsidR="004C775C">
        <w:t xml:space="preserve"> </w:t>
      </w:r>
      <w:r w:rsidR="00192EB8" w:rsidRPr="008B0D9B">
        <w:t>relatives</w:t>
      </w:r>
      <w:r w:rsidR="004C775C">
        <w:t xml:space="preserve"> </w:t>
      </w:r>
      <w:r w:rsidR="00192EB8">
        <w:br/>
      </w:r>
      <w:r w:rsidR="00192EB8" w:rsidRPr="008B0D9B">
        <w:t>au</w:t>
      </w:r>
      <w:r w:rsidR="004C775C">
        <w:t xml:space="preserve"> </w:t>
      </w:r>
      <w:r w:rsidR="00192EB8" w:rsidRPr="008B0D9B">
        <w:t>transport</w:t>
      </w:r>
      <w:r w:rsidR="004C775C">
        <w:t xml:space="preserve"> </w:t>
      </w:r>
      <w:r w:rsidR="00192EB8" w:rsidRPr="008B0D9B">
        <w:t>des</w:t>
      </w:r>
      <w:r w:rsidR="004C775C">
        <w:t xml:space="preserve"> </w:t>
      </w:r>
      <w:r w:rsidR="00192EB8" w:rsidRPr="008B0D9B">
        <w:t>marchandises</w:t>
      </w:r>
      <w:r w:rsidR="004C775C">
        <w:t xml:space="preserve"> </w:t>
      </w:r>
      <w:r w:rsidR="00192EB8" w:rsidRPr="008B0D9B">
        <w:t>dangereuses</w:t>
      </w:r>
      <w:r w:rsidRPr="008B0D9B">
        <w:tab/>
      </w:r>
      <w:r w:rsidRPr="008B0D9B">
        <w:tab/>
        <w:t>24</w:t>
      </w:r>
      <w:r w:rsidRPr="008B0D9B">
        <w:tab/>
      </w:r>
      <w:r w:rsidR="00300C28">
        <w:t>8</w:t>
      </w:r>
    </w:p>
    <w:p w14:paraId="6C6F460F" w14:textId="29A33311" w:rsidR="008B0D9B" w:rsidRPr="008B0D9B" w:rsidRDefault="008B0D9B" w:rsidP="008B0D9B">
      <w:pPr>
        <w:tabs>
          <w:tab w:val="right" w:leader="dot" w:pos="7654"/>
          <w:tab w:val="right" w:pos="8929"/>
          <w:tab w:val="right" w:pos="9638"/>
        </w:tabs>
        <w:spacing w:after="120"/>
        <w:ind w:left="1559" w:hanging="425"/>
      </w:pPr>
      <w:r w:rsidRPr="008B0D9B">
        <w:lastRenderedPageBreak/>
        <w:t>B.</w:t>
      </w:r>
      <w:r w:rsidRPr="008B0D9B">
        <w:tab/>
      </w:r>
      <w:r w:rsidR="00192EB8" w:rsidRPr="008B0D9B">
        <w:t>Description</w:t>
      </w:r>
      <w:r w:rsidR="004C775C">
        <w:t xml:space="preserve"> </w:t>
      </w:r>
      <w:r w:rsidR="00192EB8" w:rsidRPr="008B0D9B">
        <w:t>du</w:t>
      </w:r>
      <w:r w:rsidR="004C775C">
        <w:t xml:space="preserve"> </w:t>
      </w:r>
      <w:r w:rsidR="00192EB8" w:rsidRPr="008B0D9B">
        <w:t>danger</w:t>
      </w:r>
      <w:r w:rsidR="004C775C">
        <w:t xml:space="preserve"> </w:t>
      </w:r>
      <w:r w:rsidR="00192EB8" w:rsidRPr="008B0D9B">
        <w:t>de</w:t>
      </w:r>
      <w:r w:rsidR="004C775C">
        <w:t xml:space="preserve"> </w:t>
      </w:r>
      <w:r w:rsidR="00192EB8" w:rsidRPr="008B0D9B">
        <w:t>classe</w:t>
      </w:r>
      <w:r w:rsidR="004C775C">
        <w:t xml:space="preserve"> </w:t>
      </w:r>
      <w:r w:rsidR="00192EB8" w:rsidRPr="008B0D9B">
        <w:t>9</w:t>
      </w:r>
      <w:r w:rsidRPr="008B0D9B">
        <w:tab/>
      </w:r>
      <w:r w:rsidRPr="008B0D9B">
        <w:tab/>
        <w:t>25</w:t>
      </w:r>
      <w:r w:rsidRPr="008B0D9B">
        <w:tab/>
      </w:r>
      <w:r w:rsidR="00300C28">
        <w:t>9</w:t>
      </w:r>
    </w:p>
    <w:p w14:paraId="03DF9DEC" w14:textId="46333A7F" w:rsidR="008B0D9B" w:rsidRPr="008B0D9B" w:rsidRDefault="008B0D9B" w:rsidP="008B0D9B">
      <w:pPr>
        <w:tabs>
          <w:tab w:val="right" w:leader="dot" w:pos="7654"/>
          <w:tab w:val="right" w:pos="8929"/>
          <w:tab w:val="right" w:pos="9638"/>
        </w:tabs>
        <w:spacing w:after="120"/>
        <w:ind w:left="1559" w:hanging="425"/>
      </w:pPr>
      <w:r w:rsidRPr="008B0D9B">
        <w:t>C.</w:t>
      </w:r>
      <w:r w:rsidRPr="008B0D9B">
        <w:tab/>
      </w:r>
      <w:r w:rsidR="00192EB8" w:rsidRPr="008B0D9B">
        <w:t>Proposition</w:t>
      </w:r>
      <w:r w:rsidR="004C775C">
        <w:t xml:space="preserve"> </w:t>
      </w:r>
      <w:r w:rsidR="00192EB8" w:rsidRPr="008B0D9B">
        <w:t>supplémentaire</w:t>
      </w:r>
      <w:r w:rsidR="004C775C">
        <w:t xml:space="preserve"> </w:t>
      </w:r>
      <w:r w:rsidR="00192EB8" w:rsidRPr="008B0D9B">
        <w:t>concernant</w:t>
      </w:r>
      <w:r w:rsidR="004C775C">
        <w:t xml:space="preserve"> </w:t>
      </w:r>
      <w:r w:rsidR="00192EB8" w:rsidRPr="008B0D9B">
        <w:t>l’harmonisation</w:t>
      </w:r>
      <w:r w:rsidR="004C775C">
        <w:t xml:space="preserve"> </w:t>
      </w:r>
      <w:r w:rsidR="00192EB8" w:rsidRPr="008B0D9B">
        <w:t>avec</w:t>
      </w:r>
      <w:r w:rsidR="004C775C">
        <w:t xml:space="preserve"> </w:t>
      </w:r>
      <w:r w:rsidR="00192EB8">
        <w:br/>
      </w:r>
      <w:r w:rsidR="00192EB8" w:rsidRPr="008B0D9B">
        <w:t>les</w:t>
      </w:r>
      <w:r w:rsidR="004C775C">
        <w:t xml:space="preserve"> </w:t>
      </w:r>
      <w:r w:rsidR="00192EB8" w:rsidRPr="008B0D9B">
        <w:t>Recommandations</w:t>
      </w:r>
      <w:r w:rsidR="004C775C">
        <w:t xml:space="preserve"> </w:t>
      </w:r>
      <w:r w:rsidR="00192EB8" w:rsidRPr="008B0D9B">
        <w:t>relatives</w:t>
      </w:r>
      <w:r w:rsidR="004C775C">
        <w:t xml:space="preserve"> </w:t>
      </w:r>
      <w:r w:rsidR="00192EB8" w:rsidRPr="008B0D9B">
        <w:t>au</w:t>
      </w:r>
      <w:r w:rsidR="004C775C">
        <w:t xml:space="preserve"> </w:t>
      </w:r>
      <w:r w:rsidR="00192EB8" w:rsidRPr="008B0D9B">
        <w:t>transport</w:t>
      </w:r>
      <w:r w:rsidR="004C775C">
        <w:t xml:space="preserve"> </w:t>
      </w:r>
      <w:r w:rsidR="00192EB8" w:rsidRPr="008B0D9B">
        <w:t>des</w:t>
      </w:r>
      <w:r w:rsidR="004C775C">
        <w:t xml:space="preserve"> </w:t>
      </w:r>
      <w:r w:rsidR="00192EB8" w:rsidRPr="008B0D9B">
        <w:t>marchandises</w:t>
      </w:r>
      <w:r w:rsidR="004C775C">
        <w:t xml:space="preserve"> </w:t>
      </w:r>
      <w:r w:rsidR="00192EB8" w:rsidRPr="008B0D9B">
        <w:t>dangereuses</w:t>
      </w:r>
      <w:r w:rsidRPr="008B0D9B">
        <w:tab/>
      </w:r>
      <w:r w:rsidRPr="008B0D9B">
        <w:tab/>
        <w:t>26</w:t>
      </w:r>
      <w:r w:rsidRPr="008B0D9B">
        <w:tab/>
      </w:r>
      <w:r w:rsidR="00300C28">
        <w:t>9</w:t>
      </w:r>
    </w:p>
    <w:p w14:paraId="34BA0C93" w14:textId="28E671E9" w:rsidR="008B0D9B" w:rsidRPr="008B0D9B" w:rsidRDefault="008B0D9B" w:rsidP="008B0D9B">
      <w:pPr>
        <w:tabs>
          <w:tab w:val="right" w:leader="dot" w:pos="7654"/>
          <w:tab w:val="right" w:pos="8929"/>
          <w:tab w:val="right" w:pos="9638"/>
        </w:tabs>
        <w:spacing w:after="120"/>
        <w:ind w:left="1559" w:hanging="425"/>
      </w:pPr>
      <w:r w:rsidRPr="008B0D9B">
        <w:t>D.</w:t>
      </w:r>
      <w:r w:rsidRPr="008B0D9B">
        <w:tab/>
      </w:r>
      <w:r w:rsidR="00192EB8" w:rsidRPr="008B0D9B">
        <w:t>Modifications</w:t>
      </w:r>
      <w:r w:rsidR="004C775C">
        <w:t xml:space="preserve"> </w:t>
      </w:r>
      <w:r w:rsidR="00192EB8" w:rsidRPr="008B0D9B">
        <w:t>à</w:t>
      </w:r>
      <w:r w:rsidR="004C775C">
        <w:t xml:space="preserve"> </w:t>
      </w:r>
      <w:r w:rsidR="00192EB8" w:rsidRPr="008B0D9B">
        <w:t>apporter</w:t>
      </w:r>
      <w:r w:rsidR="004C775C">
        <w:t xml:space="preserve"> </w:t>
      </w:r>
      <w:r w:rsidR="00192EB8" w:rsidRPr="008B0D9B">
        <w:t>à</w:t>
      </w:r>
      <w:r w:rsidR="004C775C">
        <w:t xml:space="preserve"> </w:t>
      </w:r>
      <w:r w:rsidR="00192EB8" w:rsidRPr="008B0D9B">
        <w:t>l’annexe</w:t>
      </w:r>
      <w:r w:rsidR="004C775C">
        <w:t xml:space="preserve"> </w:t>
      </w:r>
      <w:r w:rsidR="00192EB8" w:rsidRPr="008B0D9B">
        <w:t>II</w:t>
      </w:r>
      <w:r w:rsidR="004C775C">
        <w:t xml:space="preserve"> </w:t>
      </w:r>
      <w:r w:rsidR="00192EB8" w:rsidRPr="008B0D9B">
        <w:t>du</w:t>
      </w:r>
      <w:r w:rsidR="004C775C">
        <w:t xml:space="preserve"> </w:t>
      </w:r>
      <w:r w:rsidR="00192EB8" w:rsidRPr="008B0D9B">
        <w:t>rapport</w:t>
      </w:r>
      <w:r w:rsidR="004C775C">
        <w:t xml:space="preserve"> </w:t>
      </w:r>
      <w:r w:rsidR="00192EB8">
        <w:br/>
      </w:r>
      <w:r w:rsidR="00192EB8" w:rsidRPr="008B0D9B">
        <w:t>ECE/TRANS/WP.15/AC.1/160</w:t>
      </w:r>
      <w:r w:rsidRPr="008B0D9B">
        <w:tab/>
      </w:r>
      <w:r w:rsidRPr="008B0D9B">
        <w:tab/>
        <w:t>27</w:t>
      </w:r>
      <w:r w:rsidRPr="008B0D9B">
        <w:tab/>
      </w:r>
      <w:r w:rsidR="00300C28">
        <w:t>9</w:t>
      </w:r>
    </w:p>
    <w:p w14:paraId="608132D3" w14:textId="49385D1F" w:rsidR="008B0D9B" w:rsidRPr="008B0D9B" w:rsidRDefault="008B0D9B" w:rsidP="008B0D9B">
      <w:pPr>
        <w:tabs>
          <w:tab w:val="right" w:leader="dot" w:pos="7654"/>
          <w:tab w:val="right" w:pos="8929"/>
          <w:tab w:val="right" w:pos="9638"/>
        </w:tabs>
        <w:spacing w:after="120"/>
        <w:ind w:left="1559" w:hanging="425"/>
      </w:pPr>
      <w:r w:rsidRPr="008B0D9B">
        <w:t>E.</w:t>
      </w:r>
      <w:r w:rsidRPr="008B0D9B">
        <w:tab/>
      </w:r>
      <w:r w:rsidR="00192EB8" w:rsidRPr="008B0D9B">
        <w:t>Mesures</w:t>
      </w:r>
      <w:r w:rsidR="004C775C">
        <w:t xml:space="preserve"> </w:t>
      </w:r>
      <w:r w:rsidR="00192EB8" w:rsidRPr="008B0D9B">
        <w:t>transitoires</w:t>
      </w:r>
      <w:r w:rsidR="004C775C">
        <w:t xml:space="preserve"> </w:t>
      </w:r>
      <w:r w:rsidR="00192EB8" w:rsidRPr="008B0D9B">
        <w:t>requises</w:t>
      </w:r>
      <w:r w:rsidRPr="008B0D9B">
        <w:tab/>
      </w:r>
      <w:r w:rsidRPr="008B0D9B">
        <w:tab/>
        <w:t>28−30</w:t>
      </w:r>
      <w:r w:rsidRPr="008B0D9B">
        <w:tab/>
      </w:r>
      <w:r w:rsidR="00300C28">
        <w:t>9</w:t>
      </w:r>
    </w:p>
    <w:p w14:paraId="317213B8" w14:textId="095402D5" w:rsidR="008B0D9B" w:rsidRPr="008B0D9B" w:rsidRDefault="008B0D9B" w:rsidP="008B0D9B">
      <w:pPr>
        <w:tabs>
          <w:tab w:val="right" w:pos="850"/>
          <w:tab w:val="right" w:leader="dot" w:pos="7654"/>
          <w:tab w:val="right" w:pos="8929"/>
          <w:tab w:val="right" w:pos="9638"/>
        </w:tabs>
        <w:spacing w:after="120"/>
        <w:ind w:left="1134" w:hanging="1134"/>
      </w:pPr>
      <w:r w:rsidRPr="008B0D9B">
        <w:tab/>
        <w:t>VII.</w:t>
      </w:r>
      <w:r w:rsidRPr="008B0D9B">
        <w:tab/>
      </w:r>
      <w:r w:rsidR="00192EB8" w:rsidRPr="008B0D9B">
        <w:t>Propositions</w:t>
      </w:r>
      <w:r w:rsidR="004C775C">
        <w:t xml:space="preserve"> </w:t>
      </w:r>
      <w:r w:rsidR="00192EB8" w:rsidRPr="008B0D9B">
        <w:t>d’amendements</w:t>
      </w:r>
      <w:r w:rsidR="004C775C">
        <w:t xml:space="preserve"> </w:t>
      </w:r>
      <w:r w:rsidR="00192EB8" w:rsidRPr="008B0D9B">
        <w:t>au</w:t>
      </w:r>
      <w:r w:rsidR="004C775C">
        <w:t xml:space="preserve"> </w:t>
      </w:r>
      <w:r w:rsidR="00192EB8" w:rsidRPr="008B0D9B">
        <w:t>RID,</w:t>
      </w:r>
      <w:r w:rsidR="004C775C">
        <w:t xml:space="preserve"> </w:t>
      </w:r>
      <w:r w:rsidR="00192EB8" w:rsidRPr="008B0D9B">
        <w:t>à</w:t>
      </w:r>
      <w:r w:rsidR="004C775C">
        <w:t xml:space="preserve"> </w:t>
      </w:r>
      <w:r w:rsidR="00192EB8" w:rsidRPr="008B0D9B">
        <w:t>l’ADR</w:t>
      </w:r>
      <w:r w:rsidR="004C775C">
        <w:t xml:space="preserve"> </w:t>
      </w:r>
      <w:r w:rsidR="00192EB8" w:rsidRPr="008B0D9B">
        <w:t>et</w:t>
      </w:r>
      <w:r w:rsidR="004C775C">
        <w:t xml:space="preserve"> </w:t>
      </w:r>
      <w:r w:rsidR="00192EB8" w:rsidRPr="008B0D9B">
        <w:t>à</w:t>
      </w:r>
      <w:r w:rsidR="004C775C">
        <w:t xml:space="preserve"> </w:t>
      </w:r>
      <w:r w:rsidR="00192EB8" w:rsidRPr="008B0D9B">
        <w:t>l’ADN</w:t>
      </w:r>
      <w:r w:rsidR="004C775C">
        <w:t xml:space="preserve"> </w:t>
      </w:r>
      <w:r w:rsidR="00192EB8">
        <w:br/>
      </w:r>
      <w:r w:rsidR="00192EB8" w:rsidRPr="008B0D9B">
        <w:t>(point</w:t>
      </w:r>
      <w:r w:rsidR="004C775C">
        <w:t xml:space="preserve"> </w:t>
      </w:r>
      <w:r w:rsidR="00192EB8" w:rsidRPr="008B0D9B">
        <w:t>5</w:t>
      </w:r>
      <w:r w:rsidR="004C775C">
        <w:t xml:space="preserve"> </w:t>
      </w:r>
      <w:r w:rsidR="00192EB8" w:rsidRPr="008B0D9B">
        <w:t>de</w:t>
      </w:r>
      <w:r w:rsidR="004C775C">
        <w:t xml:space="preserve"> </w:t>
      </w:r>
      <w:r w:rsidR="00192EB8" w:rsidRPr="008B0D9B">
        <w:t>l’ordre</w:t>
      </w:r>
      <w:r w:rsidR="004C775C">
        <w:t xml:space="preserve"> </w:t>
      </w:r>
      <w:r w:rsidR="00192EB8" w:rsidRPr="008B0D9B">
        <w:t>du</w:t>
      </w:r>
      <w:r w:rsidR="004C775C">
        <w:t xml:space="preserve"> </w:t>
      </w:r>
      <w:r w:rsidR="00192EB8" w:rsidRPr="008B0D9B">
        <w:t>jour)</w:t>
      </w:r>
      <w:r w:rsidRPr="008B0D9B">
        <w:tab/>
      </w:r>
      <w:r w:rsidRPr="008B0D9B">
        <w:tab/>
        <w:t>31−46</w:t>
      </w:r>
      <w:r w:rsidRPr="008B0D9B">
        <w:tab/>
      </w:r>
      <w:r w:rsidR="00300C28">
        <w:t>10</w:t>
      </w:r>
    </w:p>
    <w:p w14:paraId="5787B72C" w14:textId="394D618A" w:rsidR="008B0D9B" w:rsidRPr="008B0D9B" w:rsidRDefault="008B0D9B" w:rsidP="008B0D9B">
      <w:pPr>
        <w:tabs>
          <w:tab w:val="right" w:leader="dot" w:pos="7654"/>
          <w:tab w:val="right" w:pos="8929"/>
          <w:tab w:val="right" w:pos="9638"/>
        </w:tabs>
        <w:spacing w:after="120"/>
        <w:ind w:left="1559" w:hanging="425"/>
      </w:pPr>
      <w:r w:rsidRPr="008B0D9B">
        <w:t>A.</w:t>
      </w:r>
      <w:r w:rsidRPr="008B0D9B">
        <w:tab/>
      </w:r>
      <w:r w:rsidR="00192EB8" w:rsidRPr="008B0D9B">
        <w:t>Questions</w:t>
      </w:r>
      <w:r w:rsidR="004C775C">
        <w:t xml:space="preserve"> </w:t>
      </w:r>
      <w:r w:rsidR="00192EB8" w:rsidRPr="008B0D9B">
        <w:t>en</w:t>
      </w:r>
      <w:r w:rsidR="004C775C">
        <w:t xml:space="preserve"> </w:t>
      </w:r>
      <w:r w:rsidR="00192EB8" w:rsidRPr="008B0D9B">
        <w:t>suspens</w:t>
      </w:r>
      <w:r w:rsidRPr="008B0D9B">
        <w:tab/>
      </w:r>
      <w:r w:rsidRPr="008B0D9B">
        <w:tab/>
        <w:t>31−33</w:t>
      </w:r>
      <w:r w:rsidRPr="008B0D9B">
        <w:tab/>
      </w:r>
      <w:r w:rsidR="00300C28">
        <w:t>10</w:t>
      </w:r>
    </w:p>
    <w:p w14:paraId="44413A4E" w14:textId="0B5F5D51" w:rsidR="008B0D9B" w:rsidRPr="008B0D9B" w:rsidRDefault="008B0D9B" w:rsidP="008B0D9B">
      <w:pPr>
        <w:tabs>
          <w:tab w:val="right" w:leader="dot" w:pos="7654"/>
          <w:tab w:val="right" w:pos="8929"/>
          <w:tab w:val="right" w:pos="9638"/>
        </w:tabs>
        <w:spacing w:after="120"/>
        <w:ind w:left="1984" w:hanging="425"/>
      </w:pPr>
      <w:r w:rsidRPr="008B0D9B">
        <w:t>1.</w:t>
      </w:r>
      <w:r w:rsidRPr="008B0D9B">
        <w:tab/>
      </w:r>
      <w:r w:rsidR="00192EB8" w:rsidRPr="008B0D9B">
        <w:t>Récipients</w:t>
      </w:r>
      <w:r w:rsidR="004C775C">
        <w:t xml:space="preserve"> </w:t>
      </w:r>
      <w:r w:rsidR="00192EB8" w:rsidRPr="008B0D9B">
        <w:t>à</w:t>
      </w:r>
      <w:r w:rsidR="004C775C">
        <w:t xml:space="preserve"> </w:t>
      </w:r>
      <w:r w:rsidR="00192EB8" w:rsidRPr="008B0D9B">
        <w:t>pression</w:t>
      </w:r>
      <w:r w:rsidR="004C775C">
        <w:t xml:space="preserve"> </w:t>
      </w:r>
      <w:r w:rsidR="00192EB8" w:rsidRPr="008B0D9B">
        <w:t>autorisés</w:t>
      </w:r>
      <w:r w:rsidR="004C775C">
        <w:t xml:space="preserve"> </w:t>
      </w:r>
      <w:r w:rsidR="00192EB8" w:rsidRPr="008B0D9B">
        <w:t>par</w:t>
      </w:r>
      <w:r w:rsidR="004C775C">
        <w:t xml:space="preserve"> </w:t>
      </w:r>
      <w:r w:rsidR="00192EB8" w:rsidRPr="008B0D9B">
        <w:t>le</w:t>
      </w:r>
      <w:r w:rsidR="004C775C">
        <w:t xml:space="preserve"> </w:t>
      </w:r>
      <w:r w:rsidR="00192EB8" w:rsidRPr="008B0D9B">
        <w:t>Département</w:t>
      </w:r>
      <w:r w:rsidR="004C775C">
        <w:t xml:space="preserve"> </w:t>
      </w:r>
      <w:r w:rsidR="00192EB8" w:rsidRPr="008B0D9B">
        <w:t>des</w:t>
      </w:r>
      <w:r w:rsidR="004C775C">
        <w:t xml:space="preserve"> </w:t>
      </w:r>
      <w:r w:rsidR="00192EB8" w:rsidRPr="008B0D9B">
        <w:t>transports</w:t>
      </w:r>
      <w:r w:rsidR="004C775C">
        <w:t xml:space="preserve"> </w:t>
      </w:r>
      <w:r w:rsidR="00192EB8">
        <w:br/>
      </w:r>
      <w:r w:rsidR="00192EB8" w:rsidRPr="008B0D9B">
        <w:t>des</w:t>
      </w:r>
      <w:r w:rsidR="004C775C">
        <w:t xml:space="preserve"> </w:t>
      </w:r>
      <w:r w:rsidR="00192EB8" w:rsidRPr="008B0D9B">
        <w:t>États-Unis</w:t>
      </w:r>
      <w:r w:rsidR="004C775C">
        <w:t xml:space="preserve"> </w:t>
      </w:r>
      <w:r w:rsidR="00192EB8" w:rsidRPr="008B0D9B">
        <w:t>d’Amérique</w:t>
      </w:r>
      <w:r w:rsidRPr="008B0D9B">
        <w:tab/>
      </w:r>
      <w:r w:rsidRPr="008B0D9B">
        <w:tab/>
        <w:t>31</w:t>
      </w:r>
      <w:r w:rsidRPr="008B0D9B">
        <w:tab/>
      </w:r>
      <w:r w:rsidR="00300C28">
        <w:t>10</w:t>
      </w:r>
    </w:p>
    <w:p w14:paraId="15669CC7" w14:textId="16783BC1" w:rsidR="008B0D9B" w:rsidRPr="008B0D9B" w:rsidRDefault="008B0D9B" w:rsidP="008B0D9B">
      <w:pPr>
        <w:tabs>
          <w:tab w:val="right" w:leader="dot" w:pos="7654"/>
          <w:tab w:val="right" w:pos="8929"/>
          <w:tab w:val="right" w:pos="9638"/>
        </w:tabs>
        <w:spacing w:after="120"/>
        <w:ind w:left="1984" w:hanging="425"/>
      </w:pPr>
      <w:r w:rsidRPr="008B0D9B">
        <w:t>2.</w:t>
      </w:r>
      <w:r w:rsidRPr="008B0D9B">
        <w:tab/>
      </w:r>
      <w:r w:rsidR="00192EB8" w:rsidRPr="008B0D9B">
        <w:t>Informations</w:t>
      </w:r>
      <w:r w:rsidR="004C775C">
        <w:t xml:space="preserve"> </w:t>
      </w:r>
      <w:r w:rsidR="00192EB8" w:rsidRPr="008B0D9B">
        <w:t>actualisées</w:t>
      </w:r>
      <w:r w:rsidR="004C775C">
        <w:t xml:space="preserve"> </w:t>
      </w:r>
      <w:r w:rsidR="00192EB8" w:rsidRPr="008B0D9B">
        <w:t>sur</w:t>
      </w:r>
      <w:r w:rsidR="004C775C">
        <w:t xml:space="preserve"> </w:t>
      </w:r>
      <w:r w:rsidR="00192EB8" w:rsidRPr="008B0D9B">
        <w:t>l’instruction</w:t>
      </w:r>
      <w:r w:rsidR="004C775C">
        <w:t xml:space="preserve"> </w:t>
      </w:r>
      <w:r w:rsidR="00192EB8" w:rsidRPr="008B0D9B">
        <w:t>d’emballage</w:t>
      </w:r>
      <w:r w:rsidR="004C775C">
        <w:t xml:space="preserve"> </w:t>
      </w:r>
      <w:r w:rsidR="00192EB8" w:rsidRPr="008B0D9B">
        <w:t>P200</w:t>
      </w:r>
      <w:r w:rsidR="004C775C">
        <w:t xml:space="preserve"> </w:t>
      </w:r>
      <w:r w:rsidR="00192EB8">
        <w:br/>
      </w:r>
      <w:r w:rsidR="00192EB8" w:rsidRPr="008B0D9B">
        <w:t>et</w:t>
      </w:r>
      <w:r w:rsidR="004C775C">
        <w:t xml:space="preserve"> </w:t>
      </w:r>
      <w:r w:rsidR="00192EB8" w:rsidRPr="008B0D9B">
        <w:t>la</w:t>
      </w:r>
      <w:r w:rsidR="004C775C">
        <w:t xml:space="preserve"> </w:t>
      </w:r>
      <w:r w:rsidR="00192EB8" w:rsidRPr="008B0D9B">
        <w:t>norme</w:t>
      </w:r>
      <w:r w:rsidR="004C775C">
        <w:t xml:space="preserve"> </w:t>
      </w:r>
      <w:r w:rsidR="00192EB8" w:rsidRPr="008B0D9B">
        <w:t>ISO</w:t>
      </w:r>
      <w:r w:rsidR="004C775C">
        <w:t xml:space="preserve"> </w:t>
      </w:r>
      <w:r w:rsidR="00192EB8" w:rsidRPr="008B0D9B">
        <w:t>18119</w:t>
      </w:r>
      <w:r w:rsidRPr="008B0D9B">
        <w:tab/>
      </w:r>
      <w:r w:rsidRPr="008B0D9B">
        <w:tab/>
        <w:t>32</w:t>
      </w:r>
      <w:r w:rsidRPr="008B0D9B">
        <w:tab/>
      </w:r>
      <w:r w:rsidR="00300C28">
        <w:t>10</w:t>
      </w:r>
    </w:p>
    <w:p w14:paraId="1C993AFD" w14:textId="06C598F2" w:rsidR="008B0D9B" w:rsidRPr="008B0D9B" w:rsidRDefault="008B0D9B" w:rsidP="008B0D9B">
      <w:pPr>
        <w:tabs>
          <w:tab w:val="right" w:leader="dot" w:pos="7654"/>
          <w:tab w:val="right" w:pos="8929"/>
          <w:tab w:val="right" w:pos="9638"/>
        </w:tabs>
        <w:spacing w:after="120"/>
        <w:ind w:left="1984" w:hanging="425"/>
      </w:pPr>
      <w:r w:rsidRPr="008B0D9B">
        <w:t>3.</w:t>
      </w:r>
      <w:r w:rsidRPr="008B0D9B">
        <w:tab/>
      </w:r>
      <w:r w:rsidR="00192EB8" w:rsidRPr="008B0D9B">
        <w:t>Signalisation</w:t>
      </w:r>
      <w:r w:rsidR="004C775C">
        <w:t xml:space="preserve"> </w:t>
      </w:r>
      <w:r w:rsidR="00192EB8" w:rsidRPr="008B0D9B">
        <w:t>orange</w:t>
      </w:r>
      <w:r w:rsidR="004C775C">
        <w:t xml:space="preserve"> </w:t>
      </w:r>
      <w:r w:rsidR="00192EB8" w:rsidRPr="008B0D9B">
        <w:t>des</w:t>
      </w:r>
      <w:r w:rsidR="004C775C">
        <w:t xml:space="preserve"> </w:t>
      </w:r>
      <w:r w:rsidR="00192EB8" w:rsidRPr="008B0D9B">
        <w:t>wagons</w:t>
      </w:r>
      <w:r w:rsidR="004C775C">
        <w:t xml:space="preserve"> </w:t>
      </w:r>
      <w:r w:rsidR="00192EB8" w:rsidRPr="008B0D9B">
        <w:t>et</w:t>
      </w:r>
      <w:r w:rsidR="004C775C">
        <w:t xml:space="preserve"> </w:t>
      </w:r>
      <w:r w:rsidR="00192EB8" w:rsidRPr="008B0D9B">
        <w:t>véhicules</w:t>
      </w:r>
      <w:r w:rsidR="004C775C">
        <w:t xml:space="preserve"> </w:t>
      </w:r>
      <w:r w:rsidR="00192EB8" w:rsidRPr="008B0D9B">
        <w:t>transportant</w:t>
      </w:r>
      <w:r w:rsidR="004C775C">
        <w:t xml:space="preserve"> </w:t>
      </w:r>
      <w:r w:rsidR="00192EB8">
        <w:br/>
      </w:r>
      <w:r w:rsidR="00192EB8" w:rsidRPr="008B0D9B">
        <w:t>des</w:t>
      </w:r>
      <w:r w:rsidR="004C775C">
        <w:t xml:space="preserve"> </w:t>
      </w:r>
      <w:r w:rsidR="00192EB8" w:rsidRPr="008B0D9B">
        <w:t>citernes</w:t>
      </w:r>
      <w:r w:rsidR="004C775C">
        <w:t xml:space="preserve"> </w:t>
      </w:r>
      <w:r w:rsidR="00192EB8" w:rsidRPr="008B0D9B">
        <w:t>ou</w:t>
      </w:r>
      <w:r w:rsidR="004C775C">
        <w:t xml:space="preserve"> </w:t>
      </w:r>
      <w:r w:rsidR="00192EB8" w:rsidRPr="008B0D9B">
        <w:t>des</w:t>
      </w:r>
      <w:r w:rsidR="004C775C">
        <w:t xml:space="preserve"> </w:t>
      </w:r>
      <w:r w:rsidR="00192EB8" w:rsidRPr="008B0D9B">
        <w:t>conteneurs</w:t>
      </w:r>
      <w:r w:rsidR="004C775C">
        <w:t xml:space="preserve"> </w:t>
      </w:r>
      <w:r w:rsidR="00192EB8" w:rsidRPr="008B0D9B">
        <w:t>de</w:t>
      </w:r>
      <w:r w:rsidR="004C775C">
        <w:t xml:space="preserve"> </w:t>
      </w:r>
      <w:r w:rsidR="00192EB8" w:rsidRPr="008B0D9B">
        <w:t>faible</w:t>
      </w:r>
      <w:r w:rsidR="004C775C">
        <w:t xml:space="preserve"> </w:t>
      </w:r>
      <w:r w:rsidR="00192EB8" w:rsidRPr="008B0D9B">
        <w:t>capacité</w:t>
      </w:r>
      <w:r w:rsidRPr="008B0D9B">
        <w:tab/>
      </w:r>
      <w:r w:rsidRPr="008B0D9B">
        <w:tab/>
        <w:t>33</w:t>
      </w:r>
      <w:r w:rsidRPr="008B0D9B">
        <w:tab/>
      </w:r>
      <w:r w:rsidR="00300C28">
        <w:t>10</w:t>
      </w:r>
    </w:p>
    <w:p w14:paraId="0C8AE9C1" w14:textId="5AA1245C" w:rsidR="008B0D9B" w:rsidRPr="008B0D9B" w:rsidRDefault="008B0D9B" w:rsidP="008B0D9B">
      <w:pPr>
        <w:tabs>
          <w:tab w:val="right" w:leader="dot" w:pos="7654"/>
          <w:tab w:val="right" w:pos="8929"/>
          <w:tab w:val="right" w:pos="9638"/>
        </w:tabs>
        <w:spacing w:after="120"/>
        <w:ind w:left="1559" w:hanging="425"/>
      </w:pPr>
      <w:r w:rsidRPr="008B0D9B">
        <w:t>B.</w:t>
      </w:r>
      <w:r w:rsidRPr="008B0D9B">
        <w:tab/>
      </w:r>
      <w:r w:rsidR="00192EB8" w:rsidRPr="008B0D9B">
        <w:t>Nouvelles</w:t>
      </w:r>
      <w:r w:rsidR="004C775C">
        <w:t xml:space="preserve"> </w:t>
      </w:r>
      <w:r w:rsidR="00192EB8" w:rsidRPr="008B0D9B">
        <w:t>propositions</w:t>
      </w:r>
      <w:r w:rsidRPr="008B0D9B">
        <w:tab/>
      </w:r>
      <w:r w:rsidRPr="008B0D9B">
        <w:tab/>
        <w:t>34−46</w:t>
      </w:r>
      <w:r w:rsidRPr="008B0D9B">
        <w:tab/>
      </w:r>
      <w:r w:rsidR="00300C28">
        <w:t>10</w:t>
      </w:r>
    </w:p>
    <w:p w14:paraId="3D78B455" w14:textId="296406AE" w:rsidR="008B0D9B" w:rsidRPr="008B0D9B" w:rsidRDefault="008B0D9B" w:rsidP="008B0D9B">
      <w:pPr>
        <w:tabs>
          <w:tab w:val="right" w:leader="dot" w:pos="7654"/>
          <w:tab w:val="right" w:pos="8929"/>
          <w:tab w:val="right" w:pos="9638"/>
        </w:tabs>
        <w:spacing w:after="120"/>
        <w:ind w:left="1984" w:hanging="425"/>
      </w:pPr>
      <w:r w:rsidRPr="008B0D9B">
        <w:t>1.</w:t>
      </w:r>
      <w:r w:rsidRPr="008B0D9B">
        <w:tab/>
      </w:r>
      <w:r w:rsidR="00192EB8" w:rsidRPr="008B0D9B">
        <w:t>Activités</w:t>
      </w:r>
      <w:r w:rsidR="004C775C">
        <w:t xml:space="preserve"> </w:t>
      </w:r>
      <w:r w:rsidR="00192EB8" w:rsidRPr="008B0D9B">
        <w:t>des</w:t>
      </w:r>
      <w:r w:rsidR="004C775C">
        <w:t xml:space="preserve"> </w:t>
      </w:r>
      <w:r w:rsidR="00192EB8" w:rsidRPr="008B0D9B">
        <w:t>services</w:t>
      </w:r>
      <w:r w:rsidR="004C775C">
        <w:t xml:space="preserve"> </w:t>
      </w:r>
      <w:r w:rsidR="00192EB8" w:rsidRPr="008B0D9B">
        <w:t>internes</w:t>
      </w:r>
      <w:r w:rsidR="004C775C">
        <w:t xml:space="preserve"> </w:t>
      </w:r>
      <w:r w:rsidR="00192EB8" w:rsidRPr="008B0D9B">
        <w:t>d’inspection</w:t>
      </w:r>
      <w:r w:rsidR="004C775C">
        <w:t xml:space="preserve"> </w:t>
      </w:r>
      <w:r w:rsidR="00192EB8" w:rsidRPr="008B0D9B">
        <w:t>au</w:t>
      </w:r>
      <w:r w:rsidR="004C775C">
        <w:t xml:space="preserve"> </w:t>
      </w:r>
      <w:r w:rsidR="00192EB8" w:rsidRPr="008B0D9B">
        <w:t>titre</w:t>
      </w:r>
      <w:r w:rsidR="004C775C">
        <w:t xml:space="preserve"> </w:t>
      </w:r>
      <w:r w:rsidR="00192EB8">
        <w:br/>
      </w:r>
      <w:r w:rsidR="00192EB8" w:rsidRPr="008B0D9B">
        <w:t>des</w:t>
      </w:r>
      <w:r w:rsidR="004C775C">
        <w:t xml:space="preserve"> </w:t>
      </w:r>
      <w:r w:rsidR="00192EB8" w:rsidRPr="008B0D9B">
        <w:t>paragraphes</w:t>
      </w:r>
      <w:r w:rsidR="004C775C">
        <w:t xml:space="preserve"> </w:t>
      </w:r>
      <w:r w:rsidR="00192EB8" w:rsidRPr="008B0D9B">
        <w:t>6.2.2.11</w:t>
      </w:r>
      <w:r w:rsidR="004C775C">
        <w:t xml:space="preserve"> </w:t>
      </w:r>
      <w:r w:rsidR="00192EB8" w:rsidRPr="008B0D9B">
        <w:t>et</w:t>
      </w:r>
      <w:r w:rsidR="004C775C">
        <w:t xml:space="preserve"> </w:t>
      </w:r>
      <w:r w:rsidR="00192EB8" w:rsidRPr="008B0D9B">
        <w:t>6.2.3.6.1</w:t>
      </w:r>
      <w:r w:rsidR="004C775C">
        <w:t xml:space="preserve"> </w:t>
      </w:r>
      <w:r w:rsidR="00192EB8" w:rsidRPr="008B0D9B">
        <w:t>du</w:t>
      </w:r>
      <w:r w:rsidR="004C775C">
        <w:t xml:space="preserve"> </w:t>
      </w:r>
      <w:r w:rsidR="00192EB8" w:rsidRPr="008B0D9B">
        <w:t>RID</w:t>
      </w:r>
      <w:r w:rsidR="004C775C">
        <w:t xml:space="preserve"> </w:t>
      </w:r>
      <w:r w:rsidR="00192EB8" w:rsidRPr="008B0D9B">
        <w:t>et</w:t>
      </w:r>
      <w:r w:rsidR="004C775C">
        <w:t xml:space="preserve"> </w:t>
      </w:r>
      <w:r w:rsidR="00192EB8" w:rsidRPr="008B0D9B">
        <w:t>de</w:t>
      </w:r>
      <w:r w:rsidR="004C775C">
        <w:t xml:space="preserve"> </w:t>
      </w:r>
      <w:r w:rsidR="00192EB8" w:rsidRPr="008B0D9B">
        <w:t>l’ADR</w:t>
      </w:r>
      <w:r w:rsidRPr="008B0D9B">
        <w:tab/>
      </w:r>
      <w:r w:rsidRPr="008B0D9B">
        <w:tab/>
        <w:t>34−35</w:t>
      </w:r>
      <w:r w:rsidRPr="008B0D9B">
        <w:tab/>
      </w:r>
      <w:r w:rsidR="00300C28">
        <w:t>10</w:t>
      </w:r>
    </w:p>
    <w:p w14:paraId="5AAAF21A" w14:textId="6B5FC0A2" w:rsidR="008B0D9B" w:rsidRPr="008B0D9B" w:rsidRDefault="008B0D9B" w:rsidP="008B0D9B">
      <w:pPr>
        <w:tabs>
          <w:tab w:val="right" w:leader="dot" w:pos="7654"/>
          <w:tab w:val="right" w:pos="8929"/>
          <w:tab w:val="right" w:pos="9638"/>
        </w:tabs>
        <w:spacing w:after="120"/>
        <w:ind w:left="1984" w:hanging="425"/>
      </w:pPr>
      <w:r w:rsidRPr="008B0D9B">
        <w:t>2.</w:t>
      </w:r>
      <w:r w:rsidRPr="008B0D9B">
        <w:tab/>
      </w:r>
      <w:r w:rsidR="00192EB8" w:rsidRPr="008B0D9B">
        <w:t>Transport</w:t>
      </w:r>
      <w:r w:rsidR="004C775C">
        <w:t xml:space="preserve"> </w:t>
      </w:r>
      <w:r w:rsidR="00192EB8" w:rsidRPr="008B0D9B">
        <w:t>des</w:t>
      </w:r>
      <w:r w:rsidR="004C775C">
        <w:t xml:space="preserve"> </w:t>
      </w:r>
      <w:r w:rsidR="00192EB8" w:rsidRPr="008B0D9B">
        <w:t>dispositifs</w:t>
      </w:r>
      <w:r w:rsidR="004C775C">
        <w:t xml:space="preserve"> </w:t>
      </w:r>
      <w:r w:rsidR="00192EB8" w:rsidRPr="008B0D9B">
        <w:t>de</w:t>
      </w:r>
      <w:r w:rsidR="004C775C">
        <w:t xml:space="preserve"> </w:t>
      </w:r>
      <w:r w:rsidR="00192EB8" w:rsidRPr="008B0D9B">
        <w:t>stockage</w:t>
      </w:r>
      <w:r w:rsidR="004C775C">
        <w:t xml:space="preserve"> </w:t>
      </w:r>
      <w:r w:rsidR="00192EB8" w:rsidRPr="008B0D9B">
        <w:t>et</w:t>
      </w:r>
      <w:r w:rsidR="004C775C">
        <w:t xml:space="preserve"> </w:t>
      </w:r>
      <w:r w:rsidR="00192EB8" w:rsidRPr="008B0D9B">
        <w:t>de</w:t>
      </w:r>
      <w:r w:rsidR="004C775C">
        <w:t xml:space="preserve"> </w:t>
      </w:r>
      <w:r w:rsidR="00192EB8" w:rsidRPr="008B0D9B">
        <w:t>production</w:t>
      </w:r>
      <w:r w:rsidR="004C775C">
        <w:t xml:space="preserve"> </w:t>
      </w:r>
      <w:r w:rsidR="00192EB8" w:rsidRPr="008B0D9B">
        <w:t>d’énergie</w:t>
      </w:r>
      <w:r w:rsidR="004C775C">
        <w:t xml:space="preserve"> </w:t>
      </w:r>
      <w:r w:rsidR="00192EB8">
        <w:br/>
      </w:r>
      <w:r w:rsidR="00192EB8" w:rsidRPr="008B0D9B">
        <w:t>électrique</w:t>
      </w:r>
      <w:r w:rsidR="004C775C">
        <w:t xml:space="preserve"> </w:t>
      </w:r>
      <w:r w:rsidR="00192EB8" w:rsidRPr="008B0D9B">
        <w:t>contenant</w:t>
      </w:r>
      <w:r w:rsidR="004C775C">
        <w:t xml:space="preserve"> </w:t>
      </w:r>
      <w:r w:rsidR="00192EB8" w:rsidRPr="008B0D9B">
        <w:t>des</w:t>
      </w:r>
      <w:r w:rsidR="004C775C">
        <w:t xml:space="preserve"> </w:t>
      </w:r>
      <w:r w:rsidR="00192EB8" w:rsidRPr="008B0D9B">
        <w:t>batteries</w:t>
      </w:r>
      <w:r w:rsidR="004C775C">
        <w:t xml:space="preserve"> </w:t>
      </w:r>
      <w:r w:rsidR="00192EB8" w:rsidRPr="008B0D9B">
        <w:t>au</w:t>
      </w:r>
      <w:r w:rsidR="004C775C">
        <w:t xml:space="preserve"> </w:t>
      </w:r>
      <w:r w:rsidR="00192EB8" w:rsidRPr="008B0D9B">
        <w:t>lithium</w:t>
      </w:r>
      <w:r w:rsidR="004C775C">
        <w:t xml:space="preserve"> </w:t>
      </w:r>
      <w:r w:rsidR="00192EB8" w:rsidRPr="008B0D9B">
        <w:t>ionique</w:t>
      </w:r>
      <w:r w:rsidRPr="008B0D9B">
        <w:tab/>
      </w:r>
      <w:r w:rsidRPr="008B0D9B">
        <w:tab/>
        <w:t>36−37</w:t>
      </w:r>
      <w:r w:rsidRPr="008B0D9B">
        <w:tab/>
      </w:r>
      <w:r w:rsidR="00300C28">
        <w:t>11</w:t>
      </w:r>
    </w:p>
    <w:p w14:paraId="6B16A563" w14:textId="13981041" w:rsidR="008B0D9B" w:rsidRPr="008B0D9B" w:rsidRDefault="008B0D9B" w:rsidP="008B0D9B">
      <w:pPr>
        <w:tabs>
          <w:tab w:val="right" w:leader="dot" w:pos="7654"/>
          <w:tab w:val="right" w:pos="8929"/>
          <w:tab w:val="right" w:pos="9638"/>
        </w:tabs>
        <w:spacing w:after="120"/>
        <w:ind w:left="1984" w:hanging="425"/>
      </w:pPr>
      <w:r w:rsidRPr="008B0D9B">
        <w:t>3.</w:t>
      </w:r>
      <w:r w:rsidRPr="008B0D9B">
        <w:tab/>
      </w:r>
      <w:r w:rsidR="00192EB8" w:rsidRPr="008B0D9B">
        <w:t>EMBALLAGES</w:t>
      </w:r>
      <w:r w:rsidR="004C775C">
        <w:t xml:space="preserve"> </w:t>
      </w:r>
      <w:r w:rsidR="00192EB8" w:rsidRPr="008B0D9B">
        <w:t>AU</w:t>
      </w:r>
      <w:r w:rsidR="004C775C">
        <w:t xml:space="preserve"> </w:t>
      </w:r>
      <w:r w:rsidR="00192EB8" w:rsidRPr="008B0D9B">
        <w:t>REBUT,</w:t>
      </w:r>
      <w:r w:rsidR="004C775C">
        <w:t xml:space="preserve"> </w:t>
      </w:r>
      <w:r w:rsidR="00192EB8" w:rsidRPr="008B0D9B">
        <w:t>VIDES,</w:t>
      </w:r>
      <w:r w:rsidR="004C775C">
        <w:t xml:space="preserve"> </w:t>
      </w:r>
      <w:r w:rsidR="00192EB8" w:rsidRPr="008B0D9B">
        <w:t>NON</w:t>
      </w:r>
      <w:r w:rsidR="004C775C">
        <w:t xml:space="preserve"> </w:t>
      </w:r>
      <w:r w:rsidR="00192EB8" w:rsidRPr="008B0D9B">
        <w:t>NETTOYÉS</w:t>
      </w:r>
      <w:r w:rsidR="004C775C">
        <w:t xml:space="preserve"> </w:t>
      </w:r>
      <w:r w:rsidR="00192EB8">
        <w:br/>
      </w:r>
      <w:r w:rsidR="00192EB8" w:rsidRPr="008B0D9B">
        <w:t>(No</w:t>
      </w:r>
      <w:r w:rsidR="004C775C">
        <w:t xml:space="preserve"> </w:t>
      </w:r>
      <w:r w:rsidR="00192EB8" w:rsidRPr="008B0D9B">
        <w:t>ONU</w:t>
      </w:r>
      <w:r w:rsidR="004C775C">
        <w:t xml:space="preserve"> </w:t>
      </w:r>
      <w:r w:rsidR="00192EB8" w:rsidRPr="008B0D9B">
        <w:t>3509)</w:t>
      </w:r>
      <w:r w:rsidRPr="008B0D9B">
        <w:tab/>
      </w:r>
      <w:r w:rsidRPr="008B0D9B">
        <w:tab/>
        <w:t>38</w:t>
      </w:r>
      <w:r w:rsidRPr="008B0D9B">
        <w:tab/>
      </w:r>
      <w:r w:rsidR="00300C28">
        <w:t>11</w:t>
      </w:r>
    </w:p>
    <w:p w14:paraId="5ED3ADEA" w14:textId="54F9DC67" w:rsidR="008B0D9B" w:rsidRPr="008B0D9B" w:rsidRDefault="008B0D9B" w:rsidP="008B0D9B">
      <w:pPr>
        <w:tabs>
          <w:tab w:val="right" w:leader="dot" w:pos="7654"/>
          <w:tab w:val="right" w:pos="8929"/>
          <w:tab w:val="right" w:pos="9638"/>
        </w:tabs>
        <w:spacing w:after="120"/>
        <w:ind w:left="1984" w:hanging="425"/>
      </w:pPr>
      <w:r w:rsidRPr="008B0D9B">
        <w:t>4.</w:t>
      </w:r>
      <w:r w:rsidRPr="008B0D9B">
        <w:tab/>
      </w:r>
      <w:r w:rsidR="00192EB8" w:rsidRPr="008B0D9B">
        <w:t>Proposition</w:t>
      </w:r>
      <w:r w:rsidR="004C775C">
        <w:t xml:space="preserve"> </w:t>
      </w:r>
      <w:r w:rsidR="00192EB8" w:rsidRPr="008B0D9B">
        <w:t>d’amendement</w:t>
      </w:r>
      <w:r w:rsidR="004C775C">
        <w:t xml:space="preserve"> </w:t>
      </w:r>
      <w:r w:rsidR="00192EB8" w:rsidRPr="008B0D9B">
        <w:t>au</w:t>
      </w:r>
      <w:r w:rsidR="004C775C">
        <w:t xml:space="preserve"> </w:t>
      </w:r>
      <w:r w:rsidR="00192EB8" w:rsidRPr="008B0D9B">
        <w:t>1</w:t>
      </w:r>
      <w:r w:rsidR="004C775C">
        <w:t xml:space="preserve"> </w:t>
      </w:r>
      <w:r w:rsidR="00192EB8" w:rsidRPr="008B0D9B">
        <w:t>1.3.2</w:t>
      </w:r>
      <w:r w:rsidR="004C775C">
        <w:t xml:space="preserve"> </w:t>
      </w:r>
      <w:r w:rsidR="00192EB8" w:rsidRPr="008B0D9B">
        <w:t>e)</w:t>
      </w:r>
      <w:r w:rsidR="004C775C">
        <w:t xml:space="preserve"> </w:t>
      </w:r>
      <w:r w:rsidR="00192EB8" w:rsidRPr="008B0D9B">
        <w:t>de</w:t>
      </w:r>
      <w:r w:rsidR="004C775C">
        <w:t xml:space="preserve"> </w:t>
      </w:r>
      <w:r w:rsidR="00192EB8" w:rsidRPr="008B0D9B">
        <w:t>l’ADR</w:t>
      </w:r>
      <w:r w:rsidR="004C775C">
        <w:t xml:space="preserve"> </w:t>
      </w:r>
      <w:r w:rsidR="00192EB8" w:rsidRPr="008B0D9B">
        <w:t>et</w:t>
      </w:r>
      <w:r w:rsidR="004C775C">
        <w:t xml:space="preserve"> </w:t>
      </w:r>
      <w:r w:rsidR="00192EB8" w:rsidRPr="008B0D9B">
        <w:t>du</w:t>
      </w:r>
      <w:r w:rsidR="004C775C">
        <w:t xml:space="preserve"> </w:t>
      </w:r>
      <w:r w:rsidR="00192EB8" w:rsidRPr="008B0D9B">
        <w:t>RID</w:t>
      </w:r>
      <w:r w:rsidRPr="008B0D9B">
        <w:tab/>
      </w:r>
      <w:r w:rsidRPr="008B0D9B">
        <w:tab/>
        <w:t>39−40</w:t>
      </w:r>
      <w:r w:rsidRPr="008B0D9B">
        <w:tab/>
      </w:r>
      <w:r w:rsidR="00300C28">
        <w:t>11</w:t>
      </w:r>
    </w:p>
    <w:p w14:paraId="79C3DA06" w14:textId="610DA51D" w:rsidR="008B0D9B" w:rsidRPr="008B0D9B" w:rsidRDefault="008B0D9B" w:rsidP="008B0D9B">
      <w:pPr>
        <w:tabs>
          <w:tab w:val="right" w:leader="dot" w:pos="7654"/>
          <w:tab w:val="right" w:pos="8929"/>
          <w:tab w:val="right" w:pos="9638"/>
        </w:tabs>
        <w:spacing w:after="120"/>
        <w:ind w:left="1984" w:hanging="425"/>
      </w:pPr>
      <w:r w:rsidRPr="008B0D9B">
        <w:t>5.</w:t>
      </w:r>
      <w:r w:rsidRPr="008B0D9B">
        <w:tab/>
      </w:r>
      <w:r w:rsidR="00192EB8" w:rsidRPr="008B0D9B">
        <w:t>Amendements</w:t>
      </w:r>
      <w:r w:rsidR="004C775C">
        <w:t xml:space="preserve"> </w:t>
      </w:r>
      <w:r w:rsidR="00192EB8" w:rsidRPr="008B0D9B">
        <w:t>aux</w:t>
      </w:r>
      <w:r w:rsidR="004C775C">
        <w:t xml:space="preserve"> </w:t>
      </w:r>
      <w:r w:rsidR="00192EB8" w:rsidRPr="008B0D9B">
        <w:t>mesures</w:t>
      </w:r>
      <w:r w:rsidR="004C775C">
        <w:t xml:space="preserve"> </w:t>
      </w:r>
      <w:r w:rsidR="00192EB8" w:rsidRPr="008B0D9B">
        <w:t>transitoires</w:t>
      </w:r>
      <w:r w:rsidRPr="008B0D9B">
        <w:tab/>
      </w:r>
      <w:r w:rsidRPr="008B0D9B">
        <w:tab/>
        <w:t>41</w:t>
      </w:r>
      <w:r w:rsidRPr="008B0D9B">
        <w:tab/>
      </w:r>
      <w:r w:rsidR="00300C28">
        <w:t>12</w:t>
      </w:r>
    </w:p>
    <w:p w14:paraId="69900739" w14:textId="58012B88" w:rsidR="008B0D9B" w:rsidRPr="008B0D9B" w:rsidRDefault="008B0D9B" w:rsidP="008B0D9B">
      <w:pPr>
        <w:tabs>
          <w:tab w:val="right" w:leader="dot" w:pos="7654"/>
          <w:tab w:val="right" w:pos="8929"/>
          <w:tab w:val="right" w:pos="9638"/>
        </w:tabs>
        <w:spacing w:after="120"/>
        <w:ind w:left="1984" w:hanging="425"/>
      </w:pPr>
      <w:r w:rsidRPr="008B0D9B">
        <w:t>6.</w:t>
      </w:r>
      <w:r w:rsidRPr="008B0D9B">
        <w:tab/>
      </w:r>
      <w:r w:rsidR="00192EB8" w:rsidRPr="008B0D9B">
        <w:t>Ajout</w:t>
      </w:r>
      <w:r w:rsidR="004C775C">
        <w:t xml:space="preserve"> </w:t>
      </w:r>
      <w:r w:rsidR="00192EB8" w:rsidRPr="008B0D9B">
        <w:t>des</w:t>
      </w:r>
      <w:r w:rsidR="004C775C">
        <w:t xml:space="preserve"> </w:t>
      </w:r>
      <w:r w:rsidR="00192EB8" w:rsidRPr="008B0D9B">
        <w:t>Nos</w:t>
      </w:r>
      <w:r w:rsidR="004C775C">
        <w:t xml:space="preserve"> </w:t>
      </w:r>
      <w:r w:rsidR="00192EB8" w:rsidRPr="008B0D9B">
        <w:t>ONU</w:t>
      </w:r>
      <w:r w:rsidR="004C775C">
        <w:t xml:space="preserve"> </w:t>
      </w:r>
      <w:r w:rsidR="00192EB8" w:rsidRPr="008B0D9B">
        <w:t>1011,</w:t>
      </w:r>
      <w:r w:rsidR="004C775C">
        <w:t xml:space="preserve"> </w:t>
      </w:r>
      <w:r w:rsidR="00192EB8" w:rsidRPr="008B0D9B">
        <w:t>1075,</w:t>
      </w:r>
      <w:r w:rsidR="004C775C">
        <w:t xml:space="preserve"> </w:t>
      </w:r>
      <w:r w:rsidR="00192EB8" w:rsidRPr="008B0D9B">
        <w:t>1969</w:t>
      </w:r>
      <w:r w:rsidR="004C775C">
        <w:t xml:space="preserve"> </w:t>
      </w:r>
      <w:r w:rsidR="00192EB8" w:rsidRPr="008B0D9B">
        <w:t>et</w:t>
      </w:r>
      <w:r w:rsidR="004C775C">
        <w:t xml:space="preserve"> </w:t>
      </w:r>
      <w:r w:rsidR="00192EB8" w:rsidRPr="008B0D9B">
        <w:t>1978</w:t>
      </w:r>
      <w:r w:rsidR="004C775C">
        <w:t xml:space="preserve"> </w:t>
      </w:r>
      <w:r w:rsidR="00192EB8" w:rsidRPr="008B0D9B">
        <w:t>au</w:t>
      </w:r>
      <w:r w:rsidR="004C775C">
        <w:t xml:space="preserve"> </w:t>
      </w:r>
      <w:r w:rsidR="00192EB8" w:rsidRPr="008B0D9B">
        <w:t>6.2.3.9.4</w:t>
      </w:r>
      <w:r w:rsidR="004C775C">
        <w:t xml:space="preserve"> </w:t>
      </w:r>
      <w:r w:rsidR="00192EB8">
        <w:br/>
      </w:r>
      <w:r w:rsidR="00192EB8" w:rsidRPr="008B0D9B">
        <w:t>du</w:t>
      </w:r>
      <w:r w:rsidR="004C775C">
        <w:t xml:space="preserve"> </w:t>
      </w:r>
      <w:r w:rsidR="00192EB8" w:rsidRPr="008B0D9B">
        <w:t>RID</w:t>
      </w:r>
      <w:r w:rsidR="004C775C">
        <w:t xml:space="preserve"> </w:t>
      </w:r>
      <w:r w:rsidR="00192EB8" w:rsidRPr="008B0D9B">
        <w:t>et</w:t>
      </w:r>
      <w:r w:rsidR="004C775C">
        <w:t xml:space="preserve"> </w:t>
      </w:r>
      <w:r w:rsidR="00192EB8" w:rsidRPr="008B0D9B">
        <w:t>de</w:t>
      </w:r>
      <w:r w:rsidR="004C775C">
        <w:t xml:space="preserve"> </w:t>
      </w:r>
      <w:r w:rsidR="00192EB8" w:rsidRPr="008B0D9B">
        <w:t>l’ADR</w:t>
      </w:r>
      <w:r w:rsidRPr="008B0D9B">
        <w:tab/>
      </w:r>
      <w:r w:rsidRPr="008B0D9B">
        <w:tab/>
        <w:t>42</w:t>
      </w:r>
      <w:r w:rsidRPr="008B0D9B">
        <w:tab/>
      </w:r>
      <w:r w:rsidR="00300C28">
        <w:t>12</w:t>
      </w:r>
    </w:p>
    <w:p w14:paraId="5571F70A" w14:textId="0E6C01D3" w:rsidR="008B0D9B" w:rsidRPr="008B0D9B" w:rsidRDefault="008B0D9B" w:rsidP="008B0D9B">
      <w:pPr>
        <w:tabs>
          <w:tab w:val="right" w:leader="dot" w:pos="7654"/>
          <w:tab w:val="right" w:pos="8929"/>
          <w:tab w:val="right" w:pos="9638"/>
        </w:tabs>
        <w:spacing w:after="120"/>
        <w:ind w:left="1984" w:hanging="425"/>
      </w:pPr>
      <w:r w:rsidRPr="008B0D9B">
        <w:t>7.</w:t>
      </w:r>
      <w:r w:rsidRPr="008B0D9B">
        <w:tab/>
      </w:r>
      <w:r w:rsidR="00192EB8" w:rsidRPr="008B0D9B">
        <w:t>Amendement</w:t>
      </w:r>
      <w:r w:rsidR="004C775C">
        <w:t xml:space="preserve"> </w:t>
      </w:r>
      <w:r w:rsidR="00192EB8" w:rsidRPr="008B0D9B">
        <w:t>à</w:t>
      </w:r>
      <w:r w:rsidR="004C775C">
        <w:t xml:space="preserve"> </w:t>
      </w:r>
      <w:r w:rsidR="00192EB8" w:rsidRPr="008B0D9B">
        <w:t>la</w:t>
      </w:r>
      <w:r w:rsidR="004C775C">
        <w:t xml:space="preserve"> </w:t>
      </w:r>
      <w:r w:rsidR="00192EB8" w:rsidRPr="008B0D9B">
        <w:t>disposition</w:t>
      </w:r>
      <w:r w:rsidR="004C775C">
        <w:t xml:space="preserve"> </w:t>
      </w:r>
      <w:r w:rsidR="00192EB8" w:rsidRPr="008B0D9B">
        <w:t>spéciale</w:t>
      </w:r>
      <w:r w:rsidR="004C775C">
        <w:t xml:space="preserve"> </w:t>
      </w:r>
      <w:r w:rsidR="00192EB8" w:rsidRPr="008B0D9B">
        <w:t>668</w:t>
      </w:r>
      <w:r w:rsidRPr="008B0D9B">
        <w:tab/>
      </w:r>
      <w:r w:rsidRPr="008B0D9B">
        <w:tab/>
        <w:t>43</w:t>
      </w:r>
      <w:r w:rsidRPr="008B0D9B">
        <w:tab/>
      </w:r>
      <w:r w:rsidR="00300C28">
        <w:t>12</w:t>
      </w:r>
    </w:p>
    <w:p w14:paraId="101F129A" w14:textId="700A6C21" w:rsidR="008B0D9B" w:rsidRPr="008B0D9B" w:rsidRDefault="008B0D9B" w:rsidP="008B0D9B">
      <w:pPr>
        <w:tabs>
          <w:tab w:val="right" w:leader="dot" w:pos="7654"/>
          <w:tab w:val="right" w:pos="8929"/>
          <w:tab w:val="right" w:pos="9638"/>
        </w:tabs>
        <w:spacing w:after="120"/>
        <w:ind w:left="1984" w:hanging="425"/>
      </w:pPr>
      <w:r w:rsidRPr="008B0D9B">
        <w:t>8.</w:t>
      </w:r>
      <w:r w:rsidRPr="008B0D9B">
        <w:tab/>
      </w:r>
      <w:r w:rsidR="00192EB8" w:rsidRPr="008B0D9B">
        <w:t>Machines</w:t>
      </w:r>
      <w:r w:rsidR="004C775C">
        <w:t xml:space="preserve"> </w:t>
      </w:r>
      <w:r w:rsidR="00192EB8" w:rsidRPr="008B0D9B">
        <w:t>frigorifiques</w:t>
      </w:r>
      <w:r w:rsidR="004C775C">
        <w:t xml:space="preserve"> </w:t>
      </w:r>
      <w:r w:rsidR="00192EB8" w:rsidRPr="008B0D9B">
        <w:t>et</w:t>
      </w:r>
      <w:r w:rsidR="004C775C">
        <w:t xml:space="preserve"> </w:t>
      </w:r>
      <w:r w:rsidR="00192EB8" w:rsidRPr="008B0D9B">
        <w:t>pompes</w:t>
      </w:r>
      <w:r w:rsidR="004C775C">
        <w:t xml:space="preserve"> </w:t>
      </w:r>
      <w:r w:rsidR="00192EB8" w:rsidRPr="008B0D9B">
        <w:t>à</w:t>
      </w:r>
      <w:r w:rsidR="004C775C">
        <w:t xml:space="preserve"> </w:t>
      </w:r>
      <w:r w:rsidR="00192EB8" w:rsidRPr="008B0D9B">
        <w:t>chaleur</w:t>
      </w:r>
      <w:r w:rsidRPr="008B0D9B">
        <w:tab/>
      </w:r>
      <w:r w:rsidRPr="008B0D9B">
        <w:tab/>
        <w:t>44</w:t>
      </w:r>
      <w:r w:rsidRPr="008B0D9B">
        <w:tab/>
      </w:r>
      <w:r w:rsidR="00300C28">
        <w:t>12</w:t>
      </w:r>
    </w:p>
    <w:p w14:paraId="13195ADD" w14:textId="5ED404E3" w:rsidR="008B0D9B" w:rsidRPr="008B0D9B" w:rsidRDefault="008B0D9B" w:rsidP="008B0D9B">
      <w:pPr>
        <w:tabs>
          <w:tab w:val="right" w:leader="dot" w:pos="7654"/>
          <w:tab w:val="right" w:pos="8929"/>
          <w:tab w:val="right" w:pos="9638"/>
        </w:tabs>
        <w:spacing w:after="120"/>
        <w:ind w:left="1984" w:hanging="425"/>
      </w:pPr>
      <w:r w:rsidRPr="008B0D9B">
        <w:t>9.</w:t>
      </w:r>
      <w:r w:rsidRPr="008B0D9B">
        <w:tab/>
      </w:r>
      <w:r w:rsidR="00192EB8" w:rsidRPr="008B0D9B">
        <w:t>Peintures</w:t>
      </w:r>
      <w:r w:rsidR="004C775C">
        <w:t xml:space="preserve"> </w:t>
      </w:r>
      <w:r w:rsidR="00192EB8" w:rsidRPr="008B0D9B">
        <w:t>et</w:t>
      </w:r>
      <w:r w:rsidR="004C775C">
        <w:t xml:space="preserve"> </w:t>
      </w:r>
      <w:r w:rsidR="00192EB8" w:rsidRPr="008B0D9B">
        <w:t>encres</w:t>
      </w:r>
      <w:r w:rsidR="004C775C">
        <w:t xml:space="preserve"> </w:t>
      </w:r>
      <w:r w:rsidR="00192EB8" w:rsidRPr="008B0D9B">
        <w:t>d’imprimerie</w:t>
      </w:r>
      <w:r w:rsidR="004C775C">
        <w:t xml:space="preserve"> </w:t>
      </w:r>
      <w:r w:rsidR="00192EB8" w:rsidRPr="008B0D9B">
        <w:t>classées</w:t>
      </w:r>
      <w:r w:rsidR="004C775C">
        <w:t xml:space="preserve"> </w:t>
      </w:r>
      <w:r w:rsidR="00192EB8" w:rsidRPr="008B0D9B">
        <w:t>comme</w:t>
      </w:r>
      <w:r w:rsidR="004C775C">
        <w:t xml:space="preserve"> </w:t>
      </w:r>
      <w:r w:rsidR="00192EB8" w:rsidRPr="008B0D9B">
        <w:t>des</w:t>
      </w:r>
      <w:r w:rsidR="004C775C">
        <w:t xml:space="preserve"> </w:t>
      </w:r>
      <w:r w:rsidR="00192EB8" w:rsidRPr="008B0D9B">
        <w:t>matières</w:t>
      </w:r>
      <w:r w:rsidR="004C775C">
        <w:t xml:space="preserve"> </w:t>
      </w:r>
      <w:r w:rsidR="00192EB8">
        <w:br/>
      </w:r>
      <w:r w:rsidR="00192EB8" w:rsidRPr="008B0D9B">
        <w:t>dangereuses</w:t>
      </w:r>
      <w:r w:rsidR="004C775C">
        <w:t xml:space="preserve"> </w:t>
      </w:r>
      <w:r w:rsidR="00192EB8" w:rsidRPr="008B0D9B">
        <w:t>pour</w:t>
      </w:r>
      <w:r w:rsidR="004C775C">
        <w:t xml:space="preserve"> </w:t>
      </w:r>
      <w:r w:rsidR="00192EB8" w:rsidRPr="008B0D9B">
        <w:t>l’environnement</w:t>
      </w:r>
      <w:r w:rsidR="004C775C">
        <w:t xml:space="preserve"> </w:t>
      </w:r>
      <w:r w:rsidR="00192EB8" w:rsidRPr="008B0D9B">
        <w:t>sous</w:t>
      </w:r>
      <w:r w:rsidR="004C775C">
        <w:t xml:space="preserve"> </w:t>
      </w:r>
      <w:r w:rsidR="00192EB8" w:rsidRPr="008B0D9B">
        <w:t>le</w:t>
      </w:r>
      <w:r w:rsidR="004C775C">
        <w:t xml:space="preserve"> </w:t>
      </w:r>
      <w:r w:rsidR="00192EB8" w:rsidRPr="008B0D9B">
        <w:t>No</w:t>
      </w:r>
      <w:r w:rsidR="004C775C">
        <w:t xml:space="preserve"> </w:t>
      </w:r>
      <w:r w:rsidR="00192EB8" w:rsidRPr="008B0D9B">
        <w:t>ONU</w:t>
      </w:r>
      <w:r w:rsidR="004C775C">
        <w:t xml:space="preserve"> </w:t>
      </w:r>
      <w:r w:rsidR="00192EB8" w:rsidRPr="008B0D9B">
        <w:t>3082</w:t>
      </w:r>
      <w:r w:rsidR="004C775C">
        <w:t xml:space="preserve"> </w:t>
      </w:r>
      <w:r w:rsidR="00192EB8">
        <w:br/>
      </w:r>
      <w:r w:rsidR="00192EB8" w:rsidRPr="008B0D9B">
        <w:t>et</w:t>
      </w:r>
      <w:r w:rsidR="004C775C">
        <w:t xml:space="preserve"> </w:t>
      </w:r>
      <w:r w:rsidR="00192EB8" w:rsidRPr="008B0D9B">
        <w:t>prescriptions</w:t>
      </w:r>
      <w:r w:rsidR="004C775C">
        <w:t xml:space="preserve"> </w:t>
      </w:r>
      <w:r w:rsidR="00192EB8" w:rsidRPr="008B0D9B">
        <w:t>relatives</w:t>
      </w:r>
      <w:r w:rsidR="004C775C">
        <w:t xml:space="preserve"> </w:t>
      </w:r>
      <w:r w:rsidR="00192EB8" w:rsidRPr="008B0D9B">
        <w:t>aux</w:t>
      </w:r>
      <w:r w:rsidR="004C775C">
        <w:t xml:space="preserve"> </w:t>
      </w:r>
      <w:r w:rsidR="00192EB8" w:rsidRPr="008B0D9B">
        <w:t>épreuves</w:t>
      </w:r>
      <w:r w:rsidRPr="008B0D9B">
        <w:tab/>
      </w:r>
      <w:r w:rsidRPr="008B0D9B">
        <w:tab/>
        <w:t>45−46</w:t>
      </w:r>
      <w:r w:rsidRPr="008B0D9B">
        <w:tab/>
      </w:r>
      <w:r w:rsidR="00300C28">
        <w:t>12</w:t>
      </w:r>
    </w:p>
    <w:p w14:paraId="006B4F6B" w14:textId="60535CB3" w:rsidR="008B0D9B" w:rsidRPr="008B0D9B" w:rsidRDefault="008B0D9B" w:rsidP="008B0D9B">
      <w:pPr>
        <w:tabs>
          <w:tab w:val="right" w:pos="850"/>
          <w:tab w:val="right" w:leader="dot" w:pos="7654"/>
          <w:tab w:val="right" w:pos="8929"/>
          <w:tab w:val="right" w:pos="9638"/>
        </w:tabs>
        <w:spacing w:after="120"/>
        <w:ind w:left="1134" w:hanging="1134"/>
      </w:pPr>
      <w:r w:rsidRPr="008B0D9B">
        <w:tab/>
        <w:t>VIII.</w:t>
      </w:r>
      <w:r w:rsidRPr="008B0D9B">
        <w:tab/>
      </w:r>
      <w:r w:rsidR="00192EB8" w:rsidRPr="008B0D9B">
        <w:t>Interprétation</w:t>
      </w:r>
      <w:r w:rsidR="004C775C">
        <w:t xml:space="preserve"> </w:t>
      </w:r>
      <w:r w:rsidR="00192EB8" w:rsidRPr="008B0D9B">
        <w:t>du</w:t>
      </w:r>
      <w:r w:rsidR="004C775C">
        <w:t xml:space="preserve"> </w:t>
      </w:r>
      <w:r w:rsidR="00192EB8" w:rsidRPr="008B0D9B">
        <w:t>RID,</w:t>
      </w:r>
      <w:r w:rsidR="004C775C">
        <w:t xml:space="preserve"> </w:t>
      </w:r>
      <w:r w:rsidR="00192EB8" w:rsidRPr="008B0D9B">
        <w:t>de</w:t>
      </w:r>
      <w:r w:rsidR="004C775C">
        <w:t xml:space="preserve"> </w:t>
      </w:r>
      <w:r w:rsidR="00192EB8" w:rsidRPr="008B0D9B">
        <w:t>l’ADR</w:t>
      </w:r>
      <w:r w:rsidR="004C775C">
        <w:t xml:space="preserve"> </w:t>
      </w:r>
      <w:r w:rsidR="00192EB8" w:rsidRPr="008B0D9B">
        <w:t>et</w:t>
      </w:r>
      <w:r w:rsidR="004C775C">
        <w:t xml:space="preserve"> </w:t>
      </w:r>
      <w:r w:rsidR="00192EB8" w:rsidRPr="008B0D9B">
        <w:t>de</w:t>
      </w:r>
      <w:r w:rsidR="004C775C">
        <w:t xml:space="preserve"> </w:t>
      </w:r>
      <w:r w:rsidR="00192EB8" w:rsidRPr="008B0D9B">
        <w:t>l’ADN</w:t>
      </w:r>
      <w:r w:rsidR="004C775C">
        <w:t xml:space="preserve"> </w:t>
      </w:r>
      <w:r w:rsidR="00192EB8" w:rsidRPr="008B0D9B">
        <w:t>(point</w:t>
      </w:r>
      <w:r w:rsidR="004C775C">
        <w:t xml:space="preserve"> </w:t>
      </w:r>
      <w:r w:rsidR="00192EB8" w:rsidRPr="008B0D9B">
        <w:t>6</w:t>
      </w:r>
      <w:r w:rsidR="004C775C">
        <w:t xml:space="preserve"> </w:t>
      </w:r>
      <w:r w:rsidR="00192EB8" w:rsidRPr="008B0D9B">
        <w:t>de</w:t>
      </w:r>
      <w:r w:rsidR="004C775C">
        <w:t xml:space="preserve"> </w:t>
      </w:r>
      <w:r w:rsidR="00192EB8" w:rsidRPr="008B0D9B">
        <w:t>l’ordre</w:t>
      </w:r>
      <w:r w:rsidR="004C775C">
        <w:t xml:space="preserve"> </w:t>
      </w:r>
      <w:r w:rsidR="00192EB8" w:rsidRPr="008B0D9B">
        <w:t>du</w:t>
      </w:r>
      <w:r w:rsidR="004C775C">
        <w:t xml:space="preserve"> </w:t>
      </w:r>
      <w:r w:rsidR="00192EB8" w:rsidRPr="008B0D9B">
        <w:t>jour)</w:t>
      </w:r>
      <w:r w:rsidRPr="008B0D9B">
        <w:tab/>
      </w:r>
      <w:r w:rsidRPr="008B0D9B">
        <w:tab/>
        <w:t>47−53</w:t>
      </w:r>
      <w:r w:rsidRPr="008B0D9B">
        <w:tab/>
      </w:r>
      <w:r w:rsidR="00300C28">
        <w:t>13</w:t>
      </w:r>
    </w:p>
    <w:p w14:paraId="483651A0" w14:textId="4D958CAB" w:rsidR="008B0D9B" w:rsidRPr="008B0D9B" w:rsidRDefault="008B0D9B" w:rsidP="008B0D9B">
      <w:pPr>
        <w:tabs>
          <w:tab w:val="right" w:leader="dot" w:pos="7654"/>
          <w:tab w:val="right" w:pos="8929"/>
          <w:tab w:val="right" w:pos="9638"/>
        </w:tabs>
        <w:spacing w:after="120"/>
        <w:ind w:left="1559" w:hanging="425"/>
      </w:pPr>
      <w:r w:rsidRPr="008B0D9B">
        <w:t>A.</w:t>
      </w:r>
      <w:r w:rsidRPr="008B0D9B">
        <w:tab/>
      </w:r>
      <w:r w:rsidR="00192EB8" w:rsidRPr="008B0D9B">
        <w:t>Éclaircissements</w:t>
      </w:r>
      <w:r w:rsidR="004C775C">
        <w:t xml:space="preserve"> </w:t>
      </w:r>
      <w:r w:rsidR="00192EB8" w:rsidRPr="008B0D9B">
        <w:t>relatifs</w:t>
      </w:r>
      <w:r w:rsidR="004C775C">
        <w:t xml:space="preserve"> </w:t>
      </w:r>
      <w:r w:rsidR="00192EB8" w:rsidRPr="008B0D9B">
        <w:t>au</w:t>
      </w:r>
      <w:r w:rsidR="004C775C">
        <w:t xml:space="preserve"> </w:t>
      </w:r>
      <w:r w:rsidR="00192EB8" w:rsidRPr="008B0D9B">
        <w:t>paragraphe</w:t>
      </w:r>
      <w:r w:rsidR="004C775C">
        <w:t xml:space="preserve"> </w:t>
      </w:r>
      <w:r w:rsidR="00192EB8" w:rsidRPr="008B0D9B">
        <w:t>5.3.2.2.1</w:t>
      </w:r>
      <w:r w:rsidR="004C775C">
        <w:t xml:space="preserve"> </w:t>
      </w:r>
      <w:r w:rsidR="00192EB8" w:rsidRPr="008B0D9B">
        <w:t>du</w:t>
      </w:r>
      <w:r w:rsidR="004C775C">
        <w:t xml:space="preserve"> </w:t>
      </w:r>
      <w:r w:rsidR="00192EB8" w:rsidRPr="008B0D9B">
        <w:t>RID</w:t>
      </w:r>
      <w:r w:rsidR="004C775C">
        <w:t xml:space="preserve"> </w:t>
      </w:r>
      <w:r w:rsidR="00192EB8">
        <w:br/>
      </w:r>
      <w:r w:rsidR="00192EB8" w:rsidRPr="008B0D9B">
        <w:t>et</w:t>
      </w:r>
      <w:r w:rsidR="004C775C">
        <w:t xml:space="preserve"> </w:t>
      </w:r>
      <w:r w:rsidR="00192EB8" w:rsidRPr="008B0D9B">
        <w:t>de</w:t>
      </w:r>
      <w:r w:rsidR="004C775C">
        <w:t xml:space="preserve"> </w:t>
      </w:r>
      <w:r w:rsidR="00192EB8" w:rsidRPr="008B0D9B">
        <w:t>l’ADR</w:t>
      </w:r>
      <w:r w:rsidR="004C775C">
        <w:t xml:space="preserve"> </w:t>
      </w:r>
      <w:r w:rsidR="00192EB8">
        <w:t>−</w:t>
      </w:r>
      <w:r w:rsidR="004C775C">
        <w:t xml:space="preserve"> </w:t>
      </w:r>
      <w:r w:rsidR="00192EB8" w:rsidRPr="008B0D9B">
        <w:t>spécifications</w:t>
      </w:r>
      <w:r w:rsidR="004C775C">
        <w:t xml:space="preserve"> </w:t>
      </w:r>
      <w:r w:rsidR="00192EB8" w:rsidRPr="008B0D9B">
        <w:t>pour</w:t>
      </w:r>
      <w:r w:rsidR="004C775C">
        <w:t xml:space="preserve"> </w:t>
      </w:r>
      <w:r w:rsidR="00192EB8" w:rsidRPr="008B0D9B">
        <w:t>les</w:t>
      </w:r>
      <w:r w:rsidR="004C775C">
        <w:t xml:space="preserve"> </w:t>
      </w:r>
      <w:r w:rsidR="00192EB8" w:rsidRPr="008B0D9B">
        <w:t>panneaux</w:t>
      </w:r>
      <w:r w:rsidR="004C775C">
        <w:t xml:space="preserve"> </w:t>
      </w:r>
      <w:r w:rsidR="00192EB8" w:rsidRPr="008B0D9B">
        <w:t>orange</w:t>
      </w:r>
      <w:r w:rsidRPr="008B0D9B">
        <w:tab/>
      </w:r>
      <w:r w:rsidRPr="008B0D9B">
        <w:tab/>
        <w:t>47</w:t>
      </w:r>
      <w:r w:rsidRPr="008B0D9B">
        <w:tab/>
      </w:r>
      <w:r w:rsidR="00300C28">
        <w:t>13</w:t>
      </w:r>
    </w:p>
    <w:p w14:paraId="66E65006" w14:textId="057D471D" w:rsidR="008B0D9B" w:rsidRPr="008B0D9B" w:rsidRDefault="008B0D9B" w:rsidP="008B0D9B">
      <w:pPr>
        <w:tabs>
          <w:tab w:val="right" w:leader="dot" w:pos="7654"/>
          <w:tab w:val="right" w:pos="8929"/>
          <w:tab w:val="right" w:pos="9638"/>
        </w:tabs>
        <w:spacing w:after="120"/>
        <w:ind w:left="1559" w:hanging="425"/>
      </w:pPr>
      <w:r w:rsidRPr="008B0D9B">
        <w:t>B.</w:t>
      </w:r>
      <w:r w:rsidRPr="008B0D9B">
        <w:tab/>
      </w:r>
      <w:r w:rsidR="00192EB8" w:rsidRPr="008B0D9B">
        <w:t>Question</w:t>
      </w:r>
      <w:r w:rsidR="004C775C">
        <w:t xml:space="preserve"> </w:t>
      </w:r>
      <w:r w:rsidR="00192EB8" w:rsidRPr="008B0D9B">
        <w:t>d’interprétation</w:t>
      </w:r>
      <w:r w:rsidR="004C775C">
        <w:t xml:space="preserve"> </w:t>
      </w:r>
      <w:r w:rsidR="00192EB8" w:rsidRPr="008B0D9B">
        <w:t>concernant</w:t>
      </w:r>
      <w:r w:rsidR="004C775C">
        <w:t xml:space="preserve"> </w:t>
      </w:r>
      <w:r w:rsidR="00192EB8" w:rsidRPr="008B0D9B">
        <w:t>la</w:t>
      </w:r>
      <w:r w:rsidR="004C775C">
        <w:t xml:space="preserve"> </w:t>
      </w:r>
      <w:r w:rsidR="00192EB8" w:rsidRPr="008B0D9B">
        <w:t>disposition</w:t>
      </w:r>
      <w:r w:rsidR="004C775C">
        <w:t xml:space="preserve"> </w:t>
      </w:r>
      <w:r w:rsidR="00192EB8" w:rsidRPr="008B0D9B">
        <w:t>spéciale</w:t>
      </w:r>
      <w:r w:rsidR="004C775C">
        <w:t xml:space="preserve"> </w:t>
      </w:r>
      <w:r w:rsidR="00192EB8" w:rsidRPr="008B0D9B">
        <w:t>249</w:t>
      </w:r>
      <w:r w:rsidR="004C775C">
        <w:t xml:space="preserve"> </w:t>
      </w:r>
      <w:r w:rsidR="00192EB8">
        <w:br/>
      </w:r>
      <w:r w:rsidR="00192EB8" w:rsidRPr="008B0D9B">
        <w:t>et</w:t>
      </w:r>
      <w:r w:rsidR="004C775C">
        <w:t xml:space="preserve"> </w:t>
      </w:r>
      <w:r w:rsidR="00192EB8" w:rsidRPr="008B0D9B">
        <w:t>le</w:t>
      </w:r>
      <w:r w:rsidR="004C775C">
        <w:t xml:space="preserve"> </w:t>
      </w:r>
      <w:r w:rsidR="00192EB8" w:rsidRPr="008B0D9B">
        <w:t>transport</w:t>
      </w:r>
      <w:r w:rsidR="004C775C">
        <w:t xml:space="preserve"> </w:t>
      </w:r>
      <w:r w:rsidR="00192EB8" w:rsidRPr="008B0D9B">
        <w:t>lié</w:t>
      </w:r>
      <w:r w:rsidR="004C775C">
        <w:t xml:space="preserve"> </w:t>
      </w:r>
      <w:r w:rsidR="00192EB8" w:rsidRPr="008B0D9B">
        <w:t>au</w:t>
      </w:r>
      <w:r w:rsidR="004C775C">
        <w:t xml:space="preserve"> </w:t>
      </w:r>
      <w:r w:rsidR="00192EB8" w:rsidRPr="008B0D9B">
        <w:t>recyclage</w:t>
      </w:r>
      <w:r w:rsidR="004C775C">
        <w:t xml:space="preserve"> </w:t>
      </w:r>
      <w:r w:rsidR="00192EB8" w:rsidRPr="008B0D9B">
        <w:t>des</w:t>
      </w:r>
      <w:r w:rsidR="004C775C">
        <w:t xml:space="preserve"> </w:t>
      </w:r>
      <w:r w:rsidR="00192EB8" w:rsidRPr="008B0D9B">
        <w:t>briquets</w:t>
      </w:r>
      <w:r w:rsidRPr="008B0D9B">
        <w:tab/>
      </w:r>
      <w:r w:rsidRPr="008B0D9B">
        <w:tab/>
        <w:t>48</w:t>
      </w:r>
      <w:r w:rsidRPr="008B0D9B">
        <w:tab/>
      </w:r>
      <w:r w:rsidR="00300C28">
        <w:t>13</w:t>
      </w:r>
    </w:p>
    <w:p w14:paraId="2C98DB69" w14:textId="325D29F4" w:rsidR="008B0D9B" w:rsidRPr="008B0D9B" w:rsidRDefault="008B0D9B" w:rsidP="008B0D9B">
      <w:pPr>
        <w:tabs>
          <w:tab w:val="right" w:leader="dot" w:pos="7654"/>
          <w:tab w:val="right" w:pos="8929"/>
          <w:tab w:val="right" w:pos="9638"/>
        </w:tabs>
        <w:spacing w:after="120"/>
        <w:ind w:left="1559" w:hanging="425"/>
      </w:pPr>
      <w:r w:rsidRPr="008B0D9B">
        <w:t>C.</w:t>
      </w:r>
      <w:r w:rsidRPr="008B0D9B">
        <w:tab/>
      </w:r>
      <w:r w:rsidR="00192EB8" w:rsidRPr="008B0D9B">
        <w:t>Approbation</w:t>
      </w:r>
      <w:r w:rsidR="004C775C">
        <w:t xml:space="preserve"> </w:t>
      </w:r>
      <w:r w:rsidR="00192EB8" w:rsidRPr="008B0D9B">
        <w:t>des</w:t>
      </w:r>
      <w:r w:rsidR="004C775C">
        <w:t xml:space="preserve"> </w:t>
      </w:r>
      <w:r w:rsidR="00192EB8" w:rsidRPr="008B0D9B">
        <w:t>autorités</w:t>
      </w:r>
      <w:r w:rsidR="004C775C">
        <w:t xml:space="preserve"> </w:t>
      </w:r>
      <w:r w:rsidR="00192EB8" w:rsidRPr="008B0D9B">
        <w:t>compétentes</w:t>
      </w:r>
      <w:r w:rsidR="004C775C">
        <w:t xml:space="preserve"> </w:t>
      </w:r>
      <w:r w:rsidR="00192EB8" w:rsidRPr="008B0D9B">
        <w:t>pour</w:t>
      </w:r>
      <w:r w:rsidR="004C775C">
        <w:t xml:space="preserve"> </w:t>
      </w:r>
      <w:r w:rsidR="00192EB8" w:rsidRPr="008B0D9B">
        <w:t>les</w:t>
      </w:r>
      <w:r w:rsidR="004C775C">
        <w:t xml:space="preserve"> </w:t>
      </w:r>
      <w:r w:rsidR="00192EB8" w:rsidRPr="008B0D9B">
        <w:t>peroxydes</w:t>
      </w:r>
      <w:r w:rsidR="004C775C">
        <w:t xml:space="preserve"> </w:t>
      </w:r>
      <w:r w:rsidR="00192EB8" w:rsidRPr="008B0D9B">
        <w:t>organiques</w:t>
      </w:r>
      <w:r w:rsidR="004C775C">
        <w:t xml:space="preserve"> </w:t>
      </w:r>
      <w:r w:rsidR="00192EB8">
        <w:br/>
      </w:r>
      <w:r w:rsidR="00192EB8" w:rsidRPr="008B0D9B">
        <w:t>et</w:t>
      </w:r>
      <w:r w:rsidR="004C775C">
        <w:t xml:space="preserve"> </w:t>
      </w:r>
      <w:r w:rsidR="00192EB8" w:rsidRPr="008B0D9B">
        <w:t>les</w:t>
      </w:r>
      <w:r w:rsidR="004C775C">
        <w:t xml:space="preserve"> </w:t>
      </w:r>
      <w:r w:rsidR="00192EB8" w:rsidRPr="008B0D9B">
        <w:t>matières</w:t>
      </w:r>
      <w:r w:rsidR="004C775C">
        <w:t xml:space="preserve"> </w:t>
      </w:r>
      <w:r w:rsidR="00192EB8" w:rsidRPr="008B0D9B">
        <w:t>autoréactives</w:t>
      </w:r>
      <w:r w:rsidR="004C775C">
        <w:t xml:space="preserve"> </w:t>
      </w:r>
      <w:r w:rsidR="00192EB8" w:rsidRPr="008B0D9B">
        <w:t>non</w:t>
      </w:r>
      <w:r w:rsidR="004C775C">
        <w:t xml:space="preserve"> </w:t>
      </w:r>
      <w:r w:rsidR="00192EB8" w:rsidRPr="008B0D9B">
        <w:t>énumérés</w:t>
      </w:r>
      <w:r w:rsidR="004C775C">
        <w:t xml:space="preserve"> </w:t>
      </w:r>
      <w:r w:rsidR="00192EB8" w:rsidRPr="008B0D9B">
        <w:t>et</w:t>
      </w:r>
      <w:r w:rsidR="004C775C">
        <w:t xml:space="preserve"> </w:t>
      </w:r>
      <w:r w:rsidR="00192EB8" w:rsidRPr="008B0D9B">
        <w:t>interprétation</w:t>
      </w:r>
      <w:r w:rsidR="004C775C">
        <w:t xml:space="preserve"> </w:t>
      </w:r>
      <w:r w:rsidR="00192EB8">
        <w:br/>
      </w:r>
      <w:r w:rsidR="00192EB8" w:rsidRPr="008B0D9B">
        <w:t>des</w:t>
      </w:r>
      <w:r w:rsidR="004C775C">
        <w:t xml:space="preserve"> </w:t>
      </w:r>
      <w:r w:rsidR="00192EB8" w:rsidRPr="008B0D9B">
        <w:t>mentions</w:t>
      </w:r>
      <w:r w:rsidR="004C775C">
        <w:t xml:space="preserve"> </w:t>
      </w:r>
      <w:r w:rsidR="00192EB8" w:rsidRPr="008B0D9B">
        <w:t>«</w:t>
      </w:r>
      <w:r w:rsidR="00FD237C">
        <w:t> </w:t>
      </w:r>
      <w:r w:rsidR="00192EB8" w:rsidRPr="008B0D9B">
        <w:t>non</w:t>
      </w:r>
      <w:r w:rsidR="004C775C">
        <w:t xml:space="preserve"> </w:t>
      </w:r>
      <w:r w:rsidR="00192EB8" w:rsidRPr="008B0D9B">
        <w:t>énuméré</w:t>
      </w:r>
      <w:r w:rsidR="00FD237C">
        <w:t> </w:t>
      </w:r>
      <w:r w:rsidR="00192EB8" w:rsidRPr="008B0D9B">
        <w:t>»</w:t>
      </w:r>
      <w:r w:rsidR="004C775C">
        <w:t xml:space="preserve"> </w:t>
      </w:r>
      <w:r w:rsidR="00192EB8" w:rsidRPr="008B0D9B">
        <w:t>et</w:t>
      </w:r>
      <w:r w:rsidR="004C775C">
        <w:t xml:space="preserve"> </w:t>
      </w:r>
      <w:r w:rsidR="00192EB8" w:rsidRPr="008B0D9B">
        <w:t>«</w:t>
      </w:r>
      <w:r w:rsidR="00FD237C">
        <w:t> </w:t>
      </w:r>
      <w:r w:rsidR="00192EB8" w:rsidRPr="008B0D9B">
        <w:t>pays</w:t>
      </w:r>
      <w:r w:rsidR="004C775C">
        <w:t xml:space="preserve"> </w:t>
      </w:r>
      <w:r w:rsidR="00192EB8" w:rsidRPr="008B0D9B">
        <w:t>d’origine</w:t>
      </w:r>
      <w:r w:rsidR="00FD237C">
        <w:t> </w:t>
      </w:r>
      <w:r w:rsidR="00192EB8" w:rsidRPr="008B0D9B">
        <w:t>»</w:t>
      </w:r>
      <w:r w:rsidRPr="008B0D9B">
        <w:tab/>
      </w:r>
      <w:r w:rsidRPr="008B0D9B">
        <w:tab/>
        <w:t>49−51</w:t>
      </w:r>
      <w:r w:rsidRPr="008B0D9B">
        <w:tab/>
      </w:r>
      <w:r w:rsidR="00300C28">
        <w:t>13</w:t>
      </w:r>
    </w:p>
    <w:p w14:paraId="7F260DD4" w14:textId="3725824D" w:rsidR="008B0D9B" w:rsidRPr="008B0D9B" w:rsidRDefault="008B0D9B" w:rsidP="008B0D9B">
      <w:pPr>
        <w:tabs>
          <w:tab w:val="right" w:leader="dot" w:pos="7654"/>
          <w:tab w:val="right" w:pos="8929"/>
          <w:tab w:val="right" w:pos="9638"/>
        </w:tabs>
        <w:spacing w:after="120"/>
        <w:ind w:left="1559" w:hanging="425"/>
      </w:pPr>
      <w:r w:rsidRPr="008B0D9B">
        <w:t>D.</w:t>
      </w:r>
      <w:r w:rsidRPr="008B0D9B">
        <w:tab/>
      </w:r>
      <w:r w:rsidR="00192EB8" w:rsidRPr="008B0D9B">
        <w:t>Section</w:t>
      </w:r>
      <w:r w:rsidR="004C775C">
        <w:t xml:space="preserve"> </w:t>
      </w:r>
      <w:r w:rsidR="00192EB8" w:rsidRPr="008B0D9B">
        <w:t>1.5.1</w:t>
      </w:r>
      <w:r w:rsidR="004C775C">
        <w:t xml:space="preserve"> </w:t>
      </w:r>
      <w:r w:rsidR="00192EB8" w:rsidRPr="008B0D9B">
        <w:t>du</w:t>
      </w:r>
      <w:r w:rsidR="004C775C">
        <w:t xml:space="preserve"> </w:t>
      </w:r>
      <w:r w:rsidR="00192EB8" w:rsidRPr="008B0D9B">
        <w:t>RID,</w:t>
      </w:r>
      <w:r w:rsidR="004C775C">
        <w:t xml:space="preserve"> </w:t>
      </w:r>
      <w:r w:rsidR="00192EB8" w:rsidRPr="008B0D9B">
        <w:t>de</w:t>
      </w:r>
      <w:r w:rsidR="004C775C">
        <w:t xml:space="preserve"> </w:t>
      </w:r>
      <w:r w:rsidR="00192EB8" w:rsidRPr="008B0D9B">
        <w:t>l’ADR</w:t>
      </w:r>
      <w:r w:rsidR="004C775C">
        <w:t xml:space="preserve"> </w:t>
      </w:r>
      <w:r w:rsidR="00192EB8" w:rsidRPr="008B0D9B">
        <w:t>et</w:t>
      </w:r>
      <w:r w:rsidR="004C775C">
        <w:t xml:space="preserve"> </w:t>
      </w:r>
      <w:r w:rsidR="00192EB8" w:rsidRPr="008B0D9B">
        <w:t>de</w:t>
      </w:r>
      <w:r w:rsidR="004C775C">
        <w:t xml:space="preserve"> </w:t>
      </w:r>
      <w:r w:rsidR="00192EB8" w:rsidRPr="008B0D9B">
        <w:t>l’ADN</w:t>
      </w:r>
      <w:r w:rsidR="00FD237C">
        <w:t> </w:t>
      </w:r>
      <w:r w:rsidR="00192EB8" w:rsidRPr="008B0D9B">
        <w:t>:</w:t>
      </w:r>
      <w:r w:rsidR="004C775C">
        <w:t xml:space="preserve"> </w:t>
      </w:r>
      <w:r w:rsidR="00192EB8" w:rsidRPr="008B0D9B">
        <w:t>accords</w:t>
      </w:r>
      <w:r w:rsidR="004C775C">
        <w:t xml:space="preserve"> </w:t>
      </w:r>
      <w:r w:rsidR="00192EB8" w:rsidRPr="008B0D9B">
        <w:t>multilatéraux</w:t>
      </w:r>
      <w:r w:rsidRPr="008B0D9B">
        <w:tab/>
      </w:r>
      <w:r w:rsidRPr="008B0D9B">
        <w:tab/>
        <w:t>52</w:t>
      </w:r>
      <w:r w:rsidRPr="008B0D9B">
        <w:tab/>
      </w:r>
      <w:r w:rsidR="00300C28">
        <w:t>14</w:t>
      </w:r>
    </w:p>
    <w:p w14:paraId="71ED712D" w14:textId="00FF37A0" w:rsidR="008B0D9B" w:rsidRPr="008B0D9B" w:rsidRDefault="008B0D9B" w:rsidP="008B0D9B">
      <w:pPr>
        <w:tabs>
          <w:tab w:val="right" w:leader="dot" w:pos="7654"/>
          <w:tab w:val="right" w:pos="8929"/>
          <w:tab w:val="right" w:pos="9638"/>
        </w:tabs>
        <w:spacing w:after="120"/>
        <w:ind w:left="1559" w:hanging="425"/>
      </w:pPr>
      <w:r w:rsidRPr="008B0D9B">
        <w:t>E.</w:t>
      </w:r>
      <w:r w:rsidRPr="008B0D9B">
        <w:tab/>
      </w:r>
      <w:r w:rsidR="00192EB8" w:rsidRPr="008B0D9B">
        <w:t>Précisions</w:t>
      </w:r>
      <w:r w:rsidR="004C775C">
        <w:t xml:space="preserve"> </w:t>
      </w:r>
      <w:r w:rsidR="00192EB8" w:rsidRPr="008B0D9B">
        <w:t>relatives</w:t>
      </w:r>
      <w:r w:rsidR="004C775C">
        <w:t xml:space="preserve"> </w:t>
      </w:r>
      <w:r w:rsidR="00192EB8" w:rsidRPr="008B0D9B">
        <w:t>au</w:t>
      </w:r>
      <w:r w:rsidR="004C775C">
        <w:t xml:space="preserve"> </w:t>
      </w:r>
      <w:r w:rsidR="00192EB8" w:rsidRPr="008B0D9B">
        <w:t>6.2.2.7.5</w:t>
      </w:r>
      <w:r w:rsidR="004C775C">
        <w:t xml:space="preserve"> </w:t>
      </w:r>
      <w:r w:rsidR="00192EB8" w:rsidRPr="008B0D9B">
        <w:t>du</w:t>
      </w:r>
      <w:r w:rsidR="004C775C">
        <w:t xml:space="preserve"> </w:t>
      </w:r>
      <w:r w:rsidR="00192EB8" w:rsidRPr="008B0D9B">
        <w:t>Règlement</w:t>
      </w:r>
      <w:r w:rsidR="004C775C">
        <w:t xml:space="preserve"> </w:t>
      </w:r>
      <w:r w:rsidR="00192EB8" w:rsidRPr="008B0D9B">
        <w:t>type</w:t>
      </w:r>
      <w:r w:rsidR="004C775C">
        <w:t xml:space="preserve"> </w:t>
      </w:r>
      <w:r w:rsidR="00192EB8" w:rsidRPr="008B0D9B">
        <w:t>de</w:t>
      </w:r>
      <w:r w:rsidR="004C775C">
        <w:t xml:space="preserve"> </w:t>
      </w:r>
      <w:r w:rsidR="00192EB8" w:rsidRPr="008B0D9B">
        <w:t>l’ONU</w:t>
      </w:r>
      <w:r w:rsidR="004C775C">
        <w:t xml:space="preserve"> </w:t>
      </w:r>
      <w:r w:rsidR="00192EB8">
        <w:br/>
      </w:r>
      <w:r w:rsidR="00192EB8" w:rsidRPr="008B0D9B">
        <w:t>(ainsi</w:t>
      </w:r>
      <w:r w:rsidR="004C775C">
        <w:t xml:space="preserve"> </w:t>
      </w:r>
      <w:r w:rsidR="00192EB8" w:rsidRPr="008B0D9B">
        <w:t>que</w:t>
      </w:r>
      <w:r w:rsidR="004C775C">
        <w:t xml:space="preserve"> </w:t>
      </w:r>
      <w:r w:rsidR="00192EB8" w:rsidRPr="008B0D9B">
        <w:t>du</w:t>
      </w:r>
      <w:r w:rsidR="004C775C">
        <w:t xml:space="preserve"> </w:t>
      </w:r>
      <w:r w:rsidR="00192EB8" w:rsidRPr="008B0D9B">
        <w:t>RID</w:t>
      </w:r>
      <w:r w:rsidR="004C775C">
        <w:t xml:space="preserve"> </w:t>
      </w:r>
      <w:r w:rsidR="00192EB8" w:rsidRPr="008B0D9B">
        <w:t>et</w:t>
      </w:r>
      <w:r w:rsidR="004C775C">
        <w:t xml:space="preserve"> </w:t>
      </w:r>
      <w:r w:rsidR="00192EB8" w:rsidRPr="008B0D9B">
        <w:t>de</w:t>
      </w:r>
      <w:r w:rsidR="004C775C">
        <w:t xml:space="preserve"> </w:t>
      </w:r>
      <w:r w:rsidR="00192EB8" w:rsidRPr="008B0D9B">
        <w:t>l’ADR)</w:t>
      </w:r>
      <w:r w:rsidR="004C775C">
        <w:t xml:space="preserve"> </w:t>
      </w:r>
      <w:r w:rsidR="00192EB8">
        <w:t>−</w:t>
      </w:r>
      <w:r w:rsidR="004C775C">
        <w:t xml:space="preserve"> </w:t>
      </w:r>
      <w:r w:rsidR="00192EB8" w:rsidRPr="008B0D9B">
        <w:t>emplacements</w:t>
      </w:r>
      <w:r w:rsidR="004C775C">
        <w:t xml:space="preserve"> </w:t>
      </w:r>
      <w:r w:rsidR="00192EB8" w:rsidRPr="008B0D9B">
        <w:t>des</w:t>
      </w:r>
      <w:r w:rsidR="004C775C">
        <w:t xml:space="preserve"> </w:t>
      </w:r>
      <w:r w:rsidR="00192EB8" w:rsidRPr="008B0D9B">
        <w:t>groupes</w:t>
      </w:r>
      <w:r w:rsidR="004C775C">
        <w:t xml:space="preserve"> </w:t>
      </w:r>
      <w:r w:rsidR="00192EB8">
        <w:br/>
      </w:r>
      <w:r w:rsidR="00192EB8" w:rsidRPr="008B0D9B">
        <w:t>de</w:t>
      </w:r>
      <w:r w:rsidR="004C775C">
        <w:t xml:space="preserve"> </w:t>
      </w:r>
      <w:r w:rsidR="00192EB8" w:rsidRPr="008B0D9B">
        <w:t>marques</w:t>
      </w:r>
      <w:r w:rsidR="004C775C">
        <w:t xml:space="preserve"> </w:t>
      </w:r>
      <w:r w:rsidR="00192EB8" w:rsidRPr="008B0D9B">
        <w:t>sur</w:t>
      </w:r>
      <w:r w:rsidR="004C775C">
        <w:t xml:space="preserve"> </w:t>
      </w:r>
      <w:r w:rsidR="00192EB8" w:rsidRPr="008B0D9B">
        <w:t>les</w:t>
      </w:r>
      <w:r w:rsidR="004C775C">
        <w:t xml:space="preserve"> </w:t>
      </w:r>
      <w:r w:rsidR="00192EB8" w:rsidRPr="008B0D9B">
        <w:t>bouteilles</w:t>
      </w:r>
      <w:r w:rsidRPr="008B0D9B">
        <w:tab/>
      </w:r>
      <w:r w:rsidRPr="008B0D9B">
        <w:tab/>
        <w:t>53</w:t>
      </w:r>
      <w:r w:rsidRPr="008B0D9B">
        <w:tab/>
      </w:r>
      <w:r w:rsidR="00300C28">
        <w:t>14</w:t>
      </w:r>
    </w:p>
    <w:p w14:paraId="2FD2599E" w14:textId="4108233F" w:rsidR="008B0D9B" w:rsidRPr="008B0D9B" w:rsidRDefault="008B0D9B" w:rsidP="008B0D9B">
      <w:pPr>
        <w:tabs>
          <w:tab w:val="right" w:pos="850"/>
          <w:tab w:val="right" w:leader="dot" w:pos="7654"/>
          <w:tab w:val="right" w:pos="8929"/>
          <w:tab w:val="right" w:pos="9638"/>
        </w:tabs>
        <w:spacing w:after="120"/>
        <w:ind w:left="1134" w:hanging="1134"/>
      </w:pPr>
      <w:r w:rsidRPr="008B0D9B">
        <w:tab/>
        <w:t>IX.</w:t>
      </w:r>
      <w:r w:rsidRPr="008B0D9B">
        <w:tab/>
      </w:r>
      <w:r w:rsidR="00192EB8" w:rsidRPr="008B0D9B">
        <w:t>Rapports</w:t>
      </w:r>
      <w:r w:rsidR="004C775C">
        <w:t xml:space="preserve"> </w:t>
      </w:r>
      <w:r w:rsidR="00192EB8" w:rsidRPr="008B0D9B">
        <w:t>des</w:t>
      </w:r>
      <w:r w:rsidR="004C775C">
        <w:t xml:space="preserve"> </w:t>
      </w:r>
      <w:r w:rsidR="00192EB8" w:rsidRPr="008B0D9B">
        <w:t>groupes</w:t>
      </w:r>
      <w:r w:rsidR="004C775C">
        <w:t xml:space="preserve"> </w:t>
      </w:r>
      <w:r w:rsidR="00192EB8" w:rsidRPr="008B0D9B">
        <w:t>de</w:t>
      </w:r>
      <w:r w:rsidR="004C775C">
        <w:t xml:space="preserve"> </w:t>
      </w:r>
      <w:r w:rsidR="00192EB8" w:rsidRPr="008B0D9B">
        <w:t>travail</w:t>
      </w:r>
      <w:r w:rsidR="004C775C">
        <w:t xml:space="preserve"> </w:t>
      </w:r>
      <w:r w:rsidR="00192EB8" w:rsidRPr="008B0D9B">
        <w:t>informels</w:t>
      </w:r>
      <w:r w:rsidR="004C775C">
        <w:t xml:space="preserve"> </w:t>
      </w:r>
      <w:r w:rsidR="00192EB8" w:rsidRPr="008B0D9B">
        <w:t>(point</w:t>
      </w:r>
      <w:r w:rsidR="004C775C">
        <w:t xml:space="preserve"> </w:t>
      </w:r>
      <w:r w:rsidR="00192EB8" w:rsidRPr="008B0D9B">
        <w:t>7</w:t>
      </w:r>
      <w:r w:rsidR="004C775C">
        <w:t xml:space="preserve"> </w:t>
      </w:r>
      <w:r w:rsidR="00192EB8" w:rsidRPr="008B0D9B">
        <w:t>de</w:t>
      </w:r>
      <w:r w:rsidR="004C775C">
        <w:t xml:space="preserve"> </w:t>
      </w:r>
      <w:r w:rsidR="00192EB8" w:rsidRPr="008B0D9B">
        <w:t>l’ordre</w:t>
      </w:r>
      <w:r w:rsidR="004C775C">
        <w:t xml:space="preserve"> </w:t>
      </w:r>
      <w:r w:rsidR="00192EB8" w:rsidRPr="008B0D9B">
        <w:t>du</w:t>
      </w:r>
      <w:r w:rsidR="004C775C">
        <w:t xml:space="preserve"> </w:t>
      </w:r>
      <w:r w:rsidR="00192EB8" w:rsidRPr="008B0D9B">
        <w:t>jour)</w:t>
      </w:r>
      <w:r w:rsidRPr="008B0D9B">
        <w:tab/>
      </w:r>
      <w:r w:rsidRPr="008B0D9B">
        <w:tab/>
        <w:t>54</w:t>
      </w:r>
      <w:r w:rsidRPr="008B0D9B">
        <w:tab/>
      </w:r>
      <w:r w:rsidR="00300C28">
        <w:t>14</w:t>
      </w:r>
    </w:p>
    <w:p w14:paraId="33C4E083" w14:textId="3FEF6F3C" w:rsidR="008B0D9B" w:rsidRPr="008B0D9B" w:rsidRDefault="008B0D9B" w:rsidP="008B0D9B">
      <w:pPr>
        <w:tabs>
          <w:tab w:val="right" w:pos="850"/>
          <w:tab w:val="right" w:leader="dot" w:pos="7654"/>
          <w:tab w:val="right" w:pos="8929"/>
          <w:tab w:val="right" w:pos="9638"/>
        </w:tabs>
        <w:spacing w:after="120"/>
        <w:ind w:left="1134" w:hanging="1134"/>
      </w:pPr>
      <w:r w:rsidRPr="008B0D9B">
        <w:tab/>
        <w:t>X.</w:t>
      </w:r>
      <w:r w:rsidRPr="008B0D9B">
        <w:tab/>
      </w:r>
      <w:r w:rsidR="00192EB8" w:rsidRPr="008B0D9B">
        <w:t>Accidents</w:t>
      </w:r>
      <w:r w:rsidR="004C775C">
        <w:t xml:space="preserve"> </w:t>
      </w:r>
      <w:r w:rsidR="00192EB8" w:rsidRPr="008B0D9B">
        <w:t>et</w:t>
      </w:r>
      <w:r w:rsidR="004C775C">
        <w:t xml:space="preserve"> </w:t>
      </w:r>
      <w:r w:rsidR="00192EB8" w:rsidRPr="008B0D9B">
        <w:t>gestion</w:t>
      </w:r>
      <w:r w:rsidR="004C775C">
        <w:t xml:space="preserve"> </w:t>
      </w:r>
      <w:r w:rsidR="00192EB8" w:rsidRPr="008B0D9B">
        <w:t>des</w:t>
      </w:r>
      <w:r w:rsidR="004C775C">
        <w:t xml:space="preserve"> </w:t>
      </w:r>
      <w:r w:rsidR="00192EB8" w:rsidRPr="008B0D9B">
        <w:t>risques</w:t>
      </w:r>
      <w:r w:rsidR="004C775C">
        <w:t xml:space="preserve"> </w:t>
      </w:r>
      <w:r w:rsidR="00192EB8" w:rsidRPr="008B0D9B">
        <w:t>(point</w:t>
      </w:r>
      <w:r w:rsidR="004C775C">
        <w:t xml:space="preserve"> </w:t>
      </w:r>
      <w:r w:rsidR="00192EB8" w:rsidRPr="008B0D9B">
        <w:t>8</w:t>
      </w:r>
      <w:r w:rsidR="004C775C">
        <w:t xml:space="preserve"> </w:t>
      </w:r>
      <w:r w:rsidR="00192EB8" w:rsidRPr="008B0D9B">
        <w:t>de</w:t>
      </w:r>
      <w:r w:rsidR="004C775C">
        <w:t xml:space="preserve"> </w:t>
      </w:r>
      <w:r w:rsidR="00192EB8" w:rsidRPr="008B0D9B">
        <w:t>l’ordre</w:t>
      </w:r>
      <w:r w:rsidR="004C775C">
        <w:t xml:space="preserve"> </w:t>
      </w:r>
      <w:r w:rsidR="00192EB8" w:rsidRPr="008B0D9B">
        <w:t>du</w:t>
      </w:r>
      <w:r w:rsidR="004C775C">
        <w:t xml:space="preserve"> </w:t>
      </w:r>
      <w:r w:rsidR="00192EB8" w:rsidRPr="008B0D9B">
        <w:t>jour)</w:t>
      </w:r>
      <w:r w:rsidRPr="008B0D9B">
        <w:tab/>
      </w:r>
      <w:r w:rsidRPr="008B0D9B">
        <w:tab/>
        <w:t>55</w:t>
      </w:r>
      <w:r w:rsidRPr="008B0D9B">
        <w:tab/>
      </w:r>
      <w:r w:rsidR="00300C28">
        <w:t>14</w:t>
      </w:r>
    </w:p>
    <w:p w14:paraId="22E5C5F7" w14:textId="71F5EEB2" w:rsidR="008B0D9B" w:rsidRPr="008B0D9B" w:rsidRDefault="008B0D9B" w:rsidP="008B0D9B">
      <w:pPr>
        <w:tabs>
          <w:tab w:val="right" w:pos="850"/>
          <w:tab w:val="right" w:leader="dot" w:pos="7654"/>
          <w:tab w:val="right" w:pos="8929"/>
          <w:tab w:val="right" w:pos="9638"/>
        </w:tabs>
        <w:spacing w:after="120"/>
        <w:ind w:left="1134" w:hanging="1134"/>
      </w:pPr>
      <w:r w:rsidRPr="008B0D9B">
        <w:tab/>
        <w:t>XI.</w:t>
      </w:r>
      <w:r w:rsidRPr="008B0D9B">
        <w:tab/>
      </w:r>
      <w:r w:rsidR="00192EB8" w:rsidRPr="008B0D9B">
        <w:t>Élection</w:t>
      </w:r>
      <w:r w:rsidR="004C775C">
        <w:t xml:space="preserve"> </w:t>
      </w:r>
      <w:r w:rsidR="00192EB8" w:rsidRPr="008B0D9B">
        <w:t>du</w:t>
      </w:r>
      <w:r w:rsidR="004C775C">
        <w:t xml:space="preserve"> </w:t>
      </w:r>
      <w:r w:rsidR="00192EB8" w:rsidRPr="008B0D9B">
        <w:t>Bureau</w:t>
      </w:r>
      <w:r w:rsidR="004C775C">
        <w:t xml:space="preserve"> </w:t>
      </w:r>
      <w:r w:rsidR="00192EB8" w:rsidRPr="008B0D9B">
        <w:t>pour</w:t>
      </w:r>
      <w:r w:rsidR="004C775C">
        <w:t xml:space="preserve"> </w:t>
      </w:r>
      <w:r w:rsidR="00192EB8" w:rsidRPr="008B0D9B">
        <w:t>2022</w:t>
      </w:r>
      <w:r w:rsidR="004C775C">
        <w:t xml:space="preserve"> </w:t>
      </w:r>
      <w:r w:rsidR="00192EB8" w:rsidRPr="008B0D9B">
        <w:t>(point</w:t>
      </w:r>
      <w:r w:rsidR="004C775C">
        <w:t xml:space="preserve"> </w:t>
      </w:r>
      <w:r w:rsidR="00192EB8" w:rsidRPr="008B0D9B">
        <w:t>9</w:t>
      </w:r>
      <w:r w:rsidR="004C775C">
        <w:t xml:space="preserve"> </w:t>
      </w:r>
      <w:r w:rsidR="00192EB8" w:rsidRPr="008B0D9B">
        <w:t>de</w:t>
      </w:r>
      <w:r w:rsidR="004C775C">
        <w:t xml:space="preserve"> </w:t>
      </w:r>
      <w:r w:rsidR="00192EB8" w:rsidRPr="008B0D9B">
        <w:t>l’ordre</w:t>
      </w:r>
      <w:r w:rsidR="004C775C">
        <w:t xml:space="preserve"> </w:t>
      </w:r>
      <w:r w:rsidR="00192EB8" w:rsidRPr="008B0D9B">
        <w:t>du</w:t>
      </w:r>
      <w:r w:rsidR="004C775C">
        <w:t xml:space="preserve"> </w:t>
      </w:r>
      <w:r w:rsidR="00192EB8" w:rsidRPr="008B0D9B">
        <w:t>jour)</w:t>
      </w:r>
      <w:r w:rsidRPr="008B0D9B">
        <w:tab/>
      </w:r>
      <w:r w:rsidRPr="008B0D9B">
        <w:tab/>
        <w:t>56</w:t>
      </w:r>
      <w:r w:rsidRPr="008B0D9B">
        <w:tab/>
      </w:r>
      <w:r w:rsidR="00300C28">
        <w:t>15</w:t>
      </w:r>
    </w:p>
    <w:p w14:paraId="63E851AF" w14:textId="67C8BC0F" w:rsidR="008B0D9B" w:rsidRPr="008B0D9B" w:rsidRDefault="008B0D9B" w:rsidP="008B0D9B">
      <w:pPr>
        <w:tabs>
          <w:tab w:val="right" w:pos="850"/>
          <w:tab w:val="right" w:leader="dot" w:pos="7654"/>
          <w:tab w:val="right" w:pos="8929"/>
          <w:tab w:val="right" w:pos="9638"/>
        </w:tabs>
        <w:spacing w:after="120"/>
        <w:ind w:left="1134" w:hanging="1134"/>
      </w:pPr>
      <w:r w:rsidRPr="008B0D9B">
        <w:lastRenderedPageBreak/>
        <w:tab/>
        <w:t>XII.</w:t>
      </w:r>
      <w:r w:rsidRPr="008B0D9B">
        <w:tab/>
      </w:r>
      <w:r w:rsidR="00192EB8" w:rsidRPr="008B0D9B">
        <w:t>Travaux</w:t>
      </w:r>
      <w:r w:rsidR="004C775C">
        <w:t xml:space="preserve"> </w:t>
      </w:r>
      <w:r w:rsidR="00192EB8" w:rsidRPr="008B0D9B">
        <w:t>futurs</w:t>
      </w:r>
      <w:r w:rsidR="004C775C">
        <w:t xml:space="preserve"> </w:t>
      </w:r>
      <w:r w:rsidR="00192EB8" w:rsidRPr="008B0D9B">
        <w:t>(point</w:t>
      </w:r>
      <w:r w:rsidR="004C775C">
        <w:t xml:space="preserve"> </w:t>
      </w:r>
      <w:r w:rsidR="00192EB8" w:rsidRPr="008B0D9B">
        <w:t>10</w:t>
      </w:r>
      <w:r w:rsidR="004C775C">
        <w:t xml:space="preserve"> </w:t>
      </w:r>
      <w:r w:rsidR="00192EB8" w:rsidRPr="008B0D9B">
        <w:t>de</w:t>
      </w:r>
      <w:r w:rsidR="004C775C">
        <w:t xml:space="preserve"> </w:t>
      </w:r>
      <w:r w:rsidR="00192EB8" w:rsidRPr="008B0D9B">
        <w:t>l’ordre</w:t>
      </w:r>
      <w:r w:rsidR="004C775C">
        <w:t xml:space="preserve"> </w:t>
      </w:r>
      <w:r w:rsidR="00192EB8" w:rsidRPr="008B0D9B">
        <w:t>du</w:t>
      </w:r>
      <w:r w:rsidR="004C775C">
        <w:t xml:space="preserve"> </w:t>
      </w:r>
      <w:r w:rsidR="00192EB8" w:rsidRPr="008B0D9B">
        <w:t>jour)</w:t>
      </w:r>
      <w:r w:rsidRPr="008B0D9B">
        <w:tab/>
      </w:r>
      <w:r w:rsidRPr="008B0D9B">
        <w:tab/>
        <w:t>57</w:t>
      </w:r>
      <w:r w:rsidRPr="008B0D9B">
        <w:tab/>
      </w:r>
      <w:r w:rsidR="00300C28">
        <w:t>15</w:t>
      </w:r>
    </w:p>
    <w:p w14:paraId="62928A90" w14:textId="7BAAD662" w:rsidR="008B0D9B" w:rsidRPr="008B0D9B" w:rsidRDefault="008B0D9B" w:rsidP="008B0D9B">
      <w:pPr>
        <w:tabs>
          <w:tab w:val="right" w:pos="850"/>
          <w:tab w:val="right" w:leader="dot" w:pos="7654"/>
          <w:tab w:val="right" w:pos="8929"/>
          <w:tab w:val="right" w:pos="9638"/>
        </w:tabs>
        <w:spacing w:after="120"/>
        <w:ind w:left="1134" w:hanging="1134"/>
      </w:pPr>
      <w:r w:rsidRPr="008B0D9B">
        <w:tab/>
        <w:t>XIII.</w:t>
      </w:r>
      <w:r w:rsidRPr="008B0D9B">
        <w:tab/>
      </w:r>
      <w:r w:rsidR="00192EB8" w:rsidRPr="008B0D9B">
        <w:t>Questions</w:t>
      </w:r>
      <w:r w:rsidR="004C775C">
        <w:t xml:space="preserve"> </w:t>
      </w:r>
      <w:r w:rsidR="00192EB8" w:rsidRPr="008B0D9B">
        <w:t>diverses</w:t>
      </w:r>
      <w:r w:rsidR="004C775C">
        <w:t xml:space="preserve"> </w:t>
      </w:r>
      <w:r w:rsidR="00192EB8" w:rsidRPr="008B0D9B">
        <w:t>(point</w:t>
      </w:r>
      <w:r w:rsidR="004C775C">
        <w:t xml:space="preserve"> </w:t>
      </w:r>
      <w:r w:rsidR="00192EB8" w:rsidRPr="008B0D9B">
        <w:t>11</w:t>
      </w:r>
      <w:r w:rsidR="004C775C">
        <w:t xml:space="preserve"> </w:t>
      </w:r>
      <w:r w:rsidR="00192EB8" w:rsidRPr="008B0D9B">
        <w:t>de</w:t>
      </w:r>
      <w:r w:rsidR="004C775C">
        <w:t xml:space="preserve"> </w:t>
      </w:r>
      <w:r w:rsidR="00192EB8" w:rsidRPr="008B0D9B">
        <w:t>l’ordre</w:t>
      </w:r>
      <w:r w:rsidR="004C775C">
        <w:t xml:space="preserve"> </w:t>
      </w:r>
      <w:r w:rsidR="00192EB8" w:rsidRPr="008B0D9B">
        <w:t>du</w:t>
      </w:r>
      <w:r w:rsidR="004C775C">
        <w:t xml:space="preserve"> </w:t>
      </w:r>
      <w:r w:rsidR="00192EB8" w:rsidRPr="008B0D9B">
        <w:t>jour)</w:t>
      </w:r>
      <w:r w:rsidRPr="008B0D9B">
        <w:tab/>
      </w:r>
      <w:r w:rsidRPr="008B0D9B">
        <w:tab/>
        <w:t>58−59</w:t>
      </w:r>
      <w:r w:rsidRPr="008B0D9B">
        <w:tab/>
      </w:r>
      <w:r w:rsidR="00300C28">
        <w:t>15</w:t>
      </w:r>
    </w:p>
    <w:p w14:paraId="3D1BD298" w14:textId="447EA3B2" w:rsidR="008B0D9B" w:rsidRPr="008B0D9B" w:rsidRDefault="008B0D9B" w:rsidP="008B0D9B">
      <w:pPr>
        <w:tabs>
          <w:tab w:val="right" w:leader="dot" w:pos="7654"/>
          <w:tab w:val="right" w:pos="8929"/>
          <w:tab w:val="right" w:pos="9638"/>
        </w:tabs>
        <w:spacing w:after="120"/>
        <w:ind w:left="1559" w:hanging="425"/>
      </w:pPr>
      <w:r w:rsidRPr="008B0D9B">
        <w:t>A.</w:t>
      </w:r>
      <w:r w:rsidRPr="008B0D9B">
        <w:tab/>
      </w:r>
      <w:r w:rsidR="00192EB8" w:rsidRPr="008B0D9B">
        <w:t>Demande</w:t>
      </w:r>
      <w:r w:rsidR="004C775C">
        <w:t xml:space="preserve"> </w:t>
      </w:r>
      <w:r w:rsidR="00192EB8" w:rsidRPr="008B0D9B">
        <w:t>de</w:t>
      </w:r>
      <w:r w:rsidR="004C775C">
        <w:t xml:space="preserve"> </w:t>
      </w:r>
      <w:r w:rsidR="00192EB8" w:rsidRPr="008B0D9B">
        <w:t>statut</w:t>
      </w:r>
      <w:r w:rsidR="004C775C">
        <w:t xml:space="preserve"> </w:t>
      </w:r>
      <w:r w:rsidR="00192EB8" w:rsidRPr="008B0D9B">
        <w:t>consultatif</w:t>
      </w:r>
      <w:r w:rsidR="004C775C">
        <w:t xml:space="preserve"> </w:t>
      </w:r>
      <w:r w:rsidR="00192EB8" w:rsidRPr="008B0D9B">
        <w:t>de</w:t>
      </w:r>
      <w:r w:rsidR="004C775C">
        <w:t xml:space="preserve"> </w:t>
      </w:r>
      <w:r w:rsidR="00192EB8" w:rsidRPr="008B0D9B">
        <w:t>l’European</w:t>
      </w:r>
      <w:r w:rsidR="004C775C">
        <w:t xml:space="preserve"> </w:t>
      </w:r>
      <w:r w:rsidR="00192EB8" w:rsidRPr="008B0D9B">
        <w:t>Recycling</w:t>
      </w:r>
      <w:r w:rsidR="004C775C">
        <w:t xml:space="preserve"> </w:t>
      </w:r>
      <w:r w:rsidR="00192EB8" w:rsidRPr="008B0D9B">
        <w:t>Industries’</w:t>
      </w:r>
      <w:r w:rsidR="004C775C">
        <w:t xml:space="preserve"> </w:t>
      </w:r>
      <w:r w:rsidR="00192EB8">
        <w:br/>
      </w:r>
      <w:r w:rsidR="00192EB8" w:rsidRPr="008B0D9B">
        <w:t>Confederation</w:t>
      </w:r>
      <w:r w:rsidR="004C775C">
        <w:t xml:space="preserve"> </w:t>
      </w:r>
      <w:r w:rsidR="00192EB8" w:rsidRPr="008B0D9B">
        <w:t>(EuRIC)</w:t>
      </w:r>
      <w:r w:rsidRPr="008B0D9B">
        <w:tab/>
      </w:r>
      <w:r w:rsidRPr="008B0D9B">
        <w:tab/>
        <w:t>58</w:t>
      </w:r>
      <w:r w:rsidRPr="008B0D9B">
        <w:tab/>
      </w:r>
      <w:r w:rsidR="00300C28">
        <w:t>15</w:t>
      </w:r>
    </w:p>
    <w:p w14:paraId="6F6AE5CF" w14:textId="0D0D2767" w:rsidR="008B0D9B" w:rsidRPr="008B0D9B" w:rsidRDefault="008B0D9B" w:rsidP="008B0D9B">
      <w:pPr>
        <w:tabs>
          <w:tab w:val="right" w:leader="dot" w:pos="7654"/>
          <w:tab w:val="right" w:pos="8929"/>
          <w:tab w:val="right" w:pos="9638"/>
        </w:tabs>
        <w:spacing w:after="120"/>
        <w:ind w:left="1559" w:hanging="425"/>
      </w:pPr>
      <w:r w:rsidRPr="008B0D9B">
        <w:t>B.</w:t>
      </w:r>
      <w:r w:rsidRPr="008B0D9B">
        <w:tab/>
      </w:r>
      <w:r w:rsidR="00192EB8" w:rsidRPr="008B0D9B">
        <w:t>Hommage</w:t>
      </w:r>
      <w:r w:rsidR="004C775C">
        <w:t xml:space="preserve"> </w:t>
      </w:r>
      <w:r w:rsidR="00192EB8" w:rsidRPr="008B0D9B">
        <w:t>à</w:t>
      </w:r>
      <w:r w:rsidR="004C775C">
        <w:t xml:space="preserve"> </w:t>
      </w:r>
      <w:r w:rsidR="00192EB8" w:rsidRPr="008B0D9B">
        <w:t>M.</w:t>
      </w:r>
      <w:r w:rsidR="00FD237C">
        <w:t> </w:t>
      </w:r>
      <w:r w:rsidR="00192EB8" w:rsidRPr="008B0D9B">
        <w:t>E.</w:t>
      </w:r>
      <w:r w:rsidR="004C775C">
        <w:t xml:space="preserve"> </w:t>
      </w:r>
      <w:r w:rsidR="00192EB8" w:rsidRPr="008B0D9B">
        <w:t>Sigrist</w:t>
      </w:r>
      <w:r w:rsidR="004C775C">
        <w:t xml:space="preserve"> </w:t>
      </w:r>
      <w:r w:rsidR="00192EB8" w:rsidRPr="008B0D9B">
        <w:t>(Cefic)</w:t>
      </w:r>
      <w:r w:rsidRPr="008B0D9B">
        <w:tab/>
      </w:r>
      <w:r w:rsidRPr="008B0D9B">
        <w:tab/>
        <w:t>59</w:t>
      </w:r>
      <w:r w:rsidRPr="008B0D9B">
        <w:tab/>
      </w:r>
      <w:r w:rsidR="00300C28">
        <w:t>15</w:t>
      </w:r>
    </w:p>
    <w:p w14:paraId="2ADAB2B2" w14:textId="325B7D0A" w:rsidR="008B0D9B" w:rsidRPr="008B0D9B" w:rsidRDefault="008B0D9B" w:rsidP="008B0D9B">
      <w:pPr>
        <w:tabs>
          <w:tab w:val="right" w:pos="850"/>
          <w:tab w:val="right" w:leader="dot" w:pos="7654"/>
          <w:tab w:val="right" w:pos="8929"/>
          <w:tab w:val="right" w:pos="9638"/>
        </w:tabs>
        <w:spacing w:after="120"/>
        <w:ind w:left="1134" w:hanging="1134"/>
      </w:pPr>
      <w:r w:rsidRPr="008B0D9B">
        <w:tab/>
        <w:t>XIV.</w:t>
      </w:r>
      <w:r w:rsidRPr="008B0D9B">
        <w:tab/>
      </w:r>
      <w:r w:rsidR="00192EB8" w:rsidRPr="008B0D9B">
        <w:t>Adoption</w:t>
      </w:r>
      <w:r w:rsidR="004C775C">
        <w:t xml:space="preserve"> </w:t>
      </w:r>
      <w:r w:rsidR="00192EB8" w:rsidRPr="008B0D9B">
        <w:t>du</w:t>
      </w:r>
      <w:r w:rsidR="004C775C">
        <w:t xml:space="preserve"> </w:t>
      </w:r>
      <w:r w:rsidR="00192EB8" w:rsidRPr="008B0D9B">
        <w:t>rapport</w:t>
      </w:r>
      <w:r w:rsidR="004C775C">
        <w:t xml:space="preserve"> </w:t>
      </w:r>
      <w:r w:rsidR="00192EB8" w:rsidRPr="008B0D9B">
        <w:t>(point</w:t>
      </w:r>
      <w:r w:rsidR="004C775C">
        <w:t xml:space="preserve"> </w:t>
      </w:r>
      <w:r w:rsidR="00192EB8" w:rsidRPr="008B0D9B">
        <w:t>12</w:t>
      </w:r>
      <w:r w:rsidR="004C775C">
        <w:t xml:space="preserve"> </w:t>
      </w:r>
      <w:r w:rsidR="00192EB8" w:rsidRPr="008B0D9B">
        <w:t>de</w:t>
      </w:r>
      <w:r w:rsidR="004C775C">
        <w:t xml:space="preserve"> </w:t>
      </w:r>
      <w:r w:rsidR="00192EB8" w:rsidRPr="008B0D9B">
        <w:t>l’ordre</w:t>
      </w:r>
      <w:r w:rsidR="004C775C">
        <w:t xml:space="preserve"> </w:t>
      </w:r>
      <w:r w:rsidR="00192EB8" w:rsidRPr="008B0D9B">
        <w:t>du</w:t>
      </w:r>
      <w:r w:rsidR="004C775C">
        <w:t xml:space="preserve"> </w:t>
      </w:r>
      <w:r w:rsidR="00192EB8" w:rsidRPr="008B0D9B">
        <w:t>jour)</w:t>
      </w:r>
      <w:r w:rsidRPr="008B0D9B">
        <w:tab/>
      </w:r>
      <w:r w:rsidRPr="008B0D9B">
        <w:tab/>
        <w:t>60</w:t>
      </w:r>
      <w:r w:rsidRPr="008B0D9B">
        <w:tab/>
      </w:r>
      <w:r w:rsidR="00300C28">
        <w:t>15</w:t>
      </w:r>
    </w:p>
    <w:p w14:paraId="4F8C38CB" w14:textId="15451E49" w:rsidR="00DE2765" w:rsidRPr="008B0D9B" w:rsidRDefault="00DE2765" w:rsidP="00DE2765">
      <w:pPr>
        <w:tabs>
          <w:tab w:val="right" w:pos="850"/>
        </w:tabs>
        <w:spacing w:after="120"/>
      </w:pPr>
      <w:r w:rsidRPr="008B0D9B">
        <w:tab/>
        <w:t>Annexes</w:t>
      </w:r>
    </w:p>
    <w:p w14:paraId="28ABD39D" w14:textId="38544719" w:rsidR="00DE2765" w:rsidRPr="008B0D9B" w:rsidRDefault="00DE2765" w:rsidP="00DE2765">
      <w:pPr>
        <w:tabs>
          <w:tab w:val="right" w:pos="850"/>
          <w:tab w:val="right" w:leader="dot" w:pos="8787"/>
          <w:tab w:val="right" w:pos="9638"/>
        </w:tabs>
        <w:spacing w:after="120"/>
        <w:ind w:left="1134" w:hanging="1134"/>
      </w:pPr>
      <w:r w:rsidRPr="008B0D9B">
        <w:tab/>
        <w:t>I.</w:t>
      </w:r>
      <w:r w:rsidRPr="008B0D9B">
        <w:tab/>
        <w:t>Rapport</w:t>
      </w:r>
      <w:r w:rsidR="004C775C">
        <w:t xml:space="preserve"> </w:t>
      </w:r>
      <w:r w:rsidRPr="008B0D9B">
        <w:t>du</w:t>
      </w:r>
      <w:r w:rsidR="004C775C">
        <w:t xml:space="preserve"> </w:t>
      </w:r>
      <w:r w:rsidRPr="008B0D9B">
        <w:t>Groupe</w:t>
      </w:r>
      <w:r w:rsidR="004C775C">
        <w:t xml:space="preserve"> </w:t>
      </w:r>
      <w:r w:rsidRPr="008B0D9B">
        <w:t>de</w:t>
      </w:r>
      <w:r w:rsidR="004C775C">
        <w:t xml:space="preserve"> </w:t>
      </w:r>
      <w:r w:rsidRPr="008B0D9B">
        <w:t>travail</w:t>
      </w:r>
      <w:r w:rsidR="004C775C">
        <w:t xml:space="preserve"> </w:t>
      </w:r>
      <w:r w:rsidRPr="008B0D9B">
        <w:t>des</w:t>
      </w:r>
      <w:r w:rsidR="004C775C">
        <w:t xml:space="preserve"> </w:t>
      </w:r>
      <w:r w:rsidRPr="008B0D9B">
        <w:t>citernes</w:t>
      </w:r>
      <w:r w:rsidRPr="00192EB8">
        <w:rPr>
          <w:rStyle w:val="FootnoteReference"/>
          <w:sz w:val="20"/>
          <w:vertAlign w:val="baseline"/>
        </w:rPr>
        <w:footnoteReference w:customMarkFollows="1" w:id="3"/>
        <w:t>**</w:t>
      </w:r>
      <w:r w:rsidRPr="008B0D9B">
        <w:tab/>
      </w:r>
      <w:r w:rsidRPr="008B0D9B">
        <w:tab/>
      </w:r>
      <w:r w:rsidR="00192EB8">
        <w:t>16</w:t>
      </w:r>
    </w:p>
    <w:p w14:paraId="224193DB" w14:textId="14AF1A58" w:rsidR="008B0D9B" w:rsidRPr="008B0D9B" w:rsidRDefault="008B0D9B" w:rsidP="008B0D9B">
      <w:pPr>
        <w:tabs>
          <w:tab w:val="right" w:pos="850"/>
          <w:tab w:val="right" w:leader="dot" w:pos="8787"/>
          <w:tab w:val="right" w:pos="9638"/>
        </w:tabs>
        <w:spacing w:after="120"/>
        <w:ind w:left="1134" w:hanging="1134"/>
      </w:pPr>
      <w:r w:rsidRPr="008B0D9B">
        <w:tab/>
        <w:t>II.</w:t>
      </w:r>
      <w:r w:rsidRPr="008B0D9B">
        <w:tab/>
        <w:t>Textes</w:t>
      </w:r>
      <w:r w:rsidR="004C775C">
        <w:t xml:space="preserve"> </w:t>
      </w:r>
      <w:r w:rsidRPr="008B0D9B">
        <w:t>adoptés</w:t>
      </w:r>
      <w:r w:rsidRPr="008B0D9B">
        <w:tab/>
      </w:r>
      <w:r w:rsidRPr="008B0D9B">
        <w:tab/>
      </w:r>
      <w:r w:rsidR="00192EB8">
        <w:t>17</w:t>
      </w:r>
    </w:p>
    <w:p w14:paraId="3D4F930B" w14:textId="77777777" w:rsidR="00DE2765" w:rsidRPr="008B0D9B" w:rsidRDefault="00DE2765" w:rsidP="00DE2765">
      <w:pPr>
        <w:tabs>
          <w:tab w:val="right" w:pos="850"/>
          <w:tab w:val="left" w:pos="1134"/>
          <w:tab w:val="left" w:pos="1559"/>
          <w:tab w:val="left" w:pos="1984"/>
          <w:tab w:val="left" w:leader="dot" w:pos="7654"/>
          <w:tab w:val="right" w:pos="8929"/>
          <w:tab w:val="right" w:pos="9638"/>
        </w:tabs>
      </w:pPr>
      <w:r w:rsidRPr="008B0D9B">
        <w:tab/>
      </w:r>
      <w:r w:rsidRPr="008B0D9B">
        <w:br w:type="page"/>
      </w:r>
    </w:p>
    <w:p w14:paraId="26830EF5" w14:textId="77777777" w:rsidR="00DE2765" w:rsidRPr="008B0D9B" w:rsidRDefault="00DE2765" w:rsidP="00DE2765">
      <w:pPr>
        <w:pStyle w:val="HChG"/>
      </w:pPr>
      <w:r w:rsidRPr="008B0D9B">
        <w:lastRenderedPageBreak/>
        <w:tab/>
        <w:t>I.</w:t>
      </w:r>
      <w:r w:rsidRPr="008B0D9B">
        <w:tab/>
        <w:t>Participation</w:t>
      </w:r>
    </w:p>
    <w:p w14:paraId="0CE1A4D3" w14:textId="2F4FFED7" w:rsidR="00DE2765" w:rsidRPr="008B0D9B" w:rsidRDefault="00DE2765" w:rsidP="00DE2765">
      <w:pPr>
        <w:pStyle w:val="SingleTxtG"/>
      </w:pPr>
      <w:r w:rsidRPr="008B0D9B">
        <w:t>1.</w:t>
      </w:r>
      <w:r w:rsidRPr="008B0D9B">
        <w:tab/>
        <w:t>La Réunion commune de la Commission d’experts du RID et du Groupe de travail des transports de marchandises dangereuses de la Commission économique pour l’Europe s’est tenue à Genève du 21</w:t>
      </w:r>
      <w:r w:rsidR="008B0D9B">
        <w:t> </w:t>
      </w:r>
      <w:r w:rsidRPr="008B0D9B">
        <w:t>septembre au 1</w:t>
      </w:r>
      <w:r w:rsidRPr="008B0D9B">
        <w:rPr>
          <w:vertAlign w:val="superscript"/>
        </w:rPr>
        <w:t>er</w:t>
      </w:r>
      <w:r w:rsidR="008B0D9B">
        <w:t> </w:t>
      </w:r>
      <w:r w:rsidRPr="008B0D9B">
        <w:t>octobre 2021, sous la présidence de M.</w:t>
      </w:r>
      <w:r w:rsidR="008B0D9B">
        <w:t> </w:t>
      </w:r>
      <w:r w:rsidRPr="008B0D9B">
        <w:t>C.</w:t>
      </w:r>
      <w:r w:rsidR="00FD237C">
        <w:t> </w:t>
      </w:r>
      <w:r w:rsidRPr="008B0D9B">
        <w:t xml:space="preserve">Pfauvadel (France) et la vice-présidence de </w:t>
      </w:r>
      <w:r w:rsidR="008B0D9B">
        <w:t>M</w:t>
      </w:r>
      <w:r w:rsidR="008B0D9B">
        <w:rPr>
          <w:vertAlign w:val="superscript"/>
        </w:rPr>
        <w:t>me</w:t>
      </w:r>
      <w:r w:rsidR="008B0D9B">
        <w:t> </w:t>
      </w:r>
      <w:r w:rsidRPr="008B0D9B">
        <w:t>S. García Wolfrum (Espagne).</w:t>
      </w:r>
    </w:p>
    <w:p w14:paraId="477CE1A2" w14:textId="02D4B02C" w:rsidR="00DE2765" w:rsidRPr="008B0D9B" w:rsidRDefault="00DE2765" w:rsidP="00DE2765">
      <w:pPr>
        <w:pStyle w:val="SingleTxtG"/>
      </w:pPr>
      <w:r w:rsidRPr="008B0D9B">
        <w:t>2.</w:t>
      </w:r>
      <w:r w:rsidRPr="008B0D9B">
        <w:tab/>
        <w:t xml:space="preserve">Conformément à l’alinéa a) de l’article </w:t>
      </w:r>
      <w:r w:rsidR="00FD237C">
        <w:t xml:space="preserve">1 </w:t>
      </w:r>
      <w:r w:rsidRPr="008B0D9B">
        <w:t xml:space="preserve">du </w:t>
      </w:r>
      <w:r w:rsidR="008B0D9B" w:rsidRPr="008B0D9B">
        <w:t xml:space="preserve">Règlement </w:t>
      </w:r>
      <w:r w:rsidRPr="008B0D9B">
        <w:t>intérieur de la Réunion commune (ECE/TRANS/WP.15/AC.1/112/Add.2), les représentants des pays suivants ont participé de plein droit à la session : Allemagne, Autriche, Belgique, Danemark, Espagne, États-Unis d’Amérique, Fédération de Russie, Finlande, France, Irlande, Italie, Lettonie, Luxembourg, Norvège, Pays-Bas, Pologne, Portugal, République de Moldova, Royaume-Uni de Grande-Bretagne et d’Irlande du Nord, Slovénie, Suède, Suisse, Tchéquie et Turquie.</w:t>
      </w:r>
    </w:p>
    <w:p w14:paraId="1CE8D96C" w14:textId="0A5A7B86" w:rsidR="00DE2765" w:rsidRPr="008B0D9B" w:rsidRDefault="00DE2765" w:rsidP="008B0D9B">
      <w:pPr>
        <w:pStyle w:val="SingleTxtG"/>
        <w:keepNext/>
      </w:pPr>
      <w:r w:rsidRPr="008B0D9B">
        <w:t>3.</w:t>
      </w:r>
      <w:r w:rsidRPr="008B0D9B">
        <w:tab/>
        <w:t>Conformément aux alinéas c) et d) de l’article 1 du règlement intérieur, étaient représentées à titre consultatif :</w:t>
      </w:r>
    </w:p>
    <w:p w14:paraId="2BE9C859" w14:textId="1F78E97F" w:rsidR="00DE2765" w:rsidRPr="008B0D9B" w:rsidRDefault="00DE2765" w:rsidP="00DE2765">
      <w:pPr>
        <w:pStyle w:val="SingleTxtG"/>
        <w:ind w:firstLine="567"/>
      </w:pPr>
      <w:r w:rsidRPr="008B0D9B">
        <w:t>a)</w:t>
      </w:r>
      <w:r w:rsidRPr="008B0D9B">
        <w:tab/>
        <w:t>L’Union européenne (Commission européenne et Agence de l’Union européenne pour les chemins de fer) ;</w:t>
      </w:r>
    </w:p>
    <w:p w14:paraId="42B7B614" w14:textId="06822B56" w:rsidR="00DE2765" w:rsidRPr="008B0D9B" w:rsidRDefault="00DE2765" w:rsidP="00DE2765">
      <w:pPr>
        <w:pStyle w:val="SingleTxtG"/>
        <w:ind w:firstLine="567"/>
      </w:pPr>
      <w:r w:rsidRPr="008B0D9B">
        <w:t>b)</w:t>
      </w:r>
      <w:r w:rsidRPr="008B0D9B">
        <w:tab/>
        <w:t xml:space="preserve">Les organisations non gouvernementales internationales suivantes : </w:t>
      </w:r>
      <w:r w:rsidRPr="008B0D9B">
        <w:rPr>
          <w:lang w:val="en-GB"/>
        </w:rPr>
        <w:t xml:space="preserve">Council on Safe Transportation of Hazardous Articles (COSTHA), International Association of Dangerous Goods Safety Advisers (IASA), European Chemical Industry Council (Cefic), </w:t>
      </w:r>
      <w:r w:rsidRPr="008B0D9B">
        <w:t xml:space="preserve">Comité européen de normalisation (CEN), Conférence européenne des négociants en combustibles et carburants (CENCC), Conseil européen de l’industrie des peintures, des encres d’imprimerie et des couleurs d’art (CEPE), Association européenne des gaz industriels (EIGA), </w:t>
      </w:r>
      <w:r w:rsidRPr="008B0D9B">
        <w:rPr>
          <w:lang w:val="en-GB"/>
        </w:rPr>
        <w:t>European Recycling Industries’ Confederation (EuRIC),</w:t>
      </w:r>
      <w:r w:rsidRPr="008B0D9B">
        <w:t xml:space="preserve"> Fuels Europe, Association internationale de la construction de carrosseries et de remorques (CLCCR), Association internationale des marchandises dangereuses et des conteneurs (IDGCA), Organisation internationale des constructeurs d’automobiles (OICA), Union internationale des transports routiers (IRU), International </w:t>
      </w:r>
      <w:r w:rsidRPr="008B0D9B">
        <w:rPr>
          <w:lang w:val="en-GB"/>
        </w:rPr>
        <w:t>Confederation of Container Reconditioners</w:t>
      </w:r>
      <w:r w:rsidRPr="008B0D9B">
        <w:t xml:space="preserve"> (ICCR), Organisation internationale des conteneurs-citernes (ITCO), </w:t>
      </w:r>
      <w:r w:rsidRPr="00FD237C">
        <w:rPr>
          <w:lang w:val="en-GB"/>
        </w:rPr>
        <w:t>Liquid Gas Europe (European LPG Association</w:t>
      </w:r>
      <w:r w:rsidRPr="008B0D9B">
        <w:t>), Association mondiale du GPL, Union internationale des wagons privés (UIP) et Union internationale des chemins de fer (UIC).</w:t>
      </w:r>
    </w:p>
    <w:p w14:paraId="1CD0FC81" w14:textId="77777777" w:rsidR="00DE2765" w:rsidRPr="008B0D9B" w:rsidRDefault="00DE2765" w:rsidP="00DE2765">
      <w:pPr>
        <w:pStyle w:val="HChG"/>
      </w:pPr>
      <w:r w:rsidRPr="008B0D9B">
        <w:tab/>
        <w:t>II.</w:t>
      </w:r>
      <w:r w:rsidRPr="008B0D9B">
        <w:tab/>
        <w:t>Questions d’organisation</w:t>
      </w:r>
    </w:p>
    <w:p w14:paraId="18738F2C" w14:textId="0BBDB4FD" w:rsidR="00DE2765" w:rsidRPr="00BA0A02" w:rsidRDefault="00DE2765" w:rsidP="00DE2765">
      <w:pPr>
        <w:pStyle w:val="SingleTxtG"/>
        <w:rPr>
          <w:spacing w:val="-2"/>
        </w:rPr>
      </w:pPr>
      <w:r w:rsidRPr="00BA0A02">
        <w:rPr>
          <w:spacing w:val="-2"/>
        </w:rPr>
        <w:t>4.</w:t>
      </w:r>
      <w:r w:rsidRPr="00BA0A02">
        <w:rPr>
          <w:spacing w:val="-2"/>
        </w:rPr>
        <w:tab/>
        <w:t xml:space="preserve">La Réunion commune a été informée qu’en raison des mesures de lutte contre la COVID-19, des contraintes financières découlant de la crise de liquidités à laquelle l’Organisation des Nations Unies est confrontée, des travaux de rénovation en cours au Palais des Nations dans le cadre du Plan stratégique patrimonial et des contraintes techniques liées au nombre de salles de réunion disponibles pour les réunions hybrides, le nombre de sessions avec interprétation alloué à la Commission économique pour l’Europe avait été réduit, passant de trois par jour en parallèle, ce qui était la norme, à une seule par jour pour le premier semestre 2021. En outre, pour les réunions hybrides, la durée des séances était de </w:t>
      </w:r>
      <w:r w:rsidR="00FD237C">
        <w:rPr>
          <w:spacing w:val="-2"/>
        </w:rPr>
        <w:t xml:space="preserve">deux </w:t>
      </w:r>
      <w:r w:rsidRPr="00BA0A02">
        <w:rPr>
          <w:spacing w:val="-2"/>
        </w:rPr>
        <w:t>heures au lieu de</w:t>
      </w:r>
      <w:r w:rsidR="00BA0A02">
        <w:rPr>
          <w:spacing w:val="-2"/>
        </w:rPr>
        <w:t xml:space="preserve"> </w:t>
      </w:r>
      <w:r w:rsidR="00FD237C">
        <w:rPr>
          <w:spacing w:val="-2"/>
        </w:rPr>
        <w:t>trois</w:t>
      </w:r>
      <w:r w:rsidRPr="00BA0A02">
        <w:rPr>
          <w:spacing w:val="-2"/>
        </w:rPr>
        <w:t>. Plusieurs réunions avaient ainsi été annulées ou reportées au cours du premier semestre.</w:t>
      </w:r>
    </w:p>
    <w:p w14:paraId="24484834" w14:textId="18A36679" w:rsidR="00DE2765" w:rsidRPr="008B0D9B" w:rsidRDefault="00DE2765" w:rsidP="00DE2765">
      <w:pPr>
        <w:pStyle w:val="SingleTxtG"/>
      </w:pPr>
      <w:r w:rsidRPr="008B0D9B">
        <w:t>5.</w:t>
      </w:r>
      <w:r w:rsidRPr="008B0D9B">
        <w:tab/>
        <w:t>À partir du mois de juillet, l’Organisation des Nations Unies a partiellement levé les restrictions sanitaires et s’est employée à rétablir une situation «</w:t>
      </w:r>
      <w:r w:rsidR="00BA0A02">
        <w:t> </w:t>
      </w:r>
      <w:r w:rsidRPr="008B0D9B">
        <w:t>normale</w:t>
      </w:r>
      <w:r w:rsidR="00BA0A02">
        <w:t> </w:t>
      </w:r>
      <w:r w:rsidRPr="008B0D9B">
        <w:t>» dès que possible. La Réunion commune a été informée que la CEE continuerait, pour protéger la santé publique, d’organiser des sessions hybrides (permettant de participer à distance ou en personne) jusqu’à la fin du mois de décembre 2021. Il est de nouveau possible de tenir trois séances hybrides par jour en parallèle, mais sous certaines conditions, telles que la distanciation physique dans les salles de conférence et le port d’un masque par les participants physiquement présents. En outre, les séances hybrides du matin ou de l’après-midi peuvent à nouveau durer trois heures, mais cela a une incidence budgétaire considérable.</w:t>
      </w:r>
    </w:p>
    <w:p w14:paraId="0406B5BB" w14:textId="4391E591" w:rsidR="00DE2765" w:rsidRPr="008B0D9B" w:rsidRDefault="00DE2765" w:rsidP="00DE2765">
      <w:pPr>
        <w:pStyle w:val="SingleTxtG"/>
      </w:pPr>
      <w:r w:rsidRPr="008B0D9B">
        <w:t>6.</w:t>
      </w:r>
      <w:r w:rsidRPr="008B0D9B">
        <w:tab/>
        <w:t xml:space="preserve">Compte tenu de ces facteurs, ainsi que des mesures de restriction des déplacements toujours en vigueur dans certains pays et certaines régions, et après consultation du </w:t>
      </w:r>
      <w:r w:rsidR="00FD237C" w:rsidRPr="008B0D9B">
        <w:t xml:space="preserve">secrétariat </w:t>
      </w:r>
      <w:r w:rsidRPr="008B0D9B">
        <w:t>et des Services de conférence de l’Office des Nations Unies à Genève, le Bureau de la Réunion commune a accepté une fois encore d’adapter le déroulement de sa session.</w:t>
      </w:r>
    </w:p>
    <w:p w14:paraId="10767B50" w14:textId="77777777" w:rsidR="00DE2765" w:rsidRPr="008B0D9B" w:rsidRDefault="00DE2765" w:rsidP="00DE2765">
      <w:pPr>
        <w:pStyle w:val="HChG"/>
      </w:pPr>
      <w:r w:rsidRPr="008B0D9B">
        <w:lastRenderedPageBreak/>
        <w:tab/>
        <w:t>III.</w:t>
      </w:r>
      <w:r w:rsidRPr="008B0D9B">
        <w:tab/>
        <w:t>Adoption de l’ordre du jour (point 1 de l’ordre du jour)</w:t>
      </w:r>
    </w:p>
    <w:p w14:paraId="47DE2501" w14:textId="76ED1EEB" w:rsidR="00DE2765" w:rsidRPr="008B0D9B" w:rsidRDefault="00DE2765" w:rsidP="009C51FF">
      <w:pPr>
        <w:pStyle w:val="SingleTxtG"/>
        <w:keepNext/>
        <w:ind w:left="3119" w:hanging="1985"/>
        <w:jc w:val="left"/>
      </w:pPr>
      <w:r w:rsidRPr="008B0D9B">
        <w:rPr>
          <w:i/>
          <w:iCs/>
        </w:rPr>
        <w:t>Documents </w:t>
      </w:r>
      <w:r w:rsidRPr="00BA0A02">
        <w:t>:</w:t>
      </w:r>
      <w:r w:rsidRPr="008B0D9B">
        <w:tab/>
        <w:t>ECE/TRANS/WP.15/AC.1/161</w:t>
      </w:r>
      <w:r w:rsidR="00BA0A02">
        <w:t>,</w:t>
      </w:r>
      <w:r w:rsidR="00BA0A02">
        <w:br/>
      </w:r>
      <w:r w:rsidRPr="008B0D9B">
        <w:t>ECE/TRANS/WP.15/AC.1/161/Add.1</w:t>
      </w:r>
      <w:r w:rsidR="00BA0A02">
        <w:t>.</w:t>
      </w:r>
    </w:p>
    <w:p w14:paraId="303E6A16" w14:textId="71FC4B99" w:rsidR="00DE2765" w:rsidRPr="008B0D9B" w:rsidRDefault="00DE2765" w:rsidP="009C51FF">
      <w:pPr>
        <w:pStyle w:val="SingleTxtG"/>
        <w:keepNext/>
        <w:ind w:left="3119" w:hanging="1985"/>
        <w:jc w:val="left"/>
        <w:rPr>
          <w:iCs/>
        </w:rPr>
      </w:pPr>
      <w:r w:rsidRPr="008B0D9B">
        <w:rPr>
          <w:i/>
          <w:iCs/>
        </w:rPr>
        <w:t>Documents informels </w:t>
      </w:r>
      <w:r w:rsidRPr="00BA0A02">
        <w:t>:</w:t>
      </w:r>
      <w:r w:rsidRPr="008B0D9B">
        <w:tab/>
        <w:t>INF.1, INF.2 et INF.22 (secrétariat)</w:t>
      </w:r>
      <w:r w:rsidR="00BA0A02">
        <w:t>.</w:t>
      </w:r>
    </w:p>
    <w:p w14:paraId="657895D9" w14:textId="77777777" w:rsidR="00DE2765" w:rsidRPr="008B0D9B" w:rsidRDefault="00DE2765" w:rsidP="00DE2765">
      <w:pPr>
        <w:pStyle w:val="SingleTxtG"/>
      </w:pPr>
      <w:r w:rsidRPr="008B0D9B">
        <w:t>7.</w:t>
      </w:r>
      <w:r w:rsidRPr="008B0D9B">
        <w:tab/>
        <w:t>La Réunion commune a adopté l’ordre du jour proposé par le secrétariat dans le document ECE/TRANS/WP.15/AC.1/161 et son additif 1, tels qu’actualisés par le document informel INF.2, après l’avoir modifié afin de prendre en compte les documents informels INF.1 à INF.51.</w:t>
      </w:r>
    </w:p>
    <w:p w14:paraId="5E198716" w14:textId="77777777" w:rsidR="00DE2765" w:rsidRPr="008B0D9B" w:rsidRDefault="00DE2765" w:rsidP="00DE2765">
      <w:pPr>
        <w:pStyle w:val="HChG"/>
      </w:pPr>
      <w:r w:rsidRPr="008B0D9B">
        <w:tab/>
        <w:t>IV.</w:t>
      </w:r>
      <w:r w:rsidRPr="008B0D9B">
        <w:tab/>
        <w:t>Citernes (point 2 de l’ordre du jour)</w:t>
      </w:r>
    </w:p>
    <w:p w14:paraId="144457FF" w14:textId="2D4CAFAD" w:rsidR="00DE2765" w:rsidRPr="008B0D9B" w:rsidRDefault="00DE2765" w:rsidP="009C51FF">
      <w:pPr>
        <w:pStyle w:val="SingleTxtG"/>
        <w:keepNext/>
        <w:ind w:left="3119" w:hanging="1985"/>
        <w:jc w:val="left"/>
      </w:pPr>
      <w:r w:rsidRPr="008B0D9B">
        <w:rPr>
          <w:i/>
          <w:iCs/>
        </w:rPr>
        <w:t>Documents </w:t>
      </w:r>
      <w:r w:rsidRPr="00BA0A02">
        <w:t>:</w:t>
      </w:r>
      <w:r w:rsidRPr="008B0D9B">
        <w:tab/>
        <w:t>ECE/TRANS/WP.15/AC.1/2021/23/Rev.1 (Royaume-Uni)</w:t>
      </w:r>
      <w:r w:rsidR="00BA0A02">
        <w:t>,</w:t>
      </w:r>
      <w:r w:rsidR="00BA0A02">
        <w:br/>
      </w:r>
      <w:r w:rsidRPr="008B0D9B">
        <w:t>ECE/TRANS/WP.15/AC.1/2021/24/Add.1 (secrétariat)</w:t>
      </w:r>
      <w:r w:rsidR="00BA0A02">
        <w:t>,</w:t>
      </w:r>
      <w:r w:rsidR="00BA0A02">
        <w:br/>
      </w:r>
      <w:r w:rsidRPr="008B0D9B">
        <w:t>ECE/TRANS/WP.15/AC.1/2021/27 (UIP)</w:t>
      </w:r>
      <w:r w:rsidR="00BA0A02">
        <w:t>,</w:t>
      </w:r>
      <w:r w:rsidR="00BA0A02">
        <w:br/>
      </w:r>
      <w:r w:rsidRPr="008B0D9B">
        <w:t>ECE/TRANS/WP.15/AC.1/2021/29 (UIC)</w:t>
      </w:r>
      <w:r w:rsidR="00BA0A02">
        <w:t>,</w:t>
      </w:r>
      <w:r w:rsidR="00BA0A02">
        <w:br/>
      </w:r>
      <w:r w:rsidRPr="008B0D9B">
        <w:t>ECE/TRANS/WP.15/AC.1/2021/34 (Suisse)</w:t>
      </w:r>
      <w:r w:rsidR="00BA0A02">
        <w:t>,</w:t>
      </w:r>
      <w:r w:rsidR="00BA0A02">
        <w:br/>
      </w:r>
      <w:r w:rsidRPr="008B0D9B">
        <w:t>ECE/TRANS/WP.15/AC.1/2021/36 (Liquid Gas Europe)</w:t>
      </w:r>
      <w:r w:rsidR="00BA0A02">
        <w:t>,</w:t>
      </w:r>
      <w:r w:rsidR="00BA0A02">
        <w:br/>
      </w:r>
      <w:r w:rsidRPr="008B0D9B">
        <w:t>ECE/TRANS/WP.15/AC.1/2021/42 (Pays-Bas)</w:t>
      </w:r>
      <w:r w:rsidR="00BA0A02">
        <w:t>,</w:t>
      </w:r>
      <w:r w:rsidR="00BA0A02">
        <w:br/>
      </w:r>
      <w:r w:rsidRPr="008B0D9B">
        <w:t>ECE/TRANS/WP.15/AC.1/2021/43 (France)</w:t>
      </w:r>
      <w:r w:rsidR="00BA0A02">
        <w:t>,</w:t>
      </w:r>
      <w:r w:rsidR="00BA0A02">
        <w:br/>
      </w:r>
      <w:r w:rsidRPr="008B0D9B">
        <w:t>ECE/TRANS/WP.15/AC.1/160, annexe II (secrétariat)</w:t>
      </w:r>
      <w:r w:rsidR="00BA0A02">
        <w:t>,</w:t>
      </w:r>
      <w:r w:rsidR="00BA0A02">
        <w:br/>
      </w:r>
      <w:r w:rsidRPr="008B0D9B">
        <w:t>ECE/TRANS/WP.15/AC.1/160/Add.1 (Rapport du Groupe de travail sur les citernes)</w:t>
      </w:r>
      <w:r w:rsidR="00BA0A02">
        <w:t>.</w:t>
      </w:r>
    </w:p>
    <w:p w14:paraId="1CACED89" w14:textId="0BD60A10" w:rsidR="00DE2765" w:rsidRPr="008B0D9B" w:rsidRDefault="00DE2765" w:rsidP="009C51FF">
      <w:pPr>
        <w:pStyle w:val="SingleTxtG"/>
        <w:keepNext/>
        <w:ind w:left="3119" w:hanging="1985"/>
        <w:jc w:val="left"/>
      </w:pPr>
      <w:r w:rsidRPr="008B0D9B">
        <w:rPr>
          <w:i/>
          <w:iCs/>
        </w:rPr>
        <w:t>Documents informels </w:t>
      </w:r>
      <w:r w:rsidRPr="00BA0A02">
        <w:t>:</w:t>
      </w:r>
      <w:r w:rsidRPr="008B0D9B">
        <w:tab/>
        <w:t>INF.3 (Pays-Bas)</w:t>
      </w:r>
      <w:r w:rsidR="00BA0A02">
        <w:t>,</w:t>
      </w:r>
      <w:r w:rsidR="00BA0A02">
        <w:br/>
      </w:r>
      <w:r w:rsidRPr="008B0D9B">
        <w:t>INF.5 (CTIF)</w:t>
      </w:r>
      <w:r w:rsidR="00BA0A02">
        <w:t>,</w:t>
      </w:r>
      <w:r w:rsidR="00BA0A02">
        <w:br/>
      </w:r>
      <w:r w:rsidRPr="008B0D9B">
        <w:t>INF.6 (CLCCR)</w:t>
      </w:r>
      <w:r w:rsidR="00BA0A02">
        <w:t>,</w:t>
      </w:r>
      <w:r w:rsidR="00BA0A02">
        <w:br/>
      </w:r>
      <w:r w:rsidRPr="008B0D9B">
        <w:t>INF.10 (Pologne)</w:t>
      </w:r>
      <w:r w:rsidR="00BA0A02">
        <w:t>,</w:t>
      </w:r>
      <w:r w:rsidR="00BA0A02">
        <w:br/>
      </w:r>
      <w:r w:rsidRPr="008B0D9B">
        <w:t>INF.11 (UIP)</w:t>
      </w:r>
      <w:r w:rsidR="00BA0A02">
        <w:t>,</w:t>
      </w:r>
      <w:r w:rsidR="00BA0A02">
        <w:br/>
      </w:r>
      <w:r w:rsidRPr="008B0D9B">
        <w:t>INF.13 (CEN)</w:t>
      </w:r>
      <w:r w:rsidR="00BA0A02">
        <w:t>,</w:t>
      </w:r>
      <w:r w:rsidR="00BA0A02">
        <w:br/>
      </w:r>
      <w:r w:rsidRPr="008B0D9B">
        <w:t>INF.17 (Suisse)</w:t>
      </w:r>
      <w:r w:rsidR="00BA0A02">
        <w:t>,</w:t>
      </w:r>
      <w:r w:rsidR="00BA0A02">
        <w:br/>
      </w:r>
      <w:r w:rsidRPr="008B0D9B">
        <w:t>INF.23 (Royaume-Uni)</w:t>
      </w:r>
      <w:r w:rsidR="00BA0A02">
        <w:t>,</w:t>
      </w:r>
      <w:r w:rsidR="00BA0A02">
        <w:br/>
      </w:r>
      <w:r w:rsidRPr="008B0D9B">
        <w:t>INF.27 et INF.28 (Allemagne)</w:t>
      </w:r>
      <w:r w:rsidR="00BA0A02">
        <w:t>,</w:t>
      </w:r>
      <w:r w:rsidR="00BA0A02">
        <w:br/>
      </w:r>
      <w:r w:rsidRPr="008B0D9B">
        <w:t>INF.29 (EIGA)</w:t>
      </w:r>
      <w:r w:rsidR="00BA0A02">
        <w:t>,</w:t>
      </w:r>
      <w:r w:rsidR="00BA0A02">
        <w:br/>
      </w:r>
      <w:r w:rsidRPr="008B0D9B">
        <w:t>INF.32 (Président du groupe de travail spécial)</w:t>
      </w:r>
      <w:r w:rsidR="00BA0A02">
        <w:t>,</w:t>
      </w:r>
      <w:r w:rsidR="00BA0A02">
        <w:br/>
      </w:r>
      <w:r w:rsidRPr="008B0D9B">
        <w:t>INF.35 (France)</w:t>
      </w:r>
      <w:r w:rsidR="00BA0A02">
        <w:t>,</w:t>
      </w:r>
      <w:r w:rsidR="00BA0A02">
        <w:br/>
      </w:r>
      <w:r w:rsidRPr="008B0D9B">
        <w:t>INF.38 (Suisse)</w:t>
      </w:r>
      <w:r w:rsidR="00BA0A02">
        <w:t>,</w:t>
      </w:r>
      <w:r w:rsidR="00BA0A02">
        <w:br/>
      </w:r>
      <w:r w:rsidRPr="008B0D9B">
        <w:t>INF.40, INF.41 et INF.42 (Royaume-Uni)</w:t>
      </w:r>
      <w:r w:rsidR="00BA0A02">
        <w:t>,</w:t>
      </w:r>
      <w:r w:rsidR="00BA0A02">
        <w:br/>
      </w:r>
      <w:r w:rsidRPr="008B0D9B">
        <w:t>INF.43 (France)</w:t>
      </w:r>
      <w:r w:rsidR="00BA0A02">
        <w:t>.</w:t>
      </w:r>
    </w:p>
    <w:p w14:paraId="31216A6D" w14:textId="77777777" w:rsidR="00DE2765" w:rsidRPr="008B0D9B" w:rsidRDefault="00DE2765" w:rsidP="00DE2765">
      <w:pPr>
        <w:pStyle w:val="SingleTxtG"/>
      </w:pPr>
      <w:r w:rsidRPr="008B0D9B">
        <w:t>8.</w:t>
      </w:r>
      <w:r w:rsidRPr="008B0D9B">
        <w:tab/>
        <w:t>La Réunion commune a accueilli favorablement le document ECE/TRANS/WP.15/AC.1/2021/34, qu’elle a décidé de conserver en tant que document d’orientation sur le contrôle et l’agrément des citernes et de publier, tel quel ou après révision, sur les sites Internet de l’OTIF et de la CEE. Il a été convenu que le document informel INF.17 devait faire l’objet d’une réflexion supplémentaire au sein du groupe de travail informel. Le représentant de la Suisse a invité la Réunion commune à lui faire parvenir des observations supplémentaires.</w:t>
      </w:r>
    </w:p>
    <w:p w14:paraId="69FCA047" w14:textId="29FE8CD9" w:rsidR="00DE2765" w:rsidRPr="009B2F94" w:rsidRDefault="00DE2765" w:rsidP="00DE2765">
      <w:pPr>
        <w:pStyle w:val="SingleTxtG"/>
        <w:rPr>
          <w:spacing w:val="-1"/>
        </w:rPr>
      </w:pPr>
      <w:r w:rsidRPr="009B2F94">
        <w:rPr>
          <w:spacing w:val="-1"/>
        </w:rPr>
        <w:t>9.</w:t>
      </w:r>
      <w:r w:rsidRPr="009B2F94">
        <w:rPr>
          <w:spacing w:val="-1"/>
        </w:rPr>
        <w:tab/>
        <w:t>Après une introduction en séance plénière, l’examen des documents inscrits au point</w:t>
      </w:r>
      <w:r w:rsidR="00BA0A02" w:rsidRPr="009B2F94">
        <w:rPr>
          <w:spacing w:val="-1"/>
        </w:rPr>
        <w:t> </w:t>
      </w:r>
      <w:r w:rsidRPr="009B2F94">
        <w:rPr>
          <w:spacing w:val="-1"/>
        </w:rPr>
        <w:t>2 de l’ordre du jour a été confié au Groupe de travail des citernes, qui s’est réuni du 27 au 29</w:t>
      </w:r>
      <w:r w:rsidR="00BA0A02" w:rsidRPr="009B2F94">
        <w:rPr>
          <w:spacing w:val="-1"/>
        </w:rPr>
        <w:t> </w:t>
      </w:r>
      <w:r w:rsidRPr="009B2F94">
        <w:rPr>
          <w:spacing w:val="-1"/>
        </w:rPr>
        <w:t>septembre 2021 sous la présidence de M.</w:t>
      </w:r>
      <w:r w:rsidR="00BA0A02" w:rsidRPr="009B2F94">
        <w:rPr>
          <w:spacing w:val="-1"/>
        </w:rPr>
        <w:t> </w:t>
      </w:r>
      <w:r w:rsidRPr="009B2F94">
        <w:rPr>
          <w:spacing w:val="-1"/>
        </w:rPr>
        <w:t>A. Bale (Royaume-Uni). Seul l’examen des documents informels INF.5 et INF.29, sur les questions de marquage, a été maintenu en séance plénière (voir le paragraphe 20 ci-dessous). En ce qui concerne les amendements au chapitre 6.8 proposés dans l’annexe II du rapport ECE/TRANS/WP.15/AC.1/160, suivant les recommandations du Groupe de travail des citernes, la Réunion commune a décidé de supprimer les crochets au 6.8.2.6.2 et de maintenir entre crochets les amendements au 6.8.2.2.4 en attendant la décision du groupe de travail permanent de la Commission d’experts du RID.</w:t>
      </w:r>
    </w:p>
    <w:p w14:paraId="1B9DA4FA" w14:textId="77777777" w:rsidR="00DE2765" w:rsidRPr="008B0D9B" w:rsidRDefault="00DE2765" w:rsidP="00DE2765">
      <w:pPr>
        <w:pStyle w:val="H1G"/>
      </w:pPr>
      <w:r w:rsidRPr="008B0D9B">
        <w:lastRenderedPageBreak/>
        <w:tab/>
        <w:t>A.</w:t>
      </w:r>
      <w:r w:rsidRPr="008B0D9B">
        <w:tab/>
        <w:t>Rapport du Groupe de travail des citernes</w:t>
      </w:r>
    </w:p>
    <w:p w14:paraId="5540A01E" w14:textId="56DA32A7" w:rsidR="00DE2765" w:rsidRPr="008B0D9B" w:rsidRDefault="00DE2765" w:rsidP="009C51FF">
      <w:pPr>
        <w:pStyle w:val="SingleTxtG"/>
        <w:keepNext/>
        <w:ind w:left="3119" w:hanging="1985"/>
        <w:jc w:val="left"/>
      </w:pPr>
      <w:r w:rsidRPr="008B0D9B">
        <w:rPr>
          <w:i/>
          <w:iCs/>
        </w:rPr>
        <w:t>Documents informels </w:t>
      </w:r>
      <w:r w:rsidRPr="00BA0A02">
        <w:t>:</w:t>
      </w:r>
      <w:r w:rsidRPr="008B0D9B">
        <w:tab/>
        <w:t>INF.47/Rev.1 (Liquid Gas Europe)</w:t>
      </w:r>
      <w:r w:rsidR="00BA0A02">
        <w:t>,</w:t>
      </w:r>
      <w:r w:rsidR="00BA0A02">
        <w:br/>
      </w:r>
      <w:r w:rsidRPr="008B0D9B">
        <w:t>INF.48 (France)</w:t>
      </w:r>
      <w:r w:rsidR="00BA0A02">
        <w:t>,</w:t>
      </w:r>
      <w:r w:rsidR="00BA0A02">
        <w:br/>
      </w:r>
      <w:r w:rsidRPr="008B0D9B">
        <w:t>INF.49 (Rapport du Groupe de travail des citernes)</w:t>
      </w:r>
      <w:r w:rsidR="00BA0A02">
        <w:t>,</w:t>
      </w:r>
      <w:r w:rsidR="00BA0A02">
        <w:br/>
      </w:r>
      <w:r w:rsidRPr="008B0D9B">
        <w:t>INF.50 (Royaume-Uni)</w:t>
      </w:r>
      <w:r w:rsidR="00BA0A02">
        <w:t>,</w:t>
      </w:r>
      <w:r w:rsidR="00BA0A02">
        <w:br/>
      </w:r>
      <w:r w:rsidRPr="008B0D9B">
        <w:t>INF.51 (France)</w:t>
      </w:r>
      <w:r w:rsidR="00BA0A02">
        <w:t>.</w:t>
      </w:r>
    </w:p>
    <w:p w14:paraId="2B4B78D0" w14:textId="77777777" w:rsidR="00DE2765" w:rsidRPr="008B0D9B" w:rsidRDefault="00DE2765" w:rsidP="00DE2765">
      <w:pPr>
        <w:pStyle w:val="SingleTxtG"/>
      </w:pPr>
      <w:r w:rsidRPr="008B0D9B">
        <w:t>10.</w:t>
      </w:r>
      <w:r w:rsidRPr="008B0D9B">
        <w:tab/>
        <w:t>La Réunion commune a pris note, dans le document informel INF.49, des résultats des travaux menés par le Groupe de travail des citernes, dont le rapport figure à l’annexe I, publiée en tant qu’additif 1 au présent rapport. Elle a adopté les propositions 1 à 18, suivant les modalités décrites aux paragraphes 11 à 17 ci-dessous (voir l’annexe II).</w:t>
      </w:r>
    </w:p>
    <w:p w14:paraId="09669C35" w14:textId="48A04A24" w:rsidR="00DE2765" w:rsidRPr="008B0D9B" w:rsidRDefault="00DE2765" w:rsidP="00DE2765">
      <w:pPr>
        <w:pStyle w:val="SingleTxtG"/>
      </w:pPr>
      <w:r w:rsidRPr="008B0D9B">
        <w:t>11.</w:t>
      </w:r>
      <w:r w:rsidRPr="008B0D9B">
        <w:tab/>
        <w:t>S’agissant du point 1, la Réunion commune a examiné la proposition 7 et a décidé de remplacer «</w:t>
      </w:r>
      <w:r w:rsidR="00BA0A02">
        <w:t> </w:t>
      </w:r>
      <w:r w:rsidRPr="009B2F94">
        <w:rPr>
          <w:lang w:val="en-GB"/>
        </w:rPr>
        <w:t>either the shell</w:t>
      </w:r>
      <w:r w:rsidR="00BA0A02">
        <w:t> </w:t>
      </w:r>
      <w:r w:rsidRPr="008B0D9B">
        <w:t>» par «</w:t>
      </w:r>
      <w:r w:rsidR="00BA0A02">
        <w:t> </w:t>
      </w:r>
      <w:r w:rsidRPr="009B2F94">
        <w:rPr>
          <w:lang w:val="en-GB"/>
        </w:rPr>
        <w:t>either the cylinder shell</w:t>
      </w:r>
      <w:r w:rsidR="00BA0A02">
        <w:t> </w:t>
      </w:r>
      <w:r w:rsidRPr="008B0D9B">
        <w:t>» (« pour l’enveloppe de bouteille ») dans la dernière phrase. En ce qui concerne la proposition 9, elle a décidé de corriger la référence au paragraphe 6.8.1.5. Pour l’application des 6.8.1.5.1 et 6.8.1.5.4 de l’ADR, la Réunion commune a adopté les nouveaux notas du document informel INF.48 tel que modifié. Elle a également décidé de supprimer les crochets encore présents dans les propositions d’amendements du document ECE/TRANS/WP.15/AC.1/2021/23/Rev.1. Le représentant du Royaume-Uni a indiqué qu’il aurait préféré laisser la dernière phrase des 6.8.1.5.3</w:t>
      </w:r>
      <w:r w:rsidR="00BA0A02">
        <w:t> </w:t>
      </w:r>
      <w:r w:rsidRPr="008B0D9B">
        <w:t>b) et 6.8.1.5.4</w:t>
      </w:r>
      <w:r w:rsidR="00BA0A02">
        <w:t> </w:t>
      </w:r>
      <w:r w:rsidRPr="008B0D9B">
        <w:t>b) entre crochets mais a accepté de supprimer les crochets pour le moment, en attendant que le groupe de travail informel du contrôle et de l’agrément des citernes (groupe de travail informel de Londres) réexamine la question à sa réunion des 14 et 15</w:t>
      </w:r>
      <w:r w:rsidR="00BA0A02">
        <w:t> </w:t>
      </w:r>
      <w:r w:rsidRPr="008B0D9B">
        <w:t>décembre 2021, comme proposé dans le document informel INF.50. Un document officiel pourrait être soumis à la Réunion commune pour examen à sa session de mars 2022.</w:t>
      </w:r>
    </w:p>
    <w:p w14:paraId="40834C29" w14:textId="119AEEDF" w:rsidR="00DE2765" w:rsidRPr="008B0D9B" w:rsidRDefault="00DE2765" w:rsidP="00DE2765">
      <w:pPr>
        <w:pStyle w:val="SingleTxtG"/>
      </w:pPr>
      <w:r w:rsidRPr="008B0D9B">
        <w:t>12.</w:t>
      </w:r>
      <w:r w:rsidRPr="008B0D9B">
        <w:tab/>
        <w:t>S’agissant du point 2, la Réunion commune a approuvé la recommandation du groupe de travail consistant à supprimer, dans le document ECE/TRANS/WP.15/AC.1/</w:t>
      </w:r>
      <w:r w:rsidR="00BA0A02">
        <w:t xml:space="preserve"> </w:t>
      </w:r>
      <w:r w:rsidRPr="008B0D9B">
        <w:t>2021/24/Add.1, les crochets encore présents dans les propositions d’amendements au chapitre 3.2, tableau A, et à adopter lesdites propositions.</w:t>
      </w:r>
    </w:p>
    <w:p w14:paraId="080D8F80" w14:textId="77777777" w:rsidR="00DE2765" w:rsidRPr="008B0D9B" w:rsidRDefault="00DE2765" w:rsidP="00DE2765">
      <w:pPr>
        <w:pStyle w:val="SingleTxtG"/>
      </w:pPr>
      <w:r w:rsidRPr="008B0D9B">
        <w:t>13.</w:t>
      </w:r>
      <w:r w:rsidRPr="008B0D9B">
        <w:tab/>
        <w:t>S’agissant du point 3, la Réunion commune a observé qu’il n’y avait pas d’objection à l’adoption du nouveau chapitre 6.9 sur les prescriptions relatives à la conception et à la construction des citernes mobiles dont les réservoirs sont en matière plastique renforcée de fibres (PRF) et aux contrôles et épreuves qu’elles doivent subir. Elle a décidé de supprimer les crochets encore présents dans le document ECE/TRANS/WP.15/AC.1/2021/24/Add.1 et d’adopter le nouveau chapitre 6.13 de l’ADR ainsi que deux mesures transitoires, comme le recommandait le Groupe de travail des citernes.</w:t>
      </w:r>
    </w:p>
    <w:p w14:paraId="0B46C35F" w14:textId="77777777" w:rsidR="00DE2765" w:rsidRPr="008B0D9B" w:rsidRDefault="00DE2765" w:rsidP="00DE2765">
      <w:pPr>
        <w:pStyle w:val="SingleTxtG"/>
      </w:pPr>
      <w:r w:rsidRPr="008B0D9B">
        <w:t>14.</w:t>
      </w:r>
      <w:r w:rsidRPr="008B0D9B">
        <w:tab/>
        <w:t>S’agissant du point 4, la Réunion commune a examiné les deux options proposées dans le document informel INF.49 et a décidé à la majorité de retenir l’option 2 avec les amendements de conséquence au 6.8.2.4.3.</w:t>
      </w:r>
    </w:p>
    <w:p w14:paraId="34C1CAE2" w14:textId="65D4BB2E" w:rsidR="00DE2765" w:rsidRPr="008B0D9B" w:rsidRDefault="00DE2765" w:rsidP="00DE2765">
      <w:pPr>
        <w:pStyle w:val="SingleTxtG"/>
      </w:pPr>
      <w:r w:rsidRPr="008B0D9B">
        <w:t>15.</w:t>
      </w:r>
      <w:r w:rsidRPr="008B0D9B">
        <w:tab/>
        <w:t>En ce qui concerne la proposition 16 figurant au point 5, la Réunion commune a adopté les amendements supplémentaires proposés dans le document informel INF.51. Pour ce qui est des nouvelles dispositions proposées dans le document informel INF.47/Rev.1 concernant le marquage des citernes équipées de soupapes de sécurité, la Réunion commune a approuvé, sur le principe, l’obligation d’apposer une marque constituée d’un carré blanc de 250</w:t>
      </w:r>
      <w:r w:rsidR="00BA0A02">
        <w:t> </w:t>
      </w:r>
      <w:r w:rsidRPr="008B0D9B">
        <w:t>mm × 250</w:t>
      </w:r>
      <w:r w:rsidR="00BA0A02">
        <w:t> </w:t>
      </w:r>
      <w:r w:rsidRPr="008B0D9B">
        <w:t>mm au minimum, où les lettres «</w:t>
      </w:r>
      <w:r w:rsidR="00BA0A02">
        <w:t> </w:t>
      </w:r>
      <w:r w:rsidRPr="008B0D9B">
        <w:t>SV</w:t>
      </w:r>
      <w:r w:rsidR="00BA0A02">
        <w:t> </w:t>
      </w:r>
      <w:r w:rsidRPr="008B0D9B">
        <w:t>» (d’une hauteur minimale de 120</w:t>
      </w:r>
      <w:r w:rsidR="00BA0A02">
        <w:t> </w:t>
      </w:r>
      <w:r w:rsidRPr="008B0D9B">
        <w:t>mm) seront inscrites en noir. En outre, cette marque devra résister aux intempéries et ne devra pas se détacher de sa fixation après un incendie d’une durée de 15</w:t>
      </w:r>
      <w:r w:rsidR="00BA0A02">
        <w:t> </w:t>
      </w:r>
      <w:r w:rsidRPr="008B0D9B">
        <w:t xml:space="preserve">minutes. Le représentant de </w:t>
      </w:r>
      <w:r w:rsidRPr="00BA0A02">
        <w:rPr>
          <w:lang w:val="en-GB"/>
        </w:rPr>
        <w:t>Liquid Gas Europe</w:t>
      </w:r>
      <w:r w:rsidRPr="008B0D9B">
        <w:t xml:space="preserve"> a offert de reformuler la proposition à partir du texte figurant dans le document informel INF.47/Rev.1 et de la soumettre dans un document officiel pour la prochaine session en mars 2022, ce qui permettrait aux représentants de consulter les parties concernées. Les délégations ayant formulé des observations d’ordre rédactionnel ont été invitées à les communiquer au représentant de </w:t>
      </w:r>
      <w:r w:rsidRPr="00BA0A02">
        <w:rPr>
          <w:lang w:val="en-GB"/>
        </w:rPr>
        <w:t>Liquid Gas Europe</w:t>
      </w:r>
      <w:r w:rsidRPr="008B0D9B">
        <w:t xml:space="preserve"> bien avant la date limite de soumission des documents officiels en vue de la prochaine session (voir le paragraphe 57 ci-dessous).</w:t>
      </w:r>
    </w:p>
    <w:p w14:paraId="099122DC" w14:textId="77777777" w:rsidR="00DE2765" w:rsidRPr="008B0D9B" w:rsidRDefault="00DE2765" w:rsidP="009B2F94">
      <w:pPr>
        <w:pStyle w:val="SingleTxtG"/>
        <w:keepLines/>
      </w:pPr>
      <w:r w:rsidRPr="008B0D9B">
        <w:lastRenderedPageBreak/>
        <w:t>16.</w:t>
      </w:r>
      <w:r w:rsidRPr="008B0D9B">
        <w:tab/>
        <w:t>La Réunion commune a pris note de la demande du secrétariat de l’OTIF visant à préciser si les nouvelles dispositions du 6.8.3.2.9 devaient aussi être applicables en partie aux wagons-citernes équipés de soupapes de sécurité, sur une base volontaire, et a recommandé que le groupe de travail permanent de la Commission d’experts du RID étudie cette question à sa prochaine session.</w:t>
      </w:r>
    </w:p>
    <w:p w14:paraId="1FF314D6" w14:textId="77777777" w:rsidR="00DE2765" w:rsidRPr="008B0D9B" w:rsidRDefault="00DE2765" w:rsidP="00DE2765">
      <w:pPr>
        <w:pStyle w:val="SingleTxtG"/>
      </w:pPr>
      <w:r w:rsidRPr="008B0D9B">
        <w:t>17.</w:t>
      </w:r>
      <w:r w:rsidRPr="008B0D9B">
        <w:tab/>
        <w:t>Faute de temps, le Groupe de travail des citernes n’avait pas pu se pencher sur tous les documents (voir le paragraphe 3 de l’annexe I). Les auteurs des documents non examinés ont été invités à informer le secrétariat du suivi qu’ils souhaitaient pour lesdits documents.</w:t>
      </w:r>
    </w:p>
    <w:p w14:paraId="4B731116" w14:textId="01D61ECC" w:rsidR="00DE2765" w:rsidRPr="008B0D9B" w:rsidRDefault="00DE2765" w:rsidP="00DE2765">
      <w:pPr>
        <w:pStyle w:val="H1G"/>
      </w:pPr>
      <w:r w:rsidRPr="008B0D9B">
        <w:tab/>
        <w:t>B.</w:t>
      </w:r>
      <w:r w:rsidRPr="008B0D9B">
        <w:tab/>
        <w:t>Rapport du groupe de travail informel du contrôle et de l’agrément des</w:t>
      </w:r>
      <w:r w:rsidR="00BA0A02">
        <w:t> </w:t>
      </w:r>
      <w:r w:rsidRPr="008B0D9B">
        <w:t>citernes</w:t>
      </w:r>
    </w:p>
    <w:p w14:paraId="18634D70" w14:textId="3C8DA88F" w:rsidR="00DE2765" w:rsidRPr="008B0D9B" w:rsidRDefault="00DE2765" w:rsidP="009C51FF">
      <w:pPr>
        <w:pStyle w:val="SingleTxtG"/>
        <w:keepNext/>
        <w:ind w:left="3119" w:hanging="1985"/>
        <w:jc w:val="left"/>
      </w:pPr>
      <w:r w:rsidRPr="008B0D9B">
        <w:rPr>
          <w:i/>
          <w:iCs/>
        </w:rPr>
        <w:t>Document informel</w:t>
      </w:r>
      <w:r w:rsidRPr="00BA0A02">
        <w:t> :</w:t>
      </w:r>
      <w:r w:rsidRPr="008B0D9B">
        <w:tab/>
        <w:t>INF.50 (Royaume-Uni)</w:t>
      </w:r>
      <w:r w:rsidR="00BA0A02">
        <w:t>.</w:t>
      </w:r>
    </w:p>
    <w:p w14:paraId="349E905D" w14:textId="18AB6FC2" w:rsidR="00DE2765" w:rsidRPr="008B0D9B" w:rsidRDefault="00DE2765" w:rsidP="00DE2765">
      <w:pPr>
        <w:pStyle w:val="SingleTxtG"/>
      </w:pPr>
      <w:r w:rsidRPr="008B0D9B">
        <w:t>18.</w:t>
      </w:r>
      <w:r w:rsidRPr="008B0D9B">
        <w:tab/>
        <w:t>La Réunion commune a pris note du rapport de synthèse des réunions intersessions tenues par le groupe de travail informel du contrôle et de l’agrément des citernes les 8 et 9</w:t>
      </w:r>
      <w:r w:rsidR="00BA0A02">
        <w:t> </w:t>
      </w:r>
      <w:r w:rsidRPr="008B0D9B">
        <w:t>juin et 8 et 9</w:t>
      </w:r>
      <w:r w:rsidR="00BA0A02">
        <w:t> </w:t>
      </w:r>
      <w:r w:rsidRPr="008B0D9B">
        <w:t>juillet 2021.</w:t>
      </w:r>
    </w:p>
    <w:p w14:paraId="42150EFC" w14:textId="77777777" w:rsidR="00DE2765" w:rsidRPr="008B0D9B" w:rsidRDefault="00DE2765" w:rsidP="00DE2765">
      <w:pPr>
        <w:pStyle w:val="HChG"/>
      </w:pPr>
      <w:r w:rsidRPr="008B0D9B">
        <w:tab/>
        <w:t>V.</w:t>
      </w:r>
      <w:r w:rsidRPr="008B0D9B">
        <w:tab/>
        <w:t>Normes (point 3 de l’ordre du jour)</w:t>
      </w:r>
    </w:p>
    <w:p w14:paraId="3CECB329" w14:textId="77777777" w:rsidR="00DE2765" w:rsidRPr="008B0D9B" w:rsidRDefault="00DE2765" w:rsidP="00DE2765">
      <w:pPr>
        <w:pStyle w:val="H1G"/>
      </w:pPr>
      <w:r w:rsidRPr="008B0D9B">
        <w:tab/>
        <w:t>A.</w:t>
      </w:r>
      <w:r w:rsidRPr="008B0D9B">
        <w:tab/>
        <w:t>Informations concernant les travaux du Groupe de travail des normes</w:t>
      </w:r>
    </w:p>
    <w:p w14:paraId="5FA20F06" w14:textId="4D90A8D7" w:rsidR="00DE2765" w:rsidRPr="008B0D9B" w:rsidRDefault="00DE2765" w:rsidP="009C51FF">
      <w:pPr>
        <w:pStyle w:val="SingleTxtG"/>
        <w:keepNext/>
        <w:ind w:left="3119" w:hanging="1985"/>
        <w:jc w:val="left"/>
      </w:pPr>
      <w:r w:rsidRPr="00BA0A02">
        <w:rPr>
          <w:i/>
          <w:iCs/>
        </w:rPr>
        <w:t>Document</w:t>
      </w:r>
      <w:r w:rsidRPr="008B0D9B">
        <w:t> :</w:t>
      </w:r>
      <w:r w:rsidRPr="008B0D9B">
        <w:tab/>
        <w:t>ECE/TRANS/WP.15/AC.1/2021/38 (CEN)</w:t>
      </w:r>
      <w:r w:rsidR="00BA0A02">
        <w:t>.</w:t>
      </w:r>
    </w:p>
    <w:p w14:paraId="67273EEE" w14:textId="401FE6FE" w:rsidR="00DE2765" w:rsidRPr="008B0D9B" w:rsidRDefault="00DE2765" w:rsidP="009C51FF">
      <w:pPr>
        <w:pStyle w:val="SingleTxtG"/>
        <w:keepNext/>
        <w:ind w:left="3119" w:hanging="1985"/>
        <w:jc w:val="left"/>
        <w:rPr>
          <w:i/>
        </w:rPr>
      </w:pPr>
      <w:r w:rsidRPr="008B0D9B">
        <w:rPr>
          <w:i/>
          <w:iCs/>
        </w:rPr>
        <w:t>Documents informels </w:t>
      </w:r>
      <w:r w:rsidRPr="00BA0A02">
        <w:t>:</w:t>
      </w:r>
      <w:r w:rsidRPr="008B0D9B">
        <w:tab/>
        <w:t>INF.12 et INF.13 (CEN), INF.15 et Add.1 (Rapport du Groupe de</w:t>
      </w:r>
      <w:r w:rsidR="009C51FF">
        <w:t> </w:t>
      </w:r>
      <w:r w:rsidRPr="008B0D9B">
        <w:t>travail des normes)</w:t>
      </w:r>
      <w:r w:rsidR="00BA0A02">
        <w:t>.</w:t>
      </w:r>
    </w:p>
    <w:p w14:paraId="67A623EC" w14:textId="77777777" w:rsidR="00DE2765" w:rsidRPr="008B0D9B" w:rsidRDefault="00DE2765" w:rsidP="00DE2765">
      <w:pPr>
        <w:pStyle w:val="SingleTxtG"/>
      </w:pPr>
      <w:r w:rsidRPr="008B0D9B">
        <w:t>19.</w:t>
      </w:r>
      <w:r w:rsidRPr="008B0D9B">
        <w:tab/>
        <w:t>La Réunion commune a adopté les propositions d’amendements figurant dans les documents informels INF.15 et Add.1 (voir l’annexe II).</w:t>
      </w:r>
    </w:p>
    <w:p w14:paraId="6BBD116A" w14:textId="6C9F2085" w:rsidR="00DE2765" w:rsidRPr="008B0D9B" w:rsidRDefault="00DE2765" w:rsidP="00DE2765">
      <w:pPr>
        <w:pStyle w:val="SingleTxtG"/>
      </w:pPr>
      <w:r w:rsidRPr="008B0D9B">
        <w:t>20.</w:t>
      </w:r>
      <w:r w:rsidRPr="008B0D9B">
        <w:tab/>
        <w:t>La Réunion commune a pris note des amendements proposés dans le document informel INF.13 et a décidé de confier ce document au Groupe de travail des citernes, qui s’est réuni à distance du 27 au 29</w:t>
      </w:r>
      <w:r w:rsidR="00BA0A02">
        <w:t> </w:t>
      </w:r>
      <w:r w:rsidRPr="008B0D9B">
        <w:t>septembre 2021.</w:t>
      </w:r>
    </w:p>
    <w:p w14:paraId="4F51F2F0" w14:textId="77777777" w:rsidR="00DE2765" w:rsidRPr="008B0D9B" w:rsidRDefault="00DE2765" w:rsidP="00DE2765">
      <w:pPr>
        <w:pStyle w:val="SingleTxtG"/>
      </w:pPr>
      <w:r w:rsidRPr="008B0D9B">
        <w:t>21.</w:t>
      </w:r>
      <w:r w:rsidRPr="008B0D9B">
        <w:tab/>
        <w:t>Le représentant du CEN a offert d’établir un document officiel en tenant compte des observations du Groupe de travail des citernes et de le soumettre pour examen et adoption à la prochaine session, en mars 2022.</w:t>
      </w:r>
    </w:p>
    <w:p w14:paraId="15E1BC87" w14:textId="69471D46" w:rsidR="00DE2765" w:rsidRPr="008B0D9B" w:rsidRDefault="00DE2765" w:rsidP="00DE2765">
      <w:pPr>
        <w:pStyle w:val="H1G"/>
      </w:pPr>
      <w:r w:rsidRPr="008B0D9B">
        <w:tab/>
        <w:t>B.</w:t>
      </w:r>
      <w:r w:rsidRPr="008B0D9B">
        <w:tab/>
        <w:t>Informations sur les difficultés d’application d’une norme citée a</w:t>
      </w:r>
      <w:r w:rsidR="00BA0A02">
        <w:t>u </w:t>
      </w:r>
      <w:r w:rsidRPr="008B0D9B">
        <w:t>chapitre 6.2</w:t>
      </w:r>
    </w:p>
    <w:p w14:paraId="100A4AA2" w14:textId="683B00DC" w:rsidR="00DE2765" w:rsidRPr="008B0D9B" w:rsidRDefault="00DE2765" w:rsidP="009C51FF">
      <w:pPr>
        <w:pStyle w:val="SingleTxtG"/>
        <w:keepNext/>
        <w:ind w:left="3119" w:hanging="1985"/>
        <w:jc w:val="left"/>
      </w:pPr>
      <w:r w:rsidRPr="008B0D9B">
        <w:rPr>
          <w:i/>
          <w:iCs/>
        </w:rPr>
        <w:t>Document</w:t>
      </w:r>
      <w:r w:rsidRPr="008B0D9B">
        <w:t> :</w:t>
      </w:r>
      <w:r w:rsidRPr="008B0D9B">
        <w:tab/>
        <w:t>ECE/TRANS/WP.15/AC.1/2021/41 (France)</w:t>
      </w:r>
      <w:r w:rsidR="00BA0A02">
        <w:t>.</w:t>
      </w:r>
    </w:p>
    <w:p w14:paraId="75DDD62E" w14:textId="3A9CF07B" w:rsidR="00DE2765" w:rsidRPr="008B0D9B" w:rsidRDefault="00DE2765" w:rsidP="009C51FF">
      <w:pPr>
        <w:pStyle w:val="SingleTxtG"/>
        <w:keepNext/>
        <w:ind w:left="3119" w:hanging="1985"/>
        <w:jc w:val="left"/>
      </w:pPr>
      <w:r w:rsidRPr="008B0D9B">
        <w:rPr>
          <w:i/>
          <w:iCs/>
        </w:rPr>
        <w:t>Document informel</w:t>
      </w:r>
      <w:r w:rsidRPr="00BA0A02">
        <w:t> :</w:t>
      </w:r>
      <w:r w:rsidRPr="008B0D9B">
        <w:tab/>
        <w:t>INF.25 (CEN)</w:t>
      </w:r>
      <w:r w:rsidR="00BA0A02">
        <w:t>.</w:t>
      </w:r>
    </w:p>
    <w:p w14:paraId="5A6E9ECA" w14:textId="4F0F1F8B" w:rsidR="00DE2765" w:rsidRPr="008B0D9B" w:rsidRDefault="00DE2765" w:rsidP="00DE2765">
      <w:pPr>
        <w:pStyle w:val="SingleTxtG"/>
      </w:pPr>
      <w:r w:rsidRPr="008B0D9B">
        <w:t>22.</w:t>
      </w:r>
      <w:r w:rsidRPr="008B0D9B">
        <w:tab/>
        <w:t>La Réunion commune a pris note des informations relatives aux difficultés d’application de la norme EN ISO 11118 contenues dans le document ECE/TRANS/WP.15/</w:t>
      </w:r>
      <w:r w:rsidR="00BA0A02">
        <w:t xml:space="preserve"> </w:t>
      </w:r>
      <w:r w:rsidRPr="008B0D9B">
        <w:t>AC.1/2021/41. Le représentant du CEN a annoncé que les préoccupations exprimées avaient été communiquées au Comité technique de l’ISO concerné et qu’il devait en être question à la réunion plénière prévue les 20 et 21</w:t>
      </w:r>
      <w:r w:rsidR="00BA0A02">
        <w:t> </w:t>
      </w:r>
      <w:r w:rsidRPr="008B0D9B">
        <w:t>octobre 2021 (voir le document informel INF.25). Il a invité toutes les délégations à faire part de leurs autres observations à leurs organismes nationaux de normalisation suivant les travaux de l’ISO ou directement au CEN. Il a proposé de faire un compte rendu à la Réunion commune à sa prochaine session.</w:t>
      </w:r>
    </w:p>
    <w:p w14:paraId="60CEA3CA" w14:textId="53E6822C" w:rsidR="00DE2765" w:rsidRPr="008B0D9B" w:rsidRDefault="00DE2765" w:rsidP="00DE2765">
      <w:pPr>
        <w:pStyle w:val="H1G"/>
      </w:pPr>
      <w:r w:rsidRPr="008B0D9B">
        <w:lastRenderedPageBreak/>
        <w:tab/>
        <w:t>C.</w:t>
      </w:r>
      <w:r w:rsidRPr="008B0D9B">
        <w:tab/>
        <w:t>Mentions entre crochets dans les propositions d’amendements au</w:t>
      </w:r>
      <w:r w:rsidR="00BA0A02">
        <w:t> </w:t>
      </w:r>
      <w:r w:rsidRPr="008B0D9B">
        <w:t>6.2.4.1</w:t>
      </w:r>
    </w:p>
    <w:p w14:paraId="726E789C" w14:textId="4D1CB39E" w:rsidR="00DE2765" w:rsidRPr="008B0D9B" w:rsidRDefault="00DE2765" w:rsidP="009C51FF">
      <w:pPr>
        <w:pStyle w:val="SingleTxtG"/>
        <w:keepNext/>
        <w:ind w:left="3119" w:hanging="1985"/>
        <w:jc w:val="left"/>
      </w:pPr>
      <w:r w:rsidRPr="008B0D9B">
        <w:rPr>
          <w:i/>
          <w:iCs/>
        </w:rPr>
        <w:t>Document</w:t>
      </w:r>
      <w:r w:rsidRPr="008B0D9B">
        <w:t> :</w:t>
      </w:r>
      <w:r w:rsidRPr="008B0D9B">
        <w:tab/>
        <w:t>ECE/TRANS/WP.15/AC.1/160, annexe II (secrétariat)</w:t>
      </w:r>
      <w:r w:rsidR="00BA0A02">
        <w:t>.</w:t>
      </w:r>
    </w:p>
    <w:p w14:paraId="1315FF05" w14:textId="77777777" w:rsidR="00DE2765" w:rsidRPr="008B0D9B" w:rsidRDefault="00DE2765" w:rsidP="00DE2765">
      <w:pPr>
        <w:pStyle w:val="SingleTxtG"/>
      </w:pPr>
      <w:r w:rsidRPr="008B0D9B">
        <w:t>23.</w:t>
      </w:r>
      <w:r w:rsidRPr="008B0D9B">
        <w:tab/>
        <w:t>La Réunion commune a décidé de laisser entre crochets les normes énumérées dans les propositions d’amendements au 6.2.4.1 figurant dans l’annexe II du rapport ECE/TRANS/WP.15/AC.1/160, en attendant la confirmation du représentant de l’Italie.</w:t>
      </w:r>
    </w:p>
    <w:p w14:paraId="4DE53084" w14:textId="2A3A412C" w:rsidR="00DE2765" w:rsidRPr="008B0D9B" w:rsidRDefault="00DE2765" w:rsidP="00DE2765">
      <w:pPr>
        <w:pStyle w:val="HChG"/>
      </w:pPr>
      <w:r w:rsidRPr="008B0D9B">
        <w:tab/>
        <w:t>VI.</w:t>
      </w:r>
      <w:r w:rsidRPr="008B0D9B">
        <w:tab/>
        <w:t>Harmonisation avec les Recommandations relatives au</w:t>
      </w:r>
      <w:r w:rsidR="00BA0A02">
        <w:t> </w:t>
      </w:r>
      <w:r w:rsidRPr="008B0D9B">
        <w:t>transport des marchandises dangereuses (Nations Unies) (point 4 de l’ordre du jour)</w:t>
      </w:r>
    </w:p>
    <w:p w14:paraId="6C831FA7" w14:textId="68485010" w:rsidR="00DE2765" w:rsidRPr="008B0D9B" w:rsidRDefault="00DE2765" w:rsidP="00DE2765">
      <w:pPr>
        <w:pStyle w:val="H1G"/>
      </w:pPr>
      <w:r w:rsidRPr="008B0D9B">
        <w:tab/>
        <w:t>A.</w:t>
      </w:r>
      <w:r w:rsidRPr="008B0D9B">
        <w:tab/>
        <w:t>Rapport du Groupe de travail spécial de l’harmonisation des</w:t>
      </w:r>
      <w:r w:rsidR="00BA0A02">
        <w:t> </w:t>
      </w:r>
      <w:r w:rsidRPr="008B0D9B">
        <w:t>Règlements RID, ADR et ADN avec les Recommandations de</w:t>
      </w:r>
      <w:r w:rsidR="00BA0A02">
        <w:t> </w:t>
      </w:r>
      <w:r w:rsidRPr="008B0D9B">
        <w:t>l’ONU relatives au transport des marchandises dangereuses</w:t>
      </w:r>
    </w:p>
    <w:p w14:paraId="7D62327D" w14:textId="39346276" w:rsidR="00DE2765" w:rsidRPr="008B0D9B" w:rsidRDefault="00DE2765" w:rsidP="009C51FF">
      <w:pPr>
        <w:pStyle w:val="SingleTxtG"/>
        <w:keepNext/>
        <w:ind w:left="3119" w:hanging="1985"/>
        <w:jc w:val="left"/>
      </w:pPr>
      <w:r w:rsidRPr="008B0D9B">
        <w:rPr>
          <w:i/>
          <w:iCs/>
        </w:rPr>
        <w:t>Documents </w:t>
      </w:r>
      <w:r w:rsidRPr="00BA0A02">
        <w:t>:</w:t>
      </w:r>
      <w:r w:rsidRPr="008B0D9B">
        <w:tab/>
        <w:t>ECE/TRANS/WP.15/AC.1/2021/24 et Add.1 (secrétariat)</w:t>
      </w:r>
      <w:r w:rsidR="00BA0A02">
        <w:t>.</w:t>
      </w:r>
    </w:p>
    <w:p w14:paraId="6B1D0205" w14:textId="2E58348E" w:rsidR="00DE2765" w:rsidRPr="008B0D9B" w:rsidRDefault="00DE2765" w:rsidP="009C51FF">
      <w:pPr>
        <w:pStyle w:val="SingleTxtG"/>
        <w:keepNext/>
        <w:ind w:left="3119" w:hanging="1985"/>
        <w:jc w:val="left"/>
      </w:pPr>
      <w:r w:rsidRPr="008B0D9B">
        <w:rPr>
          <w:i/>
          <w:iCs/>
        </w:rPr>
        <w:t>Documents informels </w:t>
      </w:r>
      <w:r w:rsidRPr="00BA0A02">
        <w:t>:</w:t>
      </w:r>
      <w:r w:rsidRPr="008B0D9B">
        <w:tab/>
        <w:t>INF.19 (secrétariat)</w:t>
      </w:r>
      <w:r w:rsidR="00BA0A02">
        <w:t>,</w:t>
      </w:r>
      <w:r w:rsidRPr="008B0D9B">
        <w:br/>
        <w:t>INF.24 (secrétariat de l’OTIF)</w:t>
      </w:r>
      <w:r w:rsidR="00BA0A02">
        <w:t>.</w:t>
      </w:r>
    </w:p>
    <w:p w14:paraId="52E36F74" w14:textId="68204F0A" w:rsidR="00DE2765" w:rsidRPr="008B0D9B" w:rsidRDefault="00DE2765" w:rsidP="00DE2765">
      <w:pPr>
        <w:pStyle w:val="SingleTxtG"/>
      </w:pPr>
      <w:r w:rsidRPr="008B0D9B">
        <w:t>24.</w:t>
      </w:r>
      <w:r w:rsidRPr="008B0D9B">
        <w:tab/>
        <w:t>La Réunion commune a pris note du rapport présenté par le Groupe de travail spécial (ECE/TRANS/WP.15/AC.1/2021/24 et Add.1), et elle a examiné un par un les amendements proposés en vue d’une harmonisation avec les dispositions du Règlement type annexées à la vingt-deuxième édition révisée des Recommandations relatives au transport des marchandises dangereuses. Elle a adopté les propositions d’amendements figurant dans le document ECE/TRANS/WP.15/AC.1/2021/24/Add.1, moyennant quelques modifications (voir l’annexe II), et a formulé les observations suivantes :</w:t>
      </w:r>
    </w:p>
    <w:p w14:paraId="7A3795DF" w14:textId="578F2B35" w:rsidR="00DE2765" w:rsidRPr="008B0D9B" w:rsidRDefault="00DE2765" w:rsidP="00DE2765">
      <w:pPr>
        <w:pStyle w:val="SingleTxtG"/>
        <w:ind w:left="2268" w:hanging="567"/>
      </w:pPr>
      <w:r w:rsidRPr="008B0D9B">
        <w:t>a)</w:t>
      </w:r>
      <w:r w:rsidRPr="008B0D9B">
        <w:tab/>
        <w:t>En ce qui concerne la proposition faite oralement, qui vise à supprimer la virgule entre «</w:t>
      </w:r>
      <w:r w:rsidR="00BA0A02">
        <w:t> </w:t>
      </w:r>
      <w:r w:rsidRPr="008B0D9B">
        <w:t>poreuses</w:t>
      </w:r>
      <w:r w:rsidR="00BA0A02">
        <w:t> </w:t>
      </w:r>
      <w:r w:rsidRPr="008B0D9B">
        <w:t>» et «</w:t>
      </w:r>
      <w:r w:rsidR="00BA0A02">
        <w:t> </w:t>
      </w:r>
      <w:r w:rsidRPr="008B0D9B">
        <w:t>absorbantes</w:t>
      </w:r>
      <w:r w:rsidR="00BA0A02">
        <w:t> </w:t>
      </w:r>
      <w:r w:rsidRPr="008B0D9B">
        <w:t xml:space="preserve">» dans le nouvel alinéa d) de la définition de l’expression </w:t>
      </w:r>
      <w:r w:rsidR="00BA0A02">
        <w:t>« </w:t>
      </w:r>
      <w:r w:rsidRPr="008B0D9B">
        <w:t>équipement de service</w:t>
      </w:r>
      <w:r w:rsidR="00BA0A02">
        <w:t> </w:t>
      </w:r>
      <w:r w:rsidRPr="008B0D9B">
        <w:t>» figurant au 1.2.1, la Réunion commune a préféré conserver la virgule car cela permet d’inclure un éventail plus large de matières (poreuses, absorbantes et adsorbantes). Le représentant de la Suède s’est porté volontaire pour soumettre une proposition d’amendements au Sous-Comité d’experts du transport des marchandises dangereuses (Sous-Comité TMD) en vue d’une discussion plus approfondie.</w:t>
      </w:r>
    </w:p>
    <w:p w14:paraId="417D78F5" w14:textId="12DE9EBE" w:rsidR="00DE2765" w:rsidRPr="008B0D9B" w:rsidRDefault="00DE2765" w:rsidP="00DE2765">
      <w:pPr>
        <w:pStyle w:val="SingleTxtG"/>
        <w:ind w:left="2268" w:hanging="567"/>
      </w:pPr>
      <w:r w:rsidRPr="008B0D9B">
        <w:t>b)</w:t>
      </w:r>
      <w:r w:rsidRPr="008B0D9B">
        <w:tab/>
      </w:r>
      <w:r w:rsidRPr="008B0D9B">
        <w:tab/>
        <w:t>En ce qui concerne les différentes propositions relatives aux nouvelles rubriques du nouveau No</w:t>
      </w:r>
      <w:r w:rsidR="00BA0A02">
        <w:t> </w:t>
      </w:r>
      <w:r w:rsidRPr="008B0D9B">
        <w:t>ONU 3550 dans le tableau A du chapitre 3.2, la Réunion commune a décidé de supprimer la rubrique B1 (de la colonne (9a)) et de ne conserver (dans la colonne (16)) que les rubriques V15 (ADR) et W15 (RID) (voir l’annexe II). À cet égard, il a également été décidé de supprimer la nouvelle disposition spéciale B1 à la rubrique IBC07 du 4.1.4.2, ainsi que les crochets au 7.2.4.</w:t>
      </w:r>
    </w:p>
    <w:p w14:paraId="05962D0B" w14:textId="091142F5" w:rsidR="00DE2765" w:rsidRPr="008B0D9B" w:rsidRDefault="00DE2765" w:rsidP="00DE2765">
      <w:pPr>
        <w:pStyle w:val="SingleTxtG"/>
        <w:ind w:left="2268" w:hanging="567"/>
      </w:pPr>
      <w:r w:rsidRPr="008B0D9B">
        <w:t>c)</w:t>
      </w:r>
      <w:r w:rsidRPr="008B0D9B">
        <w:tab/>
        <w:t>La Réunion commune a adopté les corrections proposées dans le document INF.19 (voir l’annexe II). S’agissant du débat tenu par le Sous-Comité TMD, à sa session de juillet 2021, sur le remplacement du mot «</w:t>
      </w:r>
      <w:r w:rsidR="00105C81">
        <w:t> </w:t>
      </w:r>
      <w:r w:rsidRPr="008B0D9B">
        <w:t>masse</w:t>
      </w:r>
      <w:r w:rsidR="00105C81">
        <w:t> </w:t>
      </w:r>
      <w:r w:rsidRPr="008B0D9B">
        <w:t>» par le mot «</w:t>
      </w:r>
      <w:r w:rsidR="00105C81">
        <w:t> </w:t>
      </w:r>
      <w:r w:rsidRPr="008B0D9B">
        <w:t>poids</w:t>
      </w:r>
      <w:r w:rsidR="00105C81">
        <w:t> </w:t>
      </w:r>
      <w:r w:rsidRPr="008B0D9B">
        <w:t>» au 6.2.1.5.4, la Réunion commune a décidé de conserver «</w:t>
      </w:r>
      <w:r w:rsidR="00105C81">
        <w:t> </w:t>
      </w:r>
      <w:r w:rsidRPr="008B0D9B">
        <w:t>poids</w:t>
      </w:r>
      <w:r w:rsidR="00105C81">
        <w:t> </w:t>
      </w:r>
      <w:r w:rsidRPr="008B0D9B">
        <w:t>» conformément à la décision du Sous-Comité.</w:t>
      </w:r>
    </w:p>
    <w:p w14:paraId="6D4AB0E5" w14:textId="6A9A256D" w:rsidR="00DE2765" w:rsidRPr="008B0D9B" w:rsidRDefault="00DE2765" w:rsidP="00DE2765">
      <w:pPr>
        <w:pStyle w:val="SingleTxtG"/>
        <w:ind w:left="2268" w:hanging="567"/>
      </w:pPr>
      <w:r w:rsidRPr="008B0D9B">
        <w:t>d)</w:t>
      </w:r>
      <w:r w:rsidRPr="008B0D9B">
        <w:tab/>
        <w:t>Ayant noté que le Groupe de travail des citernes se réunirait au cours de la session, la Réunion commune a préféré reporter à une date ultérieure l’adoption des propositions d’amendements aux chapitres 4.2, 6.7 et 6.9, ainsi que des dispositions relatives aux citernes proposées pour le nouveau No</w:t>
      </w:r>
      <w:r w:rsidR="00105C81">
        <w:t> </w:t>
      </w:r>
      <w:r w:rsidRPr="008B0D9B">
        <w:t>ONU 3550 dans les colonnes (12) et (13) du tableau A, pour tenir compte des conclusions du Groupe.</w:t>
      </w:r>
    </w:p>
    <w:p w14:paraId="65714058" w14:textId="6E80C83B" w:rsidR="00DE2765" w:rsidRPr="008B0D9B" w:rsidRDefault="00DE2765" w:rsidP="00DE2765">
      <w:pPr>
        <w:pStyle w:val="SingleTxtG"/>
        <w:ind w:left="2268" w:hanging="567"/>
      </w:pPr>
      <w:r w:rsidRPr="008B0D9B">
        <w:lastRenderedPageBreak/>
        <w:t>e)</w:t>
      </w:r>
      <w:r w:rsidRPr="008B0D9B">
        <w:tab/>
        <w:t>La Réunion commune a adopté les modifications d’ordre rédactionnel proposées dans le document INF.24 (voir l’annexe II). À l’issue d’un échange de vues à propos des définitions des termes «</w:t>
      </w:r>
      <w:r w:rsidR="00105C81">
        <w:t> </w:t>
      </w:r>
      <w:r w:rsidRPr="008B0D9B">
        <w:t>enroulement filamentaire</w:t>
      </w:r>
      <w:r w:rsidR="00105C81">
        <w:t> </w:t>
      </w:r>
      <w:r w:rsidRPr="008B0D9B">
        <w:t>» et «</w:t>
      </w:r>
      <w:r w:rsidR="00105C81">
        <w:t> </w:t>
      </w:r>
      <w:r w:rsidRPr="008B0D9B">
        <w:t>citerne en PRF</w:t>
      </w:r>
      <w:r w:rsidR="00105C81">
        <w:t> </w:t>
      </w:r>
      <w:r w:rsidRPr="008B0D9B">
        <w:t>» figurant au 6.9.2.1, la Réunion commune a décidé de remplacer «</w:t>
      </w:r>
      <w:r w:rsidR="00105C81">
        <w:t> </w:t>
      </w:r>
      <w:r w:rsidRPr="008B0D9B">
        <w:t>fonds</w:t>
      </w:r>
      <w:r w:rsidR="00105C81">
        <w:t> </w:t>
      </w:r>
      <w:r w:rsidRPr="008B0D9B">
        <w:t>» par «</w:t>
      </w:r>
      <w:r w:rsidR="00105C81">
        <w:t> </w:t>
      </w:r>
      <w:r w:rsidRPr="008B0D9B">
        <w:t>extrémités (fonds)</w:t>
      </w:r>
      <w:r w:rsidR="00105C81">
        <w:t> </w:t>
      </w:r>
      <w:r w:rsidRPr="008B0D9B">
        <w:t>», ajoutant que le Groupe de travail des citernes devait préciser si les extrémités (fonds) des citernes en PRF pouvaient être fabriquées dans un autre matériau que le PRF.</w:t>
      </w:r>
    </w:p>
    <w:p w14:paraId="44BE5340" w14:textId="77777777" w:rsidR="00DE2765" w:rsidRPr="008B0D9B" w:rsidRDefault="00DE2765" w:rsidP="00DE2765">
      <w:pPr>
        <w:pStyle w:val="H1G"/>
      </w:pPr>
      <w:r w:rsidRPr="008B0D9B">
        <w:tab/>
        <w:t>B.</w:t>
      </w:r>
      <w:r w:rsidRPr="008B0D9B">
        <w:tab/>
        <w:t>Description du danger de classe 9</w:t>
      </w:r>
    </w:p>
    <w:p w14:paraId="548C8B93" w14:textId="5D8E6615" w:rsidR="00DE2765" w:rsidRPr="008B0D9B" w:rsidRDefault="00DE2765" w:rsidP="009C51FF">
      <w:pPr>
        <w:pStyle w:val="SingleTxtG"/>
        <w:keepNext/>
        <w:ind w:left="3119" w:hanging="1985"/>
        <w:jc w:val="left"/>
      </w:pPr>
      <w:r w:rsidRPr="008B0D9B">
        <w:rPr>
          <w:i/>
          <w:iCs/>
        </w:rPr>
        <w:t>Document</w:t>
      </w:r>
      <w:r w:rsidRPr="008B0D9B">
        <w:t> :</w:t>
      </w:r>
      <w:r w:rsidRPr="008B0D9B">
        <w:tab/>
        <w:t>ECE/TRANS/WP.15/AC.1/2021/28 (secrétariat de l’OTIF)</w:t>
      </w:r>
      <w:r w:rsidR="00105C81">
        <w:t>.</w:t>
      </w:r>
    </w:p>
    <w:p w14:paraId="2ED371A0" w14:textId="77777777" w:rsidR="00DE2765" w:rsidRPr="008B0D9B" w:rsidRDefault="00DE2765" w:rsidP="00DE2765">
      <w:pPr>
        <w:pStyle w:val="SingleTxtG"/>
      </w:pPr>
      <w:r w:rsidRPr="008B0D9B">
        <w:t>25.</w:t>
      </w:r>
      <w:r w:rsidRPr="008B0D9B">
        <w:tab/>
        <w:t>La Réunion commune a adopté les amendements proposés au 5.2.2.2.2, tendant à préciser la description du danger de classe 9 (voir l’annexe II).</w:t>
      </w:r>
    </w:p>
    <w:p w14:paraId="00BADE32" w14:textId="3F66D2B9" w:rsidR="00DE2765" w:rsidRPr="008B0D9B" w:rsidRDefault="00DE2765" w:rsidP="00DE2765">
      <w:pPr>
        <w:pStyle w:val="H1G"/>
      </w:pPr>
      <w:r w:rsidRPr="008B0D9B">
        <w:tab/>
        <w:t>C.</w:t>
      </w:r>
      <w:r w:rsidRPr="008B0D9B">
        <w:tab/>
        <w:t>Proposition supplémentaire concernant l’harmonisation avec</w:t>
      </w:r>
      <w:r w:rsidR="00105C81">
        <w:t> </w:t>
      </w:r>
      <w:r w:rsidRPr="008B0D9B">
        <w:t>les</w:t>
      </w:r>
      <w:r w:rsidR="00105C81">
        <w:t> </w:t>
      </w:r>
      <w:r w:rsidRPr="008B0D9B">
        <w:t>Recommandations relatives au transport des</w:t>
      </w:r>
      <w:r w:rsidR="00105C81">
        <w:t> </w:t>
      </w:r>
      <w:r w:rsidRPr="008B0D9B">
        <w:t>marchandises</w:t>
      </w:r>
      <w:r w:rsidR="00105C81">
        <w:t> </w:t>
      </w:r>
      <w:r w:rsidRPr="008B0D9B">
        <w:t>dangereuses</w:t>
      </w:r>
    </w:p>
    <w:p w14:paraId="1BEADA31" w14:textId="66AEDCBF" w:rsidR="00DE2765" w:rsidRPr="008B0D9B" w:rsidRDefault="00DE2765" w:rsidP="009C51FF">
      <w:pPr>
        <w:pStyle w:val="SingleTxtG"/>
        <w:keepNext/>
        <w:ind w:left="3119" w:hanging="1985"/>
        <w:jc w:val="left"/>
      </w:pPr>
      <w:r w:rsidRPr="008B0D9B">
        <w:rPr>
          <w:i/>
          <w:iCs/>
        </w:rPr>
        <w:t>Document informel </w:t>
      </w:r>
      <w:r w:rsidRPr="00105C81">
        <w:t>:</w:t>
      </w:r>
      <w:r w:rsidRPr="008B0D9B">
        <w:tab/>
        <w:t>INF.9 (EIGA)</w:t>
      </w:r>
      <w:r w:rsidR="00105C81">
        <w:t>.</w:t>
      </w:r>
    </w:p>
    <w:p w14:paraId="1BC13BDB" w14:textId="77777777" w:rsidR="00DE2765" w:rsidRPr="008B0D9B" w:rsidRDefault="00DE2765" w:rsidP="00DE2765">
      <w:pPr>
        <w:pStyle w:val="SingleTxtG"/>
      </w:pPr>
      <w:r w:rsidRPr="008B0D9B">
        <w:t>26.</w:t>
      </w:r>
      <w:r w:rsidRPr="008B0D9B">
        <w:tab/>
        <w:t>La Réunion commune a adopté la proposition supplémentaire figurant dans le document INF.9 (voir annexe II).</w:t>
      </w:r>
    </w:p>
    <w:p w14:paraId="5F220C6C" w14:textId="77777777" w:rsidR="00DE2765" w:rsidRPr="008B0D9B" w:rsidRDefault="00DE2765" w:rsidP="00DE2765">
      <w:pPr>
        <w:pStyle w:val="H1G"/>
      </w:pPr>
      <w:r w:rsidRPr="008B0D9B">
        <w:tab/>
        <w:t>D.</w:t>
      </w:r>
      <w:r w:rsidRPr="008B0D9B">
        <w:tab/>
        <w:t>Modifications à apporter à l’annexe II du rapport ECE/TRANS/WP.15/AC.1/160</w:t>
      </w:r>
    </w:p>
    <w:p w14:paraId="384374D9" w14:textId="5D57678C" w:rsidR="00DE2765" w:rsidRPr="008B0D9B" w:rsidRDefault="00DE2765" w:rsidP="009C51FF">
      <w:pPr>
        <w:pStyle w:val="SingleTxtG"/>
        <w:keepNext/>
        <w:ind w:left="3119" w:hanging="1985"/>
        <w:jc w:val="left"/>
      </w:pPr>
      <w:r w:rsidRPr="008B0D9B">
        <w:rPr>
          <w:i/>
          <w:iCs/>
        </w:rPr>
        <w:t>Document informel </w:t>
      </w:r>
      <w:r w:rsidRPr="00105C81">
        <w:t>:</w:t>
      </w:r>
      <w:r w:rsidRPr="008B0D9B">
        <w:tab/>
        <w:t>INF.31 (secrétariat de l’OTIF)</w:t>
      </w:r>
      <w:r w:rsidR="00105C81">
        <w:t>.</w:t>
      </w:r>
    </w:p>
    <w:p w14:paraId="0EE67051" w14:textId="77777777" w:rsidR="00DE2765" w:rsidRPr="008B0D9B" w:rsidRDefault="00DE2765" w:rsidP="00DE2765">
      <w:pPr>
        <w:pStyle w:val="SingleTxtG"/>
      </w:pPr>
      <w:r w:rsidRPr="008B0D9B">
        <w:t>27.</w:t>
      </w:r>
      <w:r w:rsidRPr="008B0D9B">
        <w:tab/>
        <w:t>La Réunion commune a adopté les modifications d’ordre rédactionnel qu’il était proposé d’apporter au texte de l’annexe II du rapport ECE/TRANS/WP.15/AC.1/160 dans le document informel INF.31.</w:t>
      </w:r>
    </w:p>
    <w:p w14:paraId="396F91D7" w14:textId="77777777" w:rsidR="00DE2765" w:rsidRPr="008B0D9B" w:rsidRDefault="00DE2765" w:rsidP="00DE2765">
      <w:pPr>
        <w:pStyle w:val="H1G"/>
      </w:pPr>
      <w:r w:rsidRPr="008B0D9B">
        <w:tab/>
        <w:t>E.</w:t>
      </w:r>
      <w:r w:rsidRPr="008B0D9B">
        <w:tab/>
        <w:t>Mesures transitoires requises</w:t>
      </w:r>
    </w:p>
    <w:p w14:paraId="083ACAB6" w14:textId="7D2C4FBB" w:rsidR="00DE2765" w:rsidRPr="008B0D9B" w:rsidRDefault="00DE2765" w:rsidP="009C51FF">
      <w:pPr>
        <w:pStyle w:val="SingleTxtG"/>
        <w:keepNext/>
        <w:ind w:left="3119" w:hanging="1985"/>
        <w:jc w:val="left"/>
      </w:pPr>
      <w:r w:rsidRPr="008B0D9B">
        <w:rPr>
          <w:i/>
          <w:iCs/>
        </w:rPr>
        <w:t>Documents informels </w:t>
      </w:r>
      <w:r w:rsidRPr="00105C81">
        <w:t>:</w:t>
      </w:r>
      <w:r w:rsidRPr="008B0D9B">
        <w:tab/>
        <w:t>INF.14 (Suède), INF.21 et INF.39 (EIGA)</w:t>
      </w:r>
      <w:r w:rsidR="00105C81">
        <w:t>.</w:t>
      </w:r>
    </w:p>
    <w:p w14:paraId="527F6748" w14:textId="77777777" w:rsidR="00DE2765" w:rsidRPr="008B0D9B" w:rsidRDefault="00DE2765" w:rsidP="00DE2765">
      <w:pPr>
        <w:pStyle w:val="SingleTxtG"/>
      </w:pPr>
      <w:r w:rsidRPr="008B0D9B">
        <w:t>28.</w:t>
      </w:r>
      <w:r w:rsidRPr="008B0D9B">
        <w:tab/>
        <w:t>La Réunion commune a adopté les nouvelles mesures transitoires pour les détonateurs électroniques proposées dans le document informel INF.14 (voir l’annexe II). La représentante de la Suède a en outre fait part de son intention d’élaborer un accord multilatéral sur la question afin de pallier le problème jusqu’à l’entrée en vigueur de l’édition 2023 du RID et de l’ADR. Plusieurs délégations ont salué cette initiative de la Suède.</w:t>
      </w:r>
    </w:p>
    <w:p w14:paraId="7CAA13B6" w14:textId="41695DF3" w:rsidR="00DE2765" w:rsidRPr="008B0D9B" w:rsidRDefault="00DE2765" w:rsidP="00DE2765">
      <w:pPr>
        <w:pStyle w:val="SingleTxtG"/>
      </w:pPr>
      <w:r w:rsidRPr="008B0D9B">
        <w:t>29.</w:t>
      </w:r>
      <w:r w:rsidRPr="008B0D9B">
        <w:tab/>
        <w:t>La Réunion commune a examiné le document informel INF.21 et décidé qu’il fallait introduire des mesures transitoires pour les amendements adoptés aux 6.2.1.5.2, 6.2.2.7.3</w:t>
      </w:r>
      <w:r w:rsidR="00105C81">
        <w:t> </w:t>
      </w:r>
      <w:r w:rsidRPr="008B0D9B">
        <w:t>k) et l), et 6.2.2.11. Le représentant de la France a rappelé à la Réunion commune qu’il fallait également prévoir une mesure transitoire pour le 6.2.3.9.8, adopté durant la session. Le représentant de l’EIGA s’est porté volontaire pour élaborer une proposition détaillée concernant ces mesures transitoires. Étant donné que les dispositions transitoires relatives aux amendements aux 6.2.1.5.2, 6.2.2.7.3</w:t>
      </w:r>
      <w:r w:rsidR="00105C81">
        <w:t> </w:t>
      </w:r>
      <w:r w:rsidRPr="008B0D9B">
        <w:t>k) et l) et 6.2.2.11 seraient aussi nécessaires pour le Règlement type de l’ONU, il a été demandé au représentant de l’EIGA de soumettre également un document au Sous-Comité TMD.</w:t>
      </w:r>
    </w:p>
    <w:p w14:paraId="23C3362A" w14:textId="77777777" w:rsidR="00DE2765" w:rsidRPr="008B0D9B" w:rsidRDefault="00DE2765" w:rsidP="00DE2765">
      <w:pPr>
        <w:pStyle w:val="SingleTxtG"/>
      </w:pPr>
      <w:r w:rsidRPr="008B0D9B">
        <w:t>30.</w:t>
      </w:r>
      <w:r w:rsidRPr="008B0D9B">
        <w:tab/>
        <w:t>La Réunion commune a adopté les mesures transitoires proposées par l’EIGA dans le document informel INF.39 tel que modifié (voir l’annexe II).</w:t>
      </w:r>
    </w:p>
    <w:p w14:paraId="1301A547" w14:textId="77777777" w:rsidR="00DE2765" w:rsidRPr="008B0D9B" w:rsidRDefault="00DE2765" w:rsidP="00DE2765">
      <w:pPr>
        <w:pStyle w:val="HChG"/>
      </w:pPr>
      <w:r w:rsidRPr="008B0D9B">
        <w:lastRenderedPageBreak/>
        <w:tab/>
        <w:t>VII.</w:t>
      </w:r>
      <w:r w:rsidRPr="008B0D9B">
        <w:tab/>
        <w:t>Propositions d’amendements au RID, à l’ADR et à l’ADN (point 5 de l’ordre du jour)</w:t>
      </w:r>
    </w:p>
    <w:p w14:paraId="412E5B3A" w14:textId="77777777" w:rsidR="00DE2765" w:rsidRPr="008B0D9B" w:rsidRDefault="00DE2765" w:rsidP="00DE2765">
      <w:pPr>
        <w:pStyle w:val="H1G"/>
      </w:pPr>
      <w:r w:rsidRPr="008B0D9B">
        <w:tab/>
        <w:t>A.</w:t>
      </w:r>
      <w:r w:rsidRPr="008B0D9B">
        <w:tab/>
        <w:t>Questions en suspens</w:t>
      </w:r>
    </w:p>
    <w:p w14:paraId="2A6E9005" w14:textId="77777777" w:rsidR="00DE2765" w:rsidRPr="008B0D9B" w:rsidRDefault="00DE2765" w:rsidP="00DE2765">
      <w:pPr>
        <w:pStyle w:val="H23G"/>
      </w:pPr>
      <w:r w:rsidRPr="008B0D9B">
        <w:tab/>
        <w:t>1.</w:t>
      </w:r>
      <w:r w:rsidRPr="008B0D9B">
        <w:tab/>
        <w:t>Récipients à pression autorisés par le Département des transports des États-Unis d’Amérique</w:t>
      </w:r>
    </w:p>
    <w:p w14:paraId="6E97E263" w14:textId="2ABB9946" w:rsidR="00DE2765" w:rsidRPr="008B0D9B" w:rsidRDefault="00DE2765" w:rsidP="009C51FF">
      <w:pPr>
        <w:pStyle w:val="SingleTxtG"/>
        <w:keepNext/>
        <w:ind w:left="3119" w:hanging="1985"/>
        <w:jc w:val="left"/>
      </w:pPr>
      <w:r w:rsidRPr="008B0D9B">
        <w:rPr>
          <w:i/>
          <w:iCs/>
        </w:rPr>
        <w:t>Document</w:t>
      </w:r>
      <w:r w:rsidRPr="008B0D9B">
        <w:t> :</w:t>
      </w:r>
      <w:r w:rsidRPr="008B0D9B">
        <w:tab/>
        <w:t>ECE/TRANS/WP.15/AC.1/2021/33 (secrétariats de l’OTIF et</w:t>
      </w:r>
      <w:r w:rsidR="009C51FF">
        <w:t> </w:t>
      </w:r>
      <w:r w:rsidRPr="008B0D9B">
        <w:t>de</w:t>
      </w:r>
      <w:r w:rsidR="009C51FF">
        <w:t> </w:t>
      </w:r>
      <w:r w:rsidRPr="008B0D9B">
        <w:t>la CEE)</w:t>
      </w:r>
      <w:r w:rsidR="00105C81">
        <w:t>.</w:t>
      </w:r>
    </w:p>
    <w:p w14:paraId="53D4D03F" w14:textId="77777777" w:rsidR="00DE2765" w:rsidRPr="008B0D9B" w:rsidRDefault="00DE2765" w:rsidP="00DE2765">
      <w:pPr>
        <w:pStyle w:val="SingleTxtG"/>
      </w:pPr>
      <w:r w:rsidRPr="008B0D9B">
        <w:t>31.</w:t>
      </w:r>
      <w:r w:rsidRPr="008B0D9B">
        <w:tab/>
        <w:t>La Réunion commune a adopté les modifications qu’il était proposé d’apporter au texte de l’annexe II du rapport ECE/TRANS/WP.15/AC.1/160 dans le document ECE/TRANS/WP.15/AC.1/2021/33. Il a également été convenu de supprimer les crochets à la fin du 5.4.1.1.3.2 (voir l’annexe II).</w:t>
      </w:r>
    </w:p>
    <w:p w14:paraId="2645EA76" w14:textId="77777777" w:rsidR="00DE2765" w:rsidRPr="008B0D9B" w:rsidRDefault="00DE2765" w:rsidP="00DE2765">
      <w:pPr>
        <w:pStyle w:val="H23G"/>
      </w:pPr>
      <w:r w:rsidRPr="008B0D9B">
        <w:tab/>
        <w:t>2.</w:t>
      </w:r>
      <w:r w:rsidRPr="008B0D9B">
        <w:tab/>
        <w:t>Informations actualisées sur l’instruction d’emballage P200 et la norme ISO 18119</w:t>
      </w:r>
    </w:p>
    <w:p w14:paraId="63408815" w14:textId="54CB33F2" w:rsidR="00DE2765" w:rsidRPr="008B0D9B" w:rsidRDefault="00DE2765" w:rsidP="009C51FF">
      <w:pPr>
        <w:pStyle w:val="SingleTxtG"/>
        <w:keepNext/>
        <w:ind w:left="3119" w:hanging="1985"/>
        <w:jc w:val="left"/>
      </w:pPr>
      <w:r w:rsidRPr="008B0D9B">
        <w:rPr>
          <w:i/>
          <w:iCs/>
        </w:rPr>
        <w:t>Documents informels</w:t>
      </w:r>
      <w:r w:rsidRPr="00105C81">
        <w:t> :</w:t>
      </w:r>
      <w:r w:rsidRPr="008B0D9B">
        <w:tab/>
        <w:t>INF.8 et INF.16 (EIGA)</w:t>
      </w:r>
      <w:r w:rsidR="00105C81">
        <w:t>.</w:t>
      </w:r>
    </w:p>
    <w:p w14:paraId="3DB177F4" w14:textId="77777777" w:rsidR="00DE2765" w:rsidRPr="008B0D9B" w:rsidRDefault="00DE2765" w:rsidP="00DE2765">
      <w:pPr>
        <w:pStyle w:val="SingleTxtG"/>
      </w:pPr>
      <w:r w:rsidRPr="008B0D9B">
        <w:t>32.</w:t>
      </w:r>
      <w:r w:rsidRPr="008B0D9B">
        <w:tab/>
        <w:t>La Réunion commune a pris note des informations actualisées fournies par l’EIGA sur la périodicité des épreuves pour les véhicules-batteries remplis avec certains gaz conformément à l’instruction d’emballage P200 et sur l’état d’avancement de l’élaboration d’un amendement au nota limitant l’application de la norme EN ISO 18119 dans le tableau du 6.2.4.2.</w:t>
      </w:r>
    </w:p>
    <w:p w14:paraId="5C539BD0" w14:textId="77777777" w:rsidR="00DE2765" w:rsidRPr="008B0D9B" w:rsidRDefault="00DE2765" w:rsidP="00105C81">
      <w:pPr>
        <w:pStyle w:val="H23G"/>
        <w:ind w:right="2408"/>
      </w:pPr>
      <w:r w:rsidRPr="008B0D9B">
        <w:tab/>
        <w:t>3.</w:t>
      </w:r>
      <w:r w:rsidRPr="008B0D9B">
        <w:tab/>
        <w:t>Signalisation orange des wagons et véhicules transportant des citernes ou des conteneurs de faible capacité</w:t>
      </w:r>
    </w:p>
    <w:p w14:paraId="0E8D620B" w14:textId="1294B937" w:rsidR="00DE2765" w:rsidRPr="008B0D9B" w:rsidRDefault="00DE2765" w:rsidP="009C51FF">
      <w:pPr>
        <w:pStyle w:val="SingleTxtG"/>
        <w:keepNext/>
        <w:ind w:left="3119" w:hanging="1985"/>
        <w:jc w:val="left"/>
      </w:pPr>
      <w:r w:rsidRPr="008B0D9B">
        <w:rPr>
          <w:i/>
          <w:iCs/>
        </w:rPr>
        <w:t>Document</w:t>
      </w:r>
      <w:r w:rsidRPr="008B0D9B">
        <w:t> :</w:t>
      </w:r>
      <w:r w:rsidRPr="008B0D9B">
        <w:tab/>
        <w:t>ECE/TRANS/WP.15/AC.1/2021/40 (Suisse)</w:t>
      </w:r>
      <w:r w:rsidR="00105C81">
        <w:t>.</w:t>
      </w:r>
    </w:p>
    <w:p w14:paraId="60F6ED8D" w14:textId="6E92257B" w:rsidR="00DE2765" w:rsidRPr="008B0D9B" w:rsidRDefault="00DE2765" w:rsidP="009C51FF">
      <w:pPr>
        <w:pStyle w:val="SingleTxtG"/>
        <w:keepNext/>
        <w:ind w:left="3119" w:hanging="1985"/>
        <w:jc w:val="left"/>
      </w:pPr>
      <w:r w:rsidRPr="008B0D9B">
        <w:rPr>
          <w:i/>
          <w:iCs/>
        </w:rPr>
        <w:t>Document informel</w:t>
      </w:r>
      <w:r w:rsidRPr="00105C81">
        <w:t> :</w:t>
      </w:r>
      <w:r w:rsidRPr="008B0D9B">
        <w:tab/>
        <w:t>INF.44 (Suisse)</w:t>
      </w:r>
      <w:r w:rsidR="00105C81">
        <w:t>.</w:t>
      </w:r>
    </w:p>
    <w:p w14:paraId="7C0424D8" w14:textId="30ED0755" w:rsidR="00DE2765" w:rsidRPr="008B0D9B" w:rsidRDefault="00DE2765" w:rsidP="00DE2765">
      <w:pPr>
        <w:pStyle w:val="SingleTxtG"/>
      </w:pPr>
      <w:r w:rsidRPr="008B0D9B">
        <w:t>33.</w:t>
      </w:r>
      <w:r w:rsidRPr="008B0D9B">
        <w:tab/>
        <w:t>Certaines délégations ont fait part de leurs préoccupations concernant la proposition d’amendement au 5.3.2.1.5 qui vise à remplacer l’expression «</w:t>
      </w:r>
      <w:r w:rsidR="00105C81">
        <w:t> </w:t>
      </w:r>
      <w:r w:rsidRPr="008B0D9B">
        <w:t>conteneur pour vrac</w:t>
      </w:r>
      <w:r w:rsidR="00105C81">
        <w:t> </w:t>
      </w:r>
      <w:r w:rsidRPr="008B0D9B">
        <w:t>» par « conteneur pour le transport en vrac</w:t>
      </w:r>
      <w:r w:rsidR="00105C81">
        <w:t> </w:t>
      </w:r>
      <w:r w:rsidRPr="008B0D9B">
        <w:t>». Comme proposé au paragraphe 4 du document ECE/TRANS/WP.15/AC.1/2021/40, le représentant de la Suisse a soumis le document informel INF.44, dans lequel il est question d’autres modifications requises dans la version française du RID, de l’ADR et de l’ADN. Le secrétariat a fait observer qu’il fallait également apporter des modifications dans la version allemande. La Réunion commune a adopté les amendements au 5.3.2.1.5 proposés dans le document ECE/TRANS/WP.15/AC.1/2021/40, ainsi que les amendements de conséquence présentés dans le document informel INF.44 (voir l’annexe II).</w:t>
      </w:r>
    </w:p>
    <w:p w14:paraId="46065E84" w14:textId="77777777" w:rsidR="00DE2765" w:rsidRPr="008B0D9B" w:rsidRDefault="00DE2765" w:rsidP="00DE2765">
      <w:pPr>
        <w:pStyle w:val="H1G"/>
      </w:pPr>
      <w:r w:rsidRPr="008B0D9B">
        <w:tab/>
        <w:t>B.</w:t>
      </w:r>
      <w:r w:rsidRPr="008B0D9B">
        <w:tab/>
        <w:t>Nouvelles propositions</w:t>
      </w:r>
    </w:p>
    <w:p w14:paraId="7D64C517" w14:textId="77777777" w:rsidR="00DE2765" w:rsidRPr="008B0D9B" w:rsidRDefault="00DE2765" w:rsidP="00DE2765">
      <w:pPr>
        <w:pStyle w:val="H23G"/>
      </w:pPr>
      <w:r w:rsidRPr="008B0D9B">
        <w:tab/>
        <w:t>1.</w:t>
      </w:r>
      <w:r w:rsidRPr="008B0D9B">
        <w:tab/>
        <w:t>Activités des services internes d’inspection au titre des paragraphes 6.2.2.11 et 6.2.3.6.1 du RID et de l’ADR</w:t>
      </w:r>
    </w:p>
    <w:p w14:paraId="1DEA0D13" w14:textId="103F1030" w:rsidR="00DE2765" w:rsidRPr="008B0D9B" w:rsidRDefault="00DE2765" w:rsidP="009C51FF">
      <w:pPr>
        <w:pStyle w:val="SingleTxtG"/>
        <w:keepNext/>
        <w:ind w:left="3119" w:hanging="1985"/>
        <w:jc w:val="left"/>
      </w:pPr>
      <w:r w:rsidRPr="008B0D9B">
        <w:rPr>
          <w:i/>
          <w:iCs/>
        </w:rPr>
        <w:t>Document</w:t>
      </w:r>
      <w:r w:rsidRPr="008B0D9B">
        <w:t> :</w:t>
      </w:r>
      <w:r w:rsidRPr="008B0D9B">
        <w:tab/>
        <w:t>ECE/TRANS/WP.15/AC.1/2021/31 (Allemagne)</w:t>
      </w:r>
      <w:r w:rsidR="00105C81">
        <w:t>.</w:t>
      </w:r>
    </w:p>
    <w:p w14:paraId="37046659" w14:textId="5E5CBFC7" w:rsidR="00DE2765" w:rsidRPr="008B0D9B" w:rsidRDefault="00DE2765" w:rsidP="009C51FF">
      <w:pPr>
        <w:pStyle w:val="SingleTxtG"/>
        <w:keepNext/>
        <w:ind w:left="3119" w:hanging="1985"/>
        <w:jc w:val="left"/>
      </w:pPr>
      <w:r w:rsidRPr="008B0D9B">
        <w:rPr>
          <w:i/>
          <w:iCs/>
        </w:rPr>
        <w:t>Document informel</w:t>
      </w:r>
      <w:r w:rsidRPr="00105C81">
        <w:t> :</w:t>
      </w:r>
      <w:r w:rsidRPr="008B0D9B">
        <w:tab/>
        <w:t>INF.30 (EIGA)</w:t>
      </w:r>
      <w:r w:rsidR="00105C81">
        <w:t>.</w:t>
      </w:r>
    </w:p>
    <w:p w14:paraId="3ED73302" w14:textId="77777777" w:rsidR="00DE2765" w:rsidRPr="008B0D9B" w:rsidRDefault="00DE2765" w:rsidP="00DE2765">
      <w:pPr>
        <w:pStyle w:val="SingleTxtG"/>
      </w:pPr>
      <w:r w:rsidRPr="008B0D9B">
        <w:t>34.</w:t>
      </w:r>
      <w:r w:rsidRPr="008B0D9B">
        <w:tab/>
        <w:t>La Réunion commune a examiné la proposition de l’Allemagne sur les activités des services internes d’inspection. La plupart des représentants ayant pris la parole ont admis qu’il était nécessaire de clarifier la situation et de convenir d’une pratique uniforme parmi les Parties/États contractant(e)s, mais ont estimé que la pratique actuelle ne posait pas de problème et qu’il n’y avait donc aucune urgence. Il a été décidé d’étudier la question dans le détail en tenant compte des débats en cours au sein du groupe de travail informel du contrôle et de l’agrément des citernes (groupe de travail informel de Londres).</w:t>
      </w:r>
    </w:p>
    <w:p w14:paraId="60CCA2ED" w14:textId="77777777" w:rsidR="00DE2765" w:rsidRPr="008B0D9B" w:rsidRDefault="00DE2765" w:rsidP="009C51FF">
      <w:pPr>
        <w:pStyle w:val="SingleTxtG"/>
        <w:keepLines/>
      </w:pPr>
      <w:r w:rsidRPr="008B0D9B">
        <w:lastRenderedPageBreak/>
        <w:t>35.</w:t>
      </w:r>
      <w:r w:rsidRPr="008B0D9B">
        <w:tab/>
        <w:t>Le représentant de l’EIGA, s’appuyant sur le document informel INF.30, a rappelé que la pratique actuelle dans le secteur du gaz consistait à faire contrôler périodiquement les bouteilles par un service interne d’inspection, sous la supervision d’un organisme de type A. Les délégations ont été invitées à communiquer des observations supplémentaires au représentant de l’Allemagne, lequel s’est porté volontaire pour actualiser sa proposition en fonction des observations reçues et des conclusions du groupe de travail informel.</w:t>
      </w:r>
    </w:p>
    <w:p w14:paraId="259337B7" w14:textId="77777777" w:rsidR="00DE2765" w:rsidRPr="008B0D9B" w:rsidRDefault="00DE2765" w:rsidP="00DE2765">
      <w:pPr>
        <w:pStyle w:val="H23G"/>
      </w:pPr>
      <w:r w:rsidRPr="008B0D9B">
        <w:tab/>
        <w:t>2.</w:t>
      </w:r>
      <w:r w:rsidRPr="008B0D9B">
        <w:tab/>
        <w:t>Transport des dispositifs de stockage et de production d’énergie électrique contenant des batteries au lithium ionique</w:t>
      </w:r>
    </w:p>
    <w:p w14:paraId="1BCD2440" w14:textId="273613EE" w:rsidR="00DE2765" w:rsidRPr="008B0D9B" w:rsidRDefault="00DE2765" w:rsidP="009C51FF">
      <w:pPr>
        <w:pStyle w:val="SingleTxtG"/>
        <w:keepNext/>
        <w:ind w:left="3119" w:hanging="1985"/>
        <w:jc w:val="left"/>
      </w:pPr>
      <w:r w:rsidRPr="008B0D9B">
        <w:rPr>
          <w:i/>
          <w:iCs/>
        </w:rPr>
        <w:t>Document</w:t>
      </w:r>
      <w:r w:rsidRPr="008B0D9B">
        <w:t> :</w:t>
      </w:r>
      <w:r w:rsidRPr="008B0D9B">
        <w:tab/>
        <w:t>ECE/TRANS/WP.15/AC.1/2021/32 (Suède)</w:t>
      </w:r>
      <w:r w:rsidR="00105C81">
        <w:t>.</w:t>
      </w:r>
    </w:p>
    <w:p w14:paraId="27F46AA4" w14:textId="26402C74" w:rsidR="00DE2765" w:rsidRPr="008B0D9B" w:rsidRDefault="00DE2765" w:rsidP="00DE2765">
      <w:pPr>
        <w:pStyle w:val="SingleTxtG"/>
      </w:pPr>
      <w:r w:rsidRPr="008B0D9B">
        <w:t>36.</w:t>
      </w:r>
      <w:r w:rsidRPr="008B0D9B">
        <w:tab/>
        <w:t>Un certain nombre d’observations ont été faites sur la nécessité et l’urgence de modifier le RID et l’ADR en ce qui concerne le transport des dispositifs mobiles de stockage et de production d’énergie électrique. La Réunion commune a pris note du débat récent du Sous-Comité TMD sur la définition d’un «</w:t>
      </w:r>
      <w:r w:rsidR="00105C81">
        <w:t> </w:t>
      </w:r>
      <w:r w:rsidRPr="008B0D9B">
        <w:t>engin de transport</w:t>
      </w:r>
      <w:r w:rsidR="00105C81">
        <w:t> </w:t>
      </w:r>
      <w:r w:rsidRPr="008B0D9B">
        <w:t>». Elle a rappelé les difficultés déjà rencontrées par le passé dans l’application des dispositions relatives aux batteries au lithium installées dans des engins de transport (voir par exemple le document informel INF.22 de la session de mars 2019 de la Réunion commune). Au lieu d’une limitation du poids des batteries, plusieurs représentants ont appuyé l’idée qu’une exemption pourrait être associée à une limitation du transport des dispositifs de stockage d’énergie électrique sur la base de leur contenu énergétique total. Il a également été proposé de tenir compte des limitations similaires pour le gazole, le carburant diesel ou le gaz dans le RID et l’ADR ainsi que des risques propres à ce type de ressources énergétiques. Le représentant de l’Allemagne a en outre suggéré d’énumérer clairement les objets entrant dans le champ d’application de l’exemption énoncée au 1.1.3.1</w:t>
      </w:r>
      <w:r w:rsidR="00105C81">
        <w:t> </w:t>
      </w:r>
      <w:r w:rsidRPr="008B0D9B">
        <w:t>c), dans le cadre de l’examen de ladite limitation.</w:t>
      </w:r>
    </w:p>
    <w:p w14:paraId="66ABE2AD" w14:textId="77777777" w:rsidR="00DE2765" w:rsidRPr="008B0D9B" w:rsidRDefault="00DE2765" w:rsidP="00DE2765">
      <w:pPr>
        <w:pStyle w:val="SingleTxtG"/>
      </w:pPr>
      <w:r w:rsidRPr="008B0D9B">
        <w:t>37.</w:t>
      </w:r>
      <w:r w:rsidRPr="008B0D9B">
        <w:tab/>
        <w:t>À la suite du débat, la représentante de la Suède a invité tous les représentants à lui adresser leurs observations complémentaires sur le document. Elle s’est en outre portée volontaire pour élaborer, sur la base des observations reçues, une proposition révisée sur une disposition spéciale comportant toutes les prescriptions requises, pour examen à la prochaine session. Il a par ailleurs été noté qu’à sa session de mai 2021, le Groupe de travail des transports de marchandises dangereuses (WP.15) avait établi un groupe de travail informel chargé d’examiner la question de l’utilisation de véhicules électrifiés pour le transport de marchandises dangereuses. Les représentants intéressés ont été invités à participer aux travaux de ce groupe.</w:t>
      </w:r>
    </w:p>
    <w:p w14:paraId="6B240387" w14:textId="77777777" w:rsidR="00DE2765" w:rsidRPr="008B0D9B" w:rsidRDefault="00DE2765" w:rsidP="00DE2765">
      <w:pPr>
        <w:pStyle w:val="H23G"/>
      </w:pPr>
      <w:r w:rsidRPr="008B0D9B">
        <w:tab/>
        <w:t>3.</w:t>
      </w:r>
      <w:r w:rsidRPr="008B0D9B">
        <w:tab/>
        <w:t>EMBALLAGES AU REBUT, VIDES, NON NETTOYÉS (No ONU 3509)</w:t>
      </w:r>
    </w:p>
    <w:p w14:paraId="5FA83579" w14:textId="06F62447" w:rsidR="00DE2765" w:rsidRPr="008B0D9B" w:rsidRDefault="00DE2765" w:rsidP="009C51FF">
      <w:pPr>
        <w:pStyle w:val="SingleTxtG"/>
        <w:keepNext/>
        <w:ind w:left="3119" w:hanging="1985"/>
        <w:jc w:val="left"/>
      </w:pPr>
      <w:r w:rsidRPr="008B0D9B">
        <w:rPr>
          <w:i/>
          <w:iCs/>
        </w:rPr>
        <w:t>Document</w:t>
      </w:r>
      <w:r w:rsidRPr="008B0D9B">
        <w:t> :</w:t>
      </w:r>
      <w:r w:rsidRPr="008B0D9B">
        <w:tab/>
        <w:t>ECE/TRANS/WP.15/AC.1/2021/44 (Italie)</w:t>
      </w:r>
      <w:r w:rsidR="00105C81">
        <w:t>.</w:t>
      </w:r>
    </w:p>
    <w:p w14:paraId="53183E4B" w14:textId="4A2D07B6" w:rsidR="00DE2765" w:rsidRPr="008B0D9B" w:rsidRDefault="00DE2765" w:rsidP="00DE2765">
      <w:pPr>
        <w:pStyle w:val="SingleTxtG"/>
      </w:pPr>
      <w:r w:rsidRPr="008B0D9B">
        <w:t>38.</w:t>
      </w:r>
      <w:r w:rsidRPr="008B0D9B">
        <w:tab/>
        <w:t>La plupart des représentants qui ont pris la parole ont exprimé leur préoccupation quant à l’idée d’introduire, dans le RID, l’ADR et l’ADN, des références à d’autres textes, au motif que cela exigerait un suivi constant des modifications apportées aux règlements, ou n’ont pas jugé nécessaire d’apporter des précisions pour le No</w:t>
      </w:r>
      <w:r w:rsidR="00105C81">
        <w:t> </w:t>
      </w:r>
      <w:r w:rsidRPr="008B0D9B">
        <w:t>ONU 3509. De l’avis général, le Code IMDG était clair sur le sujet. La Réunion commune a rappelé l’historique concernant le No</w:t>
      </w:r>
      <w:r w:rsidR="00105C81">
        <w:t> </w:t>
      </w:r>
      <w:r w:rsidRPr="008B0D9B">
        <w:t>ONU 3509 et n’a pas appuyé les amendements au 4.1.4.1 afin d’éviter de créer un</w:t>
      </w:r>
      <w:r w:rsidR="009C51FF">
        <w:t> </w:t>
      </w:r>
      <w:r w:rsidRPr="008B0D9B">
        <w:t>précédent.</w:t>
      </w:r>
    </w:p>
    <w:p w14:paraId="641AAD31" w14:textId="77777777" w:rsidR="00DE2765" w:rsidRPr="008B0D9B" w:rsidRDefault="00DE2765" w:rsidP="00DE2765">
      <w:pPr>
        <w:pStyle w:val="H23G"/>
      </w:pPr>
      <w:r w:rsidRPr="008B0D9B">
        <w:tab/>
        <w:t>4.</w:t>
      </w:r>
      <w:r w:rsidRPr="008B0D9B">
        <w:tab/>
        <w:t>Proposition d’amendement au 1 1.3.2 e) de l’ADR et du RID</w:t>
      </w:r>
    </w:p>
    <w:p w14:paraId="6E732ADB" w14:textId="2BDA6BDF" w:rsidR="00DE2765" w:rsidRPr="008B0D9B" w:rsidRDefault="00DE2765" w:rsidP="009C51FF">
      <w:pPr>
        <w:pStyle w:val="SingleTxtG"/>
        <w:keepNext/>
        <w:ind w:left="3119" w:hanging="1985"/>
        <w:jc w:val="left"/>
      </w:pPr>
      <w:r w:rsidRPr="008B0D9B">
        <w:rPr>
          <w:i/>
          <w:iCs/>
        </w:rPr>
        <w:t>Document</w:t>
      </w:r>
      <w:r w:rsidRPr="008B0D9B">
        <w:t> :</w:t>
      </w:r>
      <w:r w:rsidRPr="008B0D9B">
        <w:tab/>
        <w:t>ECE/TRANS/WP.15/AC.1/2021/39 (Irlande)</w:t>
      </w:r>
      <w:r w:rsidR="00105C81">
        <w:t>.</w:t>
      </w:r>
    </w:p>
    <w:p w14:paraId="53400FA4" w14:textId="756906B3" w:rsidR="00DE2765" w:rsidRPr="008B0D9B" w:rsidRDefault="00DE2765" w:rsidP="009C51FF">
      <w:pPr>
        <w:pStyle w:val="SingleTxtG"/>
        <w:keepNext/>
        <w:ind w:left="3119" w:hanging="1985"/>
        <w:jc w:val="left"/>
      </w:pPr>
      <w:r w:rsidRPr="008B0D9B">
        <w:rPr>
          <w:i/>
          <w:iCs/>
        </w:rPr>
        <w:t>Document informel</w:t>
      </w:r>
      <w:r w:rsidRPr="00105C81">
        <w:t> :</w:t>
      </w:r>
      <w:r w:rsidRPr="008B0D9B">
        <w:tab/>
        <w:t>INF.36 (Royaume-Uni)</w:t>
      </w:r>
      <w:r w:rsidR="00105C81">
        <w:t>.</w:t>
      </w:r>
    </w:p>
    <w:p w14:paraId="5BA4D8A0" w14:textId="4E951ADC" w:rsidR="00DE2765" w:rsidRPr="008B0D9B" w:rsidRDefault="00DE2765" w:rsidP="00DE2765">
      <w:pPr>
        <w:pStyle w:val="SingleTxtG"/>
      </w:pPr>
      <w:r w:rsidRPr="008B0D9B">
        <w:t>39.</w:t>
      </w:r>
      <w:r w:rsidRPr="008B0D9B">
        <w:tab/>
        <w:t>La Réunion commune a suivi avec intérêt un exposé de l’Irlande sur le transport d’animaux aquatiques vivants dans des aquariums dotés d’un équipement spécial utilisant de l’air ou de l’oxygène comprimé pour les besoins des animaux, présenté en complément du document ECE/TRANS/WP.15/AC.1/2021/39, dans lequel est proposé un amendement au 1.1.3.2</w:t>
      </w:r>
      <w:r w:rsidR="00105C81">
        <w:t> </w:t>
      </w:r>
      <w:r w:rsidRPr="008B0D9B">
        <w:t xml:space="preserve">e) du RID et de l’ADR. Le représentant du Royaume-Uni a fait une autre proposition consistant à ajouter un nouvel alinéa i) au 1.1.3.2, comme indiqué dans le document informel INF.36. Plusieurs représentants ont estimé que le champ d’application des exemptions visées était encore trop large et que les amendements proposés devaient être clarifiés en ce qui </w:t>
      </w:r>
      <w:r w:rsidRPr="008B0D9B">
        <w:lastRenderedPageBreak/>
        <w:t>concernait le transport de bouteilles à robinet ouvert et limités à l’air ou à l’oxygène comprimés. D’autres représentants ont préféré envisager une solution telle que la disposition spéciale 396 pour le transport des transformateurs (voir le document ECE/TRANS/WP.15/</w:t>
      </w:r>
      <w:r w:rsidR="00105C81">
        <w:t xml:space="preserve"> </w:t>
      </w:r>
      <w:r w:rsidRPr="008B0D9B">
        <w:t>AC.1/2021/24/Add.1), ou l’application du 5.5.4 sur les marchandises dangereuses contenues dans des équipements utilisés ou destinés à être utilisés en cours de transport.</w:t>
      </w:r>
    </w:p>
    <w:p w14:paraId="5E1747FE" w14:textId="77777777" w:rsidR="00DE2765" w:rsidRPr="008B0D9B" w:rsidRDefault="00DE2765" w:rsidP="00DE2765">
      <w:pPr>
        <w:pStyle w:val="SingleTxtG"/>
      </w:pPr>
      <w:r w:rsidRPr="008B0D9B">
        <w:t>40.</w:t>
      </w:r>
      <w:r w:rsidRPr="008B0D9B">
        <w:tab/>
        <w:t>À l’issue de l’échange de vues, le représentant de l’Irlande s’est porté volontaire pour étudier dans le détail les options proposées, puis soumettre une nouvelle proposition à examiner à la session de printemps 2022. Le Président a suggéré de soumettre en parallèle une demande d’interprétation du 5.5.4 au Sous-Comité TMD, pour que celui-ci l’examine à sa prochaine session, en décembre 2021.</w:t>
      </w:r>
    </w:p>
    <w:p w14:paraId="3E31BB42" w14:textId="77777777" w:rsidR="00DE2765" w:rsidRPr="008B0D9B" w:rsidRDefault="00DE2765" w:rsidP="00DE2765">
      <w:pPr>
        <w:pStyle w:val="H23G"/>
      </w:pPr>
      <w:r w:rsidRPr="008B0D9B">
        <w:tab/>
        <w:t>5.</w:t>
      </w:r>
      <w:r w:rsidRPr="008B0D9B">
        <w:tab/>
        <w:t>Amendements aux mesures transitoires</w:t>
      </w:r>
    </w:p>
    <w:p w14:paraId="14E9A09B" w14:textId="49343899" w:rsidR="00DE2765" w:rsidRPr="008B0D9B" w:rsidRDefault="00DE2765" w:rsidP="009C51FF">
      <w:pPr>
        <w:pStyle w:val="SingleTxtG"/>
        <w:keepNext/>
        <w:ind w:left="3119" w:hanging="1985"/>
        <w:jc w:val="left"/>
      </w:pPr>
      <w:r w:rsidRPr="008B0D9B">
        <w:rPr>
          <w:i/>
          <w:iCs/>
        </w:rPr>
        <w:t>Document informel</w:t>
      </w:r>
      <w:r w:rsidRPr="00105C81">
        <w:t> :</w:t>
      </w:r>
      <w:r w:rsidRPr="008B0D9B">
        <w:tab/>
        <w:t>INF.18 (secrétariat)</w:t>
      </w:r>
      <w:r w:rsidR="00105C81">
        <w:t>.</w:t>
      </w:r>
    </w:p>
    <w:p w14:paraId="61C314AD" w14:textId="77777777" w:rsidR="00DE2765" w:rsidRPr="008B0D9B" w:rsidRDefault="00DE2765" w:rsidP="00DE2765">
      <w:pPr>
        <w:pStyle w:val="SingleTxtG"/>
      </w:pPr>
      <w:r w:rsidRPr="008B0D9B">
        <w:t>41.</w:t>
      </w:r>
      <w:r w:rsidRPr="008B0D9B">
        <w:tab/>
        <w:t>La Réunion commune a approuvé la suppression de dispositions transitoires obsolètes, proposée dans le document informel INF.18 (voir l’annexe II).</w:t>
      </w:r>
    </w:p>
    <w:p w14:paraId="13FD1DCC" w14:textId="688343DB" w:rsidR="00DE2765" w:rsidRPr="008B0D9B" w:rsidRDefault="00DE2765" w:rsidP="00DE2765">
      <w:pPr>
        <w:pStyle w:val="H23G"/>
      </w:pPr>
      <w:r w:rsidRPr="008B0D9B">
        <w:tab/>
        <w:t>6.</w:t>
      </w:r>
      <w:r w:rsidRPr="008B0D9B">
        <w:tab/>
        <w:t>Ajout des Nos</w:t>
      </w:r>
      <w:r w:rsidR="00105C81">
        <w:t> </w:t>
      </w:r>
      <w:r w:rsidRPr="008B0D9B">
        <w:t>ONU 1011, 1075, 1969 et 1978 au 6.2.3.9.4 du RID et de l’ADR</w:t>
      </w:r>
    </w:p>
    <w:p w14:paraId="706CD2A1" w14:textId="736C14C7" w:rsidR="00DE2765" w:rsidRPr="008B0D9B" w:rsidRDefault="00DE2765" w:rsidP="009C51FF">
      <w:pPr>
        <w:pStyle w:val="SingleTxtG"/>
        <w:keepNext/>
        <w:ind w:left="3119" w:hanging="1985"/>
        <w:jc w:val="left"/>
      </w:pPr>
      <w:r w:rsidRPr="008B0D9B">
        <w:rPr>
          <w:i/>
          <w:iCs/>
        </w:rPr>
        <w:t>Document informel</w:t>
      </w:r>
      <w:r w:rsidRPr="00105C81">
        <w:t> :</w:t>
      </w:r>
      <w:r w:rsidRPr="008B0D9B">
        <w:tab/>
        <w:t>INF.33 (Liquid Gas Europe)</w:t>
      </w:r>
      <w:r w:rsidR="00105C81">
        <w:t>.</w:t>
      </w:r>
    </w:p>
    <w:p w14:paraId="19D95B2F" w14:textId="77777777" w:rsidR="00DE2765" w:rsidRPr="008B0D9B" w:rsidRDefault="00DE2765" w:rsidP="00DE2765">
      <w:pPr>
        <w:pStyle w:val="SingleTxtG"/>
      </w:pPr>
      <w:r w:rsidRPr="008B0D9B">
        <w:t>42.</w:t>
      </w:r>
      <w:r w:rsidRPr="008B0D9B">
        <w:tab/>
        <w:t>À la suite d’un échange de vues sur la proposition d’amendement au 6.2.3.9.4, le représentant de Liquid Gas Europe s’est porté volontaire pour soumettre un document officiel, comprenant une justification détaillée et un rappel des dispositions existantes, pour examen à la prochaine session de la Réunion commune, en mars 2022.</w:t>
      </w:r>
    </w:p>
    <w:p w14:paraId="428BD4BE" w14:textId="77777777" w:rsidR="00DE2765" w:rsidRPr="008B0D9B" w:rsidRDefault="00DE2765" w:rsidP="00DE2765">
      <w:pPr>
        <w:pStyle w:val="H23G"/>
      </w:pPr>
      <w:r w:rsidRPr="008B0D9B">
        <w:tab/>
        <w:t>7.</w:t>
      </w:r>
      <w:r w:rsidRPr="008B0D9B">
        <w:tab/>
        <w:t>Amendement à la disposition spéciale 668</w:t>
      </w:r>
    </w:p>
    <w:p w14:paraId="096D5F7C" w14:textId="14661646" w:rsidR="00DE2765" w:rsidRPr="008B0D9B" w:rsidRDefault="00DE2765" w:rsidP="009C51FF">
      <w:pPr>
        <w:pStyle w:val="SingleTxtG"/>
        <w:keepNext/>
        <w:ind w:left="3119" w:hanging="1985"/>
        <w:jc w:val="left"/>
      </w:pPr>
      <w:r w:rsidRPr="008B0D9B">
        <w:rPr>
          <w:i/>
          <w:iCs/>
        </w:rPr>
        <w:t>Document</w:t>
      </w:r>
      <w:r w:rsidRPr="008B0D9B">
        <w:t> :</w:t>
      </w:r>
      <w:r w:rsidRPr="008B0D9B">
        <w:tab/>
        <w:t>ECE/TRANS/WP.15/AC.1/2021/30 (IASA)</w:t>
      </w:r>
      <w:r w:rsidR="00105C81">
        <w:t>.</w:t>
      </w:r>
    </w:p>
    <w:p w14:paraId="43F4BF16" w14:textId="77777777" w:rsidR="00DE2765" w:rsidRPr="008B0D9B" w:rsidRDefault="00DE2765" w:rsidP="00DE2765">
      <w:pPr>
        <w:pStyle w:val="SingleTxtG"/>
      </w:pPr>
      <w:r w:rsidRPr="008B0D9B">
        <w:t>43.</w:t>
      </w:r>
      <w:r w:rsidRPr="008B0D9B">
        <w:tab/>
        <w:t>La plupart des délégations n’ont pas appuyé la proposition d’amendement à la disposition spéciale 668. Elles ont estimé que le libellé était trop général et devait être explicitement limité aux activités de chantier ou au bitume ou aux matières similaires. Le représentant de l’IASA a offert de soumettre une proposition révisée comprenant une justification détaillée à la Réunion commune, pour examen à sa session suivante.</w:t>
      </w:r>
    </w:p>
    <w:p w14:paraId="1F537AD2" w14:textId="77777777" w:rsidR="00DE2765" w:rsidRPr="008B0D9B" w:rsidRDefault="00DE2765" w:rsidP="00DE2765">
      <w:pPr>
        <w:pStyle w:val="H23G"/>
      </w:pPr>
      <w:r w:rsidRPr="008B0D9B">
        <w:tab/>
        <w:t>8.</w:t>
      </w:r>
      <w:r w:rsidRPr="008B0D9B">
        <w:tab/>
        <w:t>Machines frigorifiques et pompes à chaleur</w:t>
      </w:r>
    </w:p>
    <w:p w14:paraId="609B9D3C" w14:textId="2B713833" w:rsidR="00DE2765" w:rsidRPr="008B0D9B" w:rsidRDefault="00DE2765" w:rsidP="009C51FF">
      <w:pPr>
        <w:pStyle w:val="SingleTxtG"/>
        <w:keepNext/>
        <w:ind w:left="3119" w:hanging="1985"/>
        <w:jc w:val="left"/>
      </w:pPr>
      <w:r w:rsidRPr="008B0D9B">
        <w:rPr>
          <w:i/>
          <w:iCs/>
        </w:rPr>
        <w:t>Document</w:t>
      </w:r>
      <w:r w:rsidRPr="008B0D9B">
        <w:t> :</w:t>
      </w:r>
      <w:r w:rsidRPr="008B0D9B">
        <w:tab/>
        <w:t>ECE/TRANS/WP.15/AC.1/2021/25 (IASA)</w:t>
      </w:r>
      <w:r w:rsidR="00105C81">
        <w:t>.</w:t>
      </w:r>
    </w:p>
    <w:p w14:paraId="4CEBE38F" w14:textId="3185BBEB" w:rsidR="00DE2765" w:rsidRPr="008B0D9B" w:rsidRDefault="00DE2765" w:rsidP="009C51FF">
      <w:pPr>
        <w:pStyle w:val="SingleTxtG"/>
        <w:keepNext/>
        <w:ind w:left="3119" w:hanging="1985"/>
        <w:jc w:val="left"/>
      </w:pPr>
      <w:r w:rsidRPr="008B0D9B">
        <w:rPr>
          <w:i/>
          <w:iCs/>
        </w:rPr>
        <w:t>Document informel</w:t>
      </w:r>
      <w:r w:rsidRPr="00105C81">
        <w:t> :</w:t>
      </w:r>
      <w:r w:rsidRPr="008B0D9B">
        <w:tab/>
        <w:t>INF.45 (IASA)</w:t>
      </w:r>
      <w:r w:rsidR="00105C81">
        <w:t>.</w:t>
      </w:r>
    </w:p>
    <w:p w14:paraId="1085B9D9" w14:textId="77777777" w:rsidR="00DE2765" w:rsidRPr="008B0D9B" w:rsidRDefault="00DE2765" w:rsidP="00DE2765">
      <w:pPr>
        <w:pStyle w:val="SingleTxtG"/>
      </w:pPr>
      <w:r w:rsidRPr="008B0D9B">
        <w:t>44.</w:t>
      </w:r>
      <w:r w:rsidRPr="008B0D9B">
        <w:tab/>
        <w:t>Parmi les délégations qui ont pris la parole, certaines ont donné leur approbation de principe mais préféraient que la question soit d’abord examinée par le Sous-Comité TMD, sur la base d’un amendement au Règlement type de l’ONU. D’autres ont suggéré d’aller de l’avant d’ici à l’examen de cette question et, pour ce faire, d’adopter un amendement destiné à étendre la mesure transitoire actuelle du 1.6.1.46 aux pompes à chaleur, ou d’introduire dans le RID et l’ADR une note générale sur la similitude entre les pompes à chaleur et les machines frigorifiques. Enfin, la Réunion commune a adopté les amendements aux dispositions spéciales 119 et 291 proposés dans le document informel INF.45 tel que modifié (voir l’annexe II).</w:t>
      </w:r>
    </w:p>
    <w:p w14:paraId="75376596" w14:textId="77777777" w:rsidR="00DE2765" w:rsidRPr="008B0D9B" w:rsidRDefault="00DE2765" w:rsidP="00DE2765">
      <w:pPr>
        <w:pStyle w:val="H23G"/>
      </w:pPr>
      <w:r w:rsidRPr="008B0D9B">
        <w:tab/>
        <w:t>9.</w:t>
      </w:r>
      <w:r w:rsidRPr="008B0D9B">
        <w:tab/>
        <w:t>Peintures et encres d’imprimerie classées comme des matières dangereuses pour l’environnement sous le No ONU 3082 et prescriptions relatives aux épreuves</w:t>
      </w:r>
    </w:p>
    <w:p w14:paraId="69412EB0" w14:textId="7286F378" w:rsidR="00DE2765" w:rsidRPr="008B0D9B" w:rsidRDefault="00DE2765" w:rsidP="009C51FF">
      <w:pPr>
        <w:pStyle w:val="SingleTxtG"/>
        <w:keepNext/>
        <w:ind w:left="3119" w:hanging="1985"/>
        <w:jc w:val="left"/>
      </w:pPr>
      <w:r w:rsidRPr="008B0D9B">
        <w:rPr>
          <w:i/>
          <w:iCs/>
        </w:rPr>
        <w:t>Document</w:t>
      </w:r>
      <w:r w:rsidRPr="008B0D9B">
        <w:t> :</w:t>
      </w:r>
      <w:r w:rsidRPr="008B0D9B">
        <w:tab/>
        <w:t>ECE/TRANS/WP.15/AC.1/2021/37 (CEPE)</w:t>
      </w:r>
      <w:r w:rsidR="00105C81">
        <w:t>.</w:t>
      </w:r>
    </w:p>
    <w:p w14:paraId="04A9183E" w14:textId="0ECF2A30" w:rsidR="00DE2765" w:rsidRPr="008B0D9B" w:rsidRDefault="00DE2765" w:rsidP="009C51FF">
      <w:pPr>
        <w:pStyle w:val="SingleTxtG"/>
        <w:keepNext/>
        <w:ind w:left="3119" w:hanging="1985"/>
        <w:jc w:val="left"/>
      </w:pPr>
      <w:r w:rsidRPr="008B0D9B">
        <w:rPr>
          <w:i/>
          <w:iCs/>
        </w:rPr>
        <w:t>Documents informels </w:t>
      </w:r>
      <w:r w:rsidRPr="00105C81">
        <w:t>:</w:t>
      </w:r>
      <w:r w:rsidRPr="008B0D9B">
        <w:tab/>
        <w:t>INF.26 et INF.46 (CEPE), INF.37 (Norvège)</w:t>
      </w:r>
      <w:r w:rsidR="00105C81">
        <w:t>.</w:t>
      </w:r>
    </w:p>
    <w:p w14:paraId="6613B120" w14:textId="77777777" w:rsidR="00DE2765" w:rsidRPr="008B0D9B" w:rsidRDefault="00DE2765" w:rsidP="00DE2765">
      <w:pPr>
        <w:pStyle w:val="SingleTxtG"/>
      </w:pPr>
      <w:bookmarkStart w:id="0" w:name="_Hlk19811304"/>
      <w:r w:rsidRPr="008B0D9B">
        <w:t>45.</w:t>
      </w:r>
      <w:r w:rsidRPr="008B0D9B">
        <w:tab/>
        <w:t xml:space="preserve">Rappelant le débat sur la question tenu à sa précédente session, la Réunion commune a pris note de l’appui général aux nouvelles dispositions transitoires du chapitre 1.6 proposées par le CEPE dans le document ECE/TRANS/WP.15/AC.1/2021/37. Plusieurs représentants ont fait part de leur préoccupation concernant l’introduction, dans le RID et dans l’ADR, d’une référence à d’autres textes et ont dit souhaiter qu’on supprime également l’alinéa c) </w:t>
      </w:r>
      <w:r w:rsidRPr="008B0D9B">
        <w:lastRenderedPageBreak/>
        <w:t>proposé, contenant une référence au SGH et au Règlement CLP. À l’issue du débat, la Réunion commune a adopté la disposition transitoire énoncée dans la proposition 1 du document informel INF.46 tel que modifié (voir l’annexe II).</w:t>
      </w:r>
    </w:p>
    <w:p w14:paraId="1C7F1815" w14:textId="230B75F7" w:rsidR="00DE2765" w:rsidRPr="007350AA" w:rsidRDefault="00DE2765" w:rsidP="00DE2765">
      <w:pPr>
        <w:pStyle w:val="SingleTxtG"/>
        <w:rPr>
          <w:spacing w:val="-2"/>
        </w:rPr>
      </w:pPr>
      <w:r w:rsidRPr="007350AA">
        <w:rPr>
          <w:spacing w:val="-2"/>
        </w:rPr>
        <w:t>46.</w:t>
      </w:r>
      <w:r w:rsidRPr="007350AA">
        <w:rPr>
          <w:spacing w:val="-2"/>
        </w:rPr>
        <w:tab/>
        <w:t>La Réunion commune s’est félicitée de l’initiative de la Norvège, détaillée dans le document informel INF.37, qui vise à la conclusion d’accords multilatéraux sur les matières dangereuses pour l’environnement répertoriées sous le No</w:t>
      </w:r>
      <w:r w:rsidR="007350AA" w:rsidRPr="007350AA">
        <w:rPr>
          <w:spacing w:val="-2"/>
        </w:rPr>
        <w:t> </w:t>
      </w:r>
      <w:r w:rsidRPr="007350AA">
        <w:rPr>
          <w:spacing w:val="-2"/>
        </w:rPr>
        <w:t>ONU 3082. Le représentant de la Norvège s’est porté volontaire pour réviser les accords multilatéraux M341 et RID 7/2021 à la lumière de la décision relative au document informel INF.46. Les Parties/États contractant(e)s au RID et à l’ADR ont été invité(e)s à contresigner ces nouveaux accords multilatéraux.</w:t>
      </w:r>
      <w:bookmarkEnd w:id="0"/>
    </w:p>
    <w:p w14:paraId="52CB8FFB" w14:textId="2AED0266" w:rsidR="00DE2765" w:rsidRPr="008B0D9B" w:rsidRDefault="00DE2765" w:rsidP="00DE2765">
      <w:pPr>
        <w:pStyle w:val="HChG"/>
      </w:pPr>
      <w:r w:rsidRPr="008B0D9B">
        <w:tab/>
        <w:t>VIII.</w:t>
      </w:r>
      <w:r w:rsidRPr="008B0D9B">
        <w:tab/>
        <w:t>Interprétation du RID, de l’ADR et de l’ADN (point 6 de</w:t>
      </w:r>
      <w:r w:rsidR="007350AA">
        <w:t> </w:t>
      </w:r>
      <w:r w:rsidRPr="008B0D9B">
        <w:t>l’ordre du jour)</w:t>
      </w:r>
    </w:p>
    <w:p w14:paraId="665F6C6B" w14:textId="25B03CC0" w:rsidR="00DE2765" w:rsidRPr="008B0D9B" w:rsidRDefault="00DE2765" w:rsidP="00DE2765">
      <w:pPr>
        <w:pStyle w:val="H1G"/>
      </w:pPr>
      <w:r w:rsidRPr="008B0D9B">
        <w:tab/>
        <w:t>A.</w:t>
      </w:r>
      <w:r w:rsidRPr="008B0D9B">
        <w:tab/>
        <w:t xml:space="preserve">Éclaircissements relatifs au paragraphe 5.3.2.2.1 du RID et de l’ADR </w:t>
      </w:r>
      <w:r w:rsidR="007350AA">
        <w:t>−</w:t>
      </w:r>
      <w:r w:rsidRPr="008B0D9B">
        <w:t xml:space="preserve"> spécifications pour les panneaux orange</w:t>
      </w:r>
    </w:p>
    <w:p w14:paraId="75CF35B6" w14:textId="751749DE" w:rsidR="00DE2765" w:rsidRPr="008B0D9B" w:rsidRDefault="00DE2765" w:rsidP="009C51FF">
      <w:pPr>
        <w:pStyle w:val="SingleTxtG"/>
        <w:keepNext/>
        <w:ind w:left="3119" w:hanging="1985"/>
        <w:jc w:val="left"/>
      </w:pPr>
      <w:r w:rsidRPr="008B0D9B">
        <w:rPr>
          <w:i/>
          <w:iCs/>
        </w:rPr>
        <w:t>Document</w:t>
      </w:r>
      <w:r w:rsidRPr="008B0D9B">
        <w:t> :</w:t>
      </w:r>
      <w:r w:rsidRPr="008B0D9B">
        <w:tab/>
        <w:t>ECE/TRANS/WP.15/AC.1/2021/26 (Royaume-Uni)</w:t>
      </w:r>
      <w:r w:rsidR="007350AA">
        <w:t>.</w:t>
      </w:r>
    </w:p>
    <w:p w14:paraId="294C7616" w14:textId="77777777" w:rsidR="00DE2765" w:rsidRPr="008B0D9B" w:rsidRDefault="00DE2765" w:rsidP="00DE2765">
      <w:pPr>
        <w:pStyle w:val="SingleTxtG"/>
      </w:pPr>
      <w:r w:rsidRPr="008B0D9B">
        <w:t>47.</w:t>
      </w:r>
      <w:r w:rsidRPr="008B0D9B">
        <w:tab/>
        <w:t>La Réunion commune a constaté l’absence de dispositions ou de normes spécialement destinées à vérifier que les panneaux orange ne se détachent pas après un incendie d’une durée de 15 minutes. Le représentant de l’Espagne a proposé de communiquer les prescriptions existant à cette fin dans son pays.</w:t>
      </w:r>
    </w:p>
    <w:p w14:paraId="755B0447" w14:textId="77777777" w:rsidR="00DE2765" w:rsidRPr="008B0D9B" w:rsidRDefault="00DE2765" w:rsidP="009C51FF">
      <w:pPr>
        <w:pStyle w:val="H1G"/>
        <w:ind w:right="1841"/>
      </w:pPr>
      <w:r w:rsidRPr="008B0D9B">
        <w:tab/>
        <w:t>B.</w:t>
      </w:r>
      <w:r w:rsidRPr="008B0D9B">
        <w:tab/>
        <w:t>Question d’interprétation concernant la disposition spéciale 249 et le transport lié au recyclage des briquets</w:t>
      </w:r>
    </w:p>
    <w:p w14:paraId="3FC01346" w14:textId="7D92ABC2" w:rsidR="00DE2765" w:rsidRPr="008B0D9B" w:rsidRDefault="00DE2765" w:rsidP="009C51FF">
      <w:pPr>
        <w:pStyle w:val="SingleTxtG"/>
        <w:keepNext/>
        <w:ind w:left="3119" w:hanging="1985"/>
        <w:jc w:val="left"/>
      </w:pPr>
      <w:r w:rsidRPr="008B0D9B">
        <w:rPr>
          <w:i/>
          <w:iCs/>
        </w:rPr>
        <w:t>Document informel</w:t>
      </w:r>
      <w:r w:rsidRPr="009C51FF">
        <w:t> :</w:t>
      </w:r>
      <w:r w:rsidRPr="008B0D9B">
        <w:tab/>
        <w:t>INF.4 (France)</w:t>
      </w:r>
      <w:r w:rsidR="009C51FF">
        <w:t>.</w:t>
      </w:r>
    </w:p>
    <w:p w14:paraId="46B04B75" w14:textId="77777777" w:rsidR="00DE2765" w:rsidRPr="008B0D9B" w:rsidRDefault="00DE2765" w:rsidP="00DE2765">
      <w:pPr>
        <w:pStyle w:val="SingleTxtG"/>
      </w:pPr>
      <w:r w:rsidRPr="008B0D9B">
        <w:t>48.</w:t>
      </w:r>
      <w:r w:rsidRPr="008B0D9B">
        <w:tab/>
        <w:t>La Réunion commune a fait valoir que, d’une part, cette question ne posait pas de problème particulier aux autres Parties/États contractant(e)s au RID et à l’ADR, et que, d’autre part, le transport de pierres à briquet en tant que pièces détachées ne nécessitait pas de dispositions supplémentaires.</w:t>
      </w:r>
    </w:p>
    <w:p w14:paraId="744B97F9" w14:textId="14685C00" w:rsidR="00DE2765" w:rsidRPr="008B0D9B" w:rsidRDefault="00DE2765" w:rsidP="00DE2765">
      <w:pPr>
        <w:pStyle w:val="H1G"/>
      </w:pPr>
      <w:r w:rsidRPr="008B0D9B">
        <w:tab/>
        <w:t>C.</w:t>
      </w:r>
      <w:r w:rsidRPr="008B0D9B">
        <w:tab/>
        <w:t>Approbation des autorités compétentes pour les peroxydes organiques et les matières autoréactives non énumérés et interprétation des</w:t>
      </w:r>
      <w:r w:rsidR="009C51FF">
        <w:t> </w:t>
      </w:r>
      <w:r w:rsidRPr="008B0D9B">
        <w:t>mentions «</w:t>
      </w:r>
      <w:r w:rsidR="009C51FF">
        <w:t> </w:t>
      </w:r>
      <w:r w:rsidRPr="008B0D9B">
        <w:t>non énuméré</w:t>
      </w:r>
      <w:r w:rsidR="009C51FF">
        <w:t> </w:t>
      </w:r>
      <w:r w:rsidRPr="008B0D9B">
        <w:t>» et «</w:t>
      </w:r>
      <w:r w:rsidR="009C51FF">
        <w:t> </w:t>
      </w:r>
      <w:r w:rsidRPr="008B0D9B">
        <w:t>pays d’origine</w:t>
      </w:r>
      <w:r w:rsidR="009C51FF">
        <w:t> </w:t>
      </w:r>
      <w:r w:rsidRPr="008B0D9B">
        <w:t>»</w:t>
      </w:r>
    </w:p>
    <w:p w14:paraId="13122ECF" w14:textId="029E222D" w:rsidR="00DE2765" w:rsidRPr="008B0D9B" w:rsidRDefault="00DE2765" w:rsidP="009C51FF">
      <w:pPr>
        <w:pStyle w:val="SingleTxtG"/>
        <w:keepNext/>
        <w:ind w:left="3119" w:hanging="1985"/>
        <w:jc w:val="left"/>
      </w:pPr>
      <w:r w:rsidRPr="008B0D9B">
        <w:rPr>
          <w:i/>
          <w:iCs/>
        </w:rPr>
        <w:t>Document informel </w:t>
      </w:r>
      <w:r w:rsidRPr="009C51FF">
        <w:t>:</w:t>
      </w:r>
      <w:r w:rsidRPr="008B0D9B">
        <w:tab/>
        <w:t>INF.7 (Cefic)</w:t>
      </w:r>
      <w:r w:rsidR="009C51FF">
        <w:t>.</w:t>
      </w:r>
    </w:p>
    <w:p w14:paraId="3B9A7EB6" w14:textId="77777777" w:rsidR="00DE2765" w:rsidRPr="008B0D9B" w:rsidRDefault="00DE2765" w:rsidP="00DE2765">
      <w:pPr>
        <w:pStyle w:val="SingleTxtG"/>
      </w:pPr>
      <w:r w:rsidRPr="008B0D9B">
        <w:t>49.</w:t>
      </w:r>
      <w:r w:rsidRPr="008B0D9B">
        <w:tab/>
        <w:t>La Réunion commune a décidé que les matières diluées devaient être considérées comme « non énumérées » lorsque leur concentration était inférieure à la plage de concentration indiquée dans les listes du 2.2.41.4 ou du 2.2.52.4. Elle a également confirmé l’interprétation selon laquelle, si de nouvelles données d’essai indiquent qu’un produit énuméré sur la base d’anciennes données d’essai ou d’un recoupement avec des produits similaires peu après son lancement devrait être classé différemment, le transport doit avoir lieu selon les conditions propres à la nouvelle classe, sous réserve de l’approbation de l’autorité compétente, jusqu’à ce que la liste soit mise à jour en conséquence.</w:t>
      </w:r>
    </w:p>
    <w:p w14:paraId="30FBD8D8" w14:textId="77777777" w:rsidR="00DE2765" w:rsidRPr="008B0D9B" w:rsidRDefault="00DE2765" w:rsidP="00DE2765">
      <w:pPr>
        <w:pStyle w:val="SingleTxtG"/>
      </w:pPr>
      <w:r w:rsidRPr="008B0D9B">
        <w:t>50.</w:t>
      </w:r>
      <w:r w:rsidRPr="008B0D9B">
        <w:tab/>
        <w:t xml:space="preserve">Les délégations qui se sont exprimées étaient d’avis que l’autorité compétente chargée d’approuver le classement et les conditions de transport était l’autorité compétente de l’État ou de la Partie contractant(e) au RID ou à l’ADR à l’origine du transport, c’est-à-dire le pays à partir duquel les marchandises sont transportées (généralement le pays où les marchandises sont fabriquées). En outre, si le transport débute dans un État/une Partie non contractant(e) au RID ou à l’ADR, l’autorité compétente du premier État/de la première Partie contractant(e) au RID ou à l’ADR touché(e) par l’envoi doit approuver le classement et les conditions de transport. Dans ces deux cas, le classement et les conditions de transport, une </w:t>
      </w:r>
      <w:r w:rsidRPr="008B0D9B">
        <w:lastRenderedPageBreak/>
        <w:t>fois approuvés, doivent être reconnus par les autres États/Parties contractant(e)s au RID et à l’ADR sur l’itinéraire du transport.</w:t>
      </w:r>
    </w:p>
    <w:p w14:paraId="48BAB04F" w14:textId="77777777" w:rsidR="00DE2765" w:rsidRPr="008B0D9B" w:rsidRDefault="00DE2765" w:rsidP="00DE2765">
      <w:pPr>
        <w:pStyle w:val="SingleTxtG"/>
      </w:pPr>
      <w:r w:rsidRPr="008B0D9B">
        <w:t>51.</w:t>
      </w:r>
      <w:r w:rsidRPr="008B0D9B">
        <w:tab/>
        <w:t>Se souvenant des conclusions du débat que la Réunion commune, un membre du secrétariat a rappelé qu’à l’issue du débat qu’elle avait tenu à sa session d’automne 2018 concernant le document informel INF.21,la Réunion commune avait décidé de mettre sur pied un groupe de travail informel chargé de préciser les références aux autorités compétentes chaque fois que cela semblait nécessaire (voir les paragraphes 57 à 59 du document ECE/TRANS/WP.15/AC.1/152).</w:t>
      </w:r>
    </w:p>
    <w:p w14:paraId="3D0A985F" w14:textId="1940C6D5" w:rsidR="00DE2765" w:rsidRPr="008B0D9B" w:rsidRDefault="00DE2765" w:rsidP="00DE2765">
      <w:pPr>
        <w:pStyle w:val="H1G"/>
      </w:pPr>
      <w:r w:rsidRPr="008B0D9B">
        <w:tab/>
        <w:t>D.</w:t>
      </w:r>
      <w:r w:rsidRPr="008B0D9B">
        <w:tab/>
        <w:t>Section 1.5.1 du RID, de l’ADR et de l’ADN : accords multilatéraux</w:t>
      </w:r>
    </w:p>
    <w:p w14:paraId="5A844DE6" w14:textId="0791D857" w:rsidR="00DE2765" w:rsidRPr="008B0D9B" w:rsidRDefault="00DE2765" w:rsidP="009C51FF">
      <w:pPr>
        <w:pStyle w:val="SingleTxtG"/>
        <w:keepNext/>
        <w:ind w:left="3119" w:hanging="1985"/>
        <w:jc w:val="left"/>
      </w:pPr>
      <w:r w:rsidRPr="008B0D9B">
        <w:rPr>
          <w:i/>
          <w:iCs/>
        </w:rPr>
        <w:t>Document informel</w:t>
      </w:r>
      <w:r w:rsidRPr="009C51FF">
        <w:t> :</w:t>
      </w:r>
      <w:r w:rsidRPr="008B0D9B">
        <w:tab/>
        <w:t>INF.20 (Allemagne)</w:t>
      </w:r>
      <w:r w:rsidR="009C51FF">
        <w:t>.</w:t>
      </w:r>
    </w:p>
    <w:p w14:paraId="20AD6525" w14:textId="77777777" w:rsidR="00DE2765" w:rsidRPr="008B0D9B" w:rsidRDefault="00DE2765" w:rsidP="00DE2765">
      <w:pPr>
        <w:pStyle w:val="SingleTxtG"/>
      </w:pPr>
      <w:r w:rsidRPr="008B0D9B">
        <w:t>52.</w:t>
      </w:r>
      <w:r w:rsidRPr="008B0D9B">
        <w:tab/>
        <w:t>Pour des raisons juridiques, la plupart des délégations ont hésité à rendre les accords multilatéraux concernant les parties 4 et 6 du RID et de l’ADR automatiquement applicables à l’ADN, du fait que chacun de ces textes se rapportait à un mode de transport particulier. En outre, les autorités compétentes chargées des conventions et des accords multilatéraux dans un pays donné pouvaient ne pas être les mêmes selon les modes de transport visés et pouvaient imposer des restrictions nationales différentes. Compte tenu des différences entre les modes de transport, il convenait de conclure des accords multilatéraux pour chaque mode.</w:t>
      </w:r>
    </w:p>
    <w:p w14:paraId="370E0832" w14:textId="170B28AC" w:rsidR="00DE2765" w:rsidRPr="008B0D9B" w:rsidRDefault="00DE2765" w:rsidP="00DE2765">
      <w:pPr>
        <w:pStyle w:val="H1G"/>
      </w:pPr>
      <w:r w:rsidRPr="008B0D9B">
        <w:tab/>
        <w:t>E.</w:t>
      </w:r>
      <w:r w:rsidRPr="008B0D9B">
        <w:tab/>
        <w:t>Précisions relatives au 6.2.2.7.5 du Règlement type de l’ONU (ainsi</w:t>
      </w:r>
      <w:r w:rsidR="009C51FF">
        <w:t> </w:t>
      </w:r>
      <w:r w:rsidRPr="008B0D9B">
        <w:t>que</w:t>
      </w:r>
      <w:r w:rsidR="009C51FF">
        <w:t> </w:t>
      </w:r>
      <w:r w:rsidRPr="008B0D9B">
        <w:t xml:space="preserve">du RID et de l’ADR) </w:t>
      </w:r>
      <w:r w:rsidR="009C51FF">
        <w:t>−</w:t>
      </w:r>
      <w:r w:rsidRPr="008B0D9B">
        <w:t xml:space="preserve"> emplacements des groupes de</w:t>
      </w:r>
      <w:r w:rsidR="009C51FF">
        <w:t> </w:t>
      </w:r>
      <w:r w:rsidRPr="008B0D9B">
        <w:t>marques sur les bouteilles</w:t>
      </w:r>
    </w:p>
    <w:p w14:paraId="305D3225" w14:textId="2223FCB8" w:rsidR="00DE2765" w:rsidRPr="008B0D9B" w:rsidRDefault="00DE2765" w:rsidP="009C51FF">
      <w:pPr>
        <w:pStyle w:val="SingleTxtG"/>
        <w:keepNext/>
        <w:ind w:left="3119" w:hanging="1985"/>
        <w:jc w:val="left"/>
      </w:pPr>
      <w:r w:rsidRPr="008B0D9B">
        <w:rPr>
          <w:i/>
          <w:iCs/>
        </w:rPr>
        <w:t>Document informel </w:t>
      </w:r>
      <w:r w:rsidRPr="009C51FF">
        <w:t>:</w:t>
      </w:r>
      <w:r w:rsidRPr="008B0D9B">
        <w:tab/>
        <w:t>INF.34 (Association mondiale du GPL/Liquid Gas Europe)</w:t>
      </w:r>
      <w:r w:rsidR="009C51FF">
        <w:t>.</w:t>
      </w:r>
    </w:p>
    <w:p w14:paraId="02596FF7" w14:textId="77777777" w:rsidR="00DE2765" w:rsidRPr="008B0D9B" w:rsidRDefault="00DE2765" w:rsidP="00DE2765">
      <w:pPr>
        <w:pStyle w:val="SingleTxtG"/>
      </w:pPr>
      <w:r w:rsidRPr="008B0D9B">
        <w:t>53.</w:t>
      </w:r>
      <w:r w:rsidRPr="008B0D9B">
        <w:tab/>
        <w:t>Les délégations qui se sont exprimées ont préféré conserver en l’état les dispositions du 6.2.2.7.5, relatives aux emplacements des groupes de marques sur les bouteilles, en attendant l’issue des débats du Sous-Comité TMD sur la question.</w:t>
      </w:r>
    </w:p>
    <w:p w14:paraId="3C2904E3" w14:textId="7648FEB3" w:rsidR="00DE2765" w:rsidRPr="008B0D9B" w:rsidRDefault="00DE2765" w:rsidP="00DE2765">
      <w:pPr>
        <w:pStyle w:val="HChG"/>
      </w:pPr>
      <w:r w:rsidRPr="008B0D9B">
        <w:tab/>
        <w:t>IX.</w:t>
      </w:r>
      <w:r w:rsidRPr="008B0D9B">
        <w:tab/>
      </w:r>
      <w:r w:rsidRPr="008B0D9B">
        <w:tab/>
        <w:t>Rapports des groupes de travail informels (point 7 de</w:t>
      </w:r>
      <w:r w:rsidR="009C51FF">
        <w:t> </w:t>
      </w:r>
      <w:r w:rsidRPr="008B0D9B">
        <w:t>l’ordre</w:t>
      </w:r>
      <w:r w:rsidR="009C51FF">
        <w:t> </w:t>
      </w:r>
      <w:r w:rsidRPr="008B0D9B">
        <w:t>du jour)</w:t>
      </w:r>
    </w:p>
    <w:p w14:paraId="0CAD4E1D" w14:textId="396A7F4C" w:rsidR="00DE2765" w:rsidRPr="008B0D9B" w:rsidRDefault="00DE2765" w:rsidP="00DE2765">
      <w:pPr>
        <w:pStyle w:val="H1G"/>
      </w:pPr>
      <w:r w:rsidRPr="008B0D9B">
        <w:tab/>
      </w:r>
      <w:r w:rsidRPr="008B0D9B">
        <w:tab/>
        <w:t>Point sur les travaux du groupe de travail informel de la réduction du risque de vaporisation explosive d’un liquide porté à ébullition (BLEVE)</w:t>
      </w:r>
    </w:p>
    <w:p w14:paraId="6F9A6A40" w14:textId="6960224B" w:rsidR="00DE2765" w:rsidRPr="008B0D9B" w:rsidRDefault="00DE2765" w:rsidP="009C51FF">
      <w:pPr>
        <w:pStyle w:val="SingleTxtG"/>
        <w:keepNext/>
        <w:ind w:left="3119" w:hanging="1985"/>
        <w:jc w:val="left"/>
      </w:pPr>
      <w:r w:rsidRPr="008B0D9B">
        <w:rPr>
          <w:i/>
          <w:iCs/>
        </w:rPr>
        <w:t>Document</w:t>
      </w:r>
      <w:r w:rsidRPr="008B0D9B">
        <w:t> :</w:t>
      </w:r>
      <w:r w:rsidRPr="008B0D9B">
        <w:tab/>
        <w:t>ECE/TRANS/WP.15/AC.1/2021/35 (Espagne)</w:t>
      </w:r>
      <w:r w:rsidR="009C51FF">
        <w:t>.</w:t>
      </w:r>
    </w:p>
    <w:p w14:paraId="11EB108A" w14:textId="77777777" w:rsidR="00DE2765" w:rsidRPr="008B0D9B" w:rsidRDefault="00DE2765" w:rsidP="00DE2765">
      <w:pPr>
        <w:pStyle w:val="SingleTxtG"/>
      </w:pPr>
      <w:r w:rsidRPr="008B0D9B">
        <w:t>54.</w:t>
      </w:r>
      <w:r w:rsidRPr="008B0D9B">
        <w:tab/>
        <w:t>La Réunion commune a pris note des informations fournies par l’Espagne dans le document ECE/TRANS/WP.15/AC.1/2021/35, relatives à la prolongation du mandat et à l’avancement des travaux du groupe de travail informel de la réduction du risque de BLEVE. Celui-ci attend un retour d’information de la part du Groupe de travail des citernes en ce qui concerne l’installation obligatoire de soupapes de sécurité sur les citernes transportant des gaz liquéfiés inflammables (voir, dans l’annexe I du présent rapport, les conclusions relatives au document ECE/TRANS/WP.15/AC.1/2021/36, examiné au titre du point 2 ci-dessus), et de la part du WP.15 à sa session de novembre. La Réunion commune a décidé de reprendre l’examen de cette question à sa session de mars 2022.</w:t>
      </w:r>
    </w:p>
    <w:p w14:paraId="01E63835" w14:textId="77777777" w:rsidR="00DE2765" w:rsidRPr="008B0D9B" w:rsidRDefault="00DE2765" w:rsidP="00DE2765">
      <w:pPr>
        <w:pStyle w:val="HChG"/>
      </w:pPr>
      <w:r w:rsidRPr="008B0D9B">
        <w:tab/>
        <w:t>X.</w:t>
      </w:r>
      <w:r w:rsidRPr="008B0D9B">
        <w:tab/>
        <w:t>Accidents et gestion des risques (point 8 de l’ordre du jour)</w:t>
      </w:r>
    </w:p>
    <w:p w14:paraId="7806F3F6" w14:textId="77777777" w:rsidR="00DE2765" w:rsidRPr="008B0D9B" w:rsidRDefault="00DE2765" w:rsidP="00DE2765">
      <w:pPr>
        <w:pStyle w:val="SingleTxtG"/>
      </w:pPr>
      <w:bookmarkStart w:id="1" w:name="_Hlk19796215"/>
      <w:r w:rsidRPr="008B0D9B">
        <w:t>55.</w:t>
      </w:r>
      <w:r w:rsidRPr="008B0D9B">
        <w:tab/>
        <w:t>Aucun document n’ayant été soumis au titre de ce point de l’ordre du jour, la question n’a pas été abordée.</w:t>
      </w:r>
    </w:p>
    <w:bookmarkEnd w:id="1"/>
    <w:p w14:paraId="3DCA12BD" w14:textId="77777777" w:rsidR="00DE2765" w:rsidRPr="008B0D9B" w:rsidRDefault="00DE2765" w:rsidP="00DE2765">
      <w:pPr>
        <w:pStyle w:val="HChG"/>
      </w:pPr>
      <w:r w:rsidRPr="008B0D9B">
        <w:lastRenderedPageBreak/>
        <w:tab/>
        <w:t>XI.</w:t>
      </w:r>
      <w:r w:rsidRPr="008B0D9B">
        <w:tab/>
        <w:t>Élection du Bureau pour 2022 (point 9 de l’ordre du jour)</w:t>
      </w:r>
    </w:p>
    <w:p w14:paraId="0C3DBC7F" w14:textId="48B25402" w:rsidR="00DE2765" w:rsidRPr="008B0D9B" w:rsidRDefault="00DE2765" w:rsidP="00DE2765">
      <w:pPr>
        <w:pStyle w:val="SingleTxtG"/>
      </w:pPr>
      <w:r w:rsidRPr="008B0D9B">
        <w:t>56.</w:t>
      </w:r>
      <w:r w:rsidRPr="008B0D9B">
        <w:tab/>
        <w:t>Sur proposition du représentant de la Belgique, M.</w:t>
      </w:r>
      <w:r w:rsidR="009C51FF">
        <w:t> </w:t>
      </w:r>
      <w:r w:rsidRPr="008B0D9B">
        <w:t>C.</w:t>
      </w:r>
      <w:r w:rsidR="009C51FF">
        <w:t> </w:t>
      </w:r>
      <w:r w:rsidRPr="008B0D9B">
        <w:t xml:space="preserve">Pfauvadel (France) et </w:t>
      </w:r>
      <w:r w:rsidR="009C51FF">
        <w:t>M</w:t>
      </w:r>
      <w:r w:rsidR="009C51FF">
        <w:rPr>
          <w:vertAlign w:val="superscript"/>
        </w:rPr>
        <w:t>me</w:t>
      </w:r>
      <w:r w:rsidR="009C51FF">
        <w:t> </w:t>
      </w:r>
      <w:r w:rsidRPr="008B0D9B">
        <w:t>S.</w:t>
      </w:r>
      <w:r w:rsidR="009C51FF">
        <w:t> </w:t>
      </w:r>
      <w:r w:rsidRPr="008B0D9B">
        <w:t>García Wolfrum (Espagne) ont été respectivement réélus Président et Vice-Présidente pour 2022.</w:t>
      </w:r>
    </w:p>
    <w:p w14:paraId="377513D4" w14:textId="77777777" w:rsidR="00DE2765" w:rsidRPr="008B0D9B" w:rsidRDefault="00DE2765" w:rsidP="00DE2765">
      <w:pPr>
        <w:pStyle w:val="HChG"/>
      </w:pPr>
      <w:r w:rsidRPr="008B0D9B">
        <w:tab/>
        <w:t>XII.</w:t>
      </w:r>
      <w:r w:rsidRPr="008B0D9B">
        <w:tab/>
        <w:t>Travaux futurs (point 10 de l’ordre du jour)</w:t>
      </w:r>
    </w:p>
    <w:p w14:paraId="21866EA1" w14:textId="6C0FC95A" w:rsidR="00DE2765" w:rsidRPr="008B0D9B" w:rsidRDefault="00DE2765" w:rsidP="00DE2765">
      <w:pPr>
        <w:pStyle w:val="SingleTxtG"/>
      </w:pPr>
      <w:r w:rsidRPr="008B0D9B">
        <w:t>57.</w:t>
      </w:r>
      <w:r w:rsidRPr="008B0D9B">
        <w:tab/>
        <w:t>La Réunion commune a été informée que sa prochaine session se tiendrait à Berne du 14 au 18</w:t>
      </w:r>
      <w:r w:rsidR="009C51FF">
        <w:t> </w:t>
      </w:r>
      <w:r w:rsidRPr="008B0D9B">
        <w:t>mars 2022 et que la date limite pour la soumission des documents officiels avait été fixée au 17</w:t>
      </w:r>
      <w:r w:rsidR="009C51FF">
        <w:t> </w:t>
      </w:r>
      <w:r w:rsidRPr="008B0D9B">
        <w:t>décembre 2021.</w:t>
      </w:r>
    </w:p>
    <w:p w14:paraId="3D4EDC52" w14:textId="77777777" w:rsidR="00DE2765" w:rsidRPr="008B0D9B" w:rsidRDefault="00DE2765" w:rsidP="00DE2765">
      <w:pPr>
        <w:pStyle w:val="HChG"/>
      </w:pPr>
      <w:r w:rsidRPr="008B0D9B">
        <w:tab/>
        <w:t>XIII.</w:t>
      </w:r>
      <w:r w:rsidRPr="008B0D9B">
        <w:tab/>
        <w:t>Questions diverses (point 11 de l’ordre du jour)</w:t>
      </w:r>
    </w:p>
    <w:p w14:paraId="15671AB8" w14:textId="77777777" w:rsidR="00DE2765" w:rsidRPr="002E1728" w:rsidRDefault="00DE2765" w:rsidP="00DE2765">
      <w:pPr>
        <w:pStyle w:val="H1G"/>
        <w:rPr>
          <w:lang w:val="en-GB"/>
        </w:rPr>
      </w:pPr>
      <w:r w:rsidRPr="008B0D9B">
        <w:tab/>
        <w:t>A.</w:t>
      </w:r>
      <w:r w:rsidRPr="008B0D9B">
        <w:tab/>
        <w:t xml:space="preserve">Demande de statut consultatif de </w:t>
      </w:r>
      <w:r w:rsidRPr="002E1728">
        <w:t>l’</w:t>
      </w:r>
      <w:r w:rsidRPr="002E1728">
        <w:rPr>
          <w:lang w:val="en-GB"/>
        </w:rPr>
        <w:t>European Recycling Industries’ Confederation (EuRIC)</w:t>
      </w:r>
    </w:p>
    <w:p w14:paraId="2F78D205" w14:textId="41275BAF" w:rsidR="00DE2765" w:rsidRPr="008B0D9B" w:rsidRDefault="00DE2765" w:rsidP="009C51FF">
      <w:pPr>
        <w:pStyle w:val="SingleTxtG"/>
        <w:keepNext/>
        <w:ind w:left="3119" w:hanging="1985"/>
        <w:jc w:val="left"/>
      </w:pPr>
      <w:r w:rsidRPr="008B0D9B">
        <w:rPr>
          <w:i/>
          <w:iCs/>
        </w:rPr>
        <w:t>Document</w:t>
      </w:r>
      <w:r w:rsidRPr="008B0D9B">
        <w:t> :</w:t>
      </w:r>
      <w:r w:rsidRPr="008B0D9B">
        <w:tab/>
        <w:t>ECE/TRANS/WP.15/AC.1/2021/45 (secrétariat).</w:t>
      </w:r>
    </w:p>
    <w:p w14:paraId="491DE71A" w14:textId="1DF52962" w:rsidR="00DE2765" w:rsidRPr="008B0D9B" w:rsidRDefault="00DE2765" w:rsidP="009C51FF">
      <w:pPr>
        <w:pStyle w:val="SingleTxtG"/>
        <w:keepNext/>
        <w:ind w:left="3119" w:hanging="1985"/>
        <w:jc w:val="left"/>
      </w:pPr>
      <w:r w:rsidRPr="008B0D9B">
        <w:rPr>
          <w:i/>
          <w:iCs/>
        </w:rPr>
        <w:t>Document informel </w:t>
      </w:r>
      <w:r w:rsidRPr="009C51FF">
        <w:t>:</w:t>
      </w:r>
      <w:r w:rsidRPr="008B0D9B">
        <w:tab/>
        <w:t>INF.3 (EuRIC) (session d’automne 2020 de la Réunion commune).</w:t>
      </w:r>
    </w:p>
    <w:p w14:paraId="1B37AFC2" w14:textId="77777777" w:rsidR="00DE2765" w:rsidRPr="008B0D9B" w:rsidRDefault="00DE2765" w:rsidP="00DE2765">
      <w:pPr>
        <w:pStyle w:val="SingleTxtG"/>
      </w:pPr>
      <w:r w:rsidRPr="008B0D9B">
        <w:t>58.</w:t>
      </w:r>
      <w:r w:rsidRPr="008B0D9B">
        <w:tab/>
        <w:t>La Réunion commune a pris note des informations fournies par le représentant de l’EuRIC sur le statut et les membres de la confédération et sur les activités de l’industrie du recyclage. Elle a approuvé la demande de statut consultatif et s’est réjouie que l’EuRIC participe et contribue aux futures sessions.</w:t>
      </w:r>
    </w:p>
    <w:p w14:paraId="425E5AC0" w14:textId="567C4345" w:rsidR="00DE2765" w:rsidRPr="008B0D9B" w:rsidRDefault="00DE2765" w:rsidP="00DE2765">
      <w:pPr>
        <w:pStyle w:val="H1G"/>
      </w:pPr>
      <w:r w:rsidRPr="008B0D9B">
        <w:tab/>
        <w:t>B.</w:t>
      </w:r>
      <w:r w:rsidRPr="008B0D9B">
        <w:tab/>
        <w:t>Hommage à M.</w:t>
      </w:r>
      <w:r w:rsidR="009C51FF">
        <w:t> </w:t>
      </w:r>
      <w:r w:rsidRPr="008B0D9B">
        <w:t>E. Sigrist (Cefic)</w:t>
      </w:r>
    </w:p>
    <w:p w14:paraId="38CC5736" w14:textId="1344A66F" w:rsidR="00DE2765" w:rsidRPr="009C51FF" w:rsidRDefault="00DE2765" w:rsidP="00DE2765">
      <w:pPr>
        <w:pStyle w:val="SingleTxtG"/>
        <w:rPr>
          <w:spacing w:val="-1"/>
        </w:rPr>
      </w:pPr>
      <w:r w:rsidRPr="009C51FF">
        <w:rPr>
          <w:spacing w:val="-1"/>
        </w:rPr>
        <w:t>59.</w:t>
      </w:r>
      <w:r w:rsidRPr="009C51FF">
        <w:rPr>
          <w:spacing w:val="-1"/>
        </w:rPr>
        <w:tab/>
        <w:t>La Réunion commune a noté que M.</w:t>
      </w:r>
      <w:r w:rsidR="009C51FF" w:rsidRPr="009C51FF">
        <w:rPr>
          <w:spacing w:val="-1"/>
        </w:rPr>
        <w:t> </w:t>
      </w:r>
      <w:r w:rsidRPr="009C51FF">
        <w:rPr>
          <w:spacing w:val="-1"/>
        </w:rPr>
        <w:t>E</w:t>
      </w:r>
      <w:r w:rsidR="009C51FF" w:rsidRPr="009C51FF">
        <w:rPr>
          <w:spacing w:val="-1"/>
        </w:rPr>
        <w:t>. </w:t>
      </w:r>
      <w:r w:rsidRPr="009C51FF">
        <w:rPr>
          <w:spacing w:val="-1"/>
        </w:rPr>
        <w:t>Sigrist (Cefic) prendrait sa retraite en novembre 2021 et ne participerait plus à ses sessions. Elle l’a remercié d’avoir participé à ses travaux au cours des deux dernières décennies et lui a souhaité une longue et heureuse retraite.</w:t>
      </w:r>
    </w:p>
    <w:p w14:paraId="123A75D5" w14:textId="77777777" w:rsidR="00DE2765" w:rsidRPr="008B0D9B" w:rsidRDefault="00DE2765" w:rsidP="00DE2765">
      <w:pPr>
        <w:pStyle w:val="HChG"/>
      </w:pPr>
      <w:r w:rsidRPr="008B0D9B">
        <w:tab/>
        <w:t>XIV.</w:t>
      </w:r>
      <w:r w:rsidRPr="008B0D9B">
        <w:tab/>
        <w:t>Adoption du rapport (point 12 de l’ordre du jour)</w:t>
      </w:r>
    </w:p>
    <w:p w14:paraId="67C71D3B" w14:textId="77777777" w:rsidR="00DE2765" w:rsidRPr="008B0D9B" w:rsidRDefault="00DE2765" w:rsidP="00DE2765">
      <w:pPr>
        <w:pStyle w:val="SingleTxtG"/>
      </w:pPr>
      <w:r w:rsidRPr="008B0D9B">
        <w:t>60.</w:t>
      </w:r>
      <w:r w:rsidRPr="008B0D9B">
        <w:tab/>
        <w:t>La Réunion commune a adopté le rapport de sa session d’automne 2021 ainsi que les annexes de ce rapport sur la base d’un projet établi par le secrétariat.</w:t>
      </w:r>
    </w:p>
    <w:p w14:paraId="5CB94AC1" w14:textId="77777777" w:rsidR="00DE2765" w:rsidRPr="008B0D9B" w:rsidRDefault="00DE2765" w:rsidP="00DE2765">
      <w:pPr>
        <w:suppressAutoHyphens w:val="0"/>
        <w:spacing w:line="240" w:lineRule="auto"/>
        <w:rPr>
          <w:u w:val="single"/>
        </w:rPr>
      </w:pPr>
      <w:r w:rsidRPr="008B0D9B">
        <w:rPr>
          <w:u w:val="single"/>
        </w:rPr>
        <w:br w:type="page"/>
      </w:r>
    </w:p>
    <w:p w14:paraId="4B75C4A6" w14:textId="77777777" w:rsidR="00DE2765" w:rsidRPr="008B0D9B" w:rsidRDefault="00DE2765" w:rsidP="00DE2765">
      <w:pPr>
        <w:pStyle w:val="HChG"/>
      </w:pPr>
      <w:r w:rsidRPr="008B0D9B">
        <w:lastRenderedPageBreak/>
        <w:tab/>
      </w:r>
      <w:r w:rsidRPr="008B0D9B">
        <w:tab/>
        <w:t>Annexe I</w:t>
      </w:r>
    </w:p>
    <w:p w14:paraId="0005FBC9" w14:textId="77777777" w:rsidR="00DE2765" w:rsidRPr="008B0D9B" w:rsidRDefault="00DE2765" w:rsidP="00DE2765">
      <w:pPr>
        <w:pStyle w:val="HChG"/>
      </w:pPr>
      <w:r w:rsidRPr="008B0D9B">
        <w:tab/>
      </w:r>
      <w:r w:rsidRPr="008B0D9B">
        <w:tab/>
        <w:t>Rapport du Groupe de travail des citernes</w:t>
      </w:r>
    </w:p>
    <w:p w14:paraId="0098FB95" w14:textId="77777777" w:rsidR="00DE2765" w:rsidRPr="008B0D9B" w:rsidRDefault="00DE2765" w:rsidP="00DE2765">
      <w:pPr>
        <w:pStyle w:val="SingleTxtG"/>
      </w:pPr>
      <w:bookmarkStart w:id="2" w:name="_Hlk53066336"/>
      <w:r w:rsidRPr="008B0D9B">
        <w:t>(voir le document ECE/TRANS/WP.15/AC.1/162/Add.1)</w:t>
      </w:r>
      <w:bookmarkEnd w:id="2"/>
    </w:p>
    <w:p w14:paraId="07F82108" w14:textId="77777777" w:rsidR="00DE2765" w:rsidRPr="008B0D9B" w:rsidRDefault="00DE2765" w:rsidP="00DE2765">
      <w:pPr>
        <w:suppressAutoHyphens w:val="0"/>
        <w:spacing w:line="240" w:lineRule="auto"/>
        <w:rPr>
          <w:u w:val="single"/>
        </w:rPr>
      </w:pPr>
      <w:r w:rsidRPr="008B0D9B">
        <w:rPr>
          <w:u w:val="single"/>
        </w:rPr>
        <w:br w:type="page"/>
      </w:r>
    </w:p>
    <w:p w14:paraId="5517DCE1" w14:textId="1C180507" w:rsidR="00DE2765" w:rsidRPr="008B0D9B" w:rsidRDefault="00DE2765" w:rsidP="00DE2765">
      <w:pPr>
        <w:pStyle w:val="HChG"/>
        <w:tabs>
          <w:tab w:val="right" w:pos="8505"/>
        </w:tabs>
      </w:pPr>
      <w:r w:rsidRPr="008B0D9B">
        <w:lastRenderedPageBreak/>
        <w:tab/>
      </w:r>
      <w:r w:rsidRPr="008B0D9B">
        <w:tab/>
      </w:r>
      <w:r w:rsidRPr="008B0D9B">
        <w:rPr>
          <w:bCs/>
        </w:rPr>
        <w:t>Annexe II</w:t>
      </w:r>
      <w:r w:rsidRPr="008B0D9B">
        <w:tab/>
      </w:r>
      <w:r w:rsidRPr="008B0D9B">
        <w:rPr>
          <w:b w:val="0"/>
          <w:bCs/>
          <w:sz w:val="20"/>
        </w:rPr>
        <w:t>[Original : anglais et français]</w:t>
      </w:r>
    </w:p>
    <w:p w14:paraId="0F8195BF" w14:textId="77777777" w:rsidR="00DE2765" w:rsidRPr="008B0D9B" w:rsidRDefault="00DE2765" w:rsidP="00DE2765">
      <w:pPr>
        <w:pStyle w:val="HChG"/>
      </w:pPr>
      <w:r w:rsidRPr="008B0D9B">
        <w:tab/>
      </w:r>
      <w:r w:rsidRPr="008B0D9B">
        <w:tab/>
        <w:t>Textes adoptés</w:t>
      </w:r>
    </w:p>
    <w:p w14:paraId="795A6EB0" w14:textId="5DF7EC87" w:rsidR="00DE2765" w:rsidRPr="008B0D9B" w:rsidRDefault="00DE2765" w:rsidP="00BB440A">
      <w:pPr>
        <w:pStyle w:val="H1G"/>
      </w:pPr>
      <w:r w:rsidRPr="008B0D9B">
        <w:tab/>
        <w:t>I.</w:t>
      </w:r>
      <w:r w:rsidRPr="008B0D9B">
        <w:tab/>
        <w:t>Projet d’amendements au RID, à l’ADR et à l’ADN pour entrée en</w:t>
      </w:r>
      <w:r w:rsidR="00BB440A">
        <w:t> </w:t>
      </w:r>
      <w:r w:rsidRPr="008B0D9B">
        <w:t>vigueur le 1</w:t>
      </w:r>
      <w:r w:rsidRPr="008B0D9B">
        <w:rPr>
          <w:vertAlign w:val="superscript"/>
        </w:rPr>
        <w:t>er</w:t>
      </w:r>
      <w:r w:rsidRPr="008B0D9B">
        <w:t> janvier 2023</w:t>
      </w:r>
    </w:p>
    <w:p w14:paraId="1D555FE2" w14:textId="77777777" w:rsidR="00DE2765" w:rsidRPr="008B0D9B" w:rsidRDefault="00DE2765" w:rsidP="00DE2765">
      <w:pPr>
        <w:pStyle w:val="H23G"/>
      </w:pPr>
      <w:r w:rsidRPr="008B0D9B">
        <w:tab/>
      </w:r>
      <w:r w:rsidRPr="008B0D9B">
        <w:tab/>
        <w:t>Chapitre 1.1</w:t>
      </w:r>
    </w:p>
    <w:p w14:paraId="6F4C2403" w14:textId="7EEB408E" w:rsidR="00DE2765" w:rsidRPr="008B0D9B" w:rsidRDefault="00DE2765" w:rsidP="009C51FF">
      <w:pPr>
        <w:pStyle w:val="SingleTxtG"/>
        <w:ind w:left="2268" w:hanging="1134"/>
      </w:pPr>
      <w:r w:rsidRPr="008B0D9B">
        <w:t>1.1.4.7</w:t>
      </w:r>
      <w:r w:rsidRPr="008B0D9B">
        <w:tab/>
        <w:t>Ajouter le nouveau nota suivant sous le titre de la sous-section 1.1.4.7 :</w:t>
      </w:r>
    </w:p>
    <w:p w14:paraId="570E68CC" w14:textId="63438073" w:rsidR="00DE2765" w:rsidRPr="008B0D9B" w:rsidRDefault="00DE2765" w:rsidP="009C51FF">
      <w:pPr>
        <w:pStyle w:val="SingleTxtG"/>
        <w:ind w:left="2268"/>
        <w:rPr>
          <w:lang w:eastAsia="zh-CN"/>
        </w:rPr>
      </w:pPr>
      <w:r w:rsidRPr="008B0D9B">
        <w:rPr>
          <w:lang w:eastAsia="zh-CN"/>
        </w:rPr>
        <w:t>« </w:t>
      </w:r>
      <w:r w:rsidRPr="00BB440A">
        <w:rPr>
          <w:b/>
          <w:bCs/>
          <w:i/>
          <w:iCs/>
          <w:lang w:eastAsia="zh-CN"/>
        </w:rPr>
        <w:t>NOTA</w:t>
      </w:r>
      <w:r w:rsidRPr="00666101">
        <w:rPr>
          <w:i/>
          <w:iCs/>
          <w:lang w:eastAsia="zh-CN"/>
        </w:rPr>
        <w:t> :</w:t>
      </w:r>
      <w:r w:rsidR="00666101">
        <w:rPr>
          <w:i/>
          <w:iCs/>
          <w:lang w:eastAsia="zh-CN"/>
        </w:rPr>
        <w:tab/>
      </w:r>
      <w:r w:rsidRPr="00BB440A">
        <w:rPr>
          <w:i/>
          <w:iCs/>
          <w:lang w:eastAsia="zh-CN"/>
        </w:rPr>
        <w:t>Pour le transport conformément au 1.1.4.7, voir également le</w:t>
      </w:r>
      <w:r w:rsidR="009C51FF" w:rsidRPr="00BB440A">
        <w:rPr>
          <w:i/>
          <w:iCs/>
          <w:lang w:eastAsia="zh-CN"/>
        </w:rPr>
        <w:t> </w:t>
      </w:r>
      <w:r w:rsidRPr="00BB440A">
        <w:rPr>
          <w:i/>
          <w:iCs/>
          <w:lang w:eastAsia="zh-CN"/>
        </w:rPr>
        <w:t>5.4.1.1.23</w:t>
      </w:r>
      <w:r w:rsidRPr="008B0D9B">
        <w:rPr>
          <w:lang w:eastAsia="zh-CN"/>
        </w:rPr>
        <w:t>. ».</w:t>
      </w:r>
    </w:p>
    <w:p w14:paraId="5ED72E8D" w14:textId="0DCB1E06" w:rsidR="00DE2765" w:rsidRPr="009C51FF" w:rsidRDefault="00DE2765" w:rsidP="009C51FF">
      <w:pPr>
        <w:pStyle w:val="SingleTxtG"/>
        <w:rPr>
          <w:i/>
          <w:iCs/>
        </w:rPr>
      </w:pPr>
      <w:r w:rsidRPr="009C51FF">
        <w:rPr>
          <w:i/>
          <w:iCs/>
        </w:rPr>
        <w:t>(Document de référence : ECE/TRANS/WP.15/AC.1/2021/33 tel que modifié)</w:t>
      </w:r>
    </w:p>
    <w:p w14:paraId="0021CC44" w14:textId="77777777" w:rsidR="00DE2765" w:rsidRPr="008B0D9B" w:rsidRDefault="00DE2765" w:rsidP="00DE2765">
      <w:pPr>
        <w:pStyle w:val="H23G"/>
      </w:pPr>
      <w:r w:rsidRPr="008B0D9B">
        <w:tab/>
      </w:r>
      <w:r w:rsidRPr="008B0D9B">
        <w:tab/>
        <w:t>Chapitre 1.2</w:t>
      </w:r>
    </w:p>
    <w:p w14:paraId="2BA5F58A" w14:textId="77777777" w:rsidR="00DE2765" w:rsidRPr="008B0D9B" w:rsidRDefault="00DE2765" w:rsidP="009C51FF">
      <w:pPr>
        <w:pStyle w:val="SingleTxtG"/>
        <w:ind w:left="2268" w:hanging="1134"/>
        <w:rPr>
          <w:lang w:eastAsia="zh-CN"/>
        </w:rPr>
      </w:pPr>
      <w:r w:rsidRPr="008B0D9B">
        <w:rPr>
          <w:rFonts w:eastAsia="Calibri"/>
        </w:rPr>
        <w:t>1.2.1</w:t>
      </w:r>
      <w:r w:rsidRPr="008B0D9B">
        <w:rPr>
          <w:rFonts w:eastAsia="Calibri"/>
        </w:rPr>
        <w:tab/>
        <w:t>Dans la définition de « </w:t>
      </w:r>
      <w:r w:rsidRPr="008B0D9B">
        <w:rPr>
          <w:rFonts w:eastAsia="Calibri"/>
          <w:i/>
          <w:iCs/>
        </w:rPr>
        <w:t>Remplisseur</w:t>
      </w:r>
      <w:r w:rsidRPr="008B0D9B">
        <w:rPr>
          <w:rFonts w:eastAsia="Calibri"/>
        </w:rPr>
        <w:t xml:space="preserve"> », </w:t>
      </w:r>
      <w:r w:rsidRPr="008B0D9B">
        <w:rPr>
          <w:lang w:eastAsia="zh-CN"/>
        </w:rPr>
        <w:t>remplacer « petit conteneur pour vrac » par « petit conteneur pour le transport en vrac ».</w:t>
      </w:r>
    </w:p>
    <w:p w14:paraId="18C988C0" w14:textId="21CBA66B" w:rsidR="00DE2765" w:rsidRPr="008B0D9B" w:rsidRDefault="00DE2765" w:rsidP="009C51FF">
      <w:pPr>
        <w:pStyle w:val="SingleTxtG"/>
        <w:rPr>
          <w:i/>
          <w:iCs/>
        </w:rPr>
      </w:pPr>
      <w:r w:rsidRPr="008B0D9B">
        <w:rPr>
          <w:i/>
          <w:iCs/>
        </w:rPr>
        <w:t>(Document de référence : document informel INF.44)</w:t>
      </w:r>
    </w:p>
    <w:p w14:paraId="068FF8E8" w14:textId="77777777" w:rsidR="00DE2765" w:rsidRPr="008B0D9B" w:rsidRDefault="00DE2765" w:rsidP="00DE2765">
      <w:pPr>
        <w:pStyle w:val="H23G"/>
      </w:pPr>
      <w:r w:rsidRPr="008B0D9B">
        <w:tab/>
      </w:r>
      <w:r w:rsidRPr="008B0D9B">
        <w:tab/>
        <w:t>Chapitre 1.4</w:t>
      </w:r>
    </w:p>
    <w:p w14:paraId="5C4C96E0" w14:textId="77777777" w:rsidR="00DE2765" w:rsidRPr="008B0D9B" w:rsidRDefault="00DE2765" w:rsidP="009C51FF">
      <w:pPr>
        <w:pStyle w:val="SingleTxtG"/>
        <w:ind w:left="2268" w:hanging="1134"/>
      </w:pPr>
      <w:r w:rsidRPr="008B0D9B">
        <w:t>1.4.2.2.1 d)</w:t>
      </w:r>
      <w:r w:rsidRPr="008B0D9B">
        <w:tab/>
      </w:r>
      <w:r w:rsidRPr="008B0D9B">
        <w:tab/>
        <w:t>Remplacer « le délai prévu » par « la date spécifiée » et remplacer « dépassé » par « dépassée ».</w:t>
      </w:r>
    </w:p>
    <w:p w14:paraId="0144EADE" w14:textId="76C014A9" w:rsidR="00DE2765" w:rsidRPr="008B0D9B" w:rsidRDefault="00DE2765" w:rsidP="009C51FF">
      <w:pPr>
        <w:pStyle w:val="SingleTxtG"/>
        <w:rPr>
          <w:i/>
          <w:iCs/>
        </w:rPr>
      </w:pPr>
      <w:r w:rsidRPr="008B0D9B">
        <w:rPr>
          <w:i/>
          <w:iCs/>
        </w:rPr>
        <w:t>(Document de référence : document informel INF.49, point 4, option 2)</w:t>
      </w:r>
    </w:p>
    <w:p w14:paraId="4BF2F1CF" w14:textId="77777777" w:rsidR="00DE2765" w:rsidRPr="008B0D9B" w:rsidRDefault="00DE2765" w:rsidP="009C51FF">
      <w:pPr>
        <w:pStyle w:val="SingleTxtG"/>
        <w:ind w:left="2268" w:hanging="1134"/>
      </w:pPr>
      <w:r w:rsidRPr="008B0D9B">
        <w:t>1.4.3.3</w:t>
      </w:r>
      <w:r w:rsidRPr="008B0D9B">
        <w:tab/>
        <w:t>À l’alinéa b), remplacer « date du prochain contrôle » par « date spécifiée pour le prochain contrôle ».</w:t>
      </w:r>
    </w:p>
    <w:p w14:paraId="42335DA7" w14:textId="616C0188" w:rsidR="00DE2765" w:rsidRPr="008B0D9B" w:rsidRDefault="00DE2765" w:rsidP="009C51FF">
      <w:pPr>
        <w:pStyle w:val="SingleTxtG"/>
        <w:ind w:left="2268"/>
        <w:rPr>
          <w:lang w:eastAsia="zh-CN"/>
        </w:rPr>
      </w:pPr>
      <w:r w:rsidRPr="008B0D9B">
        <w:rPr>
          <w:rFonts w:eastAsia="Calibri"/>
        </w:rPr>
        <w:t xml:space="preserve">(ADR :) À l’alinéa h), </w:t>
      </w:r>
      <w:r w:rsidRPr="008B0D9B">
        <w:rPr>
          <w:lang w:eastAsia="zh-CN"/>
        </w:rPr>
        <w:t>remplacer « conteneurs pour vrac » par « conteneurs pour le transport en vrac ».</w:t>
      </w:r>
    </w:p>
    <w:p w14:paraId="479CB199" w14:textId="36FED8BE" w:rsidR="00DE2765" w:rsidRPr="008B0D9B" w:rsidRDefault="00DE2765" w:rsidP="009C51FF">
      <w:pPr>
        <w:pStyle w:val="SingleTxtG"/>
        <w:rPr>
          <w:i/>
          <w:iCs/>
        </w:rPr>
      </w:pPr>
      <w:r w:rsidRPr="008B0D9B">
        <w:rPr>
          <w:i/>
          <w:iCs/>
        </w:rPr>
        <w:t>(Documents de référence : document informel INF.49, point 4, option 2 et document informel INF.44)</w:t>
      </w:r>
    </w:p>
    <w:p w14:paraId="615623EE" w14:textId="77777777" w:rsidR="00DE2765" w:rsidRPr="008B0D9B" w:rsidRDefault="00DE2765" w:rsidP="00DE2765">
      <w:pPr>
        <w:pStyle w:val="H23G"/>
      </w:pPr>
      <w:r w:rsidRPr="008B0D9B">
        <w:tab/>
      </w:r>
      <w:r w:rsidRPr="008B0D9B">
        <w:tab/>
        <w:t>Chapitre 1.6</w:t>
      </w:r>
    </w:p>
    <w:p w14:paraId="40AD4A23" w14:textId="77777777" w:rsidR="00DE2765" w:rsidRPr="008B0D9B" w:rsidRDefault="00DE2765" w:rsidP="009C51FF">
      <w:pPr>
        <w:pStyle w:val="SingleTxtG"/>
        <w:ind w:left="2268" w:hanging="1134"/>
        <w:rPr>
          <w:lang w:eastAsia="zh-CN"/>
        </w:rPr>
      </w:pPr>
      <w:r w:rsidRPr="008B0D9B">
        <w:rPr>
          <w:lang w:eastAsia="zh-CN"/>
        </w:rPr>
        <w:t>1.6.1.41</w:t>
      </w:r>
      <w:r w:rsidRPr="008B0D9B">
        <w:rPr>
          <w:lang w:eastAsia="zh-CN"/>
        </w:rPr>
        <w:tab/>
        <w:t>Remplacer le texte existant par « 1.6.1.41</w:t>
      </w:r>
      <w:r w:rsidRPr="008B0D9B">
        <w:rPr>
          <w:i/>
          <w:iCs/>
          <w:lang w:eastAsia="zh-CN"/>
        </w:rPr>
        <w:t xml:space="preserve"> (Supprimé)</w:t>
      </w:r>
      <w:r w:rsidRPr="008B0D9B">
        <w:rPr>
          <w:lang w:eastAsia="zh-CN"/>
        </w:rPr>
        <w:t> ».</w:t>
      </w:r>
    </w:p>
    <w:p w14:paraId="5301F10A" w14:textId="186AA0C2" w:rsidR="00DE2765" w:rsidRPr="008B0D9B" w:rsidRDefault="00DE2765" w:rsidP="009C51FF">
      <w:pPr>
        <w:pStyle w:val="SingleTxtG"/>
        <w:rPr>
          <w:i/>
          <w:iCs/>
        </w:rPr>
      </w:pPr>
      <w:r w:rsidRPr="008B0D9B">
        <w:rPr>
          <w:i/>
          <w:iCs/>
        </w:rPr>
        <w:t>(Document de référence : document informel INF.18)</w:t>
      </w:r>
    </w:p>
    <w:p w14:paraId="0C88DBB0" w14:textId="77777777" w:rsidR="00DE2765" w:rsidRPr="008B0D9B" w:rsidRDefault="00DE2765" w:rsidP="009C51FF">
      <w:pPr>
        <w:pStyle w:val="SingleTxtG"/>
        <w:ind w:left="2268" w:hanging="1134"/>
        <w:rPr>
          <w:lang w:eastAsia="zh-CN"/>
        </w:rPr>
      </w:pPr>
      <w:r w:rsidRPr="008B0D9B">
        <w:rPr>
          <w:lang w:eastAsia="zh-CN"/>
        </w:rPr>
        <w:t>1.6.1.44</w:t>
      </w:r>
      <w:r w:rsidRPr="008B0D9B">
        <w:rPr>
          <w:lang w:eastAsia="zh-CN"/>
        </w:rPr>
        <w:tab/>
        <w:t>Remplacer le texte existant par « 1.6.1.44</w:t>
      </w:r>
      <w:r w:rsidRPr="008B0D9B">
        <w:rPr>
          <w:i/>
          <w:iCs/>
          <w:lang w:eastAsia="zh-CN"/>
        </w:rPr>
        <w:t xml:space="preserve"> (Supprimé)</w:t>
      </w:r>
      <w:r w:rsidRPr="008B0D9B">
        <w:rPr>
          <w:lang w:eastAsia="zh-CN"/>
        </w:rPr>
        <w:t> ».</w:t>
      </w:r>
    </w:p>
    <w:p w14:paraId="79609440" w14:textId="747B84E2" w:rsidR="00DE2765" w:rsidRPr="008B0D9B" w:rsidRDefault="00DE2765" w:rsidP="009C51FF">
      <w:pPr>
        <w:pStyle w:val="SingleTxtG"/>
        <w:rPr>
          <w:i/>
          <w:iCs/>
        </w:rPr>
      </w:pPr>
      <w:r w:rsidRPr="008B0D9B">
        <w:rPr>
          <w:i/>
          <w:iCs/>
        </w:rPr>
        <w:t>(Document de référence : document informel INF.18)</w:t>
      </w:r>
    </w:p>
    <w:p w14:paraId="092446A0" w14:textId="77777777" w:rsidR="00DE2765" w:rsidRPr="008B0D9B" w:rsidRDefault="00DE2765" w:rsidP="009C51FF">
      <w:pPr>
        <w:pStyle w:val="SingleTxtG"/>
        <w:ind w:left="2268" w:hanging="1134"/>
        <w:rPr>
          <w:lang w:eastAsia="zh-CN"/>
        </w:rPr>
      </w:pPr>
      <w:r w:rsidRPr="008B0D9B">
        <w:rPr>
          <w:lang w:eastAsia="zh-CN"/>
        </w:rPr>
        <w:t>1.6.1.46</w:t>
      </w:r>
      <w:r w:rsidRPr="008B0D9B">
        <w:rPr>
          <w:lang w:eastAsia="zh-CN"/>
        </w:rPr>
        <w:tab/>
        <w:t>Remplacer le texte existant par « 1.6.1.46</w:t>
      </w:r>
      <w:r w:rsidRPr="008B0D9B">
        <w:rPr>
          <w:i/>
          <w:iCs/>
          <w:lang w:eastAsia="zh-CN"/>
        </w:rPr>
        <w:t xml:space="preserve"> (Supprimé)</w:t>
      </w:r>
      <w:r w:rsidRPr="008B0D9B">
        <w:rPr>
          <w:lang w:eastAsia="zh-CN"/>
        </w:rPr>
        <w:t> ».</w:t>
      </w:r>
    </w:p>
    <w:p w14:paraId="4FB626D7" w14:textId="0E31D22A" w:rsidR="00DE2765" w:rsidRPr="008B0D9B" w:rsidRDefault="00DE2765" w:rsidP="009C51FF">
      <w:pPr>
        <w:pStyle w:val="SingleTxtG"/>
        <w:rPr>
          <w:i/>
          <w:iCs/>
        </w:rPr>
      </w:pPr>
      <w:r w:rsidRPr="008B0D9B">
        <w:rPr>
          <w:i/>
          <w:iCs/>
        </w:rPr>
        <w:t>(Document de référence : document informel INF.18)</w:t>
      </w:r>
    </w:p>
    <w:p w14:paraId="19FCE139" w14:textId="5C10DB4E" w:rsidR="00DE2765" w:rsidRPr="008B0D9B" w:rsidRDefault="00DE2765" w:rsidP="00DE2765">
      <w:pPr>
        <w:tabs>
          <w:tab w:val="left" w:pos="2268"/>
        </w:tabs>
        <w:spacing w:before="120" w:after="120"/>
        <w:ind w:left="1134" w:right="1134"/>
        <w:jc w:val="both"/>
        <w:rPr>
          <w:rFonts w:eastAsia="Calibri"/>
        </w:rPr>
      </w:pPr>
      <w:r w:rsidRPr="008B0D9B">
        <w:rPr>
          <w:rFonts w:eastAsia="Calibri"/>
        </w:rPr>
        <w:t>1.6.1</w:t>
      </w:r>
      <w:r w:rsidRPr="008B0D9B">
        <w:rPr>
          <w:rFonts w:eastAsia="Calibri"/>
        </w:rPr>
        <w:tab/>
        <w:t>Ajouter les nouvelles mesures transitoires suivantes :</w:t>
      </w:r>
    </w:p>
    <w:p w14:paraId="1558F664" w14:textId="4F9918B1" w:rsidR="00DE2765" w:rsidRPr="008B0D9B" w:rsidRDefault="00DE2765" w:rsidP="009C51FF">
      <w:pPr>
        <w:pStyle w:val="SingleTxtG"/>
        <w:ind w:left="2268" w:hanging="1134"/>
      </w:pPr>
      <w:r w:rsidRPr="008B0D9B">
        <w:t>« 1.6.1.50</w:t>
      </w:r>
      <w:r w:rsidRPr="008B0D9B">
        <w:tab/>
        <w:t>Pour les objets qui répondent à la définition des DÉTONATEURS ÉLECTRONIQUES telle que décrite au 2.2.1.4 Glossaire des noms et affectés aux Nos</w:t>
      </w:r>
      <w:r w:rsidR="00BB440A">
        <w:t> </w:t>
      </w:r>
      <w:r w:rsidRPr="008B0D9B">
        <w:t>ONU 0511, 0512 et 0513, les rubriques pour DÉTONATEURS ÉLECTRIQUES (Nos</w:t>
      </w:r>
      <w:r w:rsidR="00BB440A">
        <w:t> </w:t>
      </w:r>
      <w:r w:rsidRPr="008B0D9B">
        <w:t>ONU 0030, 0255 et 0456) peuvent encore être utilisées jusqu’au 30</w:t>
      </w:r>
      <w:r w:rsidR="00BB440A">
        <w:t> </w:t>
      </w:r>
      <w:r w:rsidRPr="008B0D9B">
        <w:t>juin 2025.</w:t>
      </w:r>
    </w:p>
    <w:p w14:paraId="10F11407" w14:textId="7A61B45B" w:rsidR="00DE2765" w:rsidRPr="008B0D9B" w:rsidRDefault="00DE2765" w:rsidP="009C51FF">
      <w:pPr>
        <w:pStyle w:val="SingleTxtG"/>
        <w:ind w:left="2268" w:hanging="1134"/>
        <w:rPr>
          <w:lang w:eastAsia="zh-CN"/>
        </w:rPr>
      </w:pPr>
      <w:r w:rsidRPr="008B0D9B">
        <w:rPr>
          <w:lang w:eastAsia="zh-CN"/>
        </w:rPr>
        <w:t>1.6.1.51</w:t>
      </w:r>
      <w:r w:rsidRPr="008B0D9B">
        <w:rPr>
          <w:lang w:eastAsia="zh-CN"/>
        </w:rPr>
        <w:tab/>
        <w:t>Les adhésifs, peintures et matières apparentées aux peintures, encres d’imprimerie et matières apparentées aux encres d’imprimerie et les résines en solution affectées au No</w:t>
      </w:r>
      <w:r w:rsidR="00BB440A">
        <w:rPr>
          <w:lang w:eastAsia="zh-CN"/>
        </w:rPr>
        <w:t> </w:t>
      </w:r>
      <w:r w:rsidRPr="008B0D9B">
        <w:rPr>
          <w:lang w:eastAsia="zh-CN"/>
        </w:rPr>
        <w:t>ONU 3082 matière dangereuse du point de vue de l’environnement, liquide, N.</w:t>
      </w:r>
      <w:r w:rsidR="00BB440A">
        <w:rPr>
          <w:lang w:eastAsia="zh-CN"/>
        </w:rPr>
        <w:t> </w:t>
      </w:r>
      <w:r w:rsidRPr="008B0D9B">
        <w:rPr>
          <w:lang w:eastAsia="zh-CN"/>
        </w:rPr>
        <w:t>S.</w:t>
      </w:r>
      <w:r w:rsidR="00BB440A">
        <w:rPr>
          <w:lang w:eastAsia="zh-CN"/>
        </w:rPr>
        <w:t> </w:t>
      </w:r>
      <w:r w:rsidRPr="008B0D9B">
        <w:rPr>
          <w:lang w:eastAsia="zh-CN"/>
        </w:rPr>
        <w:t>A., groupe d’emballage III, conformément au 2.2.9.1.10.6 en conséquence du 2.2.9.1.10.5</w:t>
      </w:r>
      <w:r w:rsidRPr="00BB440A">
        <w:rPr>
          <w:sz w:val="18"/>
          <w:szCs w:val="18"/>
          <w:vertAlign w:val="superscript"/>
          <w:lang w:eastAsia="zh-CN"/>
        </w:rPr>
        <w:t>1</w:t>
      </w:r>
      <w:r w:rsidRPr="008B0D9B">
        <w:rPr>
          <w:lang w:eastAsia="zh-CN"/>
        </w:rPr>
        <w:t>, contenant 0,025</w:t>
      </w:r>
      <w:r w:rsidR="00BB440A">
        <w:rPr>
          <w:lang w:eastAsia="zh-CN"/>
        </w:rPr>
        <w:t> </w:t>
      </w:r>
      <w:r w:rsidRPr="008B0D9B">
        <w:rPr>
          <w:lang w:eastAsia="zh-CN"/>
        </w:rPr>
        <w:t>% ou plus des substances suivantes, seules ou en combinaison :</w:t>
      </w:r>
    </w:p>
    <w:p w14:paraId="0B99FEC7" w14:textId="528ADB56" w:rsidR="00DE2765" w:rsidRPr="008B0D9B" w:rsidRDefault="00DE2765" w:rsidP="00BB440A">
      <w:pPr>
        <w:pStyle w:val="SingleTxtG"/>
        <w:ind w:left="2835" w:hanging="567"/>
        <w:jc w:val="left"/>
        <w:rPr>
          <w:lang w:eastAsia="zh-CN"/>
        </w:rPr>
      </w:pPr>
      <w:r w:rsidRPr="008B0D9B">
        <w:rPr>
          <w:lang w:eastAsia="zh-CN"/>
        </w:rPr>
        <w:lastRenderedPageBreak/>
        <w:t>-</w:t>
      </w:r>
      <w:r w:rsidRPr="008B0D9B">
        <w:rPr>
          <w:lang w:eastAsia="zh-CN"/>
        </w:rPr>
        <w:tab/>
        <w:t>4,5-dichloro-2-octyl-2H-isothiazole-3-one (DCOIT) ;</w:t>
      </w:r>
    </w:p>
    <w:p w14:paraId="2DCFCE8B" w14:textId="0017F1AE" w:rsidR="00DE2765" w:rsidRPr="008B0D9B" w:rsidRDefault="00DE2765" w:rsidP="00BB440A">
      <w:pPr>
        <w:pStyle w:val="SingleTxtG"/>
        <w:ind w:left="2835" w:hanging="567"/>
        <w:jc w:val="left"/>
        <w:rPr>
          <w:lang w:eastAsia="zh-CN"/>
        </w:rPr>
      </w:pPr>
      <w:r w:rsidRPr="008B0D9B">
        <w:rPr>
          <w:lang w:eastAsia="zh-CN"/>
        </w:rPr>
        <w:t>-</w:t>
      </w:r>
      <w:r w:rsidRPr="008B0D9B">
        <w:rPr>
          <w:lang w:eastAsia="zh-CN"/>
        </w:rPr>
        <w:tab/>
        <w:t>octhilinone (OIT) ; et</w:t>
      </w:r>
    </w:p>
    <w:p w14:paraId="18337175" w14:textId="48B094BB" w:rsidR="00DE2765" w:rsidRPr="008B0D9B" w:rsidRDefault="00DE2765" w:rsidP="00BB440A">
      <w:pPr>
        <w:pStyle w:val="SingleTxtG"/>
        <w:ind w:left="2835" w:hanging="567"/>
        <w:jc w:val="left"/>
        <w:rPr>
          <w:lang w:eastAsia="zh-CN"/>
        </w:rPr>
      </w:pPr>
      <w:r w:rsidRPr="008B0D9B">
        <w:rPr>
          <w:lang w:eastAsia="zh-CN"/>
        </w:rPr>
        <w:t>-</w:t>
      </w:r>
      <w:r w:rsidRPr="008B0D9B">
        <w:rPr>
          <w:lang w:eastAsia="zh-CN"/>
        </w:rPr>
        <w:tab/>
        <w:t>pyrithione de zinc (ZnPT) ;</w:t>
      </w:r>
    </w:p>
    <w:p w14:paraId="08944982" w14:textId="16AABBA4" w:rsidR="00DE2765" w:rsidRPr="008B0D9B" w:rsidRDefault="00DE2765" w:rsidP="00047002">
      <w:pPr>
        <w:pStyle w:val="SingleTxtG"/>
        <w:ind w:left="2268"/>
        <w:rPr>
          <w:lang w:eastAsia="zh-CN"/>
        </w:rPr>
      </w:pPr>
      <w:r w:rsidRPr="008B0D9B">
        <w:rPr>
          <w:lang w:eastAsia="zh-CN"/>
        </w:rPr>
        <w:t>peuvent être transportées jusqu’au 30</w:t>
      </w:r>
      <w:r w:rsidR="00BB440A">
        <w:rPr>
          <w:lang w:eastAsia="zh-CN"/>
        </w:rPr>
        <w:t> </w:t>
      </w:r>
      <w:r w:rsidRPr="008B0D9B">
        <w:rPr>
          <w:lang w:eastAsia="zh-CN"/>
        </w:rPr>
        <w:t>juin 2025 dans des emballages en acier, en aluminium, en métal autre que l’acier ou l’aluminium, ou en plastique, qui ne satisfont pas aux prescriptions du 4.1.1.3, lorsqu’ils sont transportés en quantités ne dépassant pas 30</w:t>
      </w:r>
      <w:r w:rsidR="00BB440A">
        <w:rPr>
          <w:lang w:eastAsia="zh-CN"/>
        </w:rPr>
        <w:t> </w:t>
      </w:r>
      <w:r w:rsidRPr="008B0D9B">
        <w:rPr>
          <w:lang w:eastAsia="zh-CN"/>
        </w:rPr>
        <w:t>litres par emballage comme suit :</w:t>
      </w:r>
    </w:p>
    <w:p w14:paraId="3BD4B5F3" w14:textId="2B9F5F89" w:rsidR="00DE2765" w:rsidRPr="008B0D9B" w:rsidRDefault="00DE2765" w:rsidP="00DE2765">
      <w:pPr>
        <w:spacing w:after="120"/>
        <w:ind w:left="2835" w:right="1134" w:hanging="567"/>
        <w:jc w:val="both"/>
        <w:rPr>
          <w:lang w:eastAsia="zh-CN"/>
        </w:rPr>
      </w:pPr>
      <w:r w:rsidRPr="008B0D9B">
        <w:rPr>
          <w:lang w:eastAsia="zh-CN"/>
        </w:rPr>
        <w:t>a)</w:t>
      </w:r>
      <w:r w:rsidRPr="008B0D9B">
        <w:rPr>
          <w:lang w:eastAsia="zh-CN"/>
        </w:rPr>
        <w:tab/>
      </w:r>
      <w:r w:rsidR="00BB440A">
        <w:rPr>
          <w:lang w:eastAsia="zh-CN"/>
        </w:rPr>
        <w:t>E</w:t>
      </w:r>
      <w:r w:rsidRPr="008B0D9B">
        <w:rPr>
          <w:lang w:eastAsia="zh-CN"/>
        </w:rPr>
        <w:t>n chargements palettisés, en caisses-palettes ou en autres charges unitaires, par exemple d’emballages individuels placés ou empilés sur une palette et assujettis par des sangles, des housses rétractables ou étirables ou par toute autre méthode appropriée ; ou</w:t>
      </w:r>
    </w:p>
    <w:p w14:paraId="6A550E2E" w14:textId="320967B6" w:rsidR="00DE2765" w:rsidRPr="008B0D9B" w:rsidRDefault="00DE2765" w:rsidP="00DE2765">
      <w:pPr>
        <w:spacing w:after="120"/>
        <w:ind w:left="2835" w:right="1134" w:hanging="567"/>
        <w:jc w:val="both"/>
        <w:rPr>
          <w:lang w:eastAsia="zh-CN"/>
        </w:rPr>
      </w:pPr>
      <w:r w:rsidRPr="008B0D9B">
        <w:rPr>
          <w:lang w:eastAsia="zh-CN"/>
        </w:rPr>
        <w:t>b)</w:t>
      </w:r>
      <w:r w:rsidRPr="008B0D9B">
        <w:rPr>
          <w:lang w:eastAsia="zh-CN"/>
        </w:rPr>
        <w:tab/>
      </w:r>
      <w:r w:rsidR="00BB440A">
        <w:rPr>
          <w:lang w:eastAsia="zh-CN"/>
        </w:rPr>
        <w:t>C</w:t>
      </w:r>
      <w:r w:rsidRPr="008B0D9B">
        <w:rPr>
          <w:lang w:eastAsia="zh-CN"/>
        </w:rPr>
        <w:t>omme emballages intérieurs d’emballages combinés dont la masse nette ne dépasse pas 40</w:t>
      </w:r>
      <w:r w:rsidR="00BB440A">
        <w:rPr>
          <w:lang w:eastAsia="zh-CN"/>
        </w:rPr>
        <w:t> </w:t>
      </w:r>
      <w:r w:rsidRPr="008B0D9B">
        <w:rPr>
          <w:lang w:eastAsia="zh-CN"/>
        </w:rPr>
        <w:t>kg. ».</w:t>
      </w:r>
    </w:p>
    <w:p w14:paraId="5C0DF1EC" w14:textId="0085B485" w:rsidR="00DE2765" w:rsidRPr="008B0D9B" w:rsidRDefault="00DE2765" w:rsidP="00DE2765">
      <w:pPr>
        <w:spacing w:after="120"/>
        <w:ind w:left="2835" w:right="1134" w:hanging="567"/>
        <w:jc w:val="both"/>
        <w:rPr>
          <w:lang w:eastAsia="zh-CN"/>
        </w:rPr>
      </w:pPr>
      <w:r w:rsidRPr="008B0D9B">
        <w:rPr>
          <w:lang w:eastAsia="zh-CN"/>
        </w:rPr>
        <w:t>Ajouter la nouvelle note de bas de page 1, libellée comme suit :</w:t>
      </w:r>
    </w:p>
    <w:p w14:paraId="1E06C433" w14:textId="4F0812EB" w:rsidR="00DE2765" w:rsidRPr="008B0D9B" w:rsidRDefault="00BB440A" w:rsidP="00BB440A">
      <w:pPr>
        <w:pStyle w:val="FootnoteText"/>
        <w:tabs>
          <w:tab w:val="clear" w:pos="1021"/>
          <w:tab w:val="right" w:pos="2155"/>
        </w:tabs>
        <w:spacing w:after="240"/>
        <w:ind w:left="2268"/>
        <w:rPr>
          <w:lang w:eastAsia="zh-CN"/>
        </w:rPr>
      </w:pPr>
      <w:r>
        <w:rPr>
          <w:lang w:eastAsia="zh-CN"/>
        </w:rPr>
        <w:tab/>
      </w:r>
      <w:r w:rsidR="00DE2765" w:rsidRPr="00666101">
        <w:rPr>
          <w:sz w:val="20"/>
          <w:lang w:eastAsia="zh-CN"/>
        </w:rPr>
        <w:t>«</w:t>
      </w:r>
      <w:r w:rsidR="00DE2765" w:rsidRPr="008B0D9B">
        <w:rPr>
          <w:lang w:eastAsia="zh-CN"/>
        </w:rPr>
        <w:t> </w:t>
      </w:r>
      <w:r w:rsidR="00DE2765" w:rsidRPr="00BB440A">
        <w:rPr>
          <w:b/>
          <w:bCs/>
          <w:szCs w:val="18"/>
          <w:vertAlign w:val="superscript"/>
          <w:lang w:eastAsia="zh-CN"/>
        </w:rPr>
        <w:t>1</w:t>
      </w:r>
      <w:r w:rsidR="00DE2765" w:rsidRPr="008B0D9B">
        <w:rPr>
          <w:lang w:eastAsia="zh-CN"/>
        </w:rPr>
        <w:tab/>
        <w:t>Règlement délégué (UE) 2020/1182 de la Commission du 19</w:t>
      </w:r>
      <w:r>
        <w:rPr>
          <w:lang w:eastAsia="zh-CN"/>
        </w:rPr>
        <w:t> </w:t>
      </w:r>
      <w:r w:rsidR="00DE2765" w:rsidRPr="008B0D9B">
        <w:rPr>
          <w:lang w:eastAsia="zh-CN"/>
        </w:rPr>
        <w:t xml:space="preserve">mai 2020 modifiant, aux fins de son adaptation au progrès technique et scientifique, l’annexe VI, partie 3, du règlement (CE) </w:t>
      </w:r>
      <w:r w:rsidRPr="00BB440A">
        <w:rPr>
          <w:rFonts w:eastAsia="MS Mincho"/>
          <w:lang w:eastAsia="zh-CN"/>
        </w:rPr>
        <w:t>n</w:t>
      </w:r>
      <w:r w:rsidRPr="00BB440A">
        <w:rPr>
          <w:rFonts w:eastAsia="MS Mincho"/>
          <w:vertAlign w:val="superscript"/>
          <w:lang w:eastAsia="zh-CN"/>
        </w:rPr>
        <w:t>o</w:t>
      </w:r>
      <w:r>
        <w:rPr>
          <w:lang w:eastAsia="zh-CN"/>
        </w:rPr>
        <w:t> </w:t>
      </w:r>
      <w:r w:rsidR="00DE2765" w:rsidRPr="008B0D9B">
        <w:rPr>
          <w:lang w:eastAsia="zh-CN"/>
        </w:rPr>
        <w:t>1272/2008 du Parlement européen et du Conseil relatif à la classification, à l’étiquetage et à l’emballage des substances et des mélanges (quinzième adaptation au progrès technique et scientifique (APT) du CLP), applicable à partir du 1</w:t>
      </w:r>
      <w:r w:rsidR="00DE2765" w:rsidRPr="00BB440A">
        <w:rPr>
          <w:vertAlign w:val="superscript"/>
          <w:lang w:eastAsia="zh-CN"/>
        </w:rPr>
        <w:t>er</w:t>
      </w:r>
      <w:r>
        <w:rPr>
          <w:lang w:eastAsia="zh-CN"/>
        </w:rPr>
        <w:t> </w:t>
      </w:r>
      <w:r w:rsidR="00DE2765" w:rsidRPr="008B0D9B">
        <w:rPr>
          <w:lang w:eastAsia="zh-CN"/>
        </w:rPr>
        <w:t>mars 2022</w:t>
      </w:r>
      <w:r>
        <w:rPr>
          <w:lang w:eastAsia="zh-CN"/>
        </w:rPr>
        <w:t>.</w:t>
      </w:r>
      <w:r w:rsidR="00DE2765" w:rsidRPr="008B0D9B">
        <w:rPr>
          <w:lang w:eastAsia="zh-CN"/>
        </w:rPr>
        <w:t> </w:t>
      </w:r>
      <w:r w:rsidR="00DE2765" w:rsidRPr="00666101">
        <w:rPr>
          <w:sz w:val="20"/>
          <w:lang w:eastAsia="zh-CN"/>
        </w:rPr>
        <w:t>».</w:t>
      </w:r>
    </w:p>
    <w:p w14:paraId="04A1ADBA" w14:textId="02679F6D" w:rsidR="00DE2765" w:rsidRPr="008B0D9B" w:rsidRDefault="00DE2765" w:rsidP="00047002">
      <w:pPr>
        <w:pStyle w:val="SingleTxtG"/>
        <w:ind w:left="2268"/>
        <w:rPr>
          <w:lang w:eastAsia="zh-CN"/>
        </w:rPr>
      </w:pPr>
      <w:r w:rsidRPr="008B0D9B">
        <w:rPr>
          <w:lang w:eastAsia="zh-CN"/>
        </w:rPr>
        <w:t>Dans le chapitre 1.6, renuméroter les notes de bas de page suivantes en conséquence.</w:t>
      </w:r>
    </w:p>
    <w:p w14:paraId="499259D7" w14:textId="38D2AE08" w:rsidR="00DE2765" w:rsidRPr="008B0D9B" w:rsidRDefault="00DE2765" w:rsidP="009C51FF">
      <w:pPr>
        <w:pStyle w:val="SingleTxtG"/>
        <w:rPr>
          <w:i/>
          <w:iCs/>
        </w:rPr>
      </w:pPr>
      <w:r w:rsidRPr="008B0D9B">
        <w:rPr>
          <w:i/>
          <w:iCs/>
        </w:rPr>
        <w:t>(Document de référence : documents informels INF.14 et INF.46, proposition 1, telle que modifiée)</w:t>
      </w:r>
    </w:p>
    <w:p w14:paraId="0E8D5976" w14:textId="77777777" w:rsidR="00DE2765" w:rsidRPr="008B0D9B" w:rsidRDefault="00DE2765" w:rsidP="009C51FF">
      <w:pPr>
        <w:pStyle w:val="SingleTxtG"/>
        <w:ind w:left="2268" w:hanging="1134"/>
        <w:rPr>
          <w:lang w:eastAsia="zh-CN"/>
        </w:rPr>
      </w:pPr>
      <w:r w:rsidRPr="008B0D9B">
        <w:rPr>
          <w:lang w:eastAsia="zh-CN"/>
        </w:rPr>
        <w:t>1.6.2.16</w:t>
      </w:r>
      <w:r w:rsidRPr="008B0D9B">
        <w:rPr>
          <w:lang w:eastAsia="zh-CN"/>
        </w:rPr>
        <w:tab/>
        <w:t>Remplacer le texte existant par « 1.6.2.16</w:t>
      </w:r>
      <w:r w:rsidRPr="008B0D9B">
        <w:rPr>
          <w:i/>
          <w:iCs/>
          <w:lang w:eastAsia="zh-CN"/>
        </w:rPr>
        <w:t xml:space="preserve"> (Supprimé)</w:t>
      </w:r>
      <w:r w:rsidRPr="008B0D9B">
        <w:rPr>
          <w:lang w:eastAsia="zh-CN"/>
        </w:rPr>
        <w:t> ».</w:t>
      </w:r>
    </w:p>
    <w:p w14:paraId="5FADBADD" w14:textId="7EBA1D48" w:rsidR="00DE2765" w:rsidRPr="008B0D9B" w:rsidRDefault="00DE2765" w:rsidP="009C51FF">
      <w:pPr>
        <w:pStyle w:val="SingleTxtG"/>
        <w:rPr>
          <w:i/>
          <w:iCs/>
        </w:rPr>
      </w:pPr>
      <w:r w:rsidRPr="008B0D9B">
        <w:rPr>
          <w:i/>
          <w:iCs/>
        </w:rPr>
        <w:t>(Document de référence : document informel INF.18)</w:t>
      </w:r>
    </w:p>
    <w:p w14:paraId="26E69690" w14:textId="03FD10EA" w:rsidR="00DE2765" w:rsidRPr="008B0D9B" w:rsidRDefault="00DE2765" w:rsidP="009C51FF">
      <w:pPr>
        <w:pStyle w:val="SingleTxtG"/>
        <w:ind w:left="2268" w:hanging="1134"/>
        <w:rPr>
          <w:rFonts w:eastAsia="Calibri"/>
        </w:rPr>
      </w:pPr>
      <w:r w:rsidRPr="008B0D9B">
        <w:rPr>
          <w:rFonts w:eastAsia="Calibri"/>
        </w:rPr>
        <w:t>1.6.2</w:t>
      </w:r>
      <w:r w:rsidRPr="008B0D9B">
        <w:rPr>
          <w:rFonts w:eastAsia="Calibri"/>
        </w:rPr>
        <w:tab/>
        <w:t>Ajouter les nouvelles mesures transitoires suivantes :</w:t>
      </w:r>
    </w:p>
    <w:p w14:paraId="772AE9D3" w14:textId="0EA8F264" w:rsidR="00DE2765" w:rsidRPr="008B0D9B" w:rsidRDefault="00DE2765" w:rsidP="009C51FF">
      <w:pPr>
        <w:pStyle w:val="SingleTxtG"/>
        <w:ind w:left="2268" w:hanging="1134"/>
      </w:pPr>
      <w:r w:rsidRPr="008B0D9B">
        <w:t>«</w:t>
      </w:r>
      <w:r w:rsidR="00BB440A">
        <w:t> </w:t>
      </w:r>
      <w:r w:rsidRPr="008B0D9B">
        <w:t>1.6.2.18</w:t>
      </w:r>
      <w:r w:rsidRPr="008B0D9B">
        <w:tab/>
        <w:t>Les récipients cryogéniques fermés construits avant le 1</w:t>
      </w:r>
      <w:r w:rsidRPr="00BB440A">
        <w:rPr>
          <w:vertAlign w:val="superscript"/>
        </w:rPr>
        <w:t>er</w:t>
      </w:r>
      <w:r w:rsidR="00BB440A">
        <w:t> </w:t>
      </w:r>
      <w:r w:rsidRPr="008B0D9B">
        <w:t>juillet 2023 qui ont été soumis aux prescriptions relatives aux contrôles et épreuves initiaux du 6.2.1.5.2 applicables jusqu’au 31</w:t>
      </w:r>
      <w:r w:rsidR="00BB440A">
        <w:t> </w:t>
      </w:r>
      <w:r w:rsidRPr="008B0D9B">
        <w:t>décembre 2022 mais qui ne sont cependant pas conformes aux prescriptions du 6.2.1.5.2 relatives aux contrôles et épreuves initiaux applicables à compter du 1</w:t>
      </w:r>
      <w:r w:rsidRPr="00BB440A">
        <w:rPr>
          <w:vertAlign w:val="superscript"/>
        </w:rPr>
        <w:t>er</w:t>
      </w:r>
      <w:r w:rsidR="00BB440A">
        <w:t> </w:t>
      </w:r>
      <w:r w:rsidRPr="008B0D9B">
        <w:t>janvier 2023 peuvent encore être utilisés.</w:t>
      </w:r>
    </w:p>
    <w:p w14:paraId="445949D9" w14:textId="654F9AB8" w:rsidR="00DE2765" w:rsidRPr="008B0D9B" w:rsidRDefault="00DE2765" w:rsidP="009C51FF">
      <w:pPr>
        <w:pStyle w:val="SingleTxtG"/>
        <w:ind w:left="2268" w:hanging="1134"/>
      </w:pPr>
      <w:r w:rsidRPr="008B0D9B">
        <w:t>1.6.2.19</w:t>
      </w:r>
      <w:r w:rsidRPr="008B0D9B">
        <w:tab/>
        <w:t>Les bouteilles d’acétylène construites avant le 1</w:t>
      </w:r>
      <w:r w:rsidRPr="00BB440A">
        <w:rPr>
          <w:vertAlign w:val="superscript"/>
        </w:rPr>
        <w:t>er</w:t>
      </w:r>
      <w:r w:rsidR="00BB440A">
        <w:t> </w:t>
      </w:r>
      <w:r w:rsidRPr="008B0D9B">
        <w:t>juillet 2023 qui ne sont pas marquées conformément au 6.2.2.7.3 (k) ou (l) applicable à partir du 1</w:t>
      </w:r>
      <w:r w:rsidRPr="00BB440A">
        <w:rPr>
          <w:vertAlign w:val="superscript"/>
        </w:rPr>
        <w:t>er</w:t>
      </w:r>
      <w:r w:rsidR="00BB440A">
        <w:t> </w:t>
      </w:r>
      <w:r w:rsidRPr="008B0D9B">
        <w:t>janvier 2023 peuvent encore être utilisés jusqu’aux prochains contrôle et épreuve périodiques après 1</w:t>
      </w:r>
      <w:r w:rsidRPr="00BB440A">
        <w:rPr>
          <w:vertAlign w:val="superscript"/>
        </w:rPr>
        <w:t>er</w:t>
      </w:r>
      <w:r w:rsidR="00BB440A">
        <w:t> </w:t>
      </w:r>
      <w:r w:rsidRPr="008B0D9B">
        <w:t>juillet 2023.</w:t>
      </w:r>
    </w:p>
    <w:p w14:paraId="3072EFF6" w14:textId="719549E2" w:rsidR="00DE2765" w:rsidRPr="008B0D9B" w:rsidRDefault="00DE2765" w:rsidP="009C51FF">
      <w:pPr>
        <w:pStyle w:val="SingleTxtG"/>
        <w:ind w:left="2268" w:hanging="1134"/>
      </w:pPr>
      <w:r w:rsidRPr="008B0D9B">
        <w:t>1.6.2.20</w:t>
      </w:r>
      <w:r w:rsidRPr="008B0D9B">
        <w:tab/>
        <w:t>Les fermetures des récipients à pression rechargeables construites avant le 1</w:t>
      </w:r>
      <w:r w:rsidRPr="00BB440A">
        <w:rPr>
          <w:vertAlign w:val="superscript"/>
        </w:rPr>
        <w:t>er</w:t>
      </w:r>
      <w:r w:rsidR="00BB440A">
        <w:t> </w:t>
      </w:r>
      <w:r w:rsidRPr="008B0D9B">
        <w:t>juillet 2023 qui ne sont pas marquées conformément au 6.2.2.11 ou 6.2.3.9.8 applicables à partir du 1</w:t>
      </w:r>
      <w:r w:rsidRPr="00BB440A">
        <w:rPr>
          <w:vertAlign w:val="superscript"/>
        </w:rPr>
        <w:t>er</w:t>
      </w:r>
      <w:r w:rsidR="00BB440A">
        <w:t> </w:t>
      </w:r>
      <w:r w:rsidRPr="008B0D9B">
        <w:t>janvier 2023 peuvent encore être utilisées. ».</w:t>
      </w:r>
    </w:p>
    <w:p w14:paraId="446C79F2" w14:textId="7B776F2B" w:rsidR="00DE2765" w:rsidRPr="008B0D9B" w:rsidRDefault="00DE2765" w:rsidP="009C51FF">
      <w:pPr>
        <w:pStyle w:val="SingleTxtG"/>
        <w:rPr>
          <w:i/>
          <w:iCs/>
        </w:rPr>
      </w:pPr>
      <w:r w:rsidRPr="008B0D9B">
        <w:rPr>
          <w:i/>
          <w:iCs/>
        </w:rPr>
        <w:t>(Document de référence : document informel INF.39 tel que modifié)</w:t>
      </w:r>
    </w:p>
    <w:p w14:paraId="108F20FE" w14:textId="4359BD5C" w:rsidR="00DE2765" w:rsidRPr="008B0D9B" w:rsidRDefault="00DE2765" w:rsidP="00666101">
      <w:pPr>
        <w:spacing w:after="120"/>
        <w:ind w:left="2835" w:right="1134" w:hanging="1701"/>
        <w:jc w:val="both"/>
        <w:rPr>
          <w:lang w:eastAsia="zh-CN"/>
        </w:rPr>
      </w:pPr>
      <w:r w:rsidRPr="008B0D9B">
        <w:rPr>
          <w:lang w:eastAsia="zh-CN"/>
        </w:rPr>
        <w:t>(ADR :) 1.6.3.33</w:t>
      </w:r>
      <w:r w:rsidRPr="008B0D9B">
        <w:rPr>
          <w:lang w:eastAsia="zh-CN"/>
        </w:rPr>
        <w:tab/>
        <w:t>Remplacer le texte existant par « 1.6.3.33</w:t>
      </w:r>
      <w:r w:rsidRPr="008B0D9B">
        <w:rPr>
          <w:i/>
          <w:iCs/>
          <w:lang w:eastAsia="zh-CN"/>
        </w:rPr>
        <w:t xml:space="preserve"> (Réservé)</w:t>
      </w:r>
      <w:r w:rsidRPr="008B0D9B">
        <w:rPr>
          <w:lang w:eastAsia="zh-CN"/>
        </w:rPr>
        <w:t> ».</w:t>
      </w:r>
    </w:p>
    <w:p w14:paraId="5DF16F36" w14:textId="44F1CB9C" w:rsidR="00DE2765" w:rsidRPr="008B0D9B" w:rsidRDefault="00DE2765" w:rsidP="00666101">
      <w:pPr>
        <w:spacing w:after="120"/>
        <w:ind w:left="2835" w:right="1134" w:hanging="1701"/>
        <w:jc w:val="both"/>
      </w:pPr>
      <w:r w:rsidRPr="008B0D9B">
        <w:t>(ADR :) 1.6.3</w:t>
      </w:r>
      <w:r w:rsidRPr="008B0D9B">
        <w:tab/>
        <w:t>Ajouter les nouvelles mesures transitoires suivantes :</w:t>
      </w:r>
    </w:p>
    <w:p w14:paraId="12445AA3" w14:textId="097A78BC" w:rsidR="00DE2765" w:rsidRPr="008B0D9B" w:rsidRDefault="00DE2765" w:rsidP="009C51FF">
      <w:pPr>
        <w:pStyle w:val="SingleTxtG"/>
        <w:ind w:left="2268" w:hanging="1134"/>
        <w:rPr>
          <w:rFonts w:eastAsia="Calibri"/>
        </w:rPr>
      </w:pPr>
      <w:r w:rsidRPr="008B0D9B">
        <w:rPr>
          <w:rFonts w:eastAsia="Calibri"/>
        </w:rPr>
        <w:t>« 1.6.3.56</w:t>
      </w:r>
      <w:r w:rsidRPr="008B0D9B">
        <w:rPr>
          <w:rFonts w:eastAsia="Calibri"/>
        </w:rPr>
        <w:tab/>
        <w:t>Les citernes fixes (véhicules-citernes) et citernes démontables construites avant le 1</w:t>
      </w:r>
      <w:r w:rsidRPr="00BB440A">
        <w:rPr>
          <w:rFonts w:eastAsia="Calibri"/>
          <w:vertAlign w:val="superscript"/>
        </w:rPr>
        <w:t>er</w:t>
      </w:r>
      <w:r w:rsidR="00BB440A">
        <w:rPr>
          <w:rFonts w:eastAsia="Calibri"/>
        </w:rPr>
        <w:t> </w:t>
      </w:r>
      <w:r w:rsidRPr="008B0D9B">
        <w:rPr>
          <w:rFonts w:eastAsia="Calibri"/>
        </w:rPr>
        <w:t>juillet 2033 conformément aux prescriptions du chapitre 6.9 applicables jusqu’au 31</w:t>
      </w:r>
      <w:r w:rsidR="00BB440A">
        <w:rPr>
          <w:rFonts w:eastAsia="Calibri"/>
        </w:rPr>
        <w:t> </w:t>
      </w:r>
      <w:r w:rsidRPr="008B0D9B">
        <w:rPr>
          <w:rFonts w:eastAsia="Calibri"/>
        </w:rPr>
        <w:t>décembre 2022, mais qui ne sont pas conformes aux prescriptions du chapitre 6.13 applicables à compter du 1</w:t>
      </w:r>
      <w:r w:rsidRPr="00BB440A">
        <w:rPr>
          <w:rFonts w:eastAsia="Calibri"/>
          <w:vertAlign w:val="superscript"/>
        </w:rPr>
        <w:t>er</w:t>
      </w:r>
      <w:r w:rsidR="00BB440A">
        <w:rPr>
          <w:rFonts w:eastAsia="Calibri"/>
        </w:rPr>
        <w:t> </w:t>
      </w:r>
      <w:r w:rsidRPr="008B0D9B">
        <w:rPr>
          <w:rFonts w:eastAsia="Calibri"/>
        </w:rPr>
        <w:t>janvier 2023, peuvent encore être utilisées.</w:t>
      </w:r>
    </w:p>
    <w:p w14:paraId="6355E7E5" w14:textId="2446E031" w:rsidR="00DE2765" w:rsidRPr="008B0D9B" w:rsidRDefault="00DE2765" w:rsidP="009C51FF">
      <w:pPr>
        <w:pStyle w:val="SingleTxtG"/>
        <w:ind w:left="2268" w:hanging="1134"/>
        <w:rPr>
          <w:rFonts w:eastAsia="Calibri"/>
        </w:rPr>
      </w:pPr>
      <w:r w:rsidRPr="008B0D9B">
        <w:lastRenderedPageBreak/>
        <w:t>1.6.3.57</w:t>
      </w:r>
      <w:r w:rsidRPr="008B0D9B">
        <w:tab/>
        <w:t>Les citernes fixes (véhicules-citernes) et les citernes démontables construites avant le 1</w:t>
      </w:r>
      <w:r w:rsidRPr="00670E54">
        <w:rPr>
          <w:vertAlign w:val="superscript"/>
        </w:rPr>
        <w:t>er</w:t>
      </w:r>
      <w:r w:rsidR="00670E54">
        <w:t> </w:t>
      </w:r>
      <w:r w:rsidRPr="008B0D9B">
        <w:t>janvier 2024 conformément aux prescriptions applicables jusqu’au 31</w:t>
      </w:r>
      <w:r w:rsidR="00BB440A">
        <w:t> </w:t>
      </w:r>
      <w:r w:rsidRPr="008B0D9B">
        <w:t>décembre 2022, mais qui ne sont cependant pas conformes aux prescriptions applicables à partir du 1</w:t>
      </w:r>
      <w:r w:rsidRPr="00BB440A">
        <w:rPr>
          <w:vertAlign w:val="superscript"/>
        </w:rPr>
        <w:t>er</w:t>
      </w:r>
      <w:r w:rsidR="00BB440A">
        <w:t> </w:t>
      </w:r>
      <w:r w:rsidRPr="008B0D9B">
        <w:t>janvier 2023 en ce qui concerne le montage des soupapes de sécurité conformément au 6.8.3.2.9, peuvent encore être utilisées.</w:t>
      </w:r>
      <w:r w:rsidR="00BB440A">
        <w:t> </w:t>
      </w:r>
      <w:r w:rsidRPr="008B0D9B">
        <w:rPr>
          <w:rFonts w:eastAsia="Calibri"/>
        </w:rPr>
        <w:t>».</w:t>
      </w:r>
    </w:p>
    <w:p w14:paraId="71AE1D5F" w14:textId="607516CB" w:rsidR="00DE2765" w:rsidRPr="008B0D9B" w:rsidRDefault="00DE2765" w:rsidP="009C51FF">
      <w:pPr>
        <w:pStyle w:val="SingleTxtG"/>
        <w:rPr>
          <w:i/>
          <w:iCs/>
        </w:rPr>
      </w:pPr>
      <w:r w:rsidRPr="008B0D9B">
        <w:rPr>
          <w:i/>
          <w:iCs/>
        </w:rPr>
        <w:t>(Document de référence : document informel INF.49, propositions 14 et 17)</w:t>
      </w:r>
    </w:p>
    <w:p w14:paraId="3FA9B5E8" w14:textId="7ECF7171" w:rsidR="00DE2765" w:rsidRPr="008B0D9B" w:rsidRDefault="00DE2765" w:rsidP="00BB440A">
      <w:pPr>
        <w:spacing w:after="120"/>
        <w:ind w:left="3119" w:right="1134" w:hanging="1985"/>
        <w:jc w:val="both"/>
        <w:rPr>
          <w:lang w:eastAsia="zh-CN"/>
        </w:rPr>
      </w:pPr>
      <w:r w:rsidRPr="008B0D9B">
        <w:t xml:space="preserve">(RID/ADR :) </w:t>
      </w:r>
      <w:r w:rsidRPr="008B0D9B">
        <w:rPr>
          <w:lang w:eastAsia="zh-CN"/>
        </w:rPr>
        <w:t>1.6.4.32</w:t>
      </w:r>
      <w:r w:rsidRPr="008B0D9B">
        <w:rPr>
          <w:lang w:eastAsia="zh-CN"/>
        </w:rPr>
        <w:tab/>
        <w:t>Remplacer le texte existant par « 1.6.4.32</w:t>
      </w:r>
      <w:r w:rsidRPr="008B0D9B">
        <w:rPr>
          <w:i/>
          <w:iCs/>
          <w:lang w:eastAsia="zh-CN"/>
        </w:rPr>
        <w:t xml:space="preserve"> (Supprimé)</w:t>
      </w:r>
      <w:r w:rsidRPr="008B0D9B">
        <w:rPr>
          <w:lang w:eastAsia="zh-CN"/>
        </w:rPr>
        <w:t> ».</w:t>
      </w:r>
    </w:p>
    <w:p w14:paraId="6CB44A70" w14:textId="6E4CA975" w:rsidR="00DE2765" w:rsidRPr="008B0D9B" w:rsidRDefault="00DE2765" w:rsidP="009C51FF">
      <w:pPr>
        <w:pStyle w:val="SingleTxtG"/>
        <w:rPr>
          <w:i/>
          <w:iCs/>
        </w:rPr>
      </w:pPr>
      <w:r w:rsidRPr="008B0D9B">
        <w:rPr>
          <w:i/>
          <w:iCs/>
        </w:rPr>
        <w:t>(Document de référence : document informel INF.18)</w:t>
      </w:r>
    </w:p>
    <w:p w14:paraId="5B989DA0" w14:textId="441230C8" w:rsidR="00DE2765" w:rsidRPr="008B0D9B" w:rsidRDefault="00DE2765" w:rsidP="009C51FF">
      <w:pPr>
        <w:pStyle w:val="SingleTxtG"/>
        <w:ind w:left="2268" w:hanging="1134"/>
      </w:pPr>
      <w:r w:rsidRPr="008B0D9B">
        <w:t>1.6.4</w:t>
      </w:r>
      <w:r w:rsidRPr="008B0D9B">
        <w:tab/>
        <w:t>Ajouter les nouvelles mesures transitoires suivantes :</w:t>
      </w:r>
    </w:p>
    <w:p w14:paraId="08E3F58B" w14:textId="5ED59D1D" w:rsidR="00DE2765" w:rsidRPr="008B0D9B" w:rsidRDefault="00DE2765" w:rsidP="009C51FF">
      <w:pPr>
        <w:pStyle w:val="SingleTxtG"/>
        <w:ind w:left="2268" w:hanging="1134"/>
        <w:rPr>
          <w:rFonts w:eastAsia="Calibri"/>
        </w:rPr>
      </w:pPr>
      <w:r w:rsidRPr="008B0D9B">
        <w:rPr>
          <w:rFonts w:eastAsia="Calibri"/>
        </w:rPr>
        <w:t>« 1.6.4.59</w:t>
      </w:r>
      <w:r w:rsidRPr="008B0D9B">
        <w:rPr>
          <w:rFonts w:eastAsia="Calibri"/>
        </w:rPr>
        <w:tab/>
      </w:r>
      <w:r w:rsidRPr="008B0D9B">
        <w:rPr>
          <w:lang w:eastAsia="zh-CN"/>
        </w:rPr>
        <w:t>Les conteneurs-citernes construits avant le 1</w:t>
      </w:r>
      <w:r w:rsidRPr="00670E54">
        <w:rPr>
          <w:vertAlign w:val="superscript"/>
          <w:lang w:eastAsia="zh-CN"/>
        </w:rPr>
        <w:t>er</w:t>
      </w:r>
      <w:r w:rsidR="00670E54">
        <w:rPr>
          <w:lang w:eastAsia="zh-CN"/>
        </w:rPr>
        <w:t> </w:t>
      </w:r>
      <w:r w:rsidRPr="008B0D9B">
        <w:rPr>
          <w:lang w:eastAsia="zh-CN"/>
        </w:rPr>
        <w:t>juillet 2033 conformément aux prescriptions du chapitre 6.9 applicables jusqu’au 31</w:t>
      </w:r>
      <w:r w:rsidR="00BB440A">
        <w:rPr>
          <w:lang w:eastAsia="zh-CN"/>
        </w:rPr>
        <w:t> </w:t>
      </w:r>
      <w:r w:rsidRPr="008B0D9B">
        <w:rPr>
          <w:lang w:eastAsia="zh-CN"/>
        </w:rPr>
        <w:t>décembre 2022, peuvent encore être utilisés</w:t>
      </w:r>
      <w:r w:rsidRPr="008B0D9B">
        <w:rPr>
          <w:rFonts w:eastAsia="Calibri"/>
        </w:rPr>
        <w:t>.</w:t>
      </w:r>
    </w:p>
    <w:p w14:paraId="2C4F96FC" w14:textId="1A521B6F" w:rsidR="00DE2765" w:rsidRPr="008B0D9B" w:rsidRDefault="00DE2765" w:rsidP="009C51FF">
      <w:pPr>
        <w:pStyle w:val="SingleTxtG"/>
        <w:ind w:left="2268" w:hanging="1134"/>
        <w:rPr>
          <w:rFonts w:eastAsia="Calibri"/>
        </w:rPr>
      </w:pPr>
      <w:r w:rsidRPr="008B0D9B">
        <w:t>1.6.4.60</w:t>
      </w:r>
      <w:r w:rsidRPr="008B0D9B">
        <w:tab/>
        <w:t>Les conteneurs-citernes construits avant le 1</w:t>
      </w:r>
      <w:r w:rsidRPr="00BB440A">
        <w:rPr>
          <w:vertAlign w:val="superscript"/>
        </w:rPr>
        <w:t>er</w:t>
      </w:r>
      <w:r w:rsidR="00BB440A">
        <w:t> </w:t>
      </w:r>
      <w:r w:rsidRPr="008B0D9B">
        <w:t>janvier 2024 conformément aux prescriptions applicables jusqu’au 31</w:t>
      </w:r>
      <w:r w:rsidR="00BB440A">
        <w:t> </w:t>
      </w:r>
      <w:r w:rsidRPr="008B0D9B">
        <w:t>décembre 2022, mais qui ne sont cependant pas conformes aux prescriptions applicables à partir du 1</w:t>
      </w:r>
      <w:r w:rsidRPr="00BB440A">
        <w:rPr>
          <w:vertAlign w:val="superscript"/>
        </w:rPr>
        <w:t>er</w:t>
      </w:r>
      <w:r w:rsidR="00BB440A">
        <w:t> </w:t>
      </w:r>
      <w:r w:rsidRPr="008B0D9B">
        <w:t>janvier 2023 en ce qui concerne le montage des soupapes de sécurité conformément au 6.8.3.2.9, peuvent encore être utilisés.</w:t>
      </w:r>
      <w:r w:rsidRPr="008B0D9B">
        <w:rPr>
          <w:rFonts w:eastAsia="Calibri"/>
        </w:rPr>
        <w:t> ».</w:t>
      </w:r>
    </w:p>
    <w:p w14:paraId="046011F3" w14:textId="0460F603" w:rsidR="00DE2765" w:rsidRPr="008B0D9B" w:rsidRDefault="00DE2765" w:rsidP="009C51FF">
      <w:pPr>
        <w:pStyle w:val="SingleTxtG"/>
        <w:rPr>
          <w:i/>
          <w:iCs/>
        </w:rPr>
      </w:pPr>
      <w:r w:rsidRPr="008B0D9B">
        <w:rPr>
          <w:i/>
          <w:iCs/>
        </w:rPr>
        <w:t>(Document de référence : document informel INF.49, propositions 15 et 17)</w:t>
      </w:r>
    </w:p>
    <w:p w14:paraId="749D46EE" w14:textId="77777777" w:rsidR="00DE2765" w:rsidRPr="008B0D9B" w:rsidRDefault="00DE2765" w:rsidP="00DE2765">
      <w:pPr>
        <w:pStyle w:val="H23G"/>
      </w:pPr>
      <w:r w:rsidRPr="008B0D9B">
        <w:tab/>
      </w:r>
      <w:r w:rsidRPr="008B0D9B">
        <w:tab/>
        <w:t>Chapitre 1.7</w:t>
      </w:r>
    </w:p>
    <w:p w14:paraId="50B70661" w14:textId="77777777" w:rsidR="00DE2765" w:rsidRPr="008B0D9B" w:rsidRDefault="00DE2765" w:rsidP="009C51FF">
      <w:pPr>
        <w:pStyle w:val="SingleTxtG"/>
        <w:ind w:left="2268" w:hanging="1134"/>
      </w:pPr>
      <w:r w:rsidRPr="008B0D9B">
        <w:t>1.7.2.5</w:t>
      </w:r>
      <w:r w:rsidRPr="008B0D9B">
        <w:tab/>
      </w:r>
      <w:r w:rsidRPr="008B0D9B">
        <w:tab/>
        <w:t>Modification sans objet en français.</w:t>
      </w:r>
    </w:p>
    <w:p w14:paraId="187CA310" w14:textId="713B6CA2" w:rsidR="00DE2765" w:rsidRPr="008B0D9B" w:rsidRDefault="00DE2765" w:rsidP="009C51FF">
      <w:pPr>
        <w:pStyle w:val="SingleTxtG"/>
        <w:rPr>
          <w:i/>
          <w:iCs/>
        </w:rPr>
      </w:pPr>
      <w:r w:rsidRPr="008B0D9B">
        <w:rPr>
          <w:i/>
          <w:iCs/>
        </w:rPr>
        <w:t>(Document de référence : document informel INF.19)</w:t>
      </w:r>
    </w:p>
    <w:p w14:paraId="00885EE7" w14:textId="77777777" w:rsidR="00DE2765" w:rsidRPr="008B0D9B" w:rsidRDefault="00DE2765" w:rsidP="00DE2765">
      <w:pPr>
        <w:pStyle w:val="H23G"/>
      </w:pPr>
      <w:r w:rsidRPr="008B0D9B">
        <w:tab/>
      </w:r>
      <w:r w:rsidRPr="008B0D9B">
        <w:tab/>
        <w:t>Chapitre 3.3</w:t>
      </w:r>
    </w:p>
    <w:p w14:paraId="0AAD7F57" w14:textId="55E45751" w:rsidR="00DE2765" w:rsidRPr="008B0D9B" w:rsidRDefault="00DE2765" w:rsidP="009C51FF">
      <w:pPr>
        <w:pStyle w:val="SingleTxtG"/>
        <w:ind w:left="2268" w:hanging="1134"/>
      </w:pPr>
      <w:r w:rsidRPr="008B0D9B">
        <w:t>DS 119</w:t>
      </w:r>
      <w:r w:rsidRPr="008B0D9B">
        <w:tab/>
        <w:t>Ajouter le nouveau nota suivant à la fin :</w:t>
      </w:r>
    </w:p>
    <w:p w14:paraId="3CFAE1A8" w14:textId="15B79472" w:rsidR="00DE2765" w:rsidRPr="008B0D9B" w:rsidRDefault="00DE2765" w:rsidP="00047002">
      <w:pPr>
        <w:pStyle w:val="SingleTxtG"/>
        <w:ind w:left="2268"/>
      </w:pPr>
      <w:r w:rsidRPr="008B0D9B">
        <w:rPr>
          <w:lang w:eastAsia="zh-CN"/>
        </w:rPr>
        <w:t>« </w:t>
      </w:r>
      <w:r w:rsidRPr="00BB440A">
        <w:rPr>
          <w:b/>
          <w:bCs/>
          <w:i/>
          <w:iCs/>
          <w:lang w:eastAsia="zh-CN"/>
        </w:rPr>
        <w:t>NOTA</w:t>
      </w:r>
      <w:r w:rsidRPr="00BB440A">
        <w:rPr>
          <w:i/>
          <w:iCs/>
          <w:lang w:eastAsia="zh-CN"/>
        </w:rPr>
        <w:t> :</w:t>
      </w:r>
      <w:r w:rsidR="00666101">
        <w:rPr>
          <w:i/>
          <w:iCs/>
          <w:lang w:eastAsia="zh-CN"/>
        </w:rPr>
        <w:tab/>
      </w:r>
      <w:r w:rsidRPr="00BB440A">
        <w:rPr>
          <w:i/>
          <w:iCs/>
          <w:lang w:eastAsia="zh-CN"/>
        </w:rPr>
        <w:t>Aux fins du transport, les pompes à chaleur peuvent être</w:t>
      </w:r>
      <w:r w:rsidRPr="008B0D9B">
        <w:rPr>
          <w:i/>
          <w:iCs/>
        </w:rPr>
        <w:t xml:space="preserve"> considérées comme des machines frigorifiques.</w:t>
      </w:r>
      <w:r w:rsidRPr="008B0D9B">
        <w:t> ».</w:t>
      </w:r>
    </w:p>
    <w:p w14:paraId="7FAFC015" w14:textId="6B664F57" w:rsidR="00DE2765" w:rsidRPr="008B0D9B" w:rsidRDefault="00DE2765" w:rsidP="009C51FF">
      <w:pPr>
        <w:pStyle w:val="SingleTxtG"/>
        <w:rPr>
          <w:i/>
          <w:iCs/>
        </w:rPr>
      </w:pPr>
      <w:r w:rsidRPr="008B0D9B">
        <w:rPr>
          <w:i/>
          <w:iCs/>
        </w:rPr>
        <w:t>(Document de référence : document informel INF.45, tel que modifié)</w:t>
      </w:r>
    </w:p>
    <w:p w14:paraId="1468EA41" w14:textId="1D4AC6C6" w:rsidR="00DE2765" w:rsidRPr="008B0D9B" w:rsidRDefault="00DE2765" w:rsidP="009C51FF">
      <w:pPr>
        <w:pStyle w:val="SingleTxtG"/>
        <w:ind w:left="2268" w:hanging="1134"/>
      </w:pPr>
      <w:r w:rsidRPr="008B0D9B">
        <w:t>DS 291</w:t>
      </w:r>
      <w:r w:rsidRPr="008B0D9B">
        <w:tab/>
        <w:t>Ajouter le nouveau nota suivant à la fin :</w:t>
      </w:r>
    </w:p>
    <w:p w14:paraId="17EF8693" w14:textId="3181A224" w:rsidR="00DE2765" w:rsidRPr="008B0D9B" w:rsidRDefault="00DE2765" w:rsidP="00047002">
      <w:pPr>
        <w:pStyle w:val="SingleTxtG"/>
        <w:ind w:left="2268"/>
      </w:pPr>
      <w:r w:rsidRPr="008B0D9B">
        <w:t>« </w:t>
      </w:r>
      <w:r w:rsidRPr="008B0D9B">
        <w:rPr>
          <w:b/>
          <w:bCs/>
          <w:i/>
          <w:iCs/>
        </w:rPr>
        <w:t>NOTA</w:t>
      </w:r>
      <w:r w:rsidRPr="00047002">
        <w:rPr>
          <w:i/>
          <w:iCs/>
        </w:rPr>
        <w:t> :</w:t>
      </w:r>
      <w:r w:rsidR="00666101">
        <w:rPr>
          <w:i/>
          <w:iCs/>
        </w:rPr>
        <w:tab/>
      </w:r>
      <w:r w:rsidRPr="008B0D9B">
        <w:rPr>
          <w:i/>
          <w:iCs/>
        </w:rPr>
        <w:t>Aux fins du transport, les pompes à chaleur peuvent être considérées comme des machines frigorifiques.</w:t>
      </w:r>
      <w:r w:rsidRPr="008B0D9B">
        <w:t> ».</w:t>
      </w:r>
    </w:p>
    <w:p w14:paraId="5B0A6967" w14:textId="4F36DF18" w:rsidR="00DE2765" w:rsidRPr="008B0D9B" w:rsidRDefault="00DE2765" w:rsidP="009C51FF">
      <w:pPr>
        <w:pStyle w:val="SingleTxtG"/>
        <w:rPr>
          <w:i/>
          <w:iCs/>
        </w:rPr>
      </w:pPr>
      <w:r w:rsidRPr="008B0D9B">
        <w:rPr>
          <w:i/>
          <w:iCs/>
        </w:rPr>
        <w:t>(Document de référence : document informel INF.45, tel que modifié)</w:t>
      </w:r>
    </w:p>
    <w:p w14:paraId="397A7081" w14:textId="77777777" w:rsidR="00DE2765" w:rsidRPr="008B0D9B" w:rsidRDefault="00DE2765" w:rsidP="00DE2765">
      <w:pPr>
        <w:pStyle w:val="H23G"/>
      </w:pPr>
      <w:r w:rsidRPr="008B0D9B">
        <w:tab/>
      </w:r>
      <w:r w:rsidRPr="008B0D9B">
        <w:tab/>
        <w:t>Chapitre 4.1</w:t>
      </w:r>
    </w:p>
    <w:p w14:paraId="293AE7C5" w14:textId="21C75309" w:rsidR="00DE2765" w:rsidRPr="008B0D9B" w:rsidRDefault="00DE2765" w:rsidP="009C51FF">
      <w:pPr>
        <w:pStyle w:val="SingleTxtG"/>
        <w:ind w:left="2268" w:hanging="1134"/>
        <w:rPr>
          <w:lang w:eastAsia="zh-CN"/>
        </w:rPr>
      </w:pPr>
      <w:r w:rsidRPr="008B0D9B">
        <w:t>4.1.4.1, P200</w:t>
      </w:r>
      <w:r w:rsidRPr="008B0D9B">
        <w:tab/>
        <w:t xml:space="preserve">Au point 11), </w:t>
      </w:r>
      <w:r w:rsidRPr="008B0D9B">
        <w:rPr>
          <w:lang w:eastAsia="zh-CN"/>
        </w:rPr>
        <w:t>remplacer la ligne pour « EN 1439</w:t>
      </w:r>
      <w:r w:rsidR="00047002">
        <w:rPr>
          <w:lang w:eastAsia="zh-CN"/>
        </w:rPr>
        <w:t>:20</w:t>
      </w:r>
      <w:r w:rsidRPr="008B0D9B">
        <w:rPr>
          <w:lang w:eastAsia="zh-CN"/>
        </w:rPr>
        <w:t>17 » par la nouvelle ligne suivante :</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6"/>
        <w:gridCol w:w="1509"/>
        <w:gridCol w:w="5609"/>
      </w:tblGrid>
      <w:tr w:rsidR="00DE2765" w:rsidRPr="00BB440A" w14:paraId="2B845760" w14:textId="77777777" w:rsidTr="00670E54">
        <w:trPr>
          <w:cantSplit/>
          <w:trHeight w:val="20"/>
        </w:trPr>
        <w:tc>
          <w:tcPr>
            <w:tcW w:w="1560" w:type="dxa"/>
          </w:tcPr>
          <w:p w14:paraId="53DA416A" w14:textId="69BE6A64" w:rsidR="00DE2765" w:rsidRPr="00BB440A" w:rsidRDefault="00DE2765" w:rsidP="00113513">
            <w:pPr>
              <w:keepNext/>
              <w:keepLines/>
              <w:tabs>
                <w:tab w:val="left" w:pos="1418"/>
                <w:tab w:val="left" w:pos="1985"/>
                <w:tab w:val="left" w:pos="2552"/>
                <w:tab w:val="left" w:pos="3119"/>
                <w:tab w:val="left" w:pos="3686"/>
                <w:tab w:val="left" w:pos="4253"/>
                <w:tab w:val="left" w:pos="4820"/>
              </w:tabs>
              <w:suppressAutoHyphens w:val="0"/>
              <w:spacing w:before="20" w:after="20" w:line="240" w:lineRule="auto"/>
              <w:rPr>
                <w:bCs/>
              </w:rPr>
            </w:pPr>
            <w:r w:rsidRPr="00BB440A">
              <w:rPr>
                <w:bCs/>
              </w:rPr>
              <w:t>7) et (ADR :) 10)</w:t>
            </w:r>
            <w:r w:rsidR="00BB440A" w:rsidRPr="00BB440A">
              <w:rPr>
                <w:bCs/>
              </w:rPr>
              <w:t> </w:t>
            </w:r>
            <w:r w:rsidRPr="00BB440A">
              <w:rPr>
                <w:bCs/>
              </w:rPr>
              <w:t>ta b)</w:t>
            </w:r>
          </w:p>
        </w:tc>
        <w:tc>
          <w:tcPr>
            <w:tcW w:w="1701" w:type="dxa"/>
          </w:tcPr>
          <w:p w14:paraId="770C58F8" w14:textId="18E38908" w:rsidR="00DE2765" w:rsidRPr="00BB440A" w:rsidRDefault="00DE2765" w:rsidP="00113513">
            <w:pPr>
              <w:keepNext/>
              <w:keepLines/>
              <w:tabs>
                <w:tab w:val="left" w:pos="1418"/>
                <w:tab w:val="left" w:pos="1985"/>
                <w:tab w:val="left" w:pos="2552"/>
                <w:tab w:val="left" w:pos="3119"/>
                <w:tab w:val="left" w:pos="3686"/>
                <w:tab w:val="left" w:pos="4253"/>
                <w:tab w:val="left" w:pos="4820"/>
              </w:tabs>
              <w:suppressAutoHyphens w:val="0"/>
              <w:spacing w:before="20" w:after="20" w:line="240" w:lineRule="auto"/>
              <w:rPr>
                <w:bCs/>
              </w:rPr>
            </w:pPr>
            <w:r w:rsidRPr="00BB440A">
              <w:rPr>
                <w:bCs/>
              </w:rPr>
              <w:t>EN 1439</w:t>
            </w:r>
            <w:r w:rsidR="002C522F" w:rsidRPr="00BB440A">
              <w:rPr>
                <w:bCs/>
              </w:rPr>
              <w:t>:[</w:t>
            </w:r>
            <w:r w:rsidRPr="00BB440A">
              <w:rPr>
                <w:bCs/>
              </w:rPr>
              <w:t>2022]</w:t>
            </w:r>
          </w:p>
        </w:tc>
        <w:tc>
          <w:tcPr>
            <w:tcW w:w="6384" w:type="dxa"/>
          </w:tcPr>
          <w:p w14:paraId="2FBE1DA7" w14:textId="4BB381DF" w:rsidR="00DE2765" w:rsidRPr="00BB440A" w:rsidRDefault="00DE2765" w:rsidP="00113513">
            <w:pPr>
              <w:keepNext/>
              <w:keepLines/>
              <w:tabs>
                <w:tab w:val="left" w:pos="1418"/>
                <w:tab w:val="left" w:pos="1985"/>
                <w:tab w:val="left" w:pos="2552"/>
                <w:tab w:val="left" w:pos="3119"/>
                <w:tab w:val="left" w:pos="3686"/>
                <w:tab w:val="left" w:pos="4253"/>
                <w:tab w:val="left" w:pos="4820"/>
              </w:tabs>
              <w:suppressAutoHyphens w:val="0"/>
              <w:spacing w:before="20" w:after="20" w:line="240" w:lineRule="auto"/>
              <w:ind w:right="567"/>
              <w:rPr>
                <w:bCs/>
              </w:rPr>
            </w:pPr>
            <w:r w:rsidRPr="00BB440A">
              <w:rPr>
                <w:bCs/>
              </w:rPr>
              <w:t xml:space="preserve">Équipements pour GPL et leurs accessoires </w:t>
            </w:r>
            <w:r w:rsidR="00BB440A" w:rsidRPr="00BB440A">
              <w:rPr>
                <w:bCs/>
              </w:rPr>
              <w:t>−</w:t>
            </w:r>
            <w:r w:rsidRPr="00BB440A">
              <w:rPr>
                <w:bCs/>
              </w:rPr>
              <w:t xml:space="preserve"> Procédure de vérification des bouteilles transportables et rechargeables pour GPL avant, pendant et après le remplissage</w:t>
            </w:r>
          </w:p>
        </w:tc>
      </w:tr>
    </w:tbl>
    <w:p w14:paraId="0F18D133" w14:textId="7B4E36E6" w:rsidR="00DE2765" w:rsidRPr="008B0D9B" w:rsidRDefault="00DE2765" w:rsidP="002C522F">
      <w:pPr>
        <w:pStyle w:val="SingleTxtG"/>
        <w:spacing w:before="120"/>
        <w:ind w:left="2268"/>
      </w:pPr>
      <w:r w:rsidRPr="008B0D9B">
        <w:t>Au point 12), 2.1, remplacer « EN 1439</w:t>
      </w:r>
      <w:r w:rsidR="00047002">
        <w:t>:20</w:t>
      </w:r>
      <w:r w:rsidRPr="008B0D9B">
        <w:t>17 » par « EN 1439</w:t>
      </w:r>
      <w:r w:rsidR="002C522F">
        <w:t>:[</w:t>
      </w:r>
      <w:r w:rsidRPr="008B0D9B">
        <w:t xml:space="preserve">2022] (ou EN </w:t>
      </w:r>
      <w:r w:rsidRPr="008B0D9B">
        <w:rPr>
          <w:lang w:eastAsia="zh-CN"/>
        </w:rPr>
        <w:t>1439</w:t>
      </w:r>
      <w:r w:rsidR="00047002">
        <w:t>:20</w:t>
      </w:r>
      <w:r w:rsidRPr="008B0D9B">
        <w:t>17 jusqu’au 31</w:t>
      </w:r>
      <w:r w:rsidR="002C522F">
        <w:t> </w:t>
      </w:r>
      <w:r w:rsidRPr="008B0D9B">
        <w:t>décembre 2024) ».</w:t>
      </w:r>
    </w:p>
    <w:p w14:paraId="461E4467" w14:textId="4D1A4979" w:rsidR="00DE2765" w:rsidRPr="008B0D9B" w:rsidRDefault="00DE2765" w:rsidP="00047002">
      <w:pPr>
        <w:pStyle w:val="SingleTxtG"/>
        <w:ind w:left="2268"/>
      </w:pPr>
      <w:r w:rsidRPr="008B0D9B">
        <w:t>Au point 12), 3.4, après « EN ISO 14245</w:t>
      </w:r>
      <w:r w:rsidR="00047002">
        <w:t>:20</w:t>
      </w:r>
      <w:r w:rsidRPr="008B0D9B">
        <w:t>19, » ajouter « EN ISO 14245</w:t>
      </w:r>
      <w:r w:rsidR="00047002">
        <w:t>:20</w:t>
      </w:r>
      <w:r w:rsidRPr="008B0D9B" w:rsidDel="002935B9">
        <w:t>21</w:t>
      </w:r>
      <w:r w:rsidRPr="008B0D9B">
        <w:t>, ». Remplacer « ou EN ISO 15995</w:t>
      </w:r>
      <w:r w:rsidR="00047002">
        <w:t>:20</w:t>
      </w:r>
      <w:r w:rsidRPr="008B0D9B">
        <w:t>19 » par « , EN ISO 15995</w:t>
      </w:r>
      <w:r w:rsidR="00047002">
        <w:t>:20</w:t>
      </w:r>
      <w:r w:rsidRPr="008B0D9B">
        <w:t>19 ou EN ISO 15995</w:t>
      </w:r>
      <w:r w:rsidR="00047002">
        <w:t>:20</w:t>
      </w:r>
      <w:r w:rsidRPr="008B0D9B">
        <w:t>21 ».</w:t>
      </w:r>
    </w:p>
    <w:p w14:paraId="12330A13" w14:textId="646A3800" w:rsidR="00DE2765" w:rsidRPr="008B0D9B" w:rsidRDefault="00DE2765" w:rsidP="009C51FF">
      <w:pPr>
        <w:pStyle w:val="SingleTxtG"/>
        <w:rPr>
          <w:i/>
          <w:iCs/>
        </w:rPr>
      </w:pPr>
      <w:r w:rsidRPr="008B0D9B">
        <w:rPr>
          <w:i/>
          <w:iCs/>
        </w:rPr>
        <w:t>(Documents de référence : document informel INF.15 tel que modifié et INF.15/Add.1)</w:t>
      </w:r>
    </w:p>
    <w:p w14:paraId="4B162889" w14:textId="77777777" w:rsidR="00DE2765" w:rsidRPr="008B0D9B" w:rsidRDefault="00DE2765" w:rsidP="00DE2765">
      <w:pPr>
        <w:pStyle w:val="H23G"/>
      </w:pPr>
      <w:r w:rsidRPr="008B0D9B">
        <w:lastRenderedPageBreak/>
        <w:tab/>
      </w:r>
      <w:r w:rsidRPr="008B0D9B">
        <w:tab/>
        <w:t>Chapitre 4.3</w:t>
      </w:r>
    </w:p>
    <w:p w14:paraId="2C1DDB00" w14:textId="77777777" w:rsidR="00DE2765" w:rsidRPr="008B0D9B" w:rsidRDefault="00DE2765" w:rsidP="009C51FF">
      <w:pPr>
        <w:pStyle w:val="SingleTxtG"/>
        <w:ind w:left="2268" w:hanging="1134"/>
      </w:pPr>
      <w:r w:rsidRPr="008B0D9B">
        <w:t>4.3.2.3.7</w:t>
      </w:r>
      <w:r w:rsidRPr="008B0D9B">
        <w:tab/>
        <w:t>Au premier paragraphe, remplacer « après expiration de la période de validité du contrôle prescrit aux 6.8.2.4.2, 6.8.3.4.6 et 6.8.3.4.12 » par « après la date spécifiée pour le contrôle prescrit aux 6.8.2.4.2, 6.8.2.4.3, 6.8.3.4.6 et 6.8.3.4.12 ».</w:t>
      </w:r>
    </w:p>
    <w:p w14:paraId="10675091" w14:textId="3B9137E6" w:rsidR="00DE2765" w:rsidRPr="008B0D9B" w:rsidRDefault="00DE2765" w:rsidP="00047002">
      <w:pPr>
        <w:pStyle w:val="SingleTxtG"/>
        <w:ind w:left="2268"/>
      </w:pPr>
      <w:r w:rsidRPr="008B0D9B">
        <w:t>Au deuxième paragraphe, remplacer « avant la date d’expiration du dernier contrôle périodique » par « avant la date spécifiée pour le prochain contrôle ».</w:t>
      </w:r>
    </w:p>
    <w:p w14:paraId="668A7BAD" w14:textId="0987D8B4" w:rsidR="00DE2765" w:rsidRPr="008B0D9B" w:rsidRDefault="00DE2765" w:rsidP="00047002">
      <w:pPr>
        <w:pStyle w:val="SingleTxtG"/>
        <w:ind w:left="2268"/>
      </w:pPr>
      <w:r w:rsidRPr="008B0D9B">
        <w:t>À l’alinéa a), remplacer « suivant l’expiration de ce délai » par « après la date spécifiée si le contrôle dû est un contrôle périodique conformément aux 6.8.2.4.2, 6.8.3.4.6 a) et 6.8.3.4.12 ».</w:t>
      </w:r>
    </w:p>
    <w:p w14:paraId="69B7941B" w14:textId="76648679" w:rsidR="00DE2765" w:rsidRPr="008B0D9B" w:rsidRDefault="00DE2765" w:rsidP="00113513">
      <w:pPr>
        <w:pStyle w:val="SingleTxtG"/>
        <w:keepNext/>
        <w:ind w:left="2268"/>
      </w:pPr>
      <w:r w:rsidRPr="008B0D9B">
        <w:rPr>
          <w:lang w:eastAsia="zh-CN"/>
        </w:rPr>
        <w:t>Alinéa</w:t>
      </w:r>
      <w:r w:rsidRPr="008B0D9B">
        <w:t xml:space="preserve"> b), lire :</w:t>
      </w:r>
    </w:p>
    <w:p w14:paraId="42B9BE1A" w14:textId="50BCCF2B" w:rsidR="00DE2765" w:rsidRPr="008B0D9B" w:rsidRDefault="00DE2765" w:rsidP="002C522F">
      <w:pPr>
        <w:pStyle w:val="SingleTxtG"/>
        <w:ind w:left="2835" w:hanging="567"/>
      </w:pPr>
      <w:r w:rsidRPr="008B0D9B">
        <w:t>« b)</w:t>
      </w:r>
      <w:r w:rsidRPr="008B0D9B">
        <w:tab/>
      </w:r>
      <w:r w:rsidR="002C522F">
        <w:t>S</w:t>
      </w:r>
      <w:r w:rsidRPr="008B0D9B">
        <w:t>auf si l’autorité compétente en dispose autrement, pendant une période ne dépassant pas trois mois au-delà de la date spécifiée si le contrôle dû est un contrôle périodique conformément aux 6.8.2.4.2, 6.8.3.4.6 a) et 6.8.3.4.12, afin de permettre le retour des marchandises dangereuses retournées aux fins d’élimination ou de recyclage. Le document de transport doit faire état de cette exemption ; ».</w:t>
      </w:r>
    </w:p>
    <w:p w14:paraId="6ABED3AB" w14:textId="0E39B1AB" w:rsidR="00DE2765" w:rsidRPr="008B0D9B" w:rsidRDefault="00DE2765" w:rsidP="00113513">
      <w:pPr>
        <w:pStyle w:val="SingleTxtG"/>
        <w:keepNext/>
        <w:ind w:left="2268"/>
      </w:pPr>
      <w:r w:rsidRPr="008B0D9B">
        <w:tab/>
      </w:r>
      <w:r w:rsidRPr="008B0D9B">
        <w:rPr>
          <w:lang w:eastAsia="zh-CN"/>
        </w:rPr>
        <w:t>Ajouter</w:t>
      </w:r>
      <w:r w:rsidRPr="008B0D9B">
        <w:t xml:space="preserve"> le nouvel alinéa c), libellé comme suit :</w:t>
      </w:r>
    </w:p>
    <w:p w14:paraId="35CB3A5D" w14:textId="3B34BF50" w:rsidR="00DE2765" w:rsidRPr="008B0D9B" w:rsidRDefault="00DE2765" w:rsidP="002C522F">
      <w:pPr>
        <w:pStyle w:val="SingleTxtG"/>
        <w:ind w:left="2835" w:hanging="567"/>
      </w:pPr>
      <w:r w:rsidRPr="008B0D9B">
        <w:t>« c)</w:t>
      </w:r>
      <w:r w:rsidRPr="008B0D9B">
        <w:tab/>
      </w:r>
      <w:r w:rsidR="002C522F">
        <w:t>P</w:t>
      </w:r>
      <w:r w:rsidRPr="008B0D9B">
        <w:t>endant une période ne dépassant pas trois mois après la date spécifiée, si le contrôle dû est un contrôle intermédiaire conformément aux 6.8.2.4.3, 6.8.3.4.6 b) et 6.8.3.4.12. ».</w:t>
      </w:r>
    </w:p>
    <w:p w14:paraId="508AC332" w14:textId="7CD342CC" w:rsidR="00DE2765" w:rsidRPr="008B0D9B" w:rsidRDefault="00DE2765" w:rsidP="009C51FF">
      <w:pPr>
        <w:pStyle w:val="SingleTxtG"/>
        <w:rPr>
          <w:i/>
          <w:iCs/>
        </w:rPr>
      </w:pPr>
      <w:r w:rsidRPr="008B0D9B">
        <w:rPr>
          <w:i/>
          <w:iCs/>
        </w:rPr>
        <w:t>(Document de référence : document informel INF.49, point 4, option 2)</w:t>
      </w:r>
    </w:p>
    <w:p w14:paraId="766F44F4" w14:textId="77777777" w:rsidR="00DE2765" w:rsidRPr="008B0D9B" w:rsidRDefault="00DE2765" w:rsidP="00DE2765">
      <w:pPr>
        <w:pStyle w:val="H23G"/>
      </w:pPr>
      <w:r w:rsidRPr="008B0D9B">
        <w:tab/>
      </w:r>
      <w:r w:rsidRPr="008B0D9B">
        <w:tab/>
        <w:t>Chapitre 5.1</w:t>
      </w:r>
    </w:p>
    <w:p w14:paraId="25B54525" w14:textId="2B3CD346" w:rsidR="00DE2765" w:rsidRPr="008B0D9B" w:rsidRDefault="00DE2765" w:rsidP="009C51FF">
      <w:pPr>
        <w:pStyle w:val="SingleTxtG"/>
        <w:ind w:left="2268" w:hanging="1134"/>
        <w:rPr>
          <w:lang w:eastAsia="zh-CN"/>
        </w:rPr>
      </w:pPr>
      <w:r w:rsidRPr="008B0D9B">
        <w:rPr>
          <w:rFonts w:eastAsia="Calibri"/>
        </w:rPr>
        <w:t>5.1.3</w:t>
      </w:r>
      <w:r w:rsidRPr="008B0D9B">
        <w:rPr>
          <w:rFonts w:eastAsia="Calibri"/>
        </w:rPr>
        <w:tab/>
        <w:t xml:space="preserve">(RID :) Dans le titre, </w:t>
      </w:r>
      <w:r w:rsidRPr="008B0D9B">
        <w:rPr>
          <w:lang w:eastAsia="zh-CN"/>
        </w:rPr>
        <w:t>remplacer « wagons pour vrac et conteneurs pour vrac » par « wagons et conteneurs pour le transport en vrac ».</w:t>
      </w:r>
    </w:p>
    <w:p w14:paraId="362A63B3" w14:textId="482A09EF" w:rsidR="00DE2765" w:rsidRPr="008B0D9B" w:rsidRDefault="00DE2765" w:rsidP="00047002">
      <w:pPr>
        <w:pStyle w:val="SingleTxtG"/>
        <w:ind w:left="2268"/>
        <w:rPr>
          <w:lang w:eastAsia="zh-CN"/>
        </w:rPr>
      </w:pPr>
      <w:r w:rsidRPr="008B0D9B">
        <w:rPr>
          <w:lang w:eastAsia="zh-CN"/>
        </w:rPr>
        <w:t>(ADR :)</w:t>
      </w:r>
      <w:r w:rsidRPr="008B0D9B">
        <w:rPr>
          <w:rFonts w:eastAsia="Calibri"/>
        </w:rPr>
        <w:t xml:space="preserve"> Dans le titre, </w:t>
      </w:r>
      <w:r w:rsidRPr="008B0D9B">
        <w:rPr>
          <w:lang w:eastAsia="zh-CN"/>
        </w:rPr>
        <w:t>remplacer « véhicules pour vrac et conteneurs pour vrac » par « véhicules et conteneurs pour le transport en vrac ».</w:t>
      </w:r>
    </w:p>
    <w:p w14:paraId="133F99E7" w14:textId="180663A9" w:rsidR="00DE2765" w:rsidRPr="008B0D9B" w:rsidRDefault="00DE2765" w:rsidP="00047002">
      <w:pPr>
        <w:pStyle w:val="SingleTxtG"/>
        <w:ind w:left="2268"/>
        <w:rPr>
          <w:lang w:eastAsia="zh-CN"/>
        </w:rPr>
      </w:pPr>
      <w:r w:rsidRPr="008B0D9B">
        <w:rPr>
          <w:lang w:eastAsia="zh-CN"/>
        </w:rPr>
        <w:t xml:space="preserve">(ADN :) </w:t>
      </w:r>
      <w:r w:rsidRPr="008B0D9B">
        <w:rPr>
          <w:rFonts w:eastAsia="Calibri"/>
        </w:rPr>
        <w:t xml:space="preserve">Dans le titre, </w:t>
      </w:r>
      <w:r w:rsidRPr="008B0D9B">
        <w:rPr>
          <w:lang w:eastAsia="zh-CN"/>
        </w:rPr>
        <w:t>remplacer « véhicules pour vrac, wagons pour vrac et conteneurs pour vrac » par « véhicules, wagons et conteneurs pour le transport en vrac ».</w:t>
      </w:r>
    </w:p>
    <w:p w14:paraId="09FFFE86" w14:textId="09701022" w:rsidR="00DE2765" w:rsidRPr="008B0D9B" w:rsidRDefault="00DE2765" w:rsidP="009C51FF">
      <w:pPr>
        <w:pStyle w:val="SingleTxtG"/>
        <w:rPr>
          <w:i/>
          <w:iCs/>
        </w:rPr>
      </w:pPr>
      <w:r w:rsidRPr="008B0D9B">
        <w:rPr>
          <w:i/>
          <w:iCs/>
        </w:rPr>
        <w:t>(Document de référence : document informel INF.44)</w:t>
      </w:r>
    </w:p>
    <w:p w14:paraId="3CD418B9" w14:textId="00B76E12" w:rsidR="00DE2765" w:rsidRPr="008B0D9B" w:rsidRDefault="00DE2765" w:rsidP="009C51FF">
      <w:pPr>
        <w:pStyle w:val="SingleTxtG"/>
        <w:ind w:left="2268" w:hanging="1134"/>
        <w:rPr>
          <w:lang w:eastAsia="zh-CN"/>
        </w:rPr>
      </w:pPr>
      <w:r w:rsidRPr="008B0D9B">
        <w:rPr>
          <w:lang w:eastAsia="zh-CN"/>
        </w:rPr>
        <w:t>5.1.3.1</w:t>
      </w:r>
      <w:r w:rsidRPr="008B0D9B">
        <w:rPr>
          <w:lang w:eastAsia="zh-CN"/>
        </w:rPr>
        <w:tab/>
        <w:t>Remplacer « conteneurs pour vrac » par « conteneurs pour le transport en</w:t>
      </w:r>
      <w:r w:rsidR="002C522F">
        <w:rPr>
          <w:lang w:eastAsia="zh-CN"/>
        </w:rPr>
        <w:t> </w:t>
      </w:r>
      <w:r w:rsidRPr="008B0D9B">
        <w:rPr>
          <w:lang w:eastAsia="zh-CN"/>
        </w:rPr>
        <w:t>vrac ».</w:t>
      </w:r>
    </w:p>
    <w:p w14:paraId="2FC533F8" w14:textId="27A09C10" w:rsidR="00DE2765" w:rsidRPr="008B0D9B" w:rsidRDefault="00DE2765" w:rsidP="009C51FF">
      <w:pPr>
        <w:pStyle w:val="SingleTxtG"/>
        <w:rPr>
          <w:i/>
          <w:iCs/>
        </w:rPr>
      </w:pPr>
      <w:r w:rsidRPr="008B0D9B">
        <w:rPr>
          <w:i/>
          <w:iCs/>
        </w:rPr>
        <w:t>(Document de référence : document informel INF.44)</w:t>
      </w:r>
    </w:p>
    <w:p w14:paraId="3B6784DD" w14:textId="77777777" w:rsidR="00DE2765" w:rsidRPr="008B0D9B" w:rsidRDefault="00DE2765" w:rsidP="00DE2765">
      <w:pPr>
        <w:pStyle w:val="H23G"/>
      </w:pPr>
      <w:r w:rsidRPr="008B0D9B">
        <w:tab/>
      </w:r>
      <w:r w:rsidRPr="008B0D9B">
        <w:tab/>
        <w:t>Chapitre 5.2</w:t>
      </w:r>
    </w:p>
    <w:p w14:paraId="0D60EEFA" w14:textId="6232E8F2" w:rsidR="00DE2765" w:rsidRPr="008B0D9B" w:rsidRDefault="00DE2765" w:rsidP="009C51FF">
      <w:pPr>
        <w:pStyle w:val="SingleTxtG"/>
        <w:ind w:left="2268" w:hanging="1134"/>
        <w:rPr>
          <w:rFonts w:eastAsia="Calibri"/>
        </w:rPr>
      </w:pPr>
      <w:r w:rsidRPr="008B0D9B">
        <w:rPr>
          <w:rFonts w:eastAsia="Calibri"/>
        </w:rPr>
        <w:t>5.2.2.2.2</w:t>
      </w:r>
      <w:r w:rsidRPr="008B0D9B">
        <w:rPr>
          <w:rFonts w:eastAsia="Calibri"/>
        </w:rPr>
        <w:tab/>
        <w:t>Dans le tableau, pour la rubrique « Danger de classe</w:t>
      </w:r>
      <w:r w:rsidR="00113513">
        <w:rPr>
          <w:rFonts w:eastAsia="Calibri"/>
        </w:rPr>
        <w:t xml:space="preserve"> </w:t>
      </w:r>
      <w:r w:rsidRPr="008B0D9B">
        <w:rPr>
          <w:rFonts w:eastAsia="Calibri"/>
        </w:rPr>
        <w:t>9 », supprimer «, y</w:t>
      </w:r>
      <w:r w:rsidR="002C522F">
        <w:rPr>
          <w:rFonts w:eastAsia="Calibri"/>
        </w:rPr>
        <w:t> </w:t>
      </w:r>
      <w:r w:rsidRPr="008B0D9B">
        <w:rPr>
          <w:rFonts w:eastAsia="Calibri"/>
        </w:rPr>
        <w:t>compris les matières dangereuses pour l’environnement ».</w:t>
      </w:r>
    </w:p>
    <w:p w14:paraId="5ABC9462" w14:textId="44DAB3AA" w:rsidR="00DE2765" w:rsidRPr="008B0D9B" w:rsidRDefault="00DE2765" w:rsidP="009C51FF">
      <w:pPr>
        <w:pStyle w:val="SingleTxtG"/>
        <w:rPr>
          <w:i/>
          <w:iCs/>
        </w:rPr>
      </w:pPr>
      <w:r w:rsidRPr="008B0D9B">
        <w:rPr>
          <w:i/>
          <w:iCs/>
        </w:rPr>
        <w:t>(Document de référence : ECE/TRANS/WP.15/AC.1/2021/28)</w:t>
      </w:r>
    </w:p>
    <w:p w14:paraId="0F9549D9" w14:textId="77777777" w:rsidR="00DE2765" w:rsidRPr="008B0D9B" w:rsidRDefault="00DE2765" w:rsidP="00DE2765">
      <w:pPr>
        <w:pStyle w:val="H23G"/>
      </w:pPr>
      <w:r w:rsidRPr="008B0D9B">
        <w:tab/>
      </w:r>
      <w:r w:rsidRPr="008B0D9B">
        <w:tab/>
        <w:t>Chapitre 5.3</w:t>
      </w:r>
    </w:p>
    <w:p w14:paraId="6D3EBFEE" w14:textId="3873B175" w:rsidR="00DE2765" w:rsidRPr="008B0D9B" w:rsidRDefault="00DE2765" w:rsidP="002C522F">
      <w:pPr>
        <w:pStyle w:val="SingleTxtG"/>
        <w:ind w:left="2835" w:hanging="1701"/>
        <w:rPr>
          <w:lang w:eastAsia="zh-CN"/>
        </w:rPr>
      </w:pPr>
      <w:r w:rsidRPr="008B0D9B">
        <w:rPr>
          <w:lang w:eastAsia="zh-CN"/>
        </w:rPr>
        <w:t>(</w:t>
      </w:r>
      <w:r w:rsidRPr="008B0D9B">
        <w:t>RID</w:t>
      </w:r>
      <w:r w:rsidRPr="008B0D9B">
        <w:rPr>
          <w:lang w:eastAsia="zh-CN"/>
        </w:rPr>
        <w:t> :) 5.3.2.1.1</w:t>
      </w:r>
      <w:r w:rsidRPr="008B0D9B">
        <w:rPr>
          <w:lang w:eastAsia="zh-CN"/>
        </w:rPr>
        <w:tab/>
        <w:t>Au septième tiret, remplacer « wagons pour vrac » par « wagons pour le transport en vrac ».</w:t>
      </w:r>
    </w:p>
    <w:p w14:paraId="1B55ECD9" w14:textId="387140EC" w:rsidR="00DE2765" w:rsidRPr="008B0D9B" w:rsidRDefault="00DE2765" w:rsidP="002C522F">
      <w:pPr>
        <w:pStyle w:val="SingleTxtG"/>
        <w:ind w:left="2835"/>
        <w:rPr>
          <w:lang w:eastAsia="zh-CN"/>
        </w:rPr>
      </w:pPr>
      <w:r w:rsidRPr="008B0D9B">
        <w:rPr>
          <w:lang w:eastAsia="zh-CN"/>
        </w:rPr>
        <w:t>Au huitième tiret, remplacer « conteneurs pour vrac » par « conteneurs pour le transport en vrac ».</w:t>
      </w:r>
    </w:p>
    <w:p w14:paraId="4A6BFD26" w14:textId="41AE861A" w:rsidR="00DE2765" w:rsidRPr="008B0D9B" w:rsidRDefault="00DE2765" w:rsidP="009C51FF">
      <w:pPr>
        <w:pStyle w:val="SingleTxtG"/>
        <w:rPr>
          <w:i/>
          <w:iCs/>
        </w:rPr>
      </w:pPr>
      <w:r w:rsidRPr="008B0D9B">
        <w:rPr>
          <w:i/>
          <w:iCs/>
        </w:rPr>
        <w:t>(Document de référence : document informel INF.44)</w:t>
      </w:r>
    </w:p>
    <w:p w14:paraId="2BDB7D1D" w14:textId="2B3EB91F" w:rsidR="00DE2765" w:rsidRPr="008B0D9B" w:rsidRDefault="00DE2765" w:rsidP="002C522F">
      <w:pPr>
        <w:pStyle w:val="SingleTxtG"/>
        <w:ind w:left="2835" w:hanging="1701"/>
        <w:rPr>
          <w:lang w:eastAsia="zh-CN"/>
        </w:rPr>
      </w:pPr>
      <w:r w:rsidRPr="008B0D9B">
        <w:rPr>
          <w:lang w:eastAsia="zh-CN"/>
        </w:rPr>
        <w:t>(</w:t>
      </w:r>
      <w:r w:rsidRPr="008B0D9B">
        <w:t>ADN</w:t>
      </w:r>
      <w:r w:rsidRPr="008B0D9B">
        <w:rPr>
          <w:lang w:eastAsia="zh-CN"/>
        </w:rPr>
        <w:t> :) 5.3.2.1.4</w:t>
      </w:r>
      <w:r w:rsidRPr="008B0D9B">
        <w:rPr>
          <w:lang w:eastAsia="zh-CN"/>
        </w:rPr>
        <w:tab/>
      </w:r>
      <w:r w:rsidRPr="008B0D9B">
        <w:rPr>
          <w:rFonts w:eastAsia="Calibri"/>
        </w:rPr>
        <w:t>Remplacer</w:t>
      </w:r>
      <w:r w:rsidRPr="008B0D9B">
        <w:rPr>
          <w:lang w:eastAsia="zh-CN"/>
        </w:rPr>
        <w:t xml:space="preserve"> « wagons pour vrac » par « wagons pour le transport en vrac ».</w:t>
      </w:r>
    </w:p>
    <w:p w14:paraId="1E5B8100" w14:textId="42B4A11B" w:rsidR="00DE2765" w:rsidRPr="008B0D9B" w:rsidRDefault="00DE2765" w:rsidP="009C51FF">
      <w:pPr>
        <w:pStyle w:val="SingleTxtG"/>
        <w:rPr>
          <w:i/>
          <w:iCs/>
        </w:rPr>
      </w:pPr>
      <w:r w:rsidRPr="008B0D9B">
        <w:rPr>
          <w:i/>
          <w:iCs/>
        </w:rPr>
        <w:lastRenderedPageBreak/>
        <w:t>(Document de référence : document informel INF.44)</w:t>
      </w:r>
    </w:p>
    <w:p w14:paraId="3770B112" w14:textId="499D8701" w:rsidR="00DE2765" w:rsidRPr="008B0D9B" w:rsidRDefault="00DE2765" w:rsidP="009C51FF">
      <w:pPr>
        <w:pStyle w:val="SingleTxtG"/>
        <w:ind w:left="2268" w:hanging="1134"/>
        <w:rPr>
          <w:lang w:eastAsia="zh-CN"/>
        </w:rPr>
      </w:pPr>
      <w:r w:rsidRPr="008B0D9B">
        <w:rPr>
          <w:rFonts w:eastAsia="Calibri"/>
        </w:rPr>
        <w:t>5.3.2.1.7</w:t>
      </w:r>
      <w:r w:rsidRPr="008B0D9B">
        <w:rPr>
          <w:rFonts w:eastAsia="Calibri"/>
        </w:rPr>
        <w:tab/>
        <w:t xml:space="preserve">(RID :) À la fin, </w:t>
      </w:r>
      <w:r w:rsidRPr="008B0D9B">
        <w:rPr>
          <w:lang w:eastAsia="zh-CN"/>
        </w:rPr>
        <w:t>remplacer « wagons pour vrac, grands conteneurs pour vrac et petits conteneurs pour vrac » par « wagons, grands conteneurs et petits conteneurs pour le transport en vrac ».</w:t>
      </w:r>
    </w:p>
    <w:p w14:paraId="7945D1BB" w14:textId="6E4013A6" w:rsidR="00DE2765" w:rsidRPr="008B0D9B" w:rsidRDefault="00DE2765" w:rsidP="00047002">
      <w:pPr>
        <w:pStyle w:val="SingleTxtG"/>
        <w:ind w:left="2268"/>
        <w:rPr>
          <w:lang w:eastAsia="zh-CN"/>
        </w:rPr>
      </w:pPr>
      <w:r w:rsidRPr="008B0D9B">
        <w:rPr>
          <w:lang w:eastAsia="zh-CN"/>
        </w:rPr>
        <w:t xml:space="preserve">(ADR/ADN :) </w:t>
      </w:r>
      <w:r w:rsidRPr="008B0D9B">
        <w:rPr>
          <w:rFonts w:eastAsia="Calibri"/>
        </w:rPr>
        <w:t xml:space="preserve">À la fin, </w:t>
      </w:r>
      <w:r w:rsidRPr="008B0D9B">
        <w:rPr>
          <w:lang w:eastAsia="zh-CN"/>
        </w:rPr>
        <w:t>remplacer « conteneurs pour vrac » par « conteneurs pour le transport en vrac ».</w:t>
      </w:r>
    </w:p>
    <w:p w14:paraId="068BFD1B" w14:textId="6171913D" w:rsidR="00DE2765" w:rsidRPr="008B0D9B" w:rsidRDefault="00DE2765" w:rsidP="009C51FF">
      <w:pPr>
        <w:pStyle w:val="SingleTxtG"/>
        <w:rPr>
          <w:i/>
          <w:iCs/>
        </w:rPr>
      </w:pPr>
      <w:r w:rsidRPr="008B0D9B">
        <w:rPr>
          <w:i/>
          <w:iCs/>
        </w:rPr>
        <w:t>(Document de référence : document informel INF.44)</w:t>
      </w:r>
    </w:p>
    <w:p w14:paraId="4379A630" w14:textId="77777777" w:rsidR="00DE2765" w:rsidRPr="008B0D9B" w:rsidRDefault="00DE2765" w:rsidP="00DE2765">
      <w:pPr>
        <w:pStyle w:val="H23G"/>
      </w:pPr>
      <w:r w:rsidRPr="008B0D9B">
        <w:tab/>
      </w:r>
      <w:r w:rsidRPr="008B0D9B">
        <w:tab/>
        <w:t>Chapitre 5.4</w:t>
      </w:r>
    </w:p>
    <w:p w14:paraId="2CE94DD0" w14:textId="3ED65218" w:rsidR="00DE2765" w:rsidRPr="008B0D9B" w:rsidRDefault="00DE2765" w:rsidP="009C51FF">
      <w:pPr>
        <w:pStyle w:val="SingleTxtG"/>
        <w:ind w:left="2268" w:hanging="1134"/>
        <w:rPr>
          <w:rFonts w:eastAsia="Calibri"/>
        </w:rPr>
      </w:pPr>
      <w:r w:rsidRPr="008B0D9B">
        <w:rPr>
          <w:rFonts w:eastAsia="Calibri"/>
        </w:rPr>
        <w:t>5.4.1.1</w:t>
      </w:r>
      <w:r w:rsidRPr="008B0D9B">
        <w:rPr>
          <w:rFonts w:eastAsia="Calibri"/>
        </w:rPr>
        <w:tab/>
      </w:r>
      <w:r w:rsidRPr="008B0D9B">
        <w:rPr>
          <w:rFonts w:eastAsia="Calibri"/>
        </w:rPr>
        <w:tab/>
        <w:t>Ajouter la nouvelle sous-section 5.4.1.1.23, libellée comme suit :</w:t>
      </w:r>
    </w:p>
    <w:p w14:paraId="0D5AFE41" w14:textId="77777777" w:rsidR="00DE2765" w:rsidRPr="008B0D9B" w:rsidRDefault="00DE2765" w:rsidP="009C51FF">
      <w:pPr>
        <w:pStyle w:val="SingleTxtG"/>
        <w:ind w:left="2268" w:hanging="1134"/>
        <w:rPr>
          <w:rFonts w:eastAsia="Calibri"/>
          <w:i/>
          <w:iCs/>
        </w:rPr>
      </w:pPr>
      <w:r w:rsidRPr="008B0D9B">
        <w:rPr>
          <w:rFonts w:eastAsia="Calibri"/>
        </w:rPr>
        <w:t>« 5.4.1.1.23</w:t>
      </w:r>
      <w:r w:rsidRPr="008B0D9B">
        <w:rPr>
          <w:rFonts w:eastAsia="Calibri"/>
        </w:rPr>
        <w:tab/>
      </w:r>
      <w:r w:rsidRPr="008B0D9B">
        <w:rPr>
          <w:rFonts w:eastAsia="Calibri"/>
          <w:i/>
          <w:iCs/>
        </w:rPr>
        <w:t>Dispositions spéciales concernant les récipients à pression rechargeables autorisés par le Département des transports des États-Unis d’Amérique</w:t>
      </w:r>
    </w:p>
    <w:p w14:paraId="76D8C758" w14:textId="20D2205F" w:rsidR="00DE2765" w:rsidRPr="008B0D9B" w:rsidRDefault="00DE2765" w:rsidP="00047002">
      <w:pPr>
        <w:pStyle w:val="SingleTxtG"/>
        <w:ind w:left="2268"/>
        <w:rPr>
          <w:rFonts w:eastAsia="Calibri"/>
        </w:rPr>
      </w:pPr>
      <w:r w:rsidRPr="008B0D9B">
        <w:rPr>
          <w:rFonts w:eastAsia="Calibri"/>
        </w:rPr>
        <w:tab/>
      </w:r>
      <w:r w:rsidRPr="00047002">
        <w:rPr>
          <w:lang w:eastAsia="zh-CN"/>
        </w:rPr>
        <w:t>Pour</w:t>
      </w:r>
      <w:r w:rsidRPr="008B0D9B">
        <w:rPr>
          <w:rFonts w:eastAsia="Calibri"/>
        </w:rPr>
        <w:t xml:space="preserve"> le transport conformément au 1.1.4.7, le document de transport doit porter la mention suivante :</w:t>
      </w:r>
    </w:p>
    <w:p w14:paraId="756482F6" w14:textId="77777777" w:rsidR="00DE2765" w:rsidRPr="008B0D9B" w:rsidRDefault="00DE2765" w:rsidP="00047002">
      <w:pPr>
        <w:pStyle w:val="SingleTxtG"/>
        <w:ind w:left="2268"/>
        <w:rPr>
          <w:rFonts w:eastAsia="Calibri"/>
        </w:rPr>
      </w:pPr>
      <w:r w:rsidRPr="008B0D9B">
        <w:rPr>
          <w:rFonts w:eastAsia="Calibri"/>
        </w:rPr>
        <w:t>« TRANSPORT CONFORMÉMENT AU 1.1.4.7.1 » ou</w:t>
      </w:r>
    </w:p>
    <w:p w14:paraId="2C010B48" w14:textId="77777777" w:rsidR="00DE2765" w:rsidRPr="008B0D9B" w:rsidRDefault="00DE2765" w:rsidP="00047002">
      <w:pPr>
        <w:pStyle w:val="SingleTxtG"/>
        <w:ind w:left="2268"/>
        <w:rPr>
          <w:rFonts w:eastAsia="Calibri"/>
        </w:rPr>
      </w:pPr>
      <w:r w:rsidRPr="008B0D9B">
        <w:rPr>
          <w:rFonts w:eastAsia="Calibri"/>
        </w:rPr>
        <w:t>« TRANSPORT CONFORMÉMENT AU 1.1.4.7.2 », selon le cas. ».</w:t>
      </w:r>
    </w:p>
    <w:p w14:paraId="3F1AA2FF" w14:textId="3DC26409" w:rsidR="00DE2765" w:rsidRPr="008B0D9B" w:rsidRDefault="00DE2765" w:rsidP="009C51FF">
      <w:pPr>
        <w:pStyle w:val="SingleTxtG"/>
        <w:rPr>
          <w:i/>
          <w:iCs/>
        </w:rPr>
      </w:pPr>
      <w:r w:rsidRPr="008B0D9B">
        <w:rPr>
          <w:i/>
          <w:iCs/>
        </w:rPr>
        <w:t>(Document de référence : ECE/TRANS/WP.15/AC.1/2021/33)</w:t>
      </w:r>
    </w:p>
    <w:p w14:paraId="7BEBE24E" w14:textId="77777777" w:rsidR="00DE2765" w:rsidRPr="008B0D9B" w:rsidRDefault="00DE2765" w:rsidP="00DE2765">
      <w:pPr>
        <w:pStyle w:val="H23G"/>
      </w:pPr>
      <w:r w:rsidRPr="008B0D9B">
        <w:tab/>
      </w:r>
      <w:r w:rsidRPr="008B0D9B">
        <w:tab/>
        <w:t>Chapitre 6.2</w:t>
      </w:r>
    </w:p>
    <w:p w14:paraId="2355CA17" w14:textId="2637C641" w:rsidR="00DE2765" w:rsidRPr="008B0D9B" w:rsidRDefault="00DE2765" w:rsidP="009C51FF">
      <w:pPr>
        <w:pStyle w:val="SingleTxtG"/>
        <w:ind w:left="2268" w:hanging="1134"/>
        <w:rPr>
          <w:rFonts w:eastAsia="Calibri"/>
        </w:rPr>
      </w:pPr>
      <w:r w:rsidRPr="008B0D9B">
        <w:rPr>
          <w:rFonts w:eastAsia="Calibri"/>
        </w:rPr>
        <w:t>6.2.3.9</w:t>
      </w:r>
      <w:r w:rsidRPr="008B0D9B">
        <w:rPr>
          <w:rFonts w:eastAsia="Calibri"/>
        </w:rPr>
        <w:tab/>
        <w:t>Ajouter le nouveau 6.2.3.9.8, libellé comme suit :</w:t>
      </w:r>
    </w:p>
    <w:p w14:paraId="2D36A2A8" w14:textId="77777777" w:rsidR="00DE2765" w:rsidRPr="008B0D9B" w:rsidRDefault="00DE2765" w:rsidP="009C51FF">
      <w:pPr>
        <w:pStyle w:val="SingleTxtG"/>
        <w:ind w:left="2268" w:hanging="1134"/>
        <w:rPr>
          <w:rFonts w:eastAsia="Calibri"/>
          <w:i/>
          <w:iCs/>
        </w:rPr>
      </w:pPr>
      <w:r w:rsidRPr="008B0D9B">
        <w:rPr>
          <w:rFonts w:eastAsia="Calibri"/>
        </w:rPr>
        <w:t>« 6.2.3.9.8</w:t>
      </w:r>
      <w:r w:rsidRPr="008B0D9B">
        <w:rPr>
          <w:rFonts w:eastAsia="Calibri"/>
        </w:rPr>
        <w:tab/>
      </w:r>
      <w:r w:rsidRPr="008B0D9B">
        <w:rPr>
          <w:rFonts w:eastAsia="Calibri"/>
          <w:i/>
          <w:iCs/>
        </w:rPr>
        <w:t>Marquage des fermetures des récipients à pression rechargeables</w:t>
      </w:r>
    </w:p>
    <w:p w14:paraId="240AD9C1" w14:textId="77777777" w:rsidR="00DE2765" w:rsidRPr="008B0D9B" w:rsidRDefault="00DE2765" w:rsidP="009C51FF">
      <w:pPr>
        <w:pStyle w:val="SingleTxtG"/>
        <w:ind w:left="2268" w:hanging="1134"/>
        <w:rPr>
          <w:rFonts w:eastAsia="Calibri"/>
        </w:rPr>
      </w:pPr>
      <w:r w:rsidRPr="008B0D9B">
        <w:rPr>
          <w:rFonts w:eastAsia="Calibri"/>
        </w:rPr>
        <w:t>6.2.3.9.8.1</w:t>
      </w:r>
      <w:r w:rsidRPr="008B0D9B">
        <w:rPr>
          <w:rFonts w:eastAsia="Calibri"/>
        </w:rPr>
        <w:tab/>
      </w:r>
      <w:r w:rsidRPr="008B0D9B">
        <w:rPr>
          <w:noProof/>
        </w:rPr>
        <w:t>Le marquage doit être conforme au 6.2.2.11. ».</w:t>
      </w:r>
    </w:p>
    <w:p w14:paraId="4F5088F8" w14:textId="32710A73" w:rsidR="00DE2765" w:rsidRPr="008B0D9B" w:rsidRDefault="00DE2765" w:rsidP="009C51FF">
      <w:pPr>
        <w:pStyle w:val="SingleTxtG"/>
        <w:rPr>
          <w:i/>
          <w:iCs/>
        </w:rPr>
      </w:pPr>
      <w:r w:rsidRPr="008B0D9B">
        <w:rPr>
          <w:i/>
          <w:iCs/>
        </w:rPr>
        <w:t>(Document de référence : document informel INF.9)</w:t>
      </w:r>
    </w:p>
    <w:p w14:paraId="5FA37359" w14:textId="6D004BDC" w:rsidR="00DE2765" w:rsidRPr="008B0D9B" w:rsidRDefault="00DE2765" w:rsidP="009C51FF">
      <w:pPr>
        <w:pStyle w:val="SingleTxtG"/>
        <w:ind w:left="2268" w:hanging="1134"/>
        <w:rPr>
          <w:lang w:eastAsia="zh-CN"/>
        </w:rPr>
      </w:pPr>
      <w:r w:rsidRPr="008B0D9B">
        <w:rPr>
          <w:lang w:eastAsia="zh-CN"/>
        </w:rPr>
        <w:t>6.2.4.1</w:t>
      </w:r>
      <w:r w:rsidRPr="008B0D9B">
        <w:rPr>
          <w:lang w:eastAsia="zh-CN"/>
        </w:rPr>
        <w:tab/>
        <w:t>Dans le tableau, sous « Pour les fermetures » :</w:t>
      </w:r>
    </w:p>
    <w:p w14:paraId="1C8D14B2" w14:textId="465A651C" w:rsidR="00DE2765" w:rsidRPr="008B0D9B" w:rsidRDefault="00DE2765" w:rsidP="00CC76A6">
      <w:pPr>
        <w:pStyle w:val="Bullet2G"/>
        <w:rPr>
          <w:lang w:eastAsia="zh-CN"/>
        </w:rPr>
      </w:pPr>
      <w:r w:rsidRPr="008B0D9B">
        <w:rPr>
          <w:lang w:eastAsia="zh-CN"/>
        </w:rPr>
        <w:t>Pour « EN ISO 14245</w:t>
      </w:r>
      <w:r w:rsidR="00047002">
        <w:rPr>
          <w:lang w:eastAsia="zh-CN"/>
        </w:rPr>
        <w:t>:20</w:t>
      </w:r>
      <w:r w:rsidRPr="008B0D9B">
        <w:rPr>
          <w:lang w:eastAsia="zh-CN"/>
        </w:rPr>
        <w:t>19 », dans la colonne (4), remplacer « Jusqu’à nouvel ordre » par « Entre le 1</w:t>
      </w:r>
      <w:r w:rsidRPr="008B0D9B">
        <w:rPr>
          <w:vertAlign w:val="superscript"/>
          <w:lang w:eastAsia="zh-CN"/>
        </w:rPr>
        <w:t>er</w:t>
      </w:r>
      <w:r w:rsidR="002C522F">
        <w:rPr>
          <w:lang w:eastAsia="zh-CN"/>
        </w:rPr>
        <w:t> </w:t>
      </w:r>
      <w:r w:rsidRPr="008B0D9B">
        <w:rPr>
          <w:lang w:eastAsia="zh-CN"/>
        </w:rPr>
        <w:t>janvier 2021 et le 31</w:t>
      </w:r>
      <w:r w:rsidR="002C522F">
        <w:rPr>
          <w:lang w:eastAsia="zh-CN"/>
        </w:rPr>
        <w:t> </w:t>
      </w:r>
      <w:r w:rsidRPr="008B0D9B">
        <w:rPr>
          <w:lang w:eastAsia="zh-CN"/>
        </w:rPr>
        <w:t>décembre 2024 ».</w:t>
      </w:r>
    </w:p>
    <w:p w14:paraId="6B5FB1B3" w14:textId="14E5AF84" w:rsidR="00DE2765" w:rsidRPr="008B0D9B" w:rsidRDefault="00DE2765" w:rsidP="00CC76A6">
      <w:pPr>
        <w:pStyle w:val="Bullet2G"/>
        <w:rPr>
          <w:lang w:eastAsia="zh-CN"/>
        </w:rPr>
      </w:pPr>
      <w:r w:rsidRPr="008B0D9B">
        <w:rPr>
          <w:lang w:eastAsia="zh-CN"/>
        </w:rPr>
        <w:t>Après la rubrique existante pour la norme « EN ISO 14245</w:t>
      </w:r>
      <w:r w:rsidR="00047002">
        <w:rPr>
          <w:lang w:eastAsia="zh-CN"/>
        </w:rPr>
        <w:t>:20</w:t>
      </w:r>
      <w:r w:rsidRPr="008B0D9B">
        <w:rPr>
          <w:lang w:eastAsia="zh-CN"/>
        </w:rPr>
        <w:t>19 », ajouter la nouvelle rubrique suivante :</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57"/>
        <w:gridCol w:w="4252"/>
        <w:gridCol w:w="1176"/>
        <w:gridCol w:w="1267"/>
        <w:gridCol w:w="452"/>
      </w:tblGrid>
      <w:tr w:rsidR="00DE2765" w:rsidRPr="008B0D9B" w14:paraId="608AE2F5" w14:textId="77777777" w:rsidTr="002C522F">
        <w:trPr>
          <w:cantSplit/>
        </w:trPr>
        <w:tc>
          <w:tcPr>
            <w:tcW w:w="1357" w:type="dxa"/>
          </w:tcPr>
          <w:p w14:paraId="51311357" w14:textId="46E92FC7" w:rsidR="00DE2765" w:rsidRPr="008B0D9B" w:rsidRDefault="00DE2765" w:rsidP="00DE2765">
            <w:pPr>
              <w:widowControl w:val="0"/>
              <w:spacing w:before="40" w:after="40"/>
              <w:ind w:left="57" w:right="57"/>
              <w:rPr>
                <w:lang w:eastAsia="zh-CN"/>
              </w:rPr>
            </w:pPr>
            <w:r w:rsidRPr="008B0D9B">
              <w:rPr>
                <w:lang w:eastAsia="zh-CN"/>
              </w:rPr>
              <w:t>EN ISO 14245</w:t>
            </w:r>
            <w:r w:rsidR="00047002">
              <w:rPr>
                <w:lang w:eastAsia="zh-CN"/>
              </w:rPr>
              <w:t>:20</w:t>
            </w:r>
            <w:r w:rsidRPr="008B0D9B">
              <w:rPr>
                <w:lang w:eastAsia="zh-CN"/>
              </w:rPr>
              <w:t>21</w:t>
            </w:r>
          </w:p>
        </w:tc>
        <w:tc>
          <w:tcPr>
            <w:tcW w:w="4253" w:type="dxa"/>
          </w:tcPr>
          <w:p w14:paraId="62BFDF6C" w14:textId="66A6F66C" w:rsidR="00DE2765" w:rsidRPr="008B0D9B" w:rsidRDefault="00DE2765" w:rsidP="00DE2765">
            <w:pPr>
              <w:widowControl w:val="0"/>
              <w:spacing w:before="40" w:after="40"/>
              <w:ind w:left="57" w:right="57"/>
              <w:rPr>
                <w:lang w:eastAsia="zh-CN"/>
              </w:rPr>
            </w:pPr>
            <w:r w:rsidRPr="008B0D9B">
              <w:rPr>
                <w:lang w:eastAsia="zh-CN"/>
              </w:rPr>
              <w:t xml:space="preserve">Bouteilles à gaz </w:t>
            </w:r>
            <w:r w:rsidR="00113513">
              <w:rPr>
                <w:lang w:eastAsia="zh-CN"/>
              </w:rPr>
              <w:t xml:space="preserve">− </w:t>
            </w:r>
            <w:r w:rsidRPr="008B0D9B">
              <w:rPr>
                <w:lang w:eastAsia="zh-CN"/>
              </w:rPr>
              <w:t xml:space="preserve">Spécifications et essais pour valves de bouteilles de GPL </w:t>
            </w:r>
            <w:r w:rsidR="00113513">
              <w:rPr>
                <w:lang w:eastAsia="zh-CN"/>
              </w:rPr>
              <w:t>−</w:t>
            </w:r>
            <w:r w:rsidRPr="008B0D9B">
              <w:rPr>
                <w:lang w:eastAsia="zh-CN"/>
              </w:rPr>
              <w:t xml:space="preserve"> Fermeture automatique</w:t>
            </w:r>
          </w:p>
        </w:tc>
        <w:tc>
          <w:tcPr>
            <w:tcW w:w="1176" w:type="dxa"/>
          </w:tcPr>
          <w:p w14:paraId="75EB24DF" w14:textId="77777777" w:rsidR="00DE2765" w:rsidRPr="008B0D9B" w:rsidRDefault="00DE2765" w:rsidP="00DE2765">
            <w:pPr>
              <w:widowControl w:val="0"/>
              <w:spacing w:before="40" w:after="40"/>
              <w:ind w:left="57" w:right="57"/>
              <w:rPr>
                <w:lang w:eastAsia="zh-CN"/>
              </w:rPr>
            </w:pPr>
            <w:r w:rsidRPr="008B0D9B">
              <w:rPr>
                <w:lang w:eastAsia="zh-CN"/>
              </w:rPr>
              <w:t>6.2.3.1 et 6.2.3.3</w:t>
            </w:r>
          </w:p>
        </w:tc>
        <w:tc>
          <w:tcPr>
            <w:tcW w:w="1267" w:type="dxa"/>
          </w:tcPr>
          <w:p w14:paraId="58F27BC4" w14:textId="77777777" w:rsidR="00DE2765" w:rsidRPr="008B0D9B" w:rsidRDefault="00DE2765" w:rsidP="00DE2765">
            <w:pPr>
              <w:widowControl w:val="0"/>
              <w:spacing w:before="40" w:after="40"/>
              <w:ind w:left="57" w:right="57"/>
              <w:rPr>
                <w:lang w:eastAsia="zh-CN"/>
              </w:rPr>
            </w:pPr>
            <w:r w:rsidRPr="008B0D9B">
              <w:rPr>
                <w:lang w:eastAsia="zh-CN"/>
              </w:rPr>
              <w:t>Jusqu’à nouvel ordre</w:t>
            </w:r>
          </w:p>
        </w:tc>
        <w:tc>
          <w:tcPr>
            <w:tcW w:w="452" w:type="dxa"/>
          </w:tcPr>
          <w:p w14:paraId="6982F8AD" w14:textId="77777777" w:rsidR="00DE2765" w:rsidRPr="008B0D9B" w:rsidRDefault="00DE2765" w:rsidP="00DE2765">
            <w:pPr>
              <w:widowControl w:val="0"/>
              <w:spacing w:before="40" w:after="40"/>
              <w:ind w:left="57" w:right="57"/>
              <w:rPr>
                <w:lang w:eastAsia="zh-CN"/>
              </w:rPr>
            </w:pPr>
          </w:p>
        </w:tc>
      </w:tr>
    </w:tbl>
    <w:p w14:paraId="4B31B03D" w14:textId="4A8B2907" w:rsidR="00DE2765" w:rsidRPr="008B0D9B" w:rsidRDefault="00DE2765" w:rsidP="00CC76A6">
      <w:pPr>
        <w:pStyle w:val="Bullet2G"/>
        <w:spacing w:before="120"/>
        <w:rPr>
          <w:lang w:eastAsia="zh-CN"/>
        </w:rPr>
      </w:pPr>
      <w:r w:rsidRPr="008B0D9B">
        <w:rPr>
          <w:lang w:eastAsia="zh-CN"/>
        </w:rPr>
        <w:t>Pour « EN ISO 15995</w:t>
      </w:r>
      <w:r w:rsidR="00047002">
        <w:rPr>
          <w:lang w:eastAsia="zh-CN"/>
        </w:rPr>
        <w:t>:20</w:t>
      </w:r>
      <w:r w:rsidRPr="008B0D9B">
        <w:rPr>
          <w:lang w:eastAsia="zh-CN"/>
        </w:rPr>
        <w:t>19 », dans la colonne (4), remplacer « Jusqu’à nouvel ordre » par « Entre le 1</w:t>
      </w:r>
      <w:r w:rsidRPr="008B0D9B">
        <w:rPr>
          <w:vertAlign w:val="superscript"/>
          <w:lang w:eastAsia="zh-CN"/>
        </w:rPr>
        <w:t>er</w:t>
      </w:r>
      <w:r w:rsidR="002C522F">
        <w:rPr>
          <w:lang w:eastAsia="zh-CN"/>
        </w:rPr>
        <w:t> </w:t>
      </w:r>
      <w:r w:rsidRPr="008B0D9B">
        <w:rPr>
          <w:lang w:eastAsia="zh-CN"/>
        </w:rPr>
        <w:t>janvier 2021 et le 31</w:t>
      </w:r>
      <w:r w:rsidR="002C522F">
        <w:rPr>
          <w:lang w:eastAsia="zh-CN"/>
        </w:rPr>
        <w:t> </w:t>
      </w:r>
      <w:r w:rsidRPr="008B0D9B">
        <w:rPr>
          <w:lang w:eastAsia="zh-CN"/>
        </w:rPr>
        <w:t>décembre 2024 ».</w:t>
      </w:r>
    </w:p>
    <w:p w14:paraId="4C42E8D4" w14:textId="57B1D5B9" w:rsidR="00DE2765" w:rsidRPr="008B0D9B" w:rsidRDefault="00DE2765" w:rsidP="00CC76A6">
      <w:pPr>
        <w:pStyle w:val="Bullet2G"/>
        <w:rPr>
          <w:lang w:eastAsia="zh-CN"/>
        </w:rPr>
      </w:pPr>
      <w:r w:rsidRPr="008B0D9B">
        <w:rPr>
          <w:lang w:eastAsia="zh-CN"/>
        </w:rPr>
        <w:t>Après la rubrique existante pour la norme « EN ISO 15995</w:t>
      </w:r>
      <w:r w:rsidR="00047002">
        <w:rPr>
          <w:lang w:eastAsia="zh-CN"/>
        </w:rPr>
        <w:t>:20</w:t>
      </w:r>
      <w:r w:rsidRPr="008B0D9B">
        <w:rPr>
          <w:lang w:eastAsia="zh-CN"/>
        </w:rPr>
        <w:t>19 », ajouter la nouvelle rubrique suivante :</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57"/>
        <w:gridCol w:w="4252"/>
        <w:gridCol w:w="1176"/>
        <w:gridCol w:w="1267"/>
        <w:gridCol w:w="452"/>
      </w:tblGrid>
      <w:tr w:rsidR="00DE2765" w:rsidRPr="008B0D9B" w14:paraId="676AE57A" w14:textId="77777777" w:rsidTr="002C522F">
        <w:trPr>
          <w:cantSplit/>
        </w:trPr>
        <w:tc>
          <w:tcPr>
            <w:tcW w:w="1357" w:type="dxa"/>
          </w:tcPr>
          <w:p w14:paraId="3DEAF099" w14:textId="228EB22F" w:rsidR="00DE2765" w:rsidRPr="008B0D9B" w:rsidRDefault="00DE2765" w:rsidP="00DE2765">
            <w:pPr>
              <w:widowControl w:val="0"/>
              <w:spacing w:before="40" w:after="40"/>
              <w:ind w:left="57" w:right="57"/>
              <w:rPr>
                <w:lang w:eastAsia="zh-CN"/>
              </w:rPr>
            </w:pPr>
            <w:r w:rsidRPr="008B0D9B">
              <w:rPr>
                <w:lang w:eastAsia="zh-CN"/>
              </w:rPr>
              <w:t>EN ISO 15995</w:t>
            </w:r>
            <w:r w:rsidR="00047002">
              <w:rPr>
                <w:lang w:eastAsia="zh-CN"/>
              </w:rPr>
              <w:t>:20</w:t>
            </w:r>
            <w:r w:rsidRPr="008B0D9B">
              <w:rPr>
                <w:lang w:eastAsia="zh-CN"/>
              </w:rPr>
              <w:t>21</w:t>
            </w:r>
          </w:p>
        </w:tc>
        <w:tc>
          <w:tcPr>
            <w:tcW w:w="4253" w:type="dxa"/>
          </w:tcPr>
          <w:p w14:paraId="791CE06A" w14:textId="5D16509C" w:rsidR="00DE2765" w:rsidRPr="008B0D9B" w:rsidRDefault="00DE2765" w:rsidP="00DE2765">
            <w:pPr>
              <w:widowControl w:val="0"/>
              <w:spacing w:before="40" w:after="40"/>
              <w:ind w:left="57" w:right="57"/>
              <w:rPr>
                <w:lang w:eastAsia="zh-CN"/>
              </w:rPr>
            </w:pPr>
            <w:r w:rsidRPr="008B0D9B">
              <w:rPr>
                <w:lang w:eastAsia="zh-CN"/>
              </w:rPr>
              <w:t xml:space="preserve">Bouteilles à gaz </w:t>
            </w:r>
            <w:r w:rsidR="00113513">
              <w:rPr>
                <w:lang w:eastAsia="zh-CN"/>
              </w:rPr>
              <w:t>−</w:t>
            </w:r>
            <w:r w:rsidRPr="008B0D9B">
              <w:rPr>
                <w:lang w:eastAsia="zh-CN"/>
              </w:rPr>
              <w:t xml:space="preserve"> Spécifications et essais pour valves de bouteilles de GPL </w:t>
            </w:r>
            <w:r w:rsidR="00113513">
              <w:rPr>
                <w:lang w:eastAsia="zh-CN"/>
              </w:rPr>
              <w:t>−</w:t>
            </w:r>
            <w:r w:rsidRPr="008B0D9B">
              <w:rPr>
                <w:lang w:eastAsia="zh-CN"/>
              </w:rPr>
              <w:t xml:space="preserve"> Fermeture manuelle</w:t>
            </w:r>
          </w:p>
        </w:tc>
        <w:tc>
          <w:tcPr>
            <w:tcW w:w="1176" w:type="dxa"/>
          </w:tcPr>
          <w:p w14:paraId="63DA439B" w14:textId="77777777" w:rsidR="00DE2765" w:rsidRPr="008B0D9B" w:rsidRDefault="00DE2765" w:rsidP="00DE2765">
            <w:pPr>
              <w:widowControl w:val="0"/>
              <w:spacing w:before="40" w:after="40"/>
              <w:ind w:left="57" w:right="57"/>
              <w:rPr>
                <w:lang w:eastAsia="zh-CN"/>
              </w:rPr>
            </w:pPr>
            <w:r w:rsidRPr="008B0D9B">
              <w:rPr>
                <w:lang w:eastAsia="zh-CN"/>
              </w:rPr>
              <w:t>6.2.3.1 et 6.2.3.3</w:t>
            </w:r>
          </w:p>
        </w:tc>
        <w:tc>
          <w:tcPr>
            <w:tcW w:w="1267" w:type="dxa"/>
          </w:tcPr>
          <w:p w14:paraId="47609050" w14:textId="77777777" w:rsidR="00DE2765" w:rsidRPr="008B0D9B" w:rsidRDefault="00DE2765" w:rsidP="00DE2765">
            <w:pPr>
              <w:widowControl w:val="0"/>
              <w:spacing w:before="40" w:after="40"/>
              <w:ind w:left="57" w:right="57"/>
              <w:rPr>
                <w:lang w:eastAsia="zh-CN"/>
              </w:rPr>
            </w:pPr>
            <w:r w:rsidRPr="008B0D9B">
              <w:rPr>
                <w:lang w:eastAsia="zh-CN"/>
              </w:rPr>
              <w:t>Jusqu’à nouvel ordre</w:t>
            </w:r>
          </w:p>
        </w:tc>
        <w:tc>
          <w:tcPr>
            <w:tcW w:w="452" w:type="dxa"/>
          </w:tcPr>
          <w:p w14:paraId="5E8D2254" w14:textId="77777777" w:rsidR="00DE2765" w:rsidRPr="008B0D9B" w:rsidRDefault="00DE2765" w:rsidP="00DE2765">
            <w:pPr>
              <w:widowControl w:val="0"/>
              <w:spacing w:before="40" w:after="40"/>
              <w:ind w:left="57" w:right="57"/>
              <w:rPr>
                <w:lang w:eastAsia="zh-CN"/>
              </w:rPr>
            </w:pPr>
          </w:p>
        </w:tc>
      </w:tr>
    </w:tbl>
    <w:p w14:paraId="0AF267EB" w14:textId="5C60EE6D" w:rsidR="00DE2765" w:rsidRPr="008B0D9B" w:rsidRDefault="00DE2765" w:rsidP="00CC76A6">
      <w:pPr>
        <w:pStyle w:val="Bullet2G"/>
        <w:spacing w:before="120"/>
        <w:rPr>
          <w:lang w:eastAsia="zh-CN"/>
        </w:rPr>
      </w:pPr>
      <w:r w:rsidRPr="008B0D9B">
        <w:rPr>
          <w:lang w:eastAsia="zh-CN"/>
        </w:rPr>
        <w:t>À la fin du tableau, ajouter la nouvelle rubrique suivante :</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57"/>
        <w:gridCol w:w="4252"/>
        <w:gridCol w:w="1176"/>
        <w:gridCol w:w="1267"/>
        <w:gridCol w:w="452"/>
      </w:tblGrid>
      <w:tr w:rsidR="00DE2765" w:rsidRPr="008B0D9B" w14:paraId="30F74934" w14:textId="77777777" w:rsidTr="002C522F">
        <w:trPr>
          <w:cantSplit/>
        </w:trPr>
        <w:tc>
          <w:tcPr>
            <w:tcW w:w="1357" w:type="dxa"/>
          </w:tcPr>
          <w:p w14:paraId="108959BF" w14:textId="53D1B0C3" w:rsidR="00DE2765" w:rsidRPr="008B0D9B" w:rsidRDefault="00DE2765" w:rsidP="00DE2765">
            <w:pPr>
              <w:widowControl w:val="0"/>
              <w:spacing w:before="40" w:after="40"/>
              <w:ind w:left="57" w:right="57"/>
              <w:rPr>
                <w:lang w:eastAsia="zh-CN"/>
              </w:rPr>
            </w:pPr>
            <w:r w:rsidRPr="008B0D9B">
              <w:rPr>
                <w:lang w:eastAsia="zh-CN"/>
              </w:rPr>
              <w:t>EN 13799:[2022]</w:t>
            </w:r>
          </w:p>
        </w:tc>
        <w:tc>
          <w:tcPr>
            <w:tcW w:w="4253" w:type="dxa"/>
          </w:tcPr>
          <w:p w14:paraId="0044B0C8" w14:textId="261645BD" w:rsidR="00DE2765" w:rsidRPr="008B0D9B" w:rsidRDefault="00DE2765" w:rsidP="00DE2765">
            <w:pPr>
              <w:widowControl w:val="0"/>
              <w:spacing w:before="40" w:after="40"/>
              <w:ind w:left="57" w:right="57"/>
              <w:rPr>
                <w:lang w:eastAsia="zh-CN"/>
              </w:rPr>
            </w:pPr>
            <w:r w:rsidRPr="008B0D9B">
              <w:rPr>
                <w:lang w:eastAsia="zh-CN"/>
              </w:rPr>
              <w:t xml:space="preserve">Équipements pour GPL et leurs accessoires </w:t>
            </w:r>
            <w:r w:rsidR="002C522F">
              <w:rPr>
                <w:lang w:eastAsia="zh-CN"/>
              </w:rPr>
              <w:t>−</w:t>
            </w:r>
            <w:r w:rsidRPr="008B0D9B">
              <w:rPr>
                <w:lang w:eastAsia="zh-CN"/>
              </w:rPr>
              <w:t xml:space="preserve"> Jauges de niveau pour les réservoirs de gaz de pétrole liquéfié (GPL)</w:t>
            </w:r>
          </w:p>
        </w:tc>
        <w:tc>
          <w:tcPr>
            <w:tcW w:w="1176" w:type="dxa"/>
          </w:tcPr>
          <w:p w14:paraId="663EAB91" w14:textId="77777777" w:rsidR="00DE2765" w:rsidRPr="008B0D9B" w:rsidRDefault="00DE2765" w:rsidP="00DE2765">
            <w:pPr>
              <w:widowControl w:val="0"/>
              <w:spacing w:before="40" w:after="40"/>
              <w:ind w:left="57" w:right="57"/>
              <w:rPr>
                <w:lang w:eastAsia="zh-CN"/>
              </w:rPr>
            </w:pPr>
            <w:r w:rsidRPr="008B0D9B">
              <w:rPr>
                <w:lang w:eastAsia="zh-CN"/>
              </w:rPr>
              <w:t>6.2.3.1 et 6.2.3.3</w:t>
            </w:r>
          </w:p>
        </w:tc>
        <w:tc>
          <w:tcPr>
            <w:tcW w:w="1267" w:type="dxa"/>
          </w:tcPr>
          <w:p w14:paraId="0D48BB63" w14:textId="77777777" w:rsidR="00DE2765" w:rsidRPr="008B0D9B" w:rsidRDefault="00DE2765" w:rsidP="00DE2765">
            <w:pPr>
              <w:widowControl w:val="0"/>
              <w:spacing w:before="40" w:after="40"/>
              <w:ind w:left="57" w:right="57"/>
              <w:rPr>
                <w:lang w:eastAsia="zh-CN"/>
              </w:rPr>
            </w:pPr>
            <w:r w:rsidRPr="008B0D9B">
              <w:rPr>
                <w:lang w:eastAsia="zh-CN"/>
              </w:rPr>
              <w:t>Jusqu’à nouvel ordre</w:t>
            </w:r>
          </w:p>
        </w:tc>
        <w:tc>
          <w:tcPr>
            <w:tcW w:w="452" w:type="dxa"/>
          </w:tcPr>
          <w:p w14:paraId="3A49816F" w14:textId="77777777" w:rsidR="00DE2765" w:rsidRPr="008B0D9B" w:rsidRDefault="00DE2765" w:rsidP="00DE2765">
            <w:pPr>
              <w:widowControl w:val="0"/>
              <w:spacing w:before="40" w:after="40"/>
              <w:ind w:left="57" w:right="57"/>
              <w:rPr>
                <w:lang w:eastAsia="zh-CN"/>
              </w:rPr>
            </w:pPr>
          </w:p>
        </w:tc>
      </w:tr>
    </w:tbl>
    <w:p w14:paraId="19C02D7B" w14:textId="7CA016C4" w:rsidR="00DE2765" w:rsidRPr="008B0D9B" w:rsidRDefault="00DE2765" w:rsidP="002C522F">
      <w:pPr>
        <w:pStyle w:val="SingleTxtG"/>
        <w:spacing w:before="120"/>
        <w:rPr>
          <w:i/>
          <w:iCs/>
        </w:rPr>
      </w:pPr>
      <w:r w:rsidRPr="008B0D9B">
        <w:rPr>
          <w:i/>
          <w:iCs/>
        </w:rPr>
        <w:t>(Documents de référence : document informel INF.15 tel que modifié et INF.15/Add.1)</w:t>
      </w:r>
    </w:p>
    <w:p w14:paraId="7C9D7623" w14:textId="342057D8" w:rsidR="00DE2765" w:rsidRPr="008B0D9B" w:rsidRDefault="00DE2765" w:rsidP="009C51FF">
      <w:pPr>
        <w:pStyle w:val="SingleTxtG"/>
        <w:ind w:left="2268" w:hanging="1134"/>
        <w:rPr>
          <w:lang w:eastAsia="zh-CN"/>
        </w:rPr>
      </w:pPr>
      <w:r w:rsidRPr="008B0D9B">
        <w:rPr>
          <w:lang w:eastAsia="zh-CN"/>
        </w:rPr>
        <w:t>6.2.4.2</w:t>
      </w:r>
      <w:r w:rsidRPr="008B0D9B">
        <w:rPr>
          <w:lang w:eastAsia="zh-CN"/>
        </w:rPr>
        <w:tab/>
        <w:t>Dans le tableau :</w:t>
      </w:r>
    </w:p>
    <w:p w14:paraId="3FCA0E3B" w14:textId="0DA7ABBC" w:rsidR="00DE2765" w:rsidRPr="008B0D9B" w:rsidRDefault="00DE2765" w:rsidP="00CC76A6">
      <w:pPr>
        <w:pStyle w:val="Bullet2G"/>
        <w:rPr>
          <w:lang w:eastAsia="zh-CN"/>
        </w:rPr>
      </w:pPr>
      <w:r w:rsidRPr="008B0D9B">
        <w:rPr>
          <w:lang w:eastAsia="zh-CN"/>
        </w:rPr>
        <w:t>Pour « EN 14876</w:t>
      </w:r>
      <w:r w:rsidR="00047002">
        <w:rPr>
          <w:lang w:eastAsia="zh-CN"/>
        </w:rPr>
        <w:t>:20</w:t>
      </w:r>
      <w:r w:rsidRPr="008B0D9B">
        <w:rPr>
          <w:lang w:eastAsia="zh-CN"/>
        </w:rPr>
        <w:t>07 », dans la colonne (3), remplacer « Jusqu’à nouvel ordre » par « Jusqu’au 31</w:t>
      </w:r>
      <w:r w:rsidR="007C0E0B">
        <w:rPr>
          <w:lang w:eastAsia="zh-CN"/>
        </w:rPr>
        <w:t> </w:t>
      </w:r>
      <w:r w:rsidRPr="008B0D9B">
        <w:rPr>
          <w:lang w:eastAsia="zh-CN"/>
        </w:rPr>
        <w:t>décembre 2024 ».</w:t>
      </w:r>
    </w:p>
    <w:p w14:paraId="4590CE77" w14:textId="7474007E" w:rsidR="00DE2765" w:rsidRPr="008B0D9B" w:rsidRDefault="00DE2765" w:rsidP="00CC76A6">
      <w:pPr>
        <w:pStyle w:val="Bullet2G"/>
        <w:rPr>
          <w:lang w:eastAsia="zh-CN"/>
        </w:rPr>
      </w:pPr>
      <w:r w:rsidRPr="008B0D9B">
        <w:rPr>
          <w:lang w:eastAsia="zh-CN"/>
        </w:rPr>
        <w:lastRenderedPageBreak/>
        <w:t>Après la rubrique existante pour la norme « EN 14876</w:t>
      </w:r>
      <w:r w:rsidR="00047002">
        <w:rPr>
          <w:lang w:eastAsia="zh-CN"/>
        </w:rPr>
        <w:t>:20</w:t>
      </w:r>
      <w:r w:rsidRPr="008B0D9B">
        <w:rPr>
          <w:lang w:eastAsia="zh-CN"/>
        </w:rPr>
        <w:t>07 », ajouter la nouvelle rubrique suivante :</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57"/>
        <w:gridCol w:w="5428"/>
        <w:gridCol w:w="1719"/>
      </w:tblGrid>
      <w:tr w:rsidR="00DE2765" w:rsidRPr="008B0D9B" w14:paraId="43C4EC45" w14:textId="77777777" w:rsidTr="002C522F">
        <w:trPr>
          <w:cantSplit/>
        </w:trPr>
        <w:tc>
          <w:tcPr>
            <w:tcW w:w="1357" w:type="dxa"/>
          </w:tcPr>
          <w:p w14:paraId="5F4D8DAF" w14:textId="20FCA1EB" w:rsidR="00DE2765" w:rsidRPr="008B0D9B" w:rsidRDefault="00DE2765" w:rsidP="00DE2765">
            <w:pPr>
              <w:widowControl w:val="0"/>
              <w:spacing w:before="40" w:after="40"/>
              <w:ind w:left="57" w:right="57"/>
              <w:rPr>
                <w:lang w:eastAsia="zh-CN"/>
              </w:rPr>
            </w:pPr>
            <w:r w:rsidRPr="008B0D9B">
              <w:rPr>
                <w:lang w:eastAsia="zh-CN"/>
              </w:rPr>
              <w:t>EN ISO 23088</w:t>
            </w:r>
            <w:r w:rsidR="00047002">
              <w:rPr>
                <w:lang w:eastAsia="zh-CN"/>
              </w:rPr>
              <w:t>:20</w:t>
            </w:r>
            <w:r w:rsidRPr="008B0D9B">
              <w:rPr>
                <w:lang w:eastAsia="zh-CN"/>
              </w:rPr>
              <w:t>20</w:t>
            </w:r>
          </w:p>
        </w:tc>
        <w:tc>
          <w:tcPr>
            <w:tcW w:w="5429" w:type="dxa"/>
          </w:tcPr>
          <w:p w14:paraId="3D416657" w14:textId="1E6E9625" w:rsidR="00DE2765" w:rsidRPr="008B0D9B" w:rsidRDefault="00DE2765" w:rsidP="00DE2765">
            <w:pPr>
              <w:widowControl w:val="0"/>
              <w:spacing w:before="40" w:after="40"/>
              <w:ind w:left="57" w:right="57"/>
              <w:rPr>
                <w:lang w:eastAsia="zh-CN"/>
              </w:rPr>
            </w:pPr>
            <w:r w:rsidRPr="008B0D9B">
              <w:rPr>
                <w:lang w:eastAsia="zh-CN"/>
              </w:rPr>
              <w:t xml:space="preserve">Bouteilles à gaz </w:t>
            </w:r>
            <w:r w:rsidR="002C522F">
              <w:rPr>
                <w:lang w:eastAsia="zh-CN"/>
              </w:rPr>
              <w:t>−</w:t>
            </w:r>
            <w:r w:rsidRPr="008B0D9B">
              <w:rPr>
                <w:lang w:eastAsia="zh-CN"/>
              </w:rPr>
              <w:t xml:space="preserve"> Contrôles et essais périodiques des fûts à pression soudés en acier </w:t>
            </w:r>
            <w:r w:rsidR="002C522F">
              <w:rPr>
                <w:lang w:eastAsia="zh-CN"/>
              </w:rPr>
              <w:t>−</w:t>
            </w:r>
            <w:r w:rsidRPr="008B0D9B">
              <w:rPr>
                <w:lang w:eastAsia="zh-CN"/>
              </w:rPr>
              <w:t xml:space="preserve"> Capacité inférieure ou égale à 1 000 </w:t>
            </w:r>
            <w:r w:rsidRPr="008B0D9B">
              <w:rPr>
                <w:i/>
                <w:iCs/>
                <w:lang w:eastAsia="zh-CN"/>
              </w:rPr>
              <w:t>l</w:t>
            </w:r>
          </w:p>
        </w:tc>
        <w:tc>
          <w:tcPr>
            <w:tcW w:w="1719" w:type="dxa"/>
          </w:tcPr>
          <w:p w14:paraId="10FFE370" w14:textId="1C484D03" w:rsidR="00DE2765" w:rsidRPr="008B0D9B" w:rsidRDefault="00DE2765" w:rsidP="00DE2765">
            <w:pPr>
              <w:widowControl w:val="0"/>
              <w:spacing w:before="40" w:after="40"/>
              <w:ind w:left="57" w:right="57"/>
              <w:rPr>
                <w:lang w:eastAsia="zh-CN"/>
              </w:rPr>
            </w:pPr>
            <w:r w:rsidRPr="008B0D9B">
              <w:rPr>
                <w:lang w:eastAsia="zh-CN"/>
              </w:rPr>
              <w:t>Obligatoirement à partir du 1</w:t>
            </w:r>
            <w:r w:rsidRPr="002C522F">
              <w:rPr>
                <w:vertAlign w:val="superscript"/>
                <w:lang w:eastAsia="zh-CN"/>
              </w:rPr>
              <w:t>er</w:t>
            </w:r>
            <w:r w:rsidR="002C522F">
              <w:rPr>
                <w:lang w:eastAsia="zh-CN"/>
              </w:rPr>
              <w:t> </w:t>
            </w:r>
            <w:r w:rsidRPr="008B0D9B">
              <w:rPr>
                <w:lang w:eastAsia="zh-CN"/>
              </w:rPr>
              <w:t>janvier 2025</w:t>
            </w:r>
          </w:p>
        </w:tc>
      </w:tr>
    </w:tbl>
    <w:p w14:paraId="74A8EFD3" w14:textId="2143E0A1" w:rsidR="00DE2765" w:rsidRPr="008B0D9B" w:rsidRDefault="00DE2765" w:rsidP="00CC76A6">
      <w:pPr>
        <w:pStyle w:val="Bullet2G"/>
        <w:spacing w:before="120"/>
        <w:rPr>
          <w:lang w:eastAsia="zh-CN"/>
        </w:rPr>
      </w:pPr>
      <w:r w:rsidRPr="008B0D9B">
        <w:rPr>
          <w:lang w:eastAsia="zh-CN"/>
        </w:rPr>
        <w:t>Pour « EN 15888</w:t>
      </w:r>
      <w:r w:rsidR="00047002">
        <w:rPr>
          <w:lang w:eastAsia="zh-CN"/>
        </w:rPr>
        <w:t>:20</w:t>
      </w:r>
      <w:r w:rsidRPr="008B0D9B">
        <w:rPr>
          <w:lang w:eastAsia="zh-CN"/>
        </w:rPr>
        <w:t>14 », dans la colonne (3), remplacer « Jusqu’à nouvel ordre » par « Jusqu’au 31 décembre 2024 ».</w:t>
      </w:r>
    </w:p>
    <w:p w14:paraId="10056CEA" w14:textId="440D47E5" w:rsidR="00DE2765" w:rsidRPr="008B0D9B" w:rsidRDefault="00DE2765" w:rsidP="00CC76A6">
      <w:pPr>
        <w:pStyle w:val="Bullet2G"/>
        <w:rPr>
          <w:lang w:eastAsia="zh-CN"/>
        </w:rPr>
      </w:pPr>
      <w:r w:rsidRPr="008B0D9B">
        <w:rPr>
          <w:lang w:eastAsia="zh-CN"/>
        </w:rPr>
        <w:t>Après la rubrique existante pour la norme « </w:t>
      </w:r>
      <w:r w:rsidRPr="008B0D9B">
        <w:rPr>
          <w:bCs/>
          <w:lang w:eastAsia="zh-CN"/>
        </w:rPr>
        <w:t>EN 15888</w:t>
      </w:r>
      <w:r w:rsidR="00047002">
        <w:rPr>
          <w:bCs/>
          <w:lang w:eastAsia="zh-CN"/>
        </w:rPr>
        <w:t>:20</w:t>
      </w:r>
      <w:r w:rsidRPr="008B0D9B">
        <w:rPr>
          <w:bCs/>
          <w:lang w:eastAsia="zh-CN"/>
        </w:rPr>
        <w:t>14</w:t>
      </w:r>
      <w:r w:rsidRPr="008B0D9B">
        <w:rPr>
          <w:lang w:eastAsia="zh-CN"/>
        </w:rPr>
        <w:t> », ajouter la nouvelle rubrique suivante :</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57"/>
        <w:gridCol w:w="5428"/>
        <w:gridCol w:w="1719"/>
      </w:tblGrid>
      <w:tr w:rsidR="00DE2765" w:rsidRPr="008B0D9B" w14:paraId="644A2957" w14:textId="77777777" w:rsidTr="002C522F">
        <w:trPr>
          <w:cantSplit/>
        </w:trPr>
        <w:tc>
          <w:tcPr>
            <w:tcW w:w="1357" w:type="dxa"/>
          </w:tcPr>
          <w:p w14:paraId="3B2FF8D7" w14:textId="11A7BA40" w:rsidR="00DE2765" w:rsidRPr="008B0D9B" w:rsidRDefault="00DE2765" w:rsidP="00DE2765">
            <w:pPr>
              <w:widowControl w:val="0"/>
              <w:spacing w:before="40" w:after="40"/>
              <w:ind w:left="57" w:right="57"/>
              <w:rPr>
                <w:lang w:eastAsia="zh-CN"/>
              </w:rPr>
            </w:pPr>
            <w:r w:rsidRPr="008B0D9B">
              <w:rPr>
                <w:bCs/>
                <w:lang w:eastAsia="zh-CN"/>
              </w:rPr>
              <w:t>EN ISO 20475</w:t>
            </w:r>
            <w:r w:rsidR="00047002">
              <w:rPr>
                <w:bCs/>
                <w:lang w:eastAsia="zh-CN"/>
              </w:rPr>
              <w:t>:20</w:t>
            </w:r>
            <w:r w:rsidRPr="008B0D9B">
              <w:rPr>
                <w:bCs/>
                <w:lang w:eastAsia="zh-CN"/>
              </w:rPr>
              <w:t>20</w:t>
            </w:r>
          </w:p>
        </w:tc>
        <w:tc>
          <w:tcPr>
            <w:tcW w:w="5429" w:type="dxa"/>
          </w:tcPr>
          <w:p w14:paraId="3A6A33E9" w14:textId="3DEC685A" w:rsidR="00DE2765" w:rsidRPr="008B0D9B" w:rsidRDefault="00DE2765" w:rsidP="00DE2765">
            <w:pPr>
              <w:widowControl w:val="0"/>
              <w:spacing w:before="40" w:after="40"/>
              <w:ind w:left="57" w:right="57"/>
              <w:rPr>
                <w:lang w:eastAsia="zh-CN"/>
              </w:rPr>
            </w:pPr>
            <w:r w:rsidRPr="008B0D9B">
              <w:rPr>
                <w:lang w:eastAsia="zh-CN"/>
              </w:rPr>
              <w:t xml:space="preserve">Bouteilles à gaz </w:t>
            </w:r>
            <w:r w:rsidR="002C522F">
              <w:rPr>
                <w:lang w:eastAsia="zh-CN"/>
              </w:rPr>
              <w:t>−</w:t>
            </w:r>
            <w:r w:rsidRPr="008B0D9B">
              <w:rPr>
                <w:lang w:eastAsia="zh-CN"/>
              </w:rPr>
              <w:t xml:space="preserve"> Cadres de bouteilles </w:t>
            </w:r>
            <w:r w:rsidR="002C522F">
              <w:rPr>
                <w:lang w:eastAsia="zh-CN"/>
              </w:rPr>
              <w:t>−</w:t>
            </w:r>
            <w:r w:rsidRPr="008B0D9B">
              <w:rPr>
                <w:lang w:eastAsia="zh-CN"/>
              </w:rPr>
              <w:t xml:space="preserve"> Contrôle périodique et essais</w:t>
            </w:r>
          </w:p>
        </w:tc>
        <w:tc>
          <w:tcPr>
            <w:tcW w:w="1719" w:type="dxa"/>
          </w:tcPr>
          <w:p w14:paraId="17564963" w14:textId="12A540C2" w:rsidR="00DE2765" w:rsidRPr="008B0D9B" w:rsidRDefault="00DE2765" w:rsidP="00DE2765">
            <w:pPr>
              <w:widowControl w:val="0"/>
              <w:spacing w:before="40" w:after="40"/>
              <w:ind w:left="57" w:right="57"/>
              <w:rPr>
                <w:lang w:eastAsia="zh-CN"/>
              </w:rPr>
            </w:pPr>
            <w:r w:rsidRPr="008B0D9B">
              <w:rPr>
                <w:lang w:eastAsia="zh-CN"/>
              </w:rPr>
              <w:t>Obligatoirement à partir du 1</w:t>
            </w:r>
            <w:r w:rsidRPr="002C522F">
              <w:rPr>
                <w:vertAlign w:val="superscript"/>
                <w:lang w:eastAsia="zh-CN"/>
              </w:rPr>
              <w:t>er</w:t>
            </w:r>
            <w:r w:rsidR="002C522F">
              <w:rPr>
                <w:lang w:eastAsia="zh-CN"/>
              </w:rPr>
              <w:t> </w:t>
            </w:r>
            <w:r w:rsidRPr="008B0D9B">
              <w:rPr>
                <w:lang w:eastAsia="zh-CN"/>
              </w:rPr>
              <w:t>janvier 2025</w:t>
            </w:r>
          </w:p>
        </w:tc>
      </w:tr>
    </w:tbl>
    <w:p w14:paraId="4BEFAA3C" w14:textId="77777777" w:rsidR="00CC76A6" w:rsidRDefault="00DE2765" w:rsidP="00CC76A6">
      <w:pPr>
        <w:pStyle w:val="Bullet2G"/>
        <w:spacing w:before="120"/>
        <w:rPr>
          <w:lang w:eastAsia="zh-CN"/>
        </w:rPr>
      </w:pPr>
      <w:r w:rsidRPr="008B0D9B">
        <w:rPr>
          <w:lang w:eastAsia="zh-CN"/>
        </w:rPr>
        <w:t>Supprimer les rubriques existantes pour les normes « EN 1968</w:t>
      </w:r>
      <w:r w:rsidR="00047002">
        <w:rPr>
          <w:lang w:eastAsia="zh-CN"/>
        </w:rPr>
        <w:t>:20</w:t>
      </w:r>
      <w:r w:rsidRPr="008B0D9B">
        <w:rPr>
          <w:lang w:eastAsia="zh-CN"/>
        </w:rPr>
        <w:t>02 + A1</w:t>
      </w:r>
      <w:r w:rsidR="00047002">
        <w:rPr>
          <w:lang w:eastAsia="zh-CN"/>
        </w:rPr>
        <w:t>:20</w:t>
      </w:r>
      <w:r w:rsidRPr="008B0D9B">
        <w:rPr>
          <w:lang w:eastAsia="zh-CN"/>
        </w:rPr>
        <w:t>05 (sauf annexe B) », « EN 1802</w:t>
      </w:r>
      <w:r w:rsidR="00047002">
        <w:rPr>
          <w:lang w:eastAsia="zh-CN"/>
        </w:rPr>
        <w:t>:20</w:t>
      </w:r>
      <w:r w:rsidRPr="008B0D9B">
        <w:rPr>
          <w:lang w:eastAsia="zh-CN"/>
        </w:rPr>
        <w:t>02 (sauf annexe B) », « EN ISO 10462</w:t>
      </w:r>
      <w:r w:rsidR="00047002">
        <w:rPr>
          <w:lang w:eastAsia="zh-CN"/>
        </w:rPr>
        <w:t>:20</w:t>
      </w:r>
      <w:r w:rsidRPr="008B0D9B">
        <w:rPr>
          <w:lang w:eastAsia="zh-CN"/>
        </w:rPr>
        <w:t>13 », « EN 1803</w:t>
      </w:r>
      <w:r w:rsidR="00047002">
        <w:rPr>
          <w:lang w:eastAsia="zh-CN"/>
        </w:rPr>
        <w:t>:20</w:t>
      </w:r>
      <w:r w:rsidRPr="008B0D9B">
        <w:rPr>
          <w:lang w:eastAsia="zh-CN"/>
        </w:rPr>
        <w:t>02 (sauf annexe B) », « EN 1440</w:t>
      </w:r>
      <w:r w:rsidR="00047002">
        <w:rPr>
          <w:lang w:eastAsia="zh-CN"/>
        </w:rPr>
        <w:t>:20</w:t>
      </w:r>
      <w:r w:rsidRPr="008B0D9B">
        <w:rPr>
          <w:lang w:eastAsia="zh-CN"/>
        </w:rPr>
        <w:t>16 (sauf annexe C) » et « EN 16728</w:t>
      </w:r>
      <w:r w:rsidR="00047002">
        <w:rPr>
          <w:lang w:eastAsia="zh-CN"/>
        </w:rPr>
        <w:t>:20</w:t>
      </w:r>
      <w:r w:rsidRPr="008B0D9B">
        <w:rPr>
          <w:lang w:eastAsia="zh-CN"/>
        </w:rPr>
        <w:t>16 (sauf art</w:t>
      </w:r>
      <w:r w:rsidR="007C0E0B">
        <w:rPr>
          <w:lang w:eastAsia="zh-CN"/>
        </w:rPr>
        <w:t>. </w:t>
      </w:r>
      <w:r w:rsidRPr="008B0D9B">
        <w:rPr>
          <w:lang w:eastAsia="zh-CN"/>
        </w:rPr>
        <w:t xml:space="preserve"> 3.5, annexe F et annexe G) ».</w:t>
      </w:r>
    </w:p>
    <w:p w14:paraId="59684AEE" w14:textId="77777777" w:rsidR="00CC76A6" w:rsidRDefault="00DE2765" w:rsidP="00CC76A6">
      <w:pPr>
        <w:pStyle w:val="Bullet2G"/>
        <w:rPr>
          <w:lang w:eastAsia="zh-CN"/>
        </w:rPr>
      </w:pPr>
      <w:r w:rsidRPr="008B0D9B">
        <w:rPr>
          <w:lang w:eastAsia="zh-CN"/>
        </w:rPr>
        <w:t>Dans les rubriques existantes pour les normes « EN ISO 11623</w:t>
      </w:r>
      <w:r w:rsidR="00047002">
        <w:rPr>
          <w:lang w:eastAsia="zh-CN"/>
        </w:rPr>
        <w:t>:20</w:t>
      </w:r>
      <w:r w:rsidRPr="008B0D9B">
        <w:rPr>
          <w:lang w:eastAsia="zh-CN"/>
        </w:rPr>
        <w:t>15 » et « EN 14912</w:t>
      </w:r>
      <w:r w:rsidR="00047002">
        <w:rPr>
          <w:lang w:eastAsia="zh-CN"/>
        </w:rPr>
        <w:t>:20</w:t>
      </w:r>
      <w:r w:rsidRPr="008B0D9B">
        <w:rPr>
          <w:lang w:eastAsia="zh-CN"/>
        </w:rPr>
        <w:t>15 », dans la dernière colonne, remplacer « Obligatoirement à partir du 1</w:t>
      </w:r>
      <w:r w:rsidRPr="00CC76A6">
        <w:rPr>
          <w:vertAlign w:val="superscript"/>
          <w:lang w:eastAsia="zh-CN"/>
        </w:rPr>
        <w:t>er</w:t>
      </w:r>
      <w:r w:rsidR="002C522F">
        <w:rPr>
          <w:lang w:eastAsia="zh-CN"/>
        </w:rPr>
        <w:t> </w:t>
      </w:r>
      <w:r w:rsidRPr="008B0D9B">
        <w:rPr>
          <w:lang w:eastAsia="zh-CN"/>
        </w:rPr>
        <w:t>janvier 2019 » par « Jusqu’à nouvel ordre ».</w:t>
      </w:r>
    </w:p>
    <w:p w14:paraId="13B86024" w14:textId="77777777" w:rsidR="00CC76A6" w:rsidRDefault="00DE2765" w:rsidP="00CC76A6">
      <w:pPr>
        <w:pStyle w:val="Bullet2G"/>
        <w:tabs>
          <w:tab w:val="left" w:pos="2552"/>
        </w:tabs>
        <w:spacing w:before="120"/>
      </w:pPr>
      <w:r w:rsidRPr="008B0D9B">
        <w:rPr>
          <w:lang w:eastAsia="zh-CN"/>
        </w:rPr>
        <w:t>Dans les rubriques existantes pour les normes « EN 1440</w:t>
      </w:r>
      <w:r w:rsidR="00047002">
        <w:rPr>
          <w:lang w:eastAsia="zh-CN"/>
        </w:rPr>
        <w:t>:20</w:t>
      </w:r>
      <w:r w:rsidRPr="008B0D9B">
        <w:rPr>
          <w:lang w:eastAsia="zh-CN"/>
        </w:rPr>
        <w:t>16 + A1</w:t>
      </w:r>
      <w:r w:rsidR="00047002">
        <w:rPr>
          <w:lang w:eastAsia="zh-CN"/>
        </w:rPr>
        <w:t>:20</w:t>
      </w:r>
      <w:r w:rsidRPr="008B0D9B">
        <w:rPr>
          <w:lang w:eastAsia="zh-CN"/>
        </w:rPr>
        <w:t>18 + A2</w:t>
      </w:r>
      <w:r w:rsidR="00047002">
        <w:rPr>
          <w:lang w:eastAsia="zh-CN"/>
        </w:rPr>
        <w:t>:20</w:t>
      </w:r>
      <w:r w:rsidRPr="008B0D9B">
        <w:rPr>
          <w:lang w:eastAsia="zh-CN"/>
        </w:rPr>
        <w:t>20 (sauf annexe C) » et « EN 16728</w:t>
      </w:r>
      <w:r w:rsidR="00047002">
        <w:rPr>
          <w:lang w:eastAsia="zh-CN"/>
        </w:rPr>
        <w:t>:20</w:t>
      </w:r>
      <w:r w:rsidRPr="008B0D9B">
        <w:rPr>
          <w:lang w:eastAsia="zh-CN"/>
        </w:rPr>
        <w:t>16 + A1</w:t>
      </w:r>
      <w:r w:rsidR="00047002">
        <w:rPr>
          <w:lang w:eastAsia="zh-CN"/>
        </w:rPr>
        <w:t>:20</w:t>
      </w:r>
      <w:r w:rsidRPr="008B0D9B">
        <w:rPr>
          <w:lang w:eastAsia="zh-CN"/>
        </w:rPr>
        <w:t>18 + A2</w:t>
      </w:r>
      <w:r w:rsidR="00047002">
        <w:rPr>
          <w:lang w:eastAsia="zh-CN"/>
        </w:rPr>
        <w:t>:20</w:t>
      </w:r>
      <w:r w:rsidRPr="008B0D9B">
        <w:rPr>
          <w:lang w:eastAsia="zh-CN"/>
        </w:rPr>
        <w:t>20 », dans la dernière colonne, remplacer « Obligatoirement à partir du 1</w:t>
      </w:r>
      <w:r w:rsidRPr="00CC76A6">
        <w:rPr>
          <w:vertAlign w:val="superscript"/>
          <w:lang w:eastAsia="zh-CN"/>
        </w:rPr>
        <w:t>er</w:t>
      </w:r>
      <w:r w:rsidR="002C522F">
        <w:rPr>
          <w:lang w:eastAsia="zh-CN"/>
        </w:rPr>
        <w:t> </w:t>
      </w:r>
      <w:r w:rsidRPr="008B0D9B">
        <w:rPr>
          <w:lang w:eastAsia="zh-CN"/>
        </w:rPr>
        <w:t>janvier 2022 » par « Jusqu’à nouvel ordre ».</w:t>
      </w:r>
    </w:p>
    <w:p w14:paraId="36C7956C" w14:textId="0BCB5CEB" w:rsidR="00DE2765" w:rsidRPr="008B0D9B" w:rsidRDefault="00DE2765" w:rsidP="00CC76A6">
      <w:pPr>
        <w:pStyle w:val="Bullet2G"/>
        <w:tabs>
          <w:tab w:val="left" w:pos="2552"/>
        </w:tabs>
        <w:spacing w:before="120"/>
      </w:pPr>
      <w:r w:rsidRPr="008B0D9B">
        <w:rPr>
          <w:lang w:eastAsia="zh-CN"/>
        </w:rPr>
        <w:t>Dans</w:t>
      </w:r>
      <w:r w:rsidRPr="008B0D9B">
        <w:t xml:space="preserve"> les rubriques existantes pour les normes</w:t>
      </w:r>
      <w:r w:rsidRPr="00CC76A6">
        <w:rPr>
          <w:i/>
          <w:iCs/>
        </w:rPr>
        <w:t xml:space="preserve"> « </w:t>
      </w:r>
      <w:r w:rsidRPr="008B0D9B">
        <w:t>EN ISO 18119</w:t>
      </w:r>
      <w:r w:rsidR="00047002">
        <w:t>:20</w:t>
      </w:r>
      <w:r w:rsidRPr="008B0D9B">
        <w:t>18 », « EN ISO 10462</w:t>
      </w:r>
      <w:r w:rsidR="00047002">
        <w:t>:20</w:t>
      </w:r>
      <w:r w:rsidRPr="008B0D9B">
        <w:t>13 + A1</w:t>
      </w:r>
      <w:r w:rsidR="00047002">
        <w:t>:20</w:t>
      </w:r>
      <w:r w:rsidRPr="008B0D9B">
        <w:t>19 » et « EN ISO 10460</w:t>
      </w:r>
      <w:r w:rsidR="00047002">
        <w:t>:20</w:t>
      </w:r>
      <w:r w:rsidRPr="008B0D9B">
        <w:t>18 », dans la dernière colonne, remplacer « </w:t>
      </w:r>
      <w:r w:rsidRPr="008B0D9B">
        <w:rPr>
          <w:lang w:eastAsia="zh-CN"/>
        </w:rPr>
        <w:t>Obligatoirement à partir du 1</w:t>
      </w:r>
      <w:r w:rsidRPr="00CC76A6">
        <w:rPr>
          <w:vertAlign w:val="superscript"/>
          <w:lang w:eastAsia="zh-CN"/>
        </w:rPr>
        <w:t>er</w:t>
      </w:r>
      <w:r w:rsidR="002C522F">
        <w:rPr>
          <w:lang w:eastAsia="zh-CN"/>
        </w:rPr>
        <w:t> </w:t>
      </w:r>
      <w:r w:rsidRPr="008B0D9B">
        <w:rPr>
          <w:lang w:eastAsia="zh-CN"/>
        </w:rPr>
        <w:t>janvier 2023 » par « Jusqu’à nouvel ordre ».</w:t>
      </w:r>
    </w:p>
    <w:p w14:paraId="21BC232F" w14:textId="55AC9DAE" w:rsidR="00DE2765" w:rsidRPr="008B0D9B" w:rsidRDefault="00DE2765" w:rsidP="009C51FF">
      <w:pPr>
        <w:pStyle w:val="SingleTxtG"/>
        <w:rPr>
          <w:i/>
          <w:iCs/>
        </w:rPr>
      </w:pPr>
      <w:r w:rsidRPr="008B0D9B">
        <w:rPr>
          <w:i/>
          <w:iCs/>
        </w:rPr>
        <w:t>(Document de référence : document informel INF.15)</w:t>
      </w:r>
    </w:p>
    <w:p w14:paraId="499E7879" w14:textId="77777777" w:rsidR="00DE2765" w:rsidRPr="008B0D9B" w:rsidRDefault="00DE2765" w:rsidP="00DE2765">
      <w:pPr>
        <w:pStyle w:val="H23G"/>
      </w:pPr>
      <w:r w:rsidRPr="008B0D9B">
        <w:tab/>
      </w:r>
      <w:r w:rsidRPr="008B0D9B">
        <w:tab/>
        <w:t>Chapitre 6.8</w:t>
      </w:r>
    </w:p>
    <w:p w14:paraId="5F808ED9" w14:textId="77777777" w:rsidR="00DE2765" w:rsidRPr="008B0D9B" w:rsidRDefault="00DE2765" w:rsidP="009C51FF">
      <w:pPr>
        <w:pStyle w:val="SingleTxtG"/>
        <w:ind w:left="2268" w:hanging="1134"/>
      </w:pPr>
      <w:r w:rsidRPr="008B0D9B">
        <w:t>6.8.2.2.10</w:t>
      </w:r>
      <w:r w:rsidRPr="008B0D9B">
        <w:tab/>
        <w:t>Au deuxième paragraphe, remplacer « satisfaire l’autorité compétente » par « satisfaire aux prescriptions du 6.8.3.9.2 ».</w:t>
      </w:r>
    </w:p>
    <w:p w14:paraId="61F51351" w14:textId="192147C2" w:rsidR="00DE2765" w:rsidRPr="008B0D9B" w:rsidRDefault="00DE2765" w:rsidP="009C51FF">
      <w:pPr>
        <w:pStyle w:val="SingleTxtG"/>
        <w:rPr>
          <w:i/>
          <w:iCs/>
        </w:rPr>
      </w:pPr>
      <w:r w:rsidRPr="008B0D9B">
        <w:rPr>
          <w:i/>
          <w:iCs/>
        </w:rPr>
        <w:t>(Document de référence : document informel INF.49, proposition 18)</w:t>
      </w:r>
    </w:p>
    <w:p w14:paraId="11F2E744" w14:textId="77777777" w:rsidR="00DE2765" w:rsidRPr="008B0D9B" w:rsidRDefault="00DE2765" w:rsidP="009C51FF">
      <w:pPr>
        <w:pStyle w:val="SingleTxtG"/>
        <w:ind w:left="2268" w:hanging="1134"/>
      </w:pPr>
      <w:r w:rsidRPr="008B0D9B">
        <w:t>6.8.2.4.3</w:t>
      </w:r>
      <w:r w:rsidRPr="008B0D9B">
        <w:tab/>
      </w:r>
      <w:r w:rsidRPr="008B0D9B">
        <w:tab/>
        <w:t>Au premier paragraphe, supprimer la deuxième phrase (« </w:t>
      </w:r>
      <w:r w:rsidRPr="008B0D9B">
        <w:rPr>
          <w:lang w:eastAsia="zh-CN"/>
        </w:rPr>
        <w:t>Ces contrôles intermédiaires peuvent être effectués dans les trois mois avant ou après la date spécifiée. »</w:t>
      </w:r>
      <w:r w:rsidRPr="008B0D9B">
        <w:t>).</w:t>
      </w:r>
    </w:p>
    <w:p w14:paraId="2E9ED134" w14:textId="2325E940" w:rsidR="00DE2765" w:rsidRPr="008B0D9B" w:rsidRDefault="00DE2765" w:rsidP="00047002">
      <w:pPr>
        <w:pStyle w:val="SingleTxtG"/>
        <w:ind w:left="2268"/>
        <w:rPr>
          <w:lang w:eastAsia="zh-CN"/>
        </w:rPr>
      </w:pPr>
      <w:r w:rsidRPr="008B0D9B">
        <w:rPr>
          <w:lang w:eastAsia="zh-CN"/>
        </w:rPr>
        <w:t>À la fin du troisième paragraphe, après « après cette date » ajouter « ou, alternativement, un contrôle périodique peut être effectué conformément au 6.8.2.4.2 ».</w:t>
      </w:r>
    </w:p>
    <w:p w14:paraId="1DCC85E5" w14:textId="7158BB9F" w:rsidR="00DE2765" w:rsidRPr="008B0D9B" w:rsidRDefault="00DE2765" w:rsidP="009C51FF">
      <w:pPr>
        <w:pStyle w:val="SingleTxtG"/>
        <w:rPr>
          <w:i/>
          <w:iCs/>
        </w:rPr>
      </w:pPr>
      <w:r w:rsidRPr="008B0D9B">
        <w:rPr>
          <w:i/>
          <w:iCs/>
        </w:rPr>
        <w:t>(Document de référence : document informel INF.49, point 4)</w:t>
      </w:r>
    </w:p>
    <w:p w14:paraId="4A39590A" w14:textId="730621D7" w:rsidR="00DE2765" w:rsidRPr="008B0D9B" w:rsidRDefault="00DE2765" w:rsidP="009C51FF">
      <w:pPr>
        <w:pStyle w:val="SingleTxtG"/>
        <w:ind w:left="2268" w:hanging="1134"/>
        <w:rPr>
          <w:lang w:eastAsia="zh-CN"/>
        </w:rPr>
      </w:pPr>
      <w:r w:rsidRPr="008B0D9B">
        <w:rPr>
          <w:lang w:eastAsia="zh-CN"/>
        </w:rPr>
        <w:t>6.8.2.6.1</w:t>
      </w:r>
      <w:r w:rsidRPr="008B0D9B">
        <w:rPr>
          <w:lang w:eastAsia="zh-CN"/>
        </w:rPr>
        <w:tab/>
        <w:t>Dans le tableau, sous « Pour les équipements » :</w:t>
      </w:r>
    </w:p>
    <w:p w14:paraId="1519ACFA" w14:textId="22B5CF78" w:rsidR="00DE2765" w:rsidRPr="008B0D9B" w:rsidRDefault="00DE2765" w:rsidP="00776B73">
      <w:pPr>
        <w:pStyle w:val="Bullet2G"/>
        <w:spacing w:before="120"/>
        <w:rPr>
          <w:lang w:eastAsia="zh-CN"/>
        </w:rPr>
      </w:pPr>
      <w:r w:rsidRPr="008B0D9B">
        <w:rPr>
          <w:lang w:eastAsia="zh-CN"/>
        </w:rPr>
        <w:t>À la fin du tableau, ajouter la nouvelle rubrique suivante :</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57"/>
        <w:gridCol w:w="4252"/>
        <w:gridCol w:w="1176"/>
        <w:gridCol w:w="1267"/>
        <w:gridCol w:w="452"/>
      </w:tblGrid>
      <w:tr w:rsidR="00DE2765" w:rsidRPr="008B0D9B" w14:paraId="0C555EFA" w14:textId="77777777" w:rsidTr="002C522F">
        <w:trPr>
          <w:cantSplit/>
        </w:trPr>
        <w:tc>
          <w:tcPr>
            <w:tcW w:w="1357" w:type="dxa"/>
          </w:tcPr>
          <w:p w14:paraId="150DAC38" w14:textId="4765B036" w:rsidR="00DE2765" w:rsidRPr="008B0D9B" w:rsidRDefault="00DE2765" w:rsidP="00DE2765">
            <w:pPr>
              <w:widowControl w:val="0"/>
              <w:spacing w:before="40" w:after="40"/>
              <w:ind w:left="57" w:right="57"/>
              <w:rPr>
                <w:lang w:eastAsia="zh-CN"/>
              </w:rPr>
            </w:pPr>
            <w:r w:rsidRPr="008B0D9B">
              <w:rPr>
                <w:lang w:eastAsia="zh-CN"/>
              </w:rPr>
              <w:t>EN 13799:[2022]</w:t>
            </w:r>
          </w:p>
        </w:tc>
        <w:tc>
          <w:tcPr>
            <w:tcW w:w="4253" w:type="dxa"/>
          </w:tcPr>
          <w:p w14:paraId="48949910" w14:textId="1C63595E" w:rsidR="00DE2765" w:rsidRPr="008B0D9B" w:rsidRDefault="00DE2765" w:rsidP="00DE2765">
            <w:pPr>
              <w:widowControl w:val="0"/>
              <w:spacing w:before="40" w:after="40"/>
              <w:ind w:left="57" w:right="57"/>
              <w:rPr>
                <w:lang w:eastAsia="zh-CN"/>
              </w:rPr>
            </w:pPr>
            <w:r w:rsidRPr="008B0D9B">
              <w:rPr>
                <w:lang w:eastAsia="zh-CN"/>
              </w:rPr>
              <w:t xml:space="preserve">Équipements pour GPL et leurs accessoires </w:t>
            </w:r>
            <w:r w:rsidR="002C522F">
              <w:rPr>
                <w:lang w:eastAsia="zh-CN"/>
              </w:rPr>
              <w:t>−</w:t>
            </w:r>
            <w:r w:rsidRPr="008B0D9B">
              <w:rPr>
                <w:lang w:eastAsia="zh-CN"/>
              </w:rPr>
              <w:t xml:space="preserve"> Jauges de niveau pour les réservoirs de gaz de pétrole liquéfié (GPL)</w:t>
            </w:r>
          </w:p>
        </w:tc>
        <w:tc>
          <w:tcPr>
            <w:tcW w:w="1176" w:type="dxa"/>
          </w:tcPr>
          <w:p w14:paraId="07C0E7E9" w14:textId="77777777" w:rsidR="00DE2765" w:rsidRPr="008B0D9B" w:rsidRDefault="00DE2765" w:rsidP="00DE2765">
            <w:pPr>
              <w:widowControl w:val="0"/>
              <w:spacing w:before="40" w:after="40"/>
              <w:ind w:left="57" w:right="57"/>
              <w:rPr>
                <w:lang w:eastAsia="zh-CN"/>
              </w:rPr>
            </w:pPr>
            <w:r w:rsidRPr="008B0D9B">
              <w:rPr>
                <w:lang w:eastAsia="zh-CN"/>
              </w:rPr>
              <w:t>6.8.2.2.1 et 6.8.2.2.11</w:t>
            </w:r>
          </w:p>
        </w:tc>
        <w:tc>
          <w:tcPr>
            <w:tcW w:w="1267" w:type="dxa"/>
          </w:tcPr>
          <w:p w14:paraId="0E8D9B1B" w14:textId="77777777" w:rsidR="00DE2765" w:rsidRPr="008B0D9B" w:rsidRDefault="00DE2765" w:rsidP="00DE2765">
            <w:pPr>
              <w:widowControl w:val="0"/>
              <w:spacing w:before="40" w:after="40"/>
              <w:ind w:left="57" w:right="57"/>
              <w:rPr>
                <w:lang w:eastAsia="zh-CN"/>
              </w:rPr>
            </w:pPr>
            <w:r w:rsidRPr="008B0D9B">
              <w:rPr>
                <w:lang w:eastAsia="zh-CN"/>
              </w:rPr>
              <w:t>Jusqu’à nouvel ordre</w:t>
            </w:r>
          </w:p>
        </w:tc>
        <w:tc>
          <w:tcPr>
            <w:tcW w:w="452" w:type="dxa"/>
          </w:tcPr>
          <w:p w14:paraId="69841CE5" w14:textId="77777777" w:rsidR="00DE2765" w:rsidRPr="008B0D9B" w:rsidRDefault="00DE2765" w:rsidP="00DE2765">
            <w:pPr>
              <w:widowControl w:val="0"/>
              <w:spacing w:before="40" w:after="40"/>
              <w:ind w:left="57" w:right="57"/>
              <w:rPr>
                <w:lang w:eastAsia="zh-CN"/>
              </w:rPr>
            </w:pPr>
          </w:p>
        </w:tc>
      </w:tr>
    </w:tbl>
    <w:p w14:paraId="422951DF" w14:textId="76DCCA4C" w:rsidR="00DE2765" w:rsidRPr="008B0D9B" w:rsidRDefault="00DE2765" w:rsidP="00776B73">
      <w:pPr>
        <w:pStyle w:val="SingleTxtG"/>
        <w:keepNext/>
        <w:spacing w:before="120"/>
        <w:ind w:left="2268"/>
        <w:rPr>
          <w:lang w:eastAsia="zh-CN"/>
        </w:rPr>
      </w:pPr>
      <w:r w:rsidRPr="008B0D9B">
        <w:rPr>
          <w:lang w:eastAsia="zh-CN"/>
        </w:rPr>
        <w:lastRenderedPageBreak/>
        <w:tab/>
        <w:t>(ADR :) Dans le tableau, sous « Pour la conception et la construction des citernes » :</w:t>
      </w:r>
    </w:p>
    <w:p w14:paraId="4636A291" w14:textId="0428F4EE" w:rsidR="00DE2765" w:rsidRPr="008B0D9B" w:rsidRDefault="00DE2765" w:rsidP="00776B73">
      <w:pPr>
        <w:pStyle w:val="Bullet2G"/>
        <w:spacing w:before="120"/>
        <w:rPr>
          <w:lang w:eastAsia="zh-CN"/>
        </w:rPr>
      </w:pPr>
      <w:r w:rsidRPr="008B0D9B">
        <w:rPr>
          <w:lang w:eastAsia="zh-CN"/>
        </w:rPr>
        <w:t>Pour « EN 12493</w:t>
      </w:r>
      <w:r w:rsidR="00047002">
        <w:rPr>
          <w:lang w:eastAsia="zh-CN"/>
        </w:rPr>
        <w:t>:20</w:t>
      </w:r>
      <w:r w:rsidRPr="008B0D9B">
        <w:rPr>
          <w:lang w:eastAsia="zh-CN"/>
        </w:rPr>
        <w:t>13 + A2</w:t>
      </w:r>
      <w:r w:rsidR="00047002">
        <w:rPr>
          <w:lang w:eastAsia="zh-CN"/>
        </w:rPr>
        <w:t>:20</w:t>
      </w:r>
      <w:r w:rsidRPr="008B0D9B">
        <w:rPr>
          <w:lang w:eastAsia="zh-CN"/>
        </w:rPr>
        <w:t>18 », dans la colonne (4), remplacer le texte existant par « Entre le 1</w:t>
      </w:r>
      <w:r w:rsidRPr="008B0D9B">
        <w:rPr>
          <w:vertAlign w:val="superscript"/>
          <w:lang w:eastAsia="zh-CN"/>
        </w:rPr>
        <w:t>er</w:t>
      </w:r>
      <w:r w:rsidR="002C522F">
        <w:rPr>
          <w:lang w:eastAsia="zh-CN"/>
        </w:rPr>
        <w:t> </w:t>
      </w:r>
      <w:r w:rsidRPr="008B0D9B">
        <w:rPr>
          <w:lang w:eastAsia="zh-CN"/>
        </w:rPr>
        <w:t>janvier 2021 et le 31</w:t>
      </w:r>
      <w:r w:rsidR="002C522F">
        <w:rPr>
          <w:lang w:eastAsia="zh-CN"/>
        </w:rPr>
        <w:t> </w:t>
      </w:r>
      <w:r w:rsidRPr="008B0D9B">
        <w:rPr>
          <w:lang w:eastAsia="zh-CN"/>
        </w:rPr>
        <w:t>décembre 2024 ».</w:t>
      </w:r>
    </w:p>
    <w:p w14:paraId="39076440" w14:textId="17BBF39A" w:rsidR="00DE2765" w:rsidRPr="008B0D9B" w:rsidRDefault="00DE2765" w:rsidP="00776B73">
      <w:pPr>
        <w:pStyle w:val="Bullet2G"/>
        <w:spacing w:before="120"/>
        <w:rPr>
          <w:lang w:eastAsia="zh-CN"/>
        </w:rPr>
      </w:pPr>
      <w:r w:rsidRPr="008B0D9B">
        <w:rPr>
          <w:lang w:eastAsia="zh-CN"/>
        </w:rPr>
        <w:t>Après la rubrique existante pour la norme « EN 12493</w:t>
      </w:r>
      <w:r w:rsidR="00047002">
        <w:rPr>
          <w:lang w:eastAsia="zh-CN"/>
        </w:rPr>
        <w:t>:20</w:t>
      </w:r>
      <w:r w:rsidRPr="008B0D9B">
        <w:rPr>
          <w:lang w:eastAsia="zh-CN"/>
        </w:rPr>
        <w:t>13 + A2</w:t>
      </w:r>
      <w:r w:rsidR="00047002">
        <w:rPr>
          <w:lang w:eastAsia="zh-CN"/>
        </w:rPr>
        <w:t>:20</w:t>
      </w:r>
      <w:r w:rsidRPr="008B0D9B">
        <w:rPr>
          <w:lang w:eastAsia="zh-CN"/>
        </w:rPr>
        <w:t>18 », ajouter la nouvelle rubrique suivante :</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57"/>
        <w:gridCol w:w="4252"/>
        <w:gridCol w:w="1176"/>
        <w:gridCol w:w="1267"/>
        <w:gridCol w:w="452"/>
      </w:tblGrid>
      <w:tr w:rsidR="00DE2765" w:rsidRPr="008B0D9B" w14:paraId="0D436FC6" w14:textId="77777777" w:rsidTr="002C522F">
        <w:trPr>
          <w:cantSplit/>
        </w:trPr>
        <w:tc>
          <w:tcPr>
            <w:tcW w:w="1357" w:type="dxa"/>
          </w:tcPr>
          <w:p w14:paraId="6B9DC157" w14:textId="78517A65" w:rsidR="00DE2765" w:rsidRPr="008B0D9B" w:rsidRDefault="00DE2765" w:rsidP="00DE2765">
            <w:pPr>
              <w:widowControl w:val="0"/>
              <w:spacing w:before="40" w:after="40"/>
              <w:ind w:left="57" w:right="57"/>
              <w:rPr>
                <w:lang w:eastAsia="zh-CN"/>
              </w:rPr>
            </w:pPr>
            <w:r w:rsidRPr="008B0D9B">
              <w:rPr>
                <w:bCs/>
                <w:lang w:eastAsia="zh-CN"/>
              </w:rPr>
              <w:t>EN 12493</w:t>
            </w:r>
            <w:r w:rsidR="00047002">
              <w:rPr>
                <w:bCs/>
                <w:lang w:eastAsia="zh-CN"/>
              </w:rPr>
              <w:t>:20</w:t>
            </w:r>
            <w:r w:rsidRPr="008B0D9B">
              <w:rPr>
                <w:bCs/>
                <w:lang w:eastAsia="zh-CN"/>
              </w:rPr>
              <w:t xml:space="preserve">20 </w:t>
            </w:r>
            <w:r w:rsidRPr="008B0D9B">
              <w:rPr>
                <w:rFonts w:eastAsia="Batang"/>
              </w:rPr>
              <w:t>(sauf annexe C)</w:t>
            </w:r>
          </w:p>
        </w:tc>
        <w:tc>
          <w:tcPr>
            <w:tcW w:w="4253" w:type="dxa"/>
          </w:tcPr>
          <w:p w14:paraId="1E0F1B7F" w14:textId="59C51E97" w:rsidR="00DE2765" w:rsidRPr="008B0D9B" w:rsidRDefault="00DE2765" w:rsidP="00DE2765">
            <w:pPr>
              <w:widowControl w:val="0"/>
              <w:spacing w:before="40" w:after="40"/>
              <w:ind w:left="57" w:right="57"/>
              <w:rPr>
                <w:lang w:eastAsia="zh-CN"/>
              </w:rPr>
            </w:pPr>
            <w:r w:rsidRPr="008B0D9B">
              <w:rPr>
                <w:lang w:eastAsia="zh-CN"/>
              </w:rPr>
              <w:t xml:space="preserve">Équipements pour GPL et leurs accessoires </w:t>
            </w:r>
            <w:r w:rsidR="002C522F">
              <w:rPr>
                <w:lang w:eastAsia="zh-CN"/>
              </w:rPr>
              <w:t>−</w:t>
            </w:r>
            <w:r w:rsidRPr="008B0D9B">
              <w:rPr>
                <w:lang w:eastAsia="zh-CN"/>
              </w:rPr>
              <w:t xml:space="preserve"> Réservoirs sous pression en acier soudés des camions-citernes </w:t>
            </w:r>
            <w:r w:rsidR="002C522F">
              <w:rPr>
                <w:lang w:eastAsia="zh-CN"/>
              </w:rPr>
              <w:t>−</w:t>
            </w:r>
            <w:r w:rsidRPr="008B0D9B">
              <w:rPr>
                <w:lang w:eastAsia="zh-CN"/>
              </w:rPr>
              <w:t xml:space="preserve"> Conception et construction</w:t>
            </w:r>
          </w:p>
          <w:p w14:paraId="449E9866" w14:textId="204CAFAE" w:rsidR="00DE2765" w:rsidRPr="008B0D9B" w:rsidRDefault="00DE2765" w:rsidP="00DE2765">
            <w:pPr>
              <w:widowControl w:val="0"/>
              <w:spacing w:before="40" w:after="40"/>
              <w:ind w:left="57" w:right="57"/>
              <w:rPr>
                <w:lang w:eastAsia="zh-CN"/>
              </w:rPr>
            </w:pPr>
            <w:r w:rsidRPr="008B0D9B">
              <w:rPr>
                <w:b/>
                <w:bCs/>
                <w:i/>
                <w:iCs/>
              </w:rPr>
              <w:t>NOTA</w:t>
            </w:r>
            <w:r w:rsidRPr="00666101">
              <w:rPr>
                <w:i/>
                <w:iCs/>
              </w:rPr>
              <w:t> :</w:t>
            </w:r>
            <w:r w:rsidRPr="008B0D9B">
              <w:rPr>
                <w:i/>
                <w:iCs/>
              </w:rPr>
              <w:t xml:space="preserve"> On entend par « camions-citernes » les « citernes fixes » et « citernes démontables » au sens de l’ADR.</w:t>
            </w:r>
          </w:p>
        </w:tc>
        <w:tc>
          <w:tcPr>
            <w:tcW w:w="1176" w:type="dxa"/>
          </w:tcPr>
          <w:p w14:paraId="134962EA" w14:textId="77777777" w:rsidR="00DE2765" w:rsidRPr="008B0D9B" w:rsidRDefault="00DE2765" w:rsidP="00DE2765">
            <w:pPr>
              <w:widowControl w:val="0"/>
              <w:spacing w:before="40" w:after="40"/>
              <w:ind w:left="57" w:right="57"/>
              <w:rPr>
                <w:lang w:eastAsia="zh-CN"/>
              </w:rPr>
            </w:pPr>
            <w:r w:rsidRPr="008B0D9B">
              <w:rPr>
                <w:lang w:eastAsia="zh-CN"/>
              </w:rPr>
              <w:t>6.8.2.1, 6.8.2.5, 6.8.3.1, 6.8.3.5, 6.8.5.1 à 6.8.5.3</w:t>
            </w:r>
          </w:p>
        </w:tc>
        <w:tc>
          <w:tcPr>
            <w:tcW w:w="1267" w:type="dxa"/>
          </w:tcPr>
          <w:p w14:paraId="01646708" w14:textId="77777777" w:rsidR="00DE2765" w:rsidRPr="008B0D9B" w:rsidRDefault="00DE2765" w:rsidP="00DE2765">
            <w:pPr>
              <w:widowControl w:val="0"/>
              <w:spacing w:before="40" w:after="40"/>
              <w:ind w:left="57" w:right="57"/>
              <w:rPr>
                <w:lang w:eastAsia="zh-CN"/>
              </w:rPr>
            </w:pPr>
            <w:r w:rsidRPr="008B0D9B">
              <w:rPr>
                <w:lang w:eastAsia="zh-CN"/>
              </w:rPr>
              <w:t>Jusqu’à nouvel ordre</w:t>
            </w:r>
          </w:p>
        </w:tc>
        <w:tc>
          <w:tcPr>
            <w:tcW w:w="452" w:type="dxa"/>
          </w:tcPr>
          <w:p w14:paraId="03D13DFB" w14:textId="77777777" w:rsidR="00DE2765" w:rsidRPr="008B0D9B" w:rsidRDefault="00DE2765" w:rsidP="00DE2765">
            <w:pPr>
              <w:widowControl w:val="0"/>
              <w:spacing w:before="40" w:after="40"/>
              <w:ind w:left="57" w:right="57"/>
              <w:rPr>
                <w:lang w:eastAsia="zh-CN"/>
              </w:rPr>
            </w:pPr>
          </w:p>
        </w:tc>
      </w:tr>
    </w:tbl>
    <w:p w14:paraId="6F23B6A2" w14:textId="46FAA4BA" w:rsidR="00DE2765" w:rsidRPr="008B0D9B" w:rsidRDefault="00DE2765" w:rsidP="002C522F">
      <w:pPr>
        <w:pStyle w:val="SingleTxtG"/>
        <w:spacing w:before="120"/>
        <w:rPr>
          <w:i/>
          <w:iCs/>
        </w:rPr>
      </w:pPr>
      <w:r w:rsidRPr="008B0D9B">
        <w:rPr>
          <w:i/>
          <w:iCs/>
        </w:rPr>
        <w:t>(Document de référence : document informel INF.15 tel que modifié)</w:t>
      </w:r>
    </w:p>
    <w:p w14:paraId="48224C29" w14:textId="2F20B66E" w:rsidR="00DE2765" w:rsidRPr="008B0D9B" w:rsidRDefault="00DE2765" w:rsidP="009C51FF">
      <w:pPr>
        <w:pStyle w:val="SingleTxtG"/>
        <w:ind w:left="2268" w:hanging="1134"/>
      </w:pPr>
      <w:r w:rsidRPr="008B0D9B">
        <w:t>6.8.3.2.9</w:t>
      </w:r>
      <w:r w:rsidRPr="008B0D9B">
        <w:tab/>
        <w:t>Modifier pour lire comme suit (RID : colonne de droite uniquement) :</w:t>
      </w:r>
    </w:p>
    <w:p w14:paraId="66D08EBE" w14:textId="77777777" w:rsidR="00DE2765" w:rsidRPr="008B0D9B" w:rsidRDefault="00DE2765" w:rsidP="009C51FF">
      <w:pPr>
        <w:pStyle w:val="SingleTxtG"/>
        <w:ind w:left="2268" w:hanging="1134"/>
      </w:pPr>
      <w:r w:rsidRPr="008B0D9B">
        <w:t>« 6.8.3.2.9</w:t>
      </w:r>
      <w:r w:rsidRPr="008B0D9B">
        <w:tab/>
        <w:t>Les citernes destinées au transport des gaz liquéfiés inflammables doivent être équipées de soupapes de sécurité. Les citernes destinées au transport des gaz comprimés, des gaz liquéfiés non-inflammables ou des gaz dissous peuvent être équipées de soupapes de sécurité. Lorsqu’elles sont installées, les soupapes de sécurité doivent satisfaire aux prescriptions des 6.8.3.2.9.1 à 6.8.3.2.9.5.</w:t>
      </w:r>
    </w:p>
    <w:p w14:paraId="6A0104A9" w14:textId="77777777" w:rsidR="00DE2765" w:rsidRPr="008B0D9B" w:rsidRDefault="00DE2765" w:rsidP="009C51FF">
      <w:pPr>
        <w:pStyle w:val="SingleTxtG"/>
        <w:ind w:left="2268" w:hanging="1134"/>
        <w:rPr>
          <w:rFonts w:eastAsia="Calibri"/>
        </w:rPr>
      </w:pPr>
      <w:r w:rsidRPr="008B0D9B">
        <w:t>6.8.3.2.9.1</w:t>
      </w:r>
      <w:r w:rsidRPr="008B0D9B">
        <w:tab/>
      </w:r>
      <w:r w:rsidRPr="008B0D9B">
        <w:rPr>
          <w:rFonts w:eastAsia="Calibri"/>
        </w:rPr>
        <w:tab/>
        <w:t xml:space="preserve">Les soupapes de sécurité doivent pouvoir s’ouvrir automatiquement sous une pression comprise entre 0,9 et 1,0 fois la pression d’épreuve de la citerne sur laquelle elles sont montées. Elles doivent être d’un type qui puisse résister à des contraintes dynamiques, y compris le mouvement d’un liquide. L’emploi de soupapes à fonctionnement par gravité ou à masse d’équilibrage est interdit. Le débit requis des soupapes de sécurité doit être calculé conformément à la formule du 6.7.3.8.1 </w:t>
      </w:r>
      <w:r w:rsidRPr="008B0D9B">
        <w:rPr>
          <w:lang w:eastAsia="zh-CN"/>
        </w:rPr>
        <w:t>et la soupape de sécurité doit être conforme au moins aux prescriptions du 6.7.3.9</w:t>
      </w:r>
      <w:r w:rsidRPr="008B0D9B">
        <w:rPr>
          <w:rFonts w:eastAsia="Calibri"/>
        </w:rPr>
        <w:t>.</w:t>
      </w:r>
    </w:p>
    <w:p w14:paraId="441CA7FA" w14:textId="3EC690C9" w:rsidR="00DE2765" w:rsidRPr="008B0D9B" w:rsidRDefault="00DE2765" w:rsidP="00047002">
      <w:pPr>
        <w:pStyle w:val="SingleTxtG"/>
        <w:ind w:left="2268"/>
        <w:rPr>
          <w:i/>
          <w:iCs/>
        </w:rPr>
      </w:pPr>
      <w:r w:rsidRPr="008B0D9B">
        <w:rPr>
          <w:b/>
          <w:bCs/>
          <w:i/>
          <w:iCs/>
        </w:rPr>
        <w:t>NOTA</w:t>
      </w:r>
      <w:r w:rsidRPr="00666101">
        <w:rPr>
          <w:i/>
          <w:iCs/>
        </w:rPr>
        <w:t> :</w:t>
      </w:r>
      <w:r w:rsidR="00666101">
        <w:rPr>
          <w:i/>
          <w:iCs/>
        </w:rPr>
        <w:tab/>
      </w:r>
      <w:r w:rsidRPr="008B0D9B">
        <w:rPr>
          <w:i/>
          <w:iCs/>
        </w:rPr>
        <w:t>Pour l’application de ce paragraphe, la valeur de 120 % de la PMSA indiquée au 6.7.3.8.1 doit être remplacée par 0,9 fois la pression d’épreuve de la citerne.</w:t>
      </w:r>
    </w:p>
    <w:p w14:paraId="1A6500D5" w14:textId="67568EB0" w:rsidR="00DE2765" w:rsidRPr="008B0D9B" w:rsidRDefault="00DE2765" w:rsidP="00047002">
      <w:pPr>
        <w:pStyle w:val="SingleTxtG"/>
        <w:ind w:left="2268"/>
        <w:rPr>
          <w:rFonts w:eastAsia="Calibri"/>
        </w:rPr>
      </w:pPr>
      <w:r w:rsidRPr="008B0D9B">
        <w:rPr>
          <w:rFonts w:eastAsia="Calibri"/>
        </w:rPr>
        <w:t>Les soupapes de sécurité doivent être conçues ou protégées pour empêcher la pénétration d’eau ou d’autre substance étrangère qui pourrait nuire à leur bon fonctionnement. Cette protection ne doit pas affecter leurs performances.</w:t>
      </w:r>
    </w:p>
    <w:p w14:paraId="2FDDAB25" w14:textId="5819E42B" w:rsidR="00DE2765" w:rsidRPr="008B0D9B" w:rsidRDefault="00DE2765" w:rsidP="009C51FF">
      <w:pPr>
        <w:pStyle w:val="SingleTxtG"/>
        <w:ind w:left="2268" w:hanging="1134"/>
      </w:pPr>
      <w:r w:rsidRPr="008B0D9B">
        <w:t>6.8.3.2.9.2</w:t>
      </w:r>
      <w:r w:rsidRPr="008B0D9B">
        <w:tab/>
        <w:t>Si les citernes devant être fermées hermétiquement sont équipées de soupapes de sécurité, celles-ci doivent être précédées d’un disque de rupture et les conditions ci-après doivent être observées :</w:t>
      </w:r>
    </w:p>
    <w:p w14:paraId="65FB7405" w14:textId="635F2F82" w:rsidR="00DE2765" w:rsidRPr="008B0D9B" w:rsidRDefault="00DE2765" w:rsidP="00DE2765">
      <w:pPr>
        <w:spacing w:after="120"/>
        <w:ind w:left="2835" w:right="1134" w:hanging="567"/>
        <w:jc w:val="both"/>
      </w:pPr>
      <w:r w:rsidRPr="008B0D9B">
        <w:t>a)</w:t>
      </w:r>
      <w:r w:rsidRPr="008B0D9B">
        <w:tab/>
        <w:t>La pression minimale d’éclatement à 20 °C, tolérances incluses, doit être supérieure ou égale à 1.0 fois la pression d’épreuve ;</w:t>
      </w:r>
    </w:p>
    <w:p w14:paraId="7A9ECBE3" w14:textId="201197E2" w:rsidR="00DE2765" w:rsidRPr="008B0D9B" w:rsidRDefault="00DE2765" w:rsidP="00DE2765">
      <w:pPr>
        <w:spacing w:after="120"/>
        <w:ind w:left="2835" w:right="1134" w:hanging="567"/>
        <w:jc w:val="both"/>
      </w:pPr>
      <w:r w:rsidRPr="008B0D9B">
        <w:t>b)</w:t>
      </w:r>
      <w:r w:rsidRPr="008B0D9B">
        <w:tab/>
        <w:t>La pression maximale d’éclatement à 20 °C, tolérances incluses, doit être inférieure ou égale à 1,1 fois la pression d’épreuve ; et</w:t>
      </w:r>
    </w:p>
    <w:p w14:paraId="3900CF22" w14:textId="77777777" w:rsidR="00DE2765" w:rsidRPr="008B0D9B" w:rsidRDefault="00DE2765" w:rsidP="00DE2765">
      <w:pPr>
        <w:spacing w:after="120"/>
        <w:ind w:left="2835" w:right="1134" w:hanging="567"/>
        <w:jc w:val="both"/>
      </w:pPr>
      <w:r w:rsidRPr="008B0D9B">
        <w:t>c)</w:t>
      </w:r>
      <w:r w:rsidRPr="008B0D9B">
        <w:tab/>
        <w:t>Le disque de rupture ne doit pas réduire le débit requis ou le bon fonctionnement de la soupape de sécurité.</w:t>
      </w:r>
    </w:p>
    <w:p w14:paraId="6F171501" w14:textId="19E0FCFF" w:rsidR="00DE2765" w:rsidRPr="008B0D9B" w:rsidRDefault="00DE2765" w:rsidP="00047002">
      <w:pPr>
        <w:pStyle w:val="SingleTxtG"/>
        <w:ind w:left="2268"/>
      </w:pPr>
      <w:r w:rsidRPr="008B0D9B">
        <w:t>Un manomètre ou un autre indicateur approprié doit être installé dans l’espace entre le disque de rupture et la soupape de sécurité pour permettre de détecter une rupture, une perforation ou une fuite du disque.</w:t>
      </w:r>
    </w:p>
    <w:p w14:paraId="638DB668" w14:textId="77777777" w:rsidR="00DE2765" w:rsidRPr="008B0D9B" w:rsidRDefault="00DE2765" w:rsidP="009C51FF">
      <w:pPr>
        <w:pStyle w:val="SingleTxtG"/>
        <w:ind w:left="2268" w:hanging="1134"/>
      </w:pPr>
      <w:r w:rsidRPr="008B0D9B">
        <w:t>6.8.3.2.9.3</w:t>
      </w:r>
      <w:r w:rsidRPr="008B0D9B">
        <w:tab/>
        <w:t>Les soupapes de sécurité doivent être directement raccordées au réservoir ou directement raccordées à la sortie du disque de rupture.</w:t>
      </w:r>
    </w:p>
    <w:p w14:paraId="4E9B951D" w14:textId="77777777" w:rsidR="00DE2765" w:rsidRPr="008B0D9B" w:rsidRDefault="00DE2765" w:rsidP="00776B73">
      <w:pPr>
        <w:pStyle w:val="SingleTxtG"/>
        <w:keepLines/>
        <w:ind w:left="2268" w:hanging="1134"/>
      </w:pPr>
      <w:r w:rsidRPr="008B0D9B">
        <w:lastRenderedPageBreak/>
        <w:t>6.8.3.2.9.4</w:t>
      </w:r>
      <w:r w:rsidRPr="008B0D9B">
        <w:tab/>
        <w:t>Chacune des entrées des soupapes de sécurité doit être placée au sommet du réservoir, aussi près que possible du centre transversal du réservoir. Dans des conditions de remplissage maximal, toutes les entrées des soupapes de sécurité doivent être situées dans la phase gazeuse du réservoir et les dispositifs doivent être installés de telle manière que les gaz puissent s’échapper sans rencontrer d’obstacle. Pour les gaz liquéfiés inflammables, les vapeurs évacuées doivent être dirigées loin du réservoir de manière à ne pas pouvoir être rabattues vers lui. Des dispositifs de protection déviant le jet de vapeur peuvent être admis à condition que le débit requis pour les soupapes de sécurité ne soit pas réduit.</w:t>
      </w:r>
    </w:p>
    <w:p w14:paraId="41B45180" w14:textId="77777777" w:rsidR="00DE2765" w:rsidRPr="008B0D9B" w:rsidRDefault="00DE2765" w:rsidP="009C51FF">
      <w:pPr>
        <w:pStyle w:val="SingleTxtG"/>
        <w:ind w:left="2268" w:hanging="1134"/>
      </w:pPr>
      <w:r w:rsidRPr="008B0D9B">
        <w:t>6.8.3.2.9.5</w:t>
      </w:r>
      <w:r w:rsidRPr="008B0D9B">
        <w:tab/>
        <w:t>Des dispositions doivent être prises pour protéger les soupapes de sécurité contre les dommages causés par le renversement de la citerne ou les chocs d’obstacles en partie supérieure. Dans la mesure du possible, les soupapes de sécurité ne doivent pas dépasser du profil du réservoir. ».</w:t>
      </w:r>
    </w:p>
    <w:p w14:paraId="3DA77EC8" w14:textId="382392EA" w:rsidR="00DE2765" w:rsidRPr="008B0D9B" w:rsidRDefault="00DE2765" w:rsidP="009C51FF">
      <w:pPr>
        <w:pStyle w:val="SingleTxtG"/>
        <w:rPr>
          <w:i/>
          <w:iCs/>
        </w:rPr>
      </w:pPr>
      <w:r w:rsidRPr="008B0D9B">
        <w:rPr>
          <w:i/>
          <w:iCs/>
        </w:rPr>
        <w:t>(Documents de référence : document informel INF.49, proposition 16, telle que modifiée et document informel INF.51)</w:t>
      </w:r>
    </w:p>
    <w:p w14:paraId="5DB78BFB" w14:textId="58F3F78D" w:rsidR="00DE2765" w:rsidRPr="008B0D9B" w:rsidRDefault="00DE2765" w:rsidP="00666101">
      <w:pPr>
        <w:pStyle w:val="SingleTxtG"/>
        <w:ind w:left="3119" w:hanging="1985"/>
        <w:rPr>
          <w:lang w:eastAsia="zh-CN"/>
        </w:rPr>
      </w:pPr>
      <w:r w:rsidRPr="008B0D9B">
        <w:rPr>
          <w:lang w:eastAsia="zh-CN"/>
        </w:rPr>
        <w:t>(</w:t>
      </w:r>
      <w:r w:rsidRPr="008B0D9B">
        <w:t>ADR</w:t>
      </w:r>
      <w:r w:rsidRPr="008B0D9B">
        <w:rPr>
          <w:lang w:eastAsia="zh-CN"/>
        </w:rPr>
        <w:t> :) 6.8.4, TT11</w:t>
      </w:r>
      <w:r w:rsidRPr="008B0D9B">
        <w:rPr>
          <w:lang w:eastAsia="zh-CN"/>
        </w:rPr>
        <w:tab/>
        <w:t>Dans le paragraphe sous le tableau, remplacer « EN 12493</w:t>
      </w:r>
      <w:r w:rsidR="00047002">
        <w:rPr>
          <w:lang w:eastAsia="zh-CN"/>
        </w:rPr>
        <w:t>:20</w:t>
      </w:r>
      <w:r w:rsidRPr="008B0D9B">
        <w:rPr>
          <w:lang w:eastAsia="zh-CN"/>
        </w:rPr>
        <w:t>13</w:t>
      </w:r>
      <w:r w:rsidR="00E70D41">
        <w:rPr>
          <w:lang w:eastAsia="zh-CN"/>
        </w:rPr>
        <w:t xml:space="preserve"> </w:t>
      </w:r>
      <w:r w:rsidRPr="008B0D9B">
        <w:rPr>
          <w:lang w:eastAsia="zh-CN"/>
        </w:rPr>
        <w:t>+</w:t>
      </w:r>
      <w:r w:rsidR="00E70D41">
        <w:rPr>
          <w:lang w:eastAsia="zh-CN"/>
        </w:rPr>
        <w:t xml:space="preserve"> </w:t>
      </w:r>
      <w:r w:rsidRPr="008B0D9B">
        <w:rPr>
          <w:lang w:eastAsia="zh-CN"/>
        </w:rPr>
        <w:t>A2</w:t>
      </w:r>
      <w:r w:rsidR="00047002">
        <w:rPr>
          <w:lang w:eastAsia="zh-CN"/>
        </w:rPr>
        <w:t>:20</w:t>
      </w:r>
      <w:r w:rsidRPr="008B0D9B">
        <w:rPr>
          <w:lang w:eastAsia="zh-CN"/>
        </w:rPr>
        <w:t xml:space="preserve">18 (Équipements pour GPL et leurs accessoires </w:t>
      </w:r>
      <w:r w:rsidR="002C522F">
        <w:rPr>
          <w:lang w:eastAsia="zh-CN"/>
        </w:rPr>
        <w:t>−</w:t>
      </w:r>
      <w:r w:rsidRPr="008B0D9B">
        <w:rPr>
          <w:lang w:eastAsia="zh-CN"/>
        </w:rPr>
        <w:t xml:space="preserve"> réservoirs sous pression en acier soudé des camions-citernes pour GPL − conception et construction) » par « </w:t>
      </w:r>
      <w:r w:rsidRPr="008B0D9B">
        <w:rPr>
          <w:bCs/>
          <w:lang w:eastAsia="zh-CN"/>
        </w:rPr>
        <w:t>EN 12493</w:t>
      </w:r>
      <w:r w:rsidR="00047002">
        <w:rPr>
          <w:bCs/>
          <w:lang w:eastAsia="zh-CN"/>
        </w:rPr>
        <w:t>:20</w:t>
      </w:r>
      <w:r w:rsidRPr="008B0D9B">
        <w:rPr>
          <w:bCs/>
          <w:lang w:eastAsia="zh-CN"/>
        </w:rPr>
        <w:t>20 (</w:t>
      </w:r>
      <w:r w:rsidRPr="008B0D9B">
        <w:rPr>
          <w:lang w:eastAsia="zh-CN"/>
        </w:rPr>
        <w:t xml:space="preserve">Équipements pour GPL et leurs accessoires </w:t>
      </w:r>
      <w:r w:rsidR="002C522F">
        <w:rPr>
          <w:lang w:eastAsia="zh-CN"/>
        </w:rPr>
        <w:t>−</w:t>
      </w:r>
      <w:r w:rsidRPr="008B0D9B">
        <w:rPr>
          <w:lang w:eastAsia="zh-CN"/>
        </w:rPr>
        <w:t xml:space="preserve"> Réservoirs sous pression en acier soudés des camions-citernes </w:t>
      </w:r>
      <w:r w:rsidR="002C522F">
        <w:rPr>
          <w:lang w:eastAsia="zh-CN"/>
        </w:rPr>
        <w:t>−</w:t>
      </w:r>
      <w:r w:rsidRPr="008B0D9B">
        <w:rPr>
          <w:lang w:eastAsia="zh-CN"/>
        </w:rPr>
        <w:t xml:space="preserve"> Conception et construction</w:t>
      </w:r>
      <w:r w:rsidRPr="008B0D9B">
        <w:rPr>
          <w:bCs/>
          <w:lang w:eastAsia="zh-CN"/>
        </w:rPr>
        <w:t>) ».</w:t>
      </w:r>
    </w:p>
    <w:p w14:paraId="65820767" w14:textId="4854338A" w:rsidR="00DE2765" w:rsidRPr="008B0D9B" w:rsidRDefault="00DE2765" w:rsidP="009C51FF">
      <w:pPr>
        <w:pStyle w:val="SingleTxtG"/>
        <w:rPr>
          <w:i/>
          <w:iCs/>
        </w:rPr>
      </w:pPr>
      <w:r w:rsidRPr="008B0D9B">
        <w:rPr>
          <w:i/>
          <w:iCs/>
        </w:rPr>
        <w:t>(Document de référence : document informel INF.15/Add.1)</w:t>
      </w:r>
    </w:p>
    <w:p w14:paraId="4862F7D9" w14:textId="339D4041" w:rsidR="00DE2765" w:rsidRPr="008B0D9B" w:rsidRDefault="00DE2765" w:rsidP="00DE2765">
      <w:pPr>
        <w:pStyle w:val="H23G"/>
      </w:pPr>
      <w:r w:rsidRPr="008B0D9B">
        <w:tab/>
      </w:r>
      <w:r w:rsidRPr="008B0D9B">
        <w:tab/>
        <w:t>Document ECE/TRANS/WP.15/AC.1/2021/23/Rev.1 adopté tel que corrigé dans le</w:t>
      </w:r>
      <w:r w:rsidR="00E70D41">
        <w:t> </w:t>
      </w:r>
      <w:r w:rsidRPr="008B0D9B">
        <w:t>document INF.40 (à l’exception de la correction au 1.8.7.1.5) et moyennant les</w:t>
      </w:r>
      <w:r w:rsidR="00E70D41">
        <w:t> </w:t>
      </w:r>
      <w:r w:rsidRPr="008B0D9B">
        <w:t>modifications suivantes :</w:t>
      </w:r>
    </w:p>
    <w:p w14:paraId="17CB1C39" w14:textId="77777777" w:rsidR="00DE2765" w:rsidRPr="008B0D9B" w:rsidRDefault="00DE2765" w:rsidP="00DE2765">
      <w:pPr>
        <w:spacing w:after="120"/>
        <w:ind w:left="2268" w:right="1134" w:hanging="1134"/>
        <w:jc w:val="both"/>
        <w:rPr>
          <w:rFonts w:eastAsia="SimSun"/>
          <w:lang w:eastAsia="zh-CN"/>
        </w:rPr>
      </w:pPr>
      <w:r w:rsidRPr="008B0D9B">
        <w:rPr>
          <w:rFonts w:eastAsia="SimSun"/>
          <w:lang w:eastAsia="zh-CN"/>
        </w:rPr>
        <w:t>Supprimer tous les crochets</w:t>
      </w:r>
    </w:p>
    <w:p w14:paraId="660668C2" w14:textId="77777777" w:rsidR="00DE2765" w:rsidRPr="008B0D9B" w:rsidRDefault="00DE2765" w:rsidP="009C51FF">
      <w:pPr>
        <w:pStyle w:val="SingleTxtG"/>
        <w:ind w:left="2268" w:hanging="1134"/>
      </w:pPr>
      <w:r w:rsidRPr="008B0D9B">
        <w:t>1.6.3.x</w:t>
      </w:r>
      <w:r w:rsidRPr="008B0D9B">
        <w:tab/>
        <w:t>Devient 1.6.3.54. Remplacer la deuxième occurrence de « du chapitre 6.8 » par « du 1.8.6 ».</w:t>
      </w:r>
    </w:p>
    <w:p w14:paraId="1EEDC135" w14:textId="47AD90EA" w:rsidR="00DE2765" w:rsidRPr="008B0D9B" w:rsidRDefault="00DE2765" w:rsidP="009C51FF">
      <w:pPr>
        <w:pStyle w:val="SingleTxtG"/>
        <w:rPr>
          <w:i/>
          <w:iCs/>
        </w:rPr>
      </w:pPr>
      <w:r w:rsidRPr="008B0D9B">
        <w:rPr>
          <w:i/>
          <w:iCs/>
        </w:rPr>
        <w:t>(Document de référence : document informel INF.49, proposition 11)</w:t>
      </w:r>
    </w:p>
    <w:p w14:paraId="2219C2DB" w14:textId="77777777" w:rsidR="00DE2765" w:rsidRPr="008B0D9B" w:rsidRDefault="00DE2765" w:rsidP="009C51FF">
      <w:pPr>
        <w:pStyle w:val="SingleTxtG"/>
        <w:ind w:left="2268" w:hanging="1134"/>
      </w:pPr>
      <w:r w:rsidRPr="008B0D9B">
        <w:t>1.6.3.y</w:t>
      </w:r>
      <w:r w:rsidRPr="008B0D9B">
        <w:tab/>
      </w:r>
      <w:r w:rsidRPr="008B0D9B">
        <w:tab/>
        <w:t>Devient 1.6.3.55.</w:t>
      </w:r>
    </w:p>
    <w:p w14:paraId="515512AA" w14:textId="77777777" w:rsidR="00DE2765" w:rsidRPr="008B0D9B" w:rsidRDefault="00DE2765" w:rsidP="009C51FF">
      <w:pPr>
        <w:pStyle w:val="SingleTxtG"/>
        <w:ind w:left="2268" w:hanging="1134"/>
      </w:pPr>
      <w:r w:rsidRPr="008B0D9B">
        <w:t>1.6.4.x</w:t>
      </w:r>
      <w:r w:rsidRPr="008B0D9B">
        <w:tab/>
      </w:r>
      <w:r w:rsidRPr="008B0D9B">
        <w:tab/>
        <w:t>Devient 1.6.4.57. Remplacer la deuxième occurrence de « du chapitre 6.8 » par « du 1.8.6 ».</w:t>
      </w:r>
    </w:p>
    <w:p w14:paraId="47B9EC0F" w14:textId="74827602" w:rsidR="00DE2765" w:rsidRPr="008B0D9B" w:rsidRDefault="00DE2765" w:rsidP="009C51FF">
      <w:pPr>
        <w:pStyle w:val="SingleTxtG"/>
        <w:rPr>
          <w:i/>
          <w:iCs/>
        </w:rPr>
      </w:pPr>
      <w:r w:rsidRPr="008B0D9B">
        <w:rPr>
          <w:i/>
          <w:iCs/>
        </w:rPr>
        <w:t>(Document de référence : document informel INF.49, proposition 11)</w:t>
      </w:r>
    </w:p>
    <w:p w14:paraId="42A1CF4B" w14:textId="77777777" w:rsidR="00DE2765" w:rsidRPr="008B0D9B" w:rsidRDefault="00DE2765" w:rsidP="009C51FF">
      <w:pPr>
        <w:pStyle w:val="SingleTxtG"/>
        <w:ind w:left="2268" w:hanging="1134"/>
      </w:pPr>
      <w:r w:rsidRPr="008B0D9B">
        <w:t>1.6.4.z</w:t>
      </w:r>
      <w:r w:rsidRPr="008B0D9B">
        <w:tab/>
      </w:r>
      <w:r w:rsidRPr="008B0D9B">
        <w:tab/>
        <w:t>Devient 1.6.4.58.</w:t>
      </w:r>
    </w:p>
    <w:p w14:paraId="549A53E6" w14:textId="3BB4B6D6" w:rsidR="00DE2765" w:rsidRPr="008B0D9B" w:rsidRDefault="00DE2765" w:rsidP="009C51FF">
      <w:pPr>
        <w:pStyle w:val="SingleTxtG"/>
        <w:ind w:left="2268" w:hanging="1134"/>
        <w:rPr>
          <w:rFonts w:eastAsia="Calibri"/>
        </w:rPr>
      </w:pPr>
      <w:r w:rsidRPr="008B0D9B">
        <w:t>1.8.6.2.2.2</w:t>
      </w:r>
      <w:r w:rsidRPr="008B0D9B">
        <w:tab/>
      </w:r>
      <w:r w:rsidRPr="008B0D9B">
        <w:rPr>
          <w:rFonts w:eastAsia="Calibri"/>
        </w:rPr>
        <w:t>Les deux premières phrases se lisent comme suit : « L’autorité compétente doit s’assurer que l’organisme de contrôle remplit en permanence les conditions de son agrément et doit y mettre fin si ces conditions ne sont pas remplies. ».</w:t>
      </w:r>
    </w:p>
    <w:p w14:paraId="3F918EB9" w14:textId="37C02B85" w:rsidR="00DE2765" w:rsidRPr="008B0D9B" w:rsidRDefault="00DE2765" w:rsidP="009C51FF">
      <w:pPr>
        <w:pStyle w:val="SingleTxtG"/>
        <w:rPr>
          <w:i/>
          <w:iCs/>
        </w:rPr>
      </w:pPr>
      <w:r w:rsidRPr="008B0D9B">
        <w:rPr>
          <w:i/>
          <w:iCs/>
        </w:rPr>
        <w:t>(Document de référence : document informel INF.49, proposition 10)</w:t>
      </w:r>
    </w:p>
    <w:p w14:paraId="4E1D25D3" w14:textId="77777777" w:rsidR="00DE2765" w:rsidRPr="008B0D9B" w:rsidRDefault="00DE2765" w:rsidP="009C51FF">
      <w:pPr>
        <w:pStyle w:val="SingleTxtG"/>
        <w:ind w:left="2268" w:hanging="1134"/>
      </w:pPr>
      <w:r w:rsidRPr="008B0D9B">
        <w:t>1.8.6.2.4.3</w:t>
      </w:r>
      <w:r w:rsidRPr="008B0D9B">
        <w:tab/>
        <w:t xml:space="preserve">Au deuxième paragraphe, remplacer « L’autorité compétente » par « Lorsqu’une autorité compétente désire s’assurer les services d’un organisme de contrôle déjà </w:t>
      </w:r>
      <w:r w:rsidRPr="008B0D9B">
        <w:rPr>
          <w:rFonts w:eastAsia="Calibri"/>
        </w:rPr>
        <w:t>agréé</w:t>
      </w:r>
      <w:r w:rsidRPr="008B0D9B">
        <w:t xml:space="preserve"> par une autre autorité compétente pour réaliser des activités en relation avec la réalisation des évaluations de la conformité et des contrôles en son nom, cette autorité compétente ».</w:t>
      </w:r>
    </w:p>
    <w:p w14:paraId="4F40E897" w14:textId="0F409037" w:rsidR="00DE2765" w:rsidRPr="008B0D9B" w:rsidRDefault="00DE2765" w:rsidP="009C51FF">
      <w:pPr>
        <w:pStyle w:val="SingleTxtG"/>
        <w:rPr>
          <w:i/>
          <w:iCs/>
        </w:rPr>
      </w:pPr>
      <w:r w:rsidRPr="008B0D9B">
        <w:rPr>
          <w:i/>
          <w:iCs/>
        </w:rPr>
        <w:t>(Document de référence : document informel INF.49, proposition 12)</w:t>
      </w:r>
    </w:p>
    <w:p w14:paraId="0827DA00" w14:textId="20AF209E" w:rsidR="00DE2765" w:rsidRPr="008B0D9B" w:rsidRDefault="00DE2765" w:rsidP="009C51FF">
      <w:pPr>
        <w:pStyle w:val="SingleTxtG"/>
        <w:ind w:left="2268" w:hanging="1134"/>
      </w:pPr>
      <w:r w:rsidRPr="008B0D9B">
        <w:t>1.8.6.3.3</w:t>
      </w:r>
      <w:r w:rsidRPr="008B0D9B">
        <w:tab/>
        <w:t>Le nota se lit comme suit :</w:t>
      </w:r>
    </w:p>
    <w:p w14:paraId="7BE2F01D" w14:textId="4B64FF25" w:rsidR="00DE2765" w:rsidRPr="008B0D9B" w:rsidRDefault="00DE2765" w:rsidP="00047002">
      <w:pPr>
        <w:pStyle w:val="SingleTxtG"/>
        <w:ind w:left="2268"/>
      </w:pPr>
      <w:r w:rsidRPr="008B0D9B">
        <w:t>« </w:t>
      </w:r>
      <w:r w:rsidRPr="008B0D9B">
        <w:rPr>
          <w:b/>
          <w:bCs/>
          <w:i/>
          <w:iCs/>
        </w:rPr>
        <w:t>NOTA</w:t>
      </w:r>
      <w:r w:rsidRPr="00666101">
        <w:rPr>
          <w:i/>
          <w:iCs/>
        </w:rPr>
        <w:t> :</w:t>
      </w:r>
      <w:r w:rsidRPr="008B0D9B">
        <w:rPr>
          <w:b/>
          <w:bCs/>
          <w:i/>
          <w:iCs/>
        </w:rPr>
        <w:tab/>
      </w:r>
      <w:r w:rsidRPr="008B0D9B">
        <w:rPr>
          <w:i/>
          <w:iCs/>
        </w:rPr>
        <w:t>Les dispositions suivantes ne s’appliquent qu’aux organismes de contrôle de type A. Les organismes de contrôle de type B ne sont pas autorisés à déléguer les activités pour lesquelles ils sont agréés. Pour les services internes d’inspection, voir le 1.8.7.7.2.</w:t>
      </w:r>
      <w:r w:rsidRPr="008B0D9B">
        <w:t> ».</w:t>
      </w:r>
    </w:p>
    <w:p w14:paraId="4C2278A1" w14:textId="40BF4606" w:rsidR="00DE2765" w:rsidRPr="008B0D9B" w:rsidRDefault="00DE2765" w:rsidP="009C51FF">
      <w:pPr>
        <w:pStyle w:val="SingleTxtG"/>
        <w:rPr>
          <w:i/>
          <w:iCs/>
        </w:rPr>
      </w:pPr>
      <w:r w:rsidRPr="008B0D9B">
        <w:rPr>
          <w:i/>
          <w:iCs/>
        </w:rPr>
        <w:lastRenderedPageBreak/>
        <w:t>(Document de référence : document informel INF.49, proposition 1)</w:t>
      </w:r>
    </w:p>
    <w:p w14:paraId="617A8823" w14:textId="77777777" w:rsidR="00DE2765" w:rsidRPr="008B0D9B" w:rsidRDefault="00DE2765" w:rsidP="009C51FF">
      <w:pPr>
        <w:pStyle w:val="SingleTxtG"/>
        <w:ind w:left="2268" w:hanging="1134"/>
      </w:pPr>
      <w:r w:rsidRPr="008B0D9B">
        <w:t>1.8.7</w:t>
      </w:r>
      <w:r w:rsidRPr="008B0D9B">
        <w:tab/>
        <w:t>Dans le nouveau nota 2, remplacer « citernes, éléments de wagons-batteries/ véhicules-batteries, CGEM, ou récipients à pression, ou d’équipements de structure ou de service » par « matériels (voir 1.8.7.1.5) ».</w:t>
      </w:r>
    </w:p>
    <w:p w14:paraId="34C583C7" w14:textId="3D99A7D2" w:rsidR="00DE2765" w:rsidRPr="008B0D9B" w:rsidRDefault="00DE2765" w:rsidP="009C51FF">
      <w:pPr>
        <w:pStyle w:val="SingleTxtG"/>
        <w:rPr>
          <w:i/>
          <w:iCs/>
        </w:rPr>
      </w:pPr>
      <w:r w:rsidRPr="008B0D9B">
        <w:rPr>
          <w:i/>
          <w:iCs/>
        </w:rPr>
        <w:t>(Document de référence : document informel INF.49, proposition 4)</w:t>
      </w:r>
    </w:p>
    <w:p w14:paraId="185D33B3" w14:textId="7460B701" w:rsidR="00DE2765" w:rsidRPr="008B0D9B" w:rsidRDefault="00DE2765" w:rsidP="002C522F">
      <w:pPr>
        <w:pStyle w:val="SingleTxtG"/>
        <w:keepNext/>
        <w:ind w:left="2268" w:hanging="1134"/>
      </w:pPr>
      <w:r w:rsidRPr="008B0D9B">
        <w:t>1.8.7.1.5</w:t>
      </w:r>
      <w:r w:rsidRPr="008B0D9B">
        <w:tab/>
        <w:t>Le premier paragraphe se lit comme suit :</w:t>
      </w:r>
    </w:p>
    <w:p w14:paraId="4A951BAA" w14:textId="3030E519" w:rsidR="00DE2765" w:rsidRPr="008B0D9B" w:rsidRDefault="00DE2765" w:rsidP="00047002">
      <w:pPr>
        <w:pStyle w:val="SingleTxtG"/>
        <w:ind w:left="2268"/>
      </w:pPr>
      <w:r w:rsidRPr="008B0D9B">
        <w:t>« Les certificats d’agrément de type, attestations de contrôle et procès-verbaux des matériels (récipients à pression, citernes, équipement de service, et l’ensemble des éléments, équipement de structure et équipement de service des wagons-batteries/véhicules-batteries ou CGEM), y compris la documentation technique, doivent être conservés : »</w:t>
      </w:r>
    </w:p>
    <w:p w14:paraId="55532717" w14:textId="322509EF" w:rsidR="00DE2765" w:rsidRPr="008B0D9B" w:rsidRDefault="00DE2765" w:rsidP="009C51FF">
      <w:pPr>
        <w:pStyle w:val="SingleTxtG"/>
        <w:rPr>
          <w:i/>
          <w:iCs/>
        </w:rPr>
      </w:pPr>
      <w:r w:rsidRPr="008B0D9B">
        <w:rPr>
          <w:i/>
          <w:iCs/>
        </w:rPr>
        <w:t>(Document de référence : document informel INF.49, proposition 3)</w:t>
      </w:r>
    </w:p>
    <w:p w14:paraId="720F917E" w14:textId="77777777" w:rsidR="00DE2765" w:rsidRPr="008B0D9B" w:rsidRDefault="00DE2765" w:rsidP="009C51FF">
      <w:pPr>
        <w:pStyle w:val="SingleTxtG"/>
        <w:ind w:left="2268" w:hanging="1134"/>
      </w:pPr>
      <w:r w:rsidRPr="008B0D9B">
        <w:t>1.8.7.2.2.2</w:t>
      </w:r>
      <w:r w:rsidRPr="008B0D9B">
        <w:tab/>
        <w:t>Dans la deuxième phrase, supprimer « , y compris les normes citées en référence, ».</w:t>
      </w:r>
    </w:p>
    <w:p w14:paraId="5A4D7D71" w14:textId="1EAFEDA3" w:rsidR="00DE2765" w:rsidRPr="008B0D9B" w:rsidRDefault="00DE2765" w:rsidP="009C51FF">
      <w:pPr>
        <w:pStyle w:val="SingleTxtG"/>
        <w:rPr>
          <w:i/>
          <w:iCs/>
        </w:rPr>
      </w:pPr>
      <w:r w:rsidRPr="008B0D9B">
        <w:rPr>
          <w:i/>
          <w:iCs/>
        </w:rPr>
        <w:t>(Document de référence : document informel INF.49, proposition 5)</w:t>
      </w:r>
    </w:p>
    <w:p w14:paraId="69D23CD4" w14:textId="48A05FE9" w:rsidR="00DE2765" w:rsidRPr="008B0D9B" w:rsidRDefault="00DE2765" w:rsidP="002C522F">
      <w:pPr>
        <w:pStyle w:val="SingleTxtG"/>
        <w:keepNext/>
        <w:ind w:left="2268" w:hanging="1134"/>
      </w:pPr>
      <w:r w:rsidRPr="008B0D9B">
        <w:t>1.8.7.7.2</w:t>
      </w:r>
      <w:r w:rsidRPr="008B0D9B">
        <w:tab/>
        <w:t>Le dernier paragraphe se lit comme suit :</w:t>
      </w:r>
    </w:p>
    <w:p w14:paraId="4174769E" w14:textId="091024EB" w:rsidR="00DE2765" w:rsidRPr="008B0D9B" w:rsidRDefault="00DE2765" w:rsidP="00DE2765">
      <w:pPr>
        <w:spacing w:after="120"/>
        <w:ind w:left="2268" w:right="1134"/>
        <w:jc w:val="both"/>
      </w:pPr>
      <w:r w:rsidRPr="008B0D9B">
        <w:t>« Le service interne d’inspection peut, dans des cas spécifiques uniquement, sous-traiter certaines parties de ses activités avec l’accord de l’organisme de contrôle qui l’a autorisé. Le sous-traitant doit en outre être accrédité conformément à la norme EN ISO/IEC 17025</w:t>
      </w:r>
      <w:r w:rsidR="00047002">
        <w:t>:20</w:t>
      </w:r>
      <w:r w:rsidRPr="008B0D9B">
        <w:t>17 (sauf art</w:t>
      </w:r>
      <w:r w:rsidR="002C522F">
        <w:t>. </w:t>
      </w:r>
      <w:r w:rsidRPr="008B0D9B">
        <w:t>8.1.3) ou EN ISO/IEC 17020</w:t>
      </w:r>
      <w:r w:rsidR="00047002">
        <w:t>:20</w:t>
      </w:r>
      <w:r w:rsidRPr="008B0D9B">
        <w:t>12 (sauf art</w:t>
      </w:r>
      <w:r w:rsidR="002C522F">
        <w:t>. </w:t>
      </w:r>
      <w:r w:rsidRPr="008B0D9B">
        <w:t>8.1.3) comme laboratoire d’essai ou organisme de contrôle indépendant et impartial pour pouvoir accomplir les tâches d’essais en conformité avec son accréditation. ».</w:t>
      </w:r>
    </w:p>
    <w:p w14:paraId="2BF770EE" w14:textId="795DC128" w:rsidR="00DE2765" w:rsidRPr="008B0D9B" w:rsidRDefault="00DE2765" w:rsidP="009C51FF">
      <w:pPr>
        <w:pStyle w:val="SingleTxtG"/>
        <w:rPr>
          <w:i/>
          <w:iCs/>
        </w:rPr>
      </w:pPr>
      <w:r w:rsidRPr="008B0D9B">
        <w:rPr>
          <w:i/>
          <w:iCs/>
        </w:rPr>
        <w:t>(Document de référence : document informel INF.49, proposition 2)</w:t>
      </w:r>
    </w:p>
    <w:p w14:paraId="4EB412A8" w14:textId="41DA441E" w:rsidR="00DE2765" w:rsidRPr="008B0D9B" w:rsidRDefault="00DE2765" w:rsidP="009C51FF">
      <w:pPr>
        <w:pStyle w:val="SingleTxtG"/>
        <w:ind w:left="2268" w:hanging="1134"/>
      </w:pPr>
      <w:r w:rsidRPr="008B0D9B">
        <w:t>6.2.2.12</w:t>
      </w:r>
      <w:r w:rsidRPr="008B0D9B">
        <w:tab/>
        <w:t>Le deuxième paragraphe après le tableau se lit comme suit :</w:t>
      </w:r>
    </w:p>
    <w:p w14:paraId="6D3C99B6" w14:textId="71CA4E3D" w:rsidR="00DE2765" w:rsidRPr="008B0D9B" w:rsidRDefault="00DE2765" w:rsidP="00DE2765">
      <w:pPr>
        <w:spacing w:after="120"/>
        <w:ind w:left="2268" w:right="1134"/>
        <w:jc w:val="both"/>
      </w:pPr>
      <w:r w:rsidRPr="008B0D9B">
        <w:t>« Pour les évaluations de la conformité séparées (par exemple, enveloppe de bouteille et fermeture) voir 6.2.1.4.4. »</w:t>
      </w:r>
      <w:r w:rsidR="002C522F">
        <w:t>.</w:t>
      </w:r>
    </w:p>
    <w:p w14:paraId="48E1BD6C" w14:textId="195891FB" w:rsidR="00DE2765" w:rsidRPr="008B0D9B" w:rsidRDefault="00DE2765" w:rsidP="009C51FF">
      <w:pPr>
        <w:pStyle w:val="SingleTxtG"/>
        <w:rPr>
          <w:i/>
          <w:iCs/>
        </w:rPr>
      </w:pPr>
      <w:r w:rsidRPr="008B0D9B">
        <w:rPr>
          <w:i/>
          <w:iCs/>
        </w:rPr>
        <w:t>(Document de référence : document informel INF.49, proposition 6)</w:t>
      </w:r>
    </w:p>
    <w:p w14:paraId="172CBE11" w14:textId="6D45C9AB" w:rsidR="00DE2765" w:rsidRPr="008B0D9B" w:rsidRDefault="00DE2765" w:rsidP="009C51FF">
      <w:pPr>
        <w:pStyle w:val="SingleTxtG"/>
        <w:ind w:left="2268" w:hanging="1134"/>
      </w:pPr>
      <w:r w:rsidRPr="008B0D9B">
        <w:t>6.2.3.6.1</w:t>
      </w:r>
      <w:r w:rsidRPr="008B0D9B">
        <w:tab/>
        <w:t>Le deuxième paragraphe après le tableau se lit comme suit :</w:t>
      </w:r>
    </w:p>
    <w:p w14:paraId="2A843FE2" w14:textId="2BA24CBF" w:rsidR="00DE2765" w:rsidRPr="008B0D9B" w:rsidRDefault="00DE2765" w:rsidP="00047002">
      <w:pPr>
        <w:pStyle w:val="SingleTxtG"/>
        <w:ind w:left="2268"/>
      </w:pPr>
      <w:r w:rsidRPr="008B0D9B">
        <w:t>«</w:t>
      </w:r>
      <w:r w:rsidR="002C522F">
        <w:t> </w:t>
      </w:r>
      <w:r w:rsidRPr="008B0D9B">
        <w:t>Pour les évaluations de la conformité séparées (par exemple, enveloppe de bouteille et fermeture) voir 6.2.1.4.4. Pour les récipients à pression non</w:t>
      </w:r>
      <w:r w:rsidR="00E70D41">
        <w:noBreakHyphen/>
      </w:r>
      <w:r w:rsidRPr="008B0D9B">
        <w:t>rechargeables, des certificats d’agrément de type séparé pour l’enveloppe de bouteille ou la fermeture ne doivent pas être délivrés.</w:t>
      </w:r>
      <w:r w:rsidR="002C522F">
        <w:t> </w:t>
      </w:r>
      <w:r w:rsidRPr="008B0D9B">
        <w:t>».</w:t>
      </w:r>
    </w:p>
    <w:p w14:paraId="2E93934D" w14:textId="783FDEDE" w:rsidR="00DE2765" w:rsidRPr="008B0D9B" w:rsidRDefault="00DE2765" w:rsidP="009C51FF">
      <w:pPr>
        <w:pStyle w:val="SingleTxtG"/>
      </w:pPr>
      <w:r w:rsidRPr="008B0D9B">
        <w:rPr>
          <w:i/>
          <w:iCs/>
        </w:rPr>
        <w:t>(Document de référence : document informel INF.49, proposition 7 telle que modifiée)</w:t>
      </w:r>
    </w:p>
    <w:p w14:paraId="6E86AE69" w14:textId="0A5C3353" w:rsidR="00DE2765" w:rsidRPr="008B0D9B" w:rsidRDefault="00DE2765" w:rsidP="009C51FF">
      <w:pPr>
        <w:pStyle w:val="SingleTxtG"/>
        <w:ind w:left="2268" w:hanging="1134"/>
      </w:pPr>
      <w:r w:rsidRPr="008B0D9B">
        <w:t>6.8.1.5</w:t>
      </w:r>
      <w:r w:rsidRPr="008B0D9B">
        <w:tab/>
      </w:r>
      <w:r w:rsidRPr="008B0D9B">
        <w:tab/>
        <w:t>Ajouter le nouveau nota suivant sous le premier paragraphe :</w:t>
      </w:r>
    </w:p>
    <w:p w14:paraId="3FDDF040" w14:textId="6A8449F5" w:rsidR="00DE2765" w:rsidRPr="008B0D9B" w:rsidRDefault="00DE2765" w:rsidP="00047002">
      <w:pPr>
        <w:pStyle w:val="SingleTxtG"/>
        <w:ind w:left="2268"/>
      </w:pPr>
      <w:r w:rsidRPr="008B0D9B">
        <w:t>« </w:t>
      </w:r>
      <w:r w:rsidRPr="008B0D9B">
        <w:rPr>
          <w:b/>
          <w:bCs/>
          <w:i/>
          <w:iCs/>
        </w:rPr>
        <w:t>NOTA</w:t>
      </w:r>
      <w:r w:rsidRPr="00666101">
        <w:rPr>
          <w:i/>
          <w:iCs/>
        </w:rPr>
        <w:t> :</w:t>
      </w:r>
      <w:r w:rsidRPr="008B0D9B">
        <w:rPr>
          <w:i/>
          <w:iCs/>
        </w:rPr>
        <w:tab/>
        <w:t>Ces dispositions s’appliquent, sous réserve du respect par les organismes de contrôle des dispositions du 1.8.6, et sans préjudice des droits et obligations, notamment de notification et de reconnaissance, fixés pour eux par des accords ou des actes juridiques (par exemple la directive 2010/35/UE) contraignant par ailleurs les États partie au RID/Parties contractantes de l’ADR.</w:t>
      </w:r>
      <w:r w:rsidRPr="008B0D9B">
        <w:t> ».</w:t>
      </w:r>
    </w:p>
    <w:p w14:paraId="405695B3" w14:textId="47151F40" w:rsidR="00DE2765" w:rsidRPr="008B0D9B" w:rsidRDefault="00DE2765" w:rsidP="009C51FF">
      <w:pPr>
        <w:pStyle w:val="SingleTxtG"/>
      </w:pPr>
      <w:r w:rsidRPr="008B0D9B">
        <w:rPr>
          <w:i/>
          <w:iCs/>
        </w:rPr>
        <w:t>(Document de référence : document informel INF.49, proposition 9)</w:t>
      </w:r>
    </w:p>
    <w:p w14:paraId="54B9D4AF" w14:textId="079B2649" w:rsidR="00DE2765" w:rsidRPr="008B0D9B" w:rsidRDefault="00DE2765" w:rsidP="00666101">
      <w:pPr>
        <w:pStyle w:val="SingleTxtG"/>
        <w:ind w:left="2835" w:hanging="1701"/>
      </w:pPr>
      <w:r w:rsidRPr="008B0D9B">
        <w:t>(ADR :) 6.8.1.5.1 a)</w:t>
      </w:r>
      <w:r w:rsidRPr="008B0D9B">
        <w:tab/>
        <w:t>Ajouter le nouveau nota suivant à la fin :</w:t>
      </w:r>
    </w:p>
    <w:p w14:paraId="7821238C" w14:textId="79823051" w:rsidR="00DE2765" w:rsidRPr="008B0D9B" w:rsidRDefault="00DE2765" w:rsidP="00666101">
      <w:pPr>
        <w:pStyle w:val="SingleTxtG"/>
        <w:ind w:left="2268"/>
      </w:pPr>
      <w:r w:rsidRPr="008B0D9B">
        <w:t>«</w:t>
      </w:r>
      <w:r w:rsidRPr="008B0D9B">
        <w:rPr>
          <w:b/>
          <w:bCs/>
          <w:i/>
          <w:iCs/>
        </w:rPr>
        <w:t> NOTA</w:t>
      </w:r>
      <w:r w:rsidRPr="00666101">
        <w:rPr>
          <w:i/>
          <w:iCs/>
        </w:rPr>
        <w:t> :</w:t>
      </w:r>
      <w:r w:rsidRPr="008B0D9B">
        <w:rPr>
          <w:i/>
          <w:iCs/>
        </w:rPr>
        <w:tab/>
        <w:t>Jusqu’au 31</w:t>
      </w:r>
      <w:r w:rsidR="00666101">
        <w:rPr>
          <w:i/>
          <w:iCs/>
        </w:rPr>
        <w:t> </w:t>
      </w:r>
      <w:r w:rsidRPr="008B0D9B">
        <w:rPr>
          <w:i/>
          <w:iCs/>
        </w:rPr>
        <w:t>décembre 2028, l’examen de type doit être effectué par un organisme de contrôle agréé ou reconnu par le pays d’immatriculation.</w:t>
      </w:r>
      <w:r w:rsidRPr="008B0D9B">
        <w:t> ».</w:t>
      </w:r>
    </w:p>
    <w:p w14:paraId="2A5DBA3B" w14:textId="61940EC2" w:rsidR="00DE2765" w:rsidRPr="008B0D9B" w:rsidRDefault="00DE2765" w:rsidP="009C51FF">
      <w:pPr>
        <w:pStyle w:val="SingleTxtG"/>
      </w:pPr>
      <w:r w:rsidRPr="008B0D9B">
        <w:rPr>
          <w:i/>
          <w:iCs/>
        </w:rPr>
        <w:t>(Document de référence : document informel INF.48, proposition 1, telle que modifiée)</w:t>
      </w:r>
    </w:p>
    <w:p w14:paraId="68BE3363" w14:textId="0A508C04" w:rsidR="00DE2765" w:rsidRPr="008B0D9B" w:rsidRDefault="00DE2765" w:rsidP="00E70D41">
      <w:pPr>
        <w:pStyle w:val="SingleTxtG"/>
        <w:keepNext/>
        <w:ind w:left="2268" w:hanging="1134"/>
      </w:pPr>
      <w:r w:rsidRPr="008B0D9B">
        <w:lastRenderedPageBreak/>
        <w:t>(ADR :) 6.8.1.5.4 a)</w:t>
      </w:r>
      <w:r w:rsidRPr="008B0D9B">
        <w:tab/>
        <w:t>Ajouter le nouveau nota suivant à la fin :</w:t>
      </w:r>
    </w:p>
    <w:p w14:paraId="63C64184" w14:textId="030F1A04" w:rsidR="00DE2765" w:rsidRPr="008B0D9B" w:rsidRDefault="00DE2765" w:rsidP="00666101">
      <w:pPr>
        <w:pStyle w:val="SingleTxtG"/>
        <w:ind w:left="2268"/>
      </w:pPr>
      <w:r w:rsidRPr="008B0D9B">
        <w:t>« </w:t>
      </w:r>
      <w:r w:rsidRPr="008B0D9B">
        <w:rPr>
          <w:b/>
          <w:bCs/>
          <w:i/>
          <w:iCs/>
        </w:rPr>
        <w:t>NOTA</w:t>
      </w:r>
      <w:r w:rsidRPr="00666101">
        <w:rPr>
          <w:i/>
          <w:iCs/>
        </w:rPr>
        <w:t> :</w:t>
      </w:r>
      <w:r w:rsidRPr="008B0D9B">
        <w:rPr>
          <w:b/>
          <w:bCs/>
          <w:i/>
          <w:iCs/>
        </w:rPr>
        <w:tab/>
      </w:r>
      <w:r w:rsidRPr="008B0D9B">
        <w:rPr>
          <w:i/>
          <w:iCs/>
        </w:rPr>
        <w:t>Jusqu’au 31</w:t>
      </w:r>
      <w:r w:rsidR="00666101">
        <w:rPr>
          <w:i/>
          <w:iCs/>
        </w:rPr>
        <w:t> </w:t>
      </w:r>
      <w:r w:rsidRPr="008B0D9B">
        <w:rPr>
          <w:i/>
          <w:iCs/>
        </w:rPr>
        <w:t>décembre 2032, le contrôle initial doit être effectué par un organisme de contrôle agréé ou reconnu par le pays d’immatriculation.</w:t>
      </w:r>
      <w:r w:rsidRPr="008B0D9B">
        <w:t> ».</w:t>
      </w:r>
    </w:p>
    <w:p w14:paraId="47CC5C04" w14:textId="4419020E" w:rsidR="00DE2765" w:rsidRPr="008B0D9B" w:rsidRDefault="00DE2765" w:rsidP="009C51FF">
      <w:pPr>
        <w:pStyle w:val="SingleTxtG"/>
      </w:pPr>
      <w:r w:rsidRPr="008B0D9B">
        <w:rPr>
          <w:i/>
          <w:iCs/>
        </w:rPr>
        <w:t>(Document de référence : document informel INF.48, proposition 2, telle que modifiée)</w:t>
      </w:r>
    </w:p>
    <w:p w14:paraId="05F2D0FC" w14:textId="77777777" w:rsidR="00DE2765" w:rsidRPr="008B0D9B" w:rsidRDefault="00DE2765" w:rsidP="009C51FF">
      <w:pPr>
        <w:pStyle w:val="SingleTxtG"/>
        <w:ind w:left="2268" w:hanging="1134"/>
      </w:pPr>
      <w:r w:rsidRPr="008B0D9B">
        <w:t>6.8.1.5.5</w:t>
      </w:r>
      <w:r w:rsidRPr="008B0D9B">
        <w:tab/>
        <w:t>Supprimer le nota.</w:t>
      </w:r>
    </w:p>
    <w:p w14:paraId="4F480A9E" w14:textId="15FF96BE" w:rsidR="00DE2765" w:rsidRPr="008B0D9B" w:rsidRDefault="00DE2765" w:rsidP="009C51FF">
      <w:pPr>
        <w:pStyle w:val="SingleTxtG"/>
      </w:pPr>
      <w:r w:rsidRPr="008B0D9B">
        <w:rPr>
          <w:i/>
          <w:iCs/>
        </w:rPr>
        <w:t>(Document de référence : document informel INF.49, proposition 9)</w:t>
      </w:r>
    </w:p>
    <w:p w14:paraId="19CC3CA6" w14:textId="7A1E3E9B" w:rsidR="00DE2765" w:rsidRPr="008B0D9B" w:rsidRDefault="00DE2765" w:rsidP="009C51FF">
      <w:pPr>
        <w:pStyle w:val="SingleTxtG"/>
        <w:ind w:left="2268" w:hanging="1134"/>
      </w:pPr>
      <w:r w:rsidRPr="008B0D9B">
        <w:t>6.8.1.5.6</w:t>
      </w:r>
      <w:r w:rsidRPr="008B0D9B">
        <w:tab/>
        <w:t>Dans la colonne de gauche du texte pour l’ADR, ajouter la phrase suivante :</w:t>
      </w:r>
    </w:p>
    <w:p w14:paraId="4B3F5956" w14:textId="2EFE3B75" w:rsidR="00DE2765" w:rsidRPr="008B0D9B" w:rsidRDefault="00DE2765" w:rsidP="00047002">
      <w:pPr>
        <w:pStyle w:val="SingleTxtG"/>
        <w:ind w:left="2268"/>
      </w:pPr>
      <w:r w:rsidRPr="008B0D9B">
        <w:t>« Les contrôles exceptionnels peuvent alternativement être effectués dans le pays de construction par un organisme de contrôle agréé ou reconnu par l’autorité compétente du pays de construction ou du pays d’immatriculation. »</w:t>
      </w:r>
      <w:r w:rsidR="00047002">
        <w:t>.</w:t>
      </w:r>
    </w:p>
    <w:p w14:paraId="58531873" w14:textId="4C3CB7DC" w:rsidR="00DE2765" w:rsidRPr="008B0D9B" w:rsidRDefault="00DE2765" w:rsidP="009C51FF">
      <w:pPr>
        <w:pStyle w:val="SingleTxtG"/>
        <w:rPr>
          <w:i/>
          <w:iCs/>
        </w:rPr>
      </w:pPr>
      <w:r w:rsidRPr="008B0D9B">
        <w:rPr>
          <w:i/>
          <w:iCs/>
        </w:rPr>
        <w:t>(Document de référence : document informel INF.49, proposition 13)</w:t>
      </w:r>
    </w:p>
    <w:p w14:paraId="06DDD650" w14:textId="77777777" w:rsidR="00DE2765" w:rsidRPr="008B0D9B" w:rsidRDefault="00DE2765" w:rsidP="009C51FF">
      <w:pPr>
        <w:pStyle w:val="SingleTxtG"/>
        <w:ind w:left="2268" w:hanging="1134"/>
      </w:pPr>
      <w:r w:rsidRPr="008B0D9B">
        <w:t>6.8.2.3.2</w:t>
      </w:r>
      <w:r w:rsidRPr="008B0D9B">
        <w:tab/>
        <w:t>Modification sans objet en français.</w:t>
      </w:r>
    </w:p>
    <w:p w14:paraId="07736912" w14:textId="01DA8CA7" w:rsidR="00DE2765" w:rsidRPr="008B0D9B" w:rsidRDefault="00DE2765" w:rsidP="009C51FF">
      <w:pPr>
        <w:pStyle w:val="SingleTxtG"/>
        <w:rPr>
          <w:i/>
          <w:iCs/>
        </w:rPr>
      </w:pPr>
      <w:r w:rsidRPr="008B0D9B">
        <w:rPr>
          <w:i/>
          <w:iCs/>
        </w:rPr>
        <w:t>(Document de référence : document informel INF.49, proposition 8)</w:t>
      </w:r>
    </w:p>
    <w:p w14:paraId="71929F3E" w14:textId="507CBBF7" w:rsidR="00DE2765" w:rsidRPr="008B0D9B" w:rsidRDefault="00DE2765" w:rsidP="00DE2765">
      <w:pPr>
        <w:pStyle w:val="H23G"/>
      </w:pPr>
      <w:r w:rsidRPr="008B0D9B">
        <w:tab/>
      </w:r>
      <w:r w:rsidRPr="008B0D9B">
        <w:tab/>
        <w:t>Document ECE/TRANS/WP.15/AC.1/2021/24/Add.1 adopté avec les modifications suivantes :</w:t>
      </w:r>
    </w:p>
    <w:p w14:paraId="20F40736" w14:textId="77777777" w:rsidR="00DE2765" w:rsidRPr="008B0D9B" w:rsidRDefault="00DE2765" w:rsidP="00DE2765">
      <w:pPr>
        <w:spacing w:after="120"/>
        <w:ind w:left="2268" w:right="1134" w:hanging="1134"/>
        <w:jc w:val="both"/>
        <w:rPr>
          <w:rFonts w:eastAsia="SimSun"/>
          <w:lang w:eastAsia="zh-CN"/>
        </w:rPr>
      </w:pPr>
      <w:r w:rsidRPr="008B0D9B">
        <w:rPr>
          <w:rFonts w:eastAsia="SimSun"/>
          <w:lang w:eastAsia="zh-CN"/>
        </w:rPr>
        <w:t>Supprimer tous les crochets</w:t>
      </w:r>
    </w:p>
    <w:p w14:paraId="4CC5557E" w14:textId="77777777" w:rsidR="00DE2765" w:rsidRPr="008B0D9B" w:rsidRDefault="00DE2765" w:rsidP="00DE2765">
      <w:pPr>
        <w:pStyle w:val="H4G"/>
      </w:pPr>
      <w:r w:rsidRPr="008B0D9B">
        <w:tab/>
      </w:r>
      <w:r w:rsidRPr="008B0D9B">
        <w:tab/>
        <w:t>Chapitre 1.2</w:t>
      </w:r>
    </w:p>
    <w:p w14:paraId="496DA96D" w14:textId="77777777" w:rsidR="00DE2765" w:rsidRPr="008B0D9B" w:rsidRDefault="00DE2765" w:rsidP="009C51FF">
      <w:pPr>
        <w:pStyle w:val="SingleTxtG"/>
        <w:ind w:left="2268" w:hanging="1134"/>
        <w:rPr>
          <w:rFonts w:eastAsia="SimSun"/>
          <w:lang w:eastAsia="zh-CN"/>
        </w:rPr>
      </w:pPr>
      <w:r w:rsidRPr="008B0D9B">
        <w:rPr>
          <w:rFonts w:eastAsia="SimSun"/>
          <w:lang w:eastAsia="zh-CN"/>
        </w:rPr>
        <w:t>1.2.1</w:t>
      </w:r>
      <w:r w:rsidRPr="008B0D9B">
        <w:rPr>
          <w:rFonts w:eastAsia="SimSun"/>
          <w:lang w:eastAsia="zh-CN"/>
        </w:rPr>
        <w:tab/>
        <w:t>Dans la définition de « Pression de service », alinéa b), remplacer « le volume de solvant spécifié » par « la quantité de solvent spécifiée ».</w:t>
      </w:r>
    </w:p>
    <w:p w14:paraId="0F098E98" w14:textId="77777777" w:rsidR="00DE2765" w:rsidRPr="008B0D9B" w:rsidRDefault="00DE2765" w:rsidP="00DE2765">
      <w:pPr>
        <w:pStyle w:val="H4G"/>
      </w:pPr>
      <w:r w:rsidRPr="008B0D9B">
        <w:tab/>
      </w:r>
      <w:r w:rsidRPr="008B0D9B">
        <w:tab/>
        <w:t>Chapitre 3.2, tableau A</w:t>
      </w:r>
    </w:p>
    <w:p w14:paraId="7CB02872" w14:textId="410CA245" w:rsidR="00DE2765" w:rsidRPr="008B0D9B" w:rsidRDefault="00DE2765" w:rsidP="00047002">
      <w:pPr>
        <w:pStyle w:val="SingleTxtG"/>
        <w:rPr>
          <w:lang w:eastAsia="zh-CN"/>
        </w:rPr>
      </w:pPr>
      <w:r w:rsidRPr="008B0D9B">
        <w:rPr>
          <w:lang w:eastAsia="zh-CN"/>
        </w:rPr>
        <w:t>(ADR :) Pour le No</w:t>
      </w:r>
      <w:r w:rsidR="00494F8C">
        <w:rPr>
          <w:lang w:eastAsia="zh-CN"/>
        </w:rPr>
        <w:t> </w:t>
      </w:r>
      <w:r w:rsidRPr="008B0D9B">
        <w:rPr>
          <w:lang w:eastAsia="zh-CN"/>
        </w:rPr>
        <w:t>ONU 3550, dans la colonne (9a), supprimer « B1, ». Dans la colonne (16), supprimer « V10 ».</w:t>
      </w:r>
    </w:p>
    <w:p w14:paraId="0D0C8558" w14:textId="67990031" w:rsidR="00DE2765" w:rsidRPr="008B0D9B" w:rsidRDefault="00DE2765" w:rsidP="00047002">
      <w:pPr>
        <w:pStyle w:val="SingleTxtG"/>
        <w:rPr>
          <w:lang w:eastAsia="zh-CN"/>
        </w:rPr>
      </w:pPr>
      <w:r w:rsidRPr="008B0D9B">
        <w:rPr>
          <w:lang w:eastAsia="zh-CN"/>
        </w:rPr>
        <w:t>(RID :) Pour le No</w:t>
      </w:r>
      <w:r w:rsidR="00494F8C">
        <w:rPr>
          <w:lang w:eastAsia="zh-CN"/>
        </w:rPr>
        <w:t> </w:t>
      </w:r>
      <w:r w:rsidRPr="008B0D9B">
        <w:rPr>
          <w:lang w:eastAsia="zh-CN"/>
        </w:rPr>
        <w:t>ONU 3550, dans la colonne (9a), supprimer « [B1,] ». Dans la colonne (16), supprimer « W10 ».</w:t>
      </w:r>
    </w:p>
    <w:p w14:paraId="3464320C" w14:textId="77777777" w:rsidR="00DE2765" w:rsidRPr="008B0D9B" w:rsidRDefault="00DE2765" w:rsidP="00DE2765">
      <w:pPr>
        <w:pStyle w:val="H4G"/>
      </w:pPr>
      <w:r w:rsidRPr="008B0D9B">
        <w:tab/>
      </w:r>
      <w:r w:rsidRPr="008B0D9B">
        <w:tab/>
        <w:t>Chapitre 4.1</w:t>
      </w:r>
    </w:p>
    <w:p w14:paraId="02E0CF3A" w14:textId="0DD1538C" w:rsidR="00DE2765" w:rsidRPr="008B0D9B" w:rsidRDefault="00DE2765" w:rsidP="00047002">
      <w:pPr>
        <w:pStyle w:val="SingleTxtG"/>
        <w:ind w:left="2552" w:hanging="1418"/>
        <w:rPr>
          <w:rFonts w:eastAsia="SimSun"/>
          <w:lang w:eastAsia="zh-CN"/>
        </w:rPr>
      </w:pPr>
      <w:r w:rsidRPr="008B0D9B">
        <w:rPr>
          <w:rFonts w:eastAsia="SimSun"/>
          <w:lang w:eastAsia="zh-CN"/>
        </w:rPr>
        <w:t>4.1.4.1, P200</w:t>
      </w:r>
      <w:r w:rsidRPr="008B0D9B">
        <w:rPr>
          <w:rFonts w:eastAsia="SimSun"/>
          <w:lang w:eastAsia="zh-CN"/>
        </w:rPr>
        <w:tab/>
        <w:t>Au point 10), après « (31 bar) » ajouter « absolus » (deux fois).</w:t>
      </w:r>
    </w:p>
    <w:p w14:paraId="057AA7E2" w14:textId="77777777" w:rsidR="00DE2765" w:rsidRPr="008B0D9B" w:rsidRDefault="00DE2765" w:rsidP="00047002">
      <w:pPr>
        <w:pStyle w:val="SingleTxtG"/>
        <w:ind w:left="2552" w:hanging="1418"/>
        <w:rPr>
          <w:rFonts w:eastAsia="SimSun"/>
          <w:lang w:eastAsia="zh-CN"/>
        </w:rPr>
      </w:pPr>
      <w:r w:rsidRPr="008B0D9B">
        <w:rPr>
          <w:rFonts w:eastAsia="SimSun"/>
          <w:lang w:eastAsia="zh-CN"/>
        </w:rPr>
        <w:t>4.1.4.2, IBC07</w:t>
      </w:r>
      <w:r w:rsidRPr="008B0D9B">
        <w:rPr>
          <w:rFonts w:eastAsia="SimSun"/>
          <w:lang w:eastAsia="zh-CN"/>
        </w:rPr>
        <w:tab/>
        <w:t>Supprimer le premier amendement (nouvelle disposition spéciale B1).</w:t>
      </w:r>
    </w:p>
    <w:p w14:paraId="4D874B57" w14:textId="77777777" w:rsidR="00DE2765" w:rsidRPr="008B0D9B" w:rsidRDefault="00DE2765" w:rsidP="00047002">
      <w:pPr>
        <w:pStyle w:val="SingleTxtG"/>
        <w:ind w:left="2552" w:hanging="1418"/>
        <w:rPr>
          <w:rFonts w:eastAsia="SimSun"/>
          <w:b/>
          <w:bCs/>
          <w:lang w:eastAsia="zh-CN"/>
        </w:rPr>
      </w:pPr>
      <w:r w:rsidRPr="008B0D9B">
        <w:rPr>
          <w:rFonts w:eastAsia="SimSun"/>
          <w:lang w:eastAsia="zh-CN"/>
        </w:rPr>
        <w:t>4.1.4.2, IBC520</w:t>
      </w:r>
      <w:r w:rsidRPr="008B0D9B">
        <w:rPr>
          <w:rFonts w:eastAsia="SimSun"/>
          <w:lang w:eastAsia="zh-CN"/>
        </w:rPr>
        <w:tab/>
      </w:r>
      <w:r w:rsidRPr="008B0D9B">
        <w:t>Modification sans objet en français.</w:t>
      </w:r>
    </w:p>
    <w:p w14:paraId="5A6228F4" w14:textId="77777777" w:rsidR="00DE2765" w:rsidRPr="008B0D9B" w:rsidRDefault="00DE2765" w:rsidP="00047002">
      <w:pPr>
        <w:pStyle w:val="SingleTxtG"/>
        <w:ind w:left="2552" w:hanging="1418"/>
        <w:rPr>
          <w:rFonts w:eastAsia="SimSun"/>
          <w:lang w:eastAsia="zh-CN"/>
        </w:rPr>
      </w:pPr>
      <w:r w:rsidRPr="008B0D9B">
        <w:rPr>
          <w:rFonts w:eastAsia="SimSun"/>
          <w:lang w:eastAsia="zh-CN"/>
        </w:rPr>
        <w:t>4.1.4.3, LP906</w:t>
      </w:r>
      <w:r w:rsidRPr="008B0D9B">
        <w:rPr>
          <w:rFonts w:eastAsia="SimSun"/>
          <w:lang w:eastAsia="zh-CN"/>
        </w:rPr>
        <w:tab/>
        <w:t>Modification sans objet en français.</w:t>
      </w:r>
    </w:p>
    <w:p w14:paraId="02C9F9D4" w14:textId="77777777" w:rsidR="00DE2765" w:rsidRPr="008B0D9B" w:rsidRDefault="00DE2765" w:rsidP="00DE2765">
      <w:pPr>
        <w:pStyle w:val="H4G"/>
      </w:pPr>
      <w:r w:rsidRPr="008B0D9B">
        <w:tab/>
      </w:r>
      <w:r w:rsidRPr="008B0D9B">
        <w:tab/>
        <w:t>Chapitre 4.2</w:t>
      </w:r>
    </w:p>
    <w:p w14:paraId="1981DDAF" w14:textId="327EE825" w:rsidR="00DE2765" w:rsidRPr="008B0D9B" w:rsidRDefault="00DE2765" w:rsidP="00047002">
      <w:pPr>
        <w:pStyle w:val="SingleTxtG"/>
        <w:ind w:left="2552" w:hanging="1418"/>
      </w:pPr>
      <w:r w:rsidRPr="008B0D9B">
        <w:t>4.2.5.2.6, T23</w:t>
      </w:r>
      <w:r w:rsidRPr="008B0D9B">
        <w:tab/>
        <w:t>Modification sans objet en français.</w:t>
      </w:r>
    </w:p>
    <w:p w14:paraId="262247BD" w14:textId="77777777" w:rsidR="00DE2765" w:rsidRPr="008B0D9B" w:rsidRDefault="00DE2765" w:rsidP="00DE2765">
      <w:pPr>
        <w:pStyle w:val="H4G"/>
      </w:pPr>
      <w:r w:rsidRPr="008B0D9B">
        <w:tab/>
      </w:r>
      <w:r w:rsidRPr="008B0D9B">
        <w:tab/>
        <w:t>Chapitre 5.4</w:t>
      </w:r>
    </w:p>
    <w:p w14:paraId="0C26DAE1" w14:textId="77777777" w:rsidR="00DE2765" w:rsidRPr="008B0D9B" w:rsidRDefault="00DE2765" w:rsidP="009C51FF">
      <w:pPr>
        <w:pStyle w:val="SingleTxtG"/>
        <w:ind w:left="2268" w:hanging="1134"/>
      </w:pPr>
      <w:r w:rsidRPr="008B0D9B">
        <w:t>5.4.1.1.21</w:t>
      </w:r>
      <w:r w:rsidRPr="008B0D9B">
        <w:tab/>
        <w:t>Dans le titre, remplacer « Rubriques » par « Renseignements ».</w:t>
      </w:r>
    </w:p>
    <w:p w14:paraId="49A7AC93" w14:textId="64308055" w:rsidR="00DE2765" w:rsidRPr="008B0D9B" w:rsidRDefault="00DE2765" w:rsidP="00047002">
      <w:pPr>
        <w:pStyle w:val="SingleTxtG"/>
        <w:ind w:left="2268"/>
      </w:pPr>
      <w:r w:rsidRPr="008B0D9B">
        <w:t>Dans le paragraphe sous le titre, remplacer « informations » par « renseignements » (deux fois).</w:t>
      </w:r>
    </w:p>
    <w:p w14:paraId="40945E24" w14:textId="77777777" w:rsidR="00DE2765" w:rsidRPr="008B0D9B" w:rsidRDefault="00DE2765" w:rsidP="00DE2765">
      <w:pPr>
        <w:pStyle w:val="H4G"/>
      </w:pPr>
      <w:r w:rsidRPr="008B0D9B">
        <w:tab/>
      </w:r>
      <w:r w:rsidRPr="008B0D9B">
        <w:tab/>
        <w:t>Chapitre 6.2</w:t>
      </w:r>
    </w:p>
    <w:p w14:paraId="16EC63A5" w14:textId="77777777" w:rsidR="00DE2765" w:rsidRPr="008B0D9B" w:rsidRDefault="00DE2765" w:rsidP="009C51FF">
      <w:pPr>
        <w:pStyle w:val="SingleTxtG"/>
        <w:ind w:left="2268" w:hanging="1134"/>
      </w:pPr>
      <w:r w:rsidRPr="008B0D9B">
        <w:t>6.2.1.5.2</w:t>
      </w:r>
      <w:r w:rsidRPr="008B0D9B">
        <w:tab/>
        <w:t>Première modification sans objet en français.</w:t>
      </w:r>
    </w:p>
    <w:p w14:paraId="05B77F3F" w14:textId="0C9D4CBB" w:rsidR="00DE2765" w:rsidRPr="008B0D9B" w:rsidRDefault="00DE2765" w:rsidP="00047002">
      <w:pPr>
        <w:pStyle w:val="SingleTxtG"/>
        <w:ind w:left="2268"/>
      </w:pPr>
      <w:r w:rsidRPr="008B0D9B">
        <w:t>À l’alinéa e), supprimer « doivent être vérifiées ».</w:t>
      </w:r>
    </w:p>
    <w:p w14:paraId="6B99403E" w14:textId="77777777" w:rsidR="00DE2765" w:rsidRPr="008B0D9B" w:rsidRDefault="00DE2765" w:rsidP="009C51FF">
      <w:pPr>
        <w:pStyle w:val="SingleTxtG"/>
        <w:ind w:left="2268" w:hanging="1134"/>
      </w:pPr>
      <w:r w:rsidRPr="008B0D9B">
        <w:t>6.2.1.5.4</w:t>
      </w:r>
      <w:r w:rsidRPr="008B0D9B">
        <w:tab/>
        <w:t>Au premier paragraphe, remplacer « la masse brute maximale » par « le poids brut maximal ».</w:t>
      </w:r>
    </w:p>
    <w:p w14:paraId="714278BE" w14:textId="77777777" w:rsidR="00DE2765" w:rsidRPr="008B0D9B" w:rsidRDefault="00DE2765" w:rsidP="009C51FF">
      <w:pPr>
        <w:pStyle w:val="SingleTxtG"/>
        <w:ind w:left="2268" w:hanging="1134"/>
      </w:pPr>
      <w:r w:rsidRPr="008B0D9B">
        <w:lastRenderedPageBreak/>
        <w:t>6.2.1.6.1</w:t>
      </w:r>
      <w:r w:rsidRPr="008B0D9B">
        <w:tab/>
        <w:t>Dans le nota 3, Remplacer « bouteilles à gaz » par « bouteilles ».</w:t>
      </w:r>
    </w:p>
    <w:p w14:paraId="1E1EF25C" w14:textId="66A615C0" w:rsidR="00DE2765" w:rsidRPr="008B0D9B" w:rsidRDefault="00DE2765" w:rsidP="00047002">
      <w:pPr>
        <w:pStyle w:val="SingleTxtG"/>
        <w:ind w:left="2268"/>
      </w:pPr>
      <w:r w:rsidRPr="008B0D9B">
        <w:t>Dans le nota 4, à la fin, remplacer «</w:t>
      </w:r>
      <w:r w:rsidR="00047002">
        <w:t> </w:t>
      </w:r>
      <w:r w:rsidRPr="008B0D9B">
        <w:t>le tuyau collecteur</w:t>
      </w:r>
      <w:r w:rsidR="00047002">
        <w:t> </w:t>
      </w:r>
      <w:r w:rsidRPr="008B0D9B">
        <w:t>» par «</w:t>
      </w:r>
      <w:r w:rsidR="00047002">
        <w:t> </w:t>
      </w:r>
      <w:r w:rsidRPr="008B0D9B">
        <w:t>les tuyaux collecteurs</w:t>
      </w:r>
      <w:r w:rsidR="00047002">
        <w:t> </w:t>
      </w:r>
      <w:r w:rsidRPr="008B0D9B">
        <w:t>».</w:t>
      </w:r>
    </w:p>
    <w:p w14:paraId="2444651A" w14:textId="49EFD639" w:rsidR="00DE2765" w:rsidRPr="008B0D9B" w:rsidRDefault="00DE2765" w:rsidP="009C51FF">
      <w:pPr>
        <w:pStyle w:val="SingleTxtG"/>
        <w:ind w:left="2268" w:hanging="1134"/>
      </w:pPr>
      <w:r w:rsidRPr="008B0D9B">
        <w:t>6.2.2.5.1</w:t>
      </w:r>
      <w:r w:rsidRPr="008B0D9B">
        <w:tab/>
        <w:t>Dans la deuxième phrase du nouveau 6.2.2.5.1, remplacer « Le paragraphe 6.2.1.4.3 » par «</w:t>
      </w:r>
      <w:r w:rsidR="00494F8C">
        <w:t> </w:t>
      </w:r>
      <w:r w:rsidRPr="008B0D9B">
        <w:t>Le</w:t>
      </w:r>
      <w:r w:rsidR="00494F8C">
        <w:t xml:space="preserve"> </w:t>
      </w:r>
      <w:r w:rsidRPr="008B0D9B">
        <w:t>6.2.1.4.4 ».</w:t>
      </w:r>
    </w:p>
    <w:p w14:paraId="6EE75A54" w14:textId="356F1290" w:rsidR="00DE2765" w:rsidRPr="008B0D9B" w:rsidRDefault="00DE2765" w:rsidP="009C51FF">
      <w:pPr>
        <w:pStyle w:val="SingleTxtG"/>
        <w:ind w:left="2268" w:hanging="1134"/>
        <w:rPr>
          <w:i/>
        </w:rPr>
      </w:pPr>
      <w:r w:rsidRPr="008B0D9B">
        <w:t>6.2.2.7.2</w:t>
      </w:r>
      <w:r w:rsidRPr="008B0D9B">
        <w:tab/>
        <w:t>Dans le nouveau nota après e), remplacer « 6.2.1.4.3 b) » par « 6.2.1.4.4 b)</w:t>
      </w:r>
      <w:r w:rsidR="00494F8C">
        <w:t> </w:t>
      </w:r>
      <w:r w:rsidRPr="008B0D9B">
        <w:t>».</w:t>
      </w:r>
    </w:p>
    <w:p w14:paraId="3C813816" w14:textId="77777777" w:rsidR="00DE2765" w:rsidRPr="008B0D9B" w:rsidRDefault="00DE2765" w:rsidP="00DE2765">
      <w:pPr>
        <w:pStyle w:val="H4G"/>
      </w:pPr>
      <w:r w:rsidRPr="008B0D9B">
        <w:tab/>
      </w:r>
      <w:r w:rsidRPr="008B0D9B">
        <w:tab/>
        <w:t>Chapitre 6.9</w:t>
      </w:r>
    </w:p>
    <w:p w14:paraId="4451694D" w14:textId="6207E515" w:rsidR="00DE2765" w:rsidRPr="008B0D9B" w:rsidRDefault="00DE2765" w:rsidP="009C51FF">
      <w:pPr>
        <w:pStyle w:val="SingleTxtG"/>
        <w:ind w:left="2268" w:hanging="1134"/>
        <w:rPr>
          <w:rFonts w:eastAsia="SimSun"/>
          <w:lang w:eastAsia="zh-CN"/>
        </w:rPr>
      </w:pPr>
      <w:r w:rsidRPr="008B0D9B">
        <w:rPr>
          <w:rFonts w:eastAsia="SimSun"/>
          <w:lang w:eastAsia="zh-CN"/>
        </w:rPr>
        <w:t>6.9.2.1</w:t>
      </w:r>
      <w:r w:rsidRPr="008B0D9B">
        <w:rPr>
          <w:rFonts w:eastAsia="SimSun"/>
          <w:lang w:eastAsia="zh-CN"/>
        </w:rPr>
        <w:tab/>
        <w:t>Modification de la définition d’«</w:t>
      </w:r>
      <w:r w:rsidR="00047002">
        <w:rPr>
          <w:rFonts w:eastAsia="SimSun"/>
          <w:lang w:eastAsia="zh-CN"/>
        </w:rPr>
        <w:t> </w:t>
      </w:r>
      <w:r w:rsidRPr="008B0D9B">
        <w:rPr>
          <w:rFonts w:eastAsia="SimSun"/>
          <w:i/>
          <w:iCs/>
          <w:lang w:eastAsia="zh-CN"/>
        </w:rPr>
        <w:t>Enroulement filamentaire</w:t>
      </w:r>
      <w:r w:rsidR="00047002">
        <w:rPr>
          <w:rFonts w:eastAsia="SimSun"/>
          <w:lang w:eastAsia="zh-CN"/>
        </w:rPr>
        <w:t> </w:t>
      </w:r>
      <w:r w:rsidRPr="008B0D9B">
        <w:rPr>
          <w:rFonts w:eastAsia="SimSun"/>
          <w:lang w:eastAsia="zh-CN"/>
        </w:rPr>
        <w:t>» sans objet en français.</w:t>
      </w:r>
    </w:p>
    <w:p w14:paraId="0241897D" w14:textId="7427B49E" w:rsidR="00DE2765" w:rsidRPr="008B0D9B" w:rsidRDefault="00DE2765" w:rsidP="00047002">
      <w:pPr>
        <w:pStyle w:val="SingleTxtG"/>
        <w:ind w:left="2268"/>
        <w:rPr>
          <w:rFonts w:eastAsia="SimSun"/>
          <w:lang w:eastAsia="zh-CN"/>
        </w:rPr>
      </w:pPr>
      <w:r w:rsidRPr="008B0D9B">
        <w:rPr>
          <w:rFonts w:eastAsia="SimSun"/>
          <w:lang w:eastAsia="zh-CN"/>
        </w:rPr>
        <w:t>Dans la définition de «</w:t>
      </w:r>
      <w:r w:rsidR="00494F8C">
        <w:rPr>
          <w:rFonts w:eastAsia="SimSun"/>
          <w:lang w:eastAsia="zh-CN"/>
        </w:rPr>
        <w:t> </w:t>
      </w:r>
      <w:r w:rsidRPr="008B0D9B">
        <w:rPr>
          <w:rFonts w:eastAsia="SimSun"/>
          <w:lang w:eastAsia="zh-CN"/>
        </w:rPr>
        <w:t>Réservoir en PRF</w:t>
      </w:r>
      <w:r w:rsidR="00494F8C">
        <w:rPr>
          <w:rFonts w:eastAsia="SimSun"/>
          <w:lang w:eastAsia="zh-CN"/>
        </w:rPr>
        <w:t> </w:t>
      </w:r>
      <w:r w:rsidRPr="008B0D9B">
        <w:rPr>
          <w:rFonts w:eastAsia="SimSun"/>
          <w:lang w:eastAsia="zh-CN"/>
        </w:rPr>
        <w:t>», supprimer « au stockage et ».</w:t>
      </w:r>
    </w:p>
    <w:p w14:paraId="27444412" w14:textId="455AC757" w:rsidR="00DE2765" w:rsidRPr="008B0D9B" w:rsidRDefault="00DE2765" w:rsidP="00047002">
      <w:pPr>
        <w:pStyle w:val="SingleTxtG"/>
        <w:ind w:left="2268"/>
        <w:rPr>
          <w:rFonts w:eastAsia="SimSun"/>
          <w:lang w:eastAsia="zh-CN"/>
        </w:rPr>
      </w:pPr>
      <w:r w:rsidRPr="008B0D9B">
        <w:rPr>
          <w:rFonts w:eastAsia="SimSun"/>
          <w:lang w:eastAsia="zh-CN"/>
        </w:rPr>
        <w:t>La définition de «</w:t>
      </w:r>
      <w:r w:rsidR="00494F8C">
        <w:rPr>
          <w:rFonts w:eastAsia="SimSun"/>
          <w:lang w:eastAsia="zh-CN"/>
        </w:rPr>
        <w:t> </w:t>
      </w:r>
      <w:r w:rsidRPr="008B0D9B">
        <w:rPr>
          <w:rFonts w:eastAsia="SimSun"/>
          <w:lang w:eastAsia="zh-CN"/>
        </w:rPr>
        <w:t>Citerne en PRF</w:t>
      </w:r>
      <w:r w:rsidR="00494F8C">
        <w:rPr>
          <w:rFonts w:eastAsia="SimSun"/>
          <w:lang w:eastAsia="zh-CN"/>
        </w:rPr>
        <w:t> </w:t>
      </w:r>
      <w:r w:rsidRPr="008B0D9B">
        <w:rPr>
          <w:rFonts w:eastAsia="SimSun"/>
          <w:lang w:eastAsia="zh-CN"/>
        </w:rPr>
        <w:t>» se lit comme suit :</w:t>
      </w:r>
    </w:p>
    <w:p w14:paraId="00F44135" w14:textId="63EC4C90" w:rsidR="00DE2765" w:rsidRPr="009C51FF" w:rsidRDefault="00DE2765" w:rsidP="00047002">
      <w:pPr>
        <w:pStyle w:val="SingleTxtG"/>
        <w:ind w:left="2268"/>
      </w:pPr>
      <w:r w:rsidRPr="008B0D9B">
        <w:rPr>
          <w:rFonts w:eastAsia="SimSun"/>
          <w:lang w:eastAsia="zh-CN"/>
        </w:rPr>
        <w:t>« </w:t>
      </w:r>
      <w:r w:rsidRPr="008B0D9B">
        <w:rPr>
          <w:rFonts w:eastAsia="SimSun"/>
          <w:i/>
          <w:iCs/>
          <w:lang w:eastAsia="zh-CN"/>
        </w:rPr>
        <w:t>Citerne en PRF</w:t>
      </w:r>
      <w:r w:rsidRPr="008B0D9B">
        <w:rPr>
          <w:rFonts w:eastAsia="SimSun"/>
          <w:lang w:eastAsia="zh-CN"/>
        </w:rPr>
        <w:t xml:space="preserve">, une citerne mobile construite avec un réservoir en PRF comportant des fonds, des équipements de service, des dispositifs de </w:t>
      </w:r>
      <w:r w:rsidRPr="009C51FF">
        <w:t>décompression et d’autres équipements ; »</w:t>
      </w:r>
      <w:r w:rsidR="00047002">
        <w:t>.</w:t>
      </w:r>
    </w:p>
    <w:p w14:paraId="3576507E" w14:textId="3C3926FD" w:rsidR="00DE2765" w:rsidRPr="009C51FF" w:rsidRDefault="00DE2765" w:rsidP="009C51FF">
      <w:pPr>
        <w:pStyle w:val="SingleTxtG"/>
        <w:ind w:left="2268" w:hanging="1134"/>
      </w:pPr>
      <w:r w:rsidRPr="008B0D9B">
        <w:rPr>
          <w:rFonts w:eastAsia="SimSun"/>
          <w:lang w:eastAsia="zh-CN"/>
        </w:rPr>
        <w:t>6.9.2.2.2.3 f)</w:t>
      </w:r>
      <w:r w:rsidRPr="008B0D9B">
        <w:rPr>
          <w:rFonts w:eastAsia="SimSun"/>
          <w:lang w:eastAsia="zh-CN"/>
        </w:rPr>
        <w:tab/>
        <w:t>Remplacer «</w:t>
      </w:r>
      <w:r w:rsidR="00592D24">
        <w:rPr>
          <w:rFonts w:eastAsia="SimSun"/>
          <w:lang w:eastAsia="zh-CN"/>
        </w:rPr>
        <w:t> </w:t>
      </w:r>
      <w:r w:rsidRPr="008B0D9B">
        <w:rPr>
          <w:rFonts w:eastAsia="SimSun"/>
          <w:lang w:eastAsia="zh-CN"/>
        </w:rPr>
        <w:t>réservoir échantillon représentatif</w:t>
      </w:r>
      <w:r w:rsidR="00592D24">
        <w:rPr>
          <w:rFonts w:eastAsia="SimSun"/>
          <w:lang w:eastAsia="zh-CN"/>
        </w:rPr>
        <w:t> </w:t>
      </w:r>
      <w:r w:rsidRPr="008B0D9B">
        <w:rPr>
          <w:rFonts w:eastAsia="SimSun"/>
          <w:lang w:eastAsia="zh-CN"/>
        </w:rPr>
        <w:t>» par «</w:t>
      </w:r>
      <w:r w:rsidR="00592D24">
        <w:rPr>
          <w:rFonts w:eastAsia="SimSun"/>
          <w:lang w:eastAsia="zh-CN"/>
        </w:rPr>
        <w:t> </w:t>
      </w:r>
      <w:r w:rsidRPr="008B0D9B">
        <w:rPr>
          <w:rFonts w:eastAsia="SimSun"/>
          <w:lang w:eastAsia="zh-CN"/>
        </w:rPr>
        <w:t xml:space="preserve">échantillon témoin de </w:t>
      </w:r>
      <w:r w:rsidRPr="009C51FF">
        <w:t>réservoir</w:t>
      </w:r>
      <w:r w:rsidR="00592D24">
        <w:t> </w:t>
      </w:r>
      <w:r w:rsidRPr="009C51FF">
        <w:t>»</w:t>
      </w:r>
      <w:r w:rsidR="00592D24">
        <w:t>.</w:t>
      </w:r>
    </w:p>
    <w:p w14:paraId="16FABB22" w14:textId="77777777" w:rsidR="00DE2765" w:rsidRPr="008B0D9B" w:rsidRDefault="00DE2765" w:rsidP="009C51FF">
      <w:pPr>
        <w:pStyle w:val="SingleTxtG"/>
        <w:ind w:left="2268" w:hanging="1134"/>
        <w:rPr>
          <w:rFonts w:eastAsia="SimSun"/>
          <w:lang w:eastAsia="zh-CN"/>
        </w:rPr>
      </w:pPr>
      <w:r w:rsidRPr="008B0D9B">
        <w:rPr>
          <w:rFonts w:eastAsia="SimSun"/>
          <w:lang w:eastAsia="zh-CN"/>
        </w:rPr>
        <w:t>6.9.2.2.3.1</w:t>
      </w:r>
      <w:r w:rsidRPr="008B0D9B">
        <w:rPr>
          <w:rFonts w:eastAsia="SimSun"/>
          <w:lang w:eastAsia="zh-CN"/>
        </w:rPr>
        <w:tab/>
        <w:t>Modification sans objet en français.</w:t>
      </w:r>
    </w:p>
    <w:p w14:paraId="2BE9BFA0" w14:textId="77777777" w:rsidR="00DE2765" w:rsidRPr="008B0D9B" w:rsidRDefault="00DE2765" w:rsidP="009C51FF">
      <w:pPr>
        <w:pStyle w:val="SingleTxtG"/>
        <w:ind w:left="2268" w:hanging="1134"/>
      </w:pPr>
      <w:r w:rsidRPr="008B0D9B">
        <w:rPr>
          <w:rFonts w:eastAsia="SimSun"/>
          <w:lang w:eastAsia="zh-CN"/>
        </w:rPr>
        <w:t>6.9.2.2.3.4</w:t>
      </w:r>
      <w:r w:rsidRPr="008B0D9B">
        <w:tab/>
        <w:t>Modification de la</w:t>
      </w:r>
      <w:r w:rsidRPr="008B0D9B">
        <w:rPr>
          <w:rFonts w:eastAsia="SimSun"/>
          <w:lang w:eastAsia="zh-CN"/>
        </w:rPr>
        <w:t xml:space="preserve"> phrase d’introduction</w:t>
      </w:r>
      <w:r w:rsidRPr="008B0D9B">
        <w:t xml:space="preserve"> sans objet en français.</w:t>
      </w:r>
    </w:p>
    <w:p w14:paraId="41692069" w14:textId="4517EFF9" w:rsidR="00DE2765" w:rsidRPr="008B0D9B" w:rsidRDefault="00DE2765" w:rsidP="00047002">
      <w:pPr>
        <w:pStyle w:val="SingleTxtG"/>
        <w:ind w:left="2268"/>
      </w:pPr>
      <w:r w:rsidRPr="008B0D9B">
        <w:t>Dans le nota, remplacer « Les couches peuvent être combinées » par « Les éléments peuvent être combinés ».</w:t>
      </w:r>
    </w:p>
    <w:p w14:paraId="790D3A54" w14:textId="77777777" w:rsidR="00DE2765" w:rsidRPr="008B0D9B" w:rsidRDefault="00DE2765" w:rsidP="009C51FF">
      <w:pPr>
        <w:pStyle w:val="SingleTxtG"/>
        <w:ind w:left="2268" w:hanging="1134"/>
      </w:pPr>
      <w:r w:rsidRPr="008B0D9B">
        <w:t>6.9.2.2.3.5</w:t>
      </w:r>
      <w:r w:rsidRPr="008B0D9B">
        <w:tab/>
        <w:t>Remplacer « revêtement interne » par « revêtement » (trois fois).</w:t>
      </w:r>
    </w:p>
    <w:p w14:paraId="0B838EB9" w14:textId="77777777" w:rsidR="00DE2765" w:rsidRPr="008B0D9B" w:rsidRDefault="00DE2765" w:rsidP="009C51FF">
      <w:pPr>
        <w:pStyle w:val="SingleTxtG"/>
        <w:ind w:left="2268" w:hanging="1134"/>
        <w:rPr>
          <w:rFonts w:eastAsia="SimSun"/>
          <w:lang w:eastAsia="zh-CN"/>
        </w:rPr>
      </w:pPr>
      <w:r w:rsidRPr="008B0D9B">
        <w:rPr>
          <w:rFonts w:eastAsia="SimSun"/>
          <w:lang w:eastAsia="zh-CN"/>
        </w:rPr>
        <w:t>6.9.2.2.3.7</w:t>
      </w:r>
      <w:r w:rsidRPr="008B0D9B">
        <w:rPr>
          <w:rFonts w:eastAsia="SimSun"/>
          <w:lang w:eastAsia="zh-CN"/>
        </w:rPr>
        <w:tab/>
        <w:t>Dans la deuxième phrase, au début, remplacer « En outre, le » par « Le ».</w:t>
      </w:r>
    </w:p>
    <w:p w14:paraId="5106F964" w14:textId="77777777" w:rsidR="00DE2765" w:rsidRPr="008B0D9B" w:rsidRDefault="00DE2765" w:rsidP="009C51FF">
      <w:pPr>
        <w:pStyle w:val="SingleTxtG"/>
        <w:ind w:left="2268" w:hanging="1134"/>
      </w:pPr>
      <w:r w:rsidRPr="008B0D9B">
        <w:rPr>
          <w:rFonts w:eastAsia="SimSun"/>
          <w:lang w:eastAsia="zh-CN"/>
        </w:rPr>
        <w:t>6.9.2.2.3.11</w:t>
      </w:r>
      <w:r w:rsidRPr="008B0D9B">
        <w:rPr>
          <w:rFonts w:eastAsia="SimSun"/>
          <w:lang w:eastAsia="zh-CN"/>
        </w:rPr>
        <w:tab/>
      </w:r>
      <w:r w:rsidRPr="008B0D9B">
        <w:t>Remplacer « revêtement de la surface interne » et « revêtement interne » par « revêtement ».</w:t>
      </w:r>
    </w:p>
    <w:p w14:paraId="139A5549" w14:textId="2F67D095" w:rsidR="00DE2765" w:rsidRPr="008B0D9B" w:rsidRDefault="00DE2765" w:rsidP="00666101">
      <w:pPr>
        <w:pStyle w:val="SingleTxtG"/>
        <w:ind w:left="2552" w:hanging="1418"/>
        <w:rPr>
          <w:rFonts w:eastAsia="SimSun"/>
          <w:lang w:eastAsia="zh-CN"/>
        </w:rPr>
      </w:pPr>
      <w:r w:rsidRPr="008B0D9B">
        <w:rPr>
          <w:rFonts w:eastAsia="SimSun"/>
          <w:lang w:eastAsia="zh-CN"/>
        </w:rPr>
        <w:t>6.9.2.2.3.14.1</w:t>
      </w:r>
      <w:r w:rsidRPr="008B0D9B">
        <w:rPr>
          <w:rFonts w:eastAsia="SimSun"/>
          <w:lang w:eastAsia="zh-CN"/>
        </w:rPr>
        <w:tab/>
        <w:t>Supprimer « de la classe 3 ».</w:t>
      </w:r>
    </w:p>
    <w:p w14:paraId="22C690D6" w14:textId="77777777" w:rsidR="00DE2765" w:rsidRPr="008B0D9B" w:rsidRDefault="00DE2765" w:rsidP="009C51FF">
      <w:pPr>
        <w:pStyle w:val="SingleTxtG"/>
        <w:ind w:left="2268" w:hanging="1134"/>
      </w:pPr>
      <w:r w:rsidRPr="008B0D9B">
        <w:t>6.9.2.3.4</w:t>
      </w:r>
      <w:r w:rsidRPr="008B0D9B">
        <w:tab/>
        <w:t>Modification sans objet en français.</w:t>
      </w:r>
    </w:p>
    <w:p w14:paraId="36AF27E0" w14:textId="77777777" w:rsidR="00DE2765" w:rsidRPr="008B0D9B" w:rsidRDefault="00DE2765" w:rsidP="009C51FF">
      <w:pPr>
        <w:pStyle w:val="SingleTxtG"/>
        <w:ind w:left="2268" w:hanging="1134"/>
      </w:pPr>
      <w:r w:rsidRPr="008B0D9B">
        <w:t>6.9.2.7.1.3 a)</w:t>
      </w:r>
      <w:r w:rsidRPr="008B0D9B">
        <w:tab/>
        <w:t>Remplacer « revêtement interne » par « revêtement ».</w:t>
      </w:r>
    </w:p>
    <w:p w14:paraId="789996CF" w14:textId="77777777" w:rsidR="00DE2765" w:rsidRPr="008B0D9B" w:rsidRDefault="00DE2765" w:rsidP="00DE2765">
      <w:pPr>
        <w:pStyle w:val="H4G"/>
      </w:pPr>
      <w:r w:rsidRPr="008B0D9B">
        <w:tab/>
      </w:r>
      <w:r w:rsidRPr="008B0D9B">
        <w:tab/>
        <w:t>Chapitre 7.3</w:t>
      </w:r>
    </w:p>
    <w:p w14:paraId="373B8C9E" w14:textId="77777777" w:rsidR="00DE2765" w:rsidRPr="008B0D9B" w:rsidRDefault="00DE2765" w:rsidP="009C51FF">
      <w:pPr>
        <w:pStyle w:val="SingleTxtG"/>
        <w:ind w:left="2268" w:hanging="1134"/>
        <w:rPr>
          <w:rFonts w:eastAsia="SimSun"/>
          <w:lang w:eastAsia="zh-CN"/>
        </w:rPr>
      </w:pPr>
      <w:r w:rsidRPr="008B0D9B">
        <w:rPr>
          <w:rFonts w:eastAsia="SimSun"/>
          <w:lang w:eastAsia="zh-CN"/>
        </w:rPr>
        <w:t>7.3.1.1.3</w:t>
      </w:r>
      <w:r w:rsidRPr="008B0D9B">
        <w:rPr>
          <w:rFonts w:eastAsia="SimSun"/>
          <w:lang w:eastAsia="zh-CN"/>
        </w:rPr>
        <w:tab/>
        <w:t>Renuméroter en tant que « 7.3.1.13 ».</w:t>
      </w:r>
    </w:p>
    <w:p w14:paraId="028E6856" w14:textId="77777777" w:rsidR="00DE2765" w:rsidRPr="008B0D9B" w:rsidRDefault="00DE2765" w:rsidP="00DE2765">
      <w:pPr>
        <w:pStyle w:val="H4G"/>
      </w:pPr>
      <w:r w:rsidRPr="008B0D9B">
        <w:tab/>
      </w:r>
      <w:r w:rsidRPr="008B0D9B">
        <w:tab/>
        <w:t>Chapitre 7.5</w:t>
      </w:r>
    </w:p>
    <w:p w14:paraId="2C45640A" w14:textId="77777777" w:rsidR="00DE2765" w:rsidRPr="008B0D9B" w:rsidRDefault="00DE2765" w:rsidP="009C51FF">
      <w:pPr>
        <w:pStyle w:val="SingleTxtG"/>
        <w:ind w:left="2268" w:hanging="1134"/>
        <w:rPr>
          <w:rFonts w:eastAsia="SimSun"/>
          <w:lang w:eastAsia="zh-CN"/>
        </w:rPr>
      </w:pPr>
      <w:r w:rsidRPr="008B0D9B">
        <w:rPr>
          <w:rFonts w:eastAsia="SimSun"/>
          <w:lang w:eastAsia="zh-CN"/>
        </w:rPr>
        <w:t>7.5.1.2</w:t>
      </w:r>
      <w:r w:rsidRPr="008B0D9B">
        <w:rPr>
          <w:rFonts w:eastAsia="SimSun"/>
          <w:lang w:eastAsia="zh-CN"/>
        </w:rPr>
        <w:tab/>
      </w:r>
      <w:r w:rsidRPr="008B0D9B">
        <w:rPr>
          <w:rFonts w:eastAsia="SimSun"/>
          <w:lang w:eastAsia="zh-CN"/>
        </w:rPr>
        <w:tab/>
        <w:t>À l’alinéa a), remplacer « du conteneur » par « de l’engin de transport ».</w:t>
      </w:r>
    </w:p>
    <w:p w14:paraId="7D1BA155" w14:textId="73A61B61" w:rsidR="00DE2765" w:rsidRPr="008B0D9B" w:rsidRDefault="00DE2765" w:rsidP="009C51FF">
      <w:pPr>
        <w:pStyle w:val="SingleTxtG"/>
        <w:rPr>
          <w:i/>
          <w:iCs/>
        </w:rPr>
      </w:pPr>
      <w:r w:rsidRPr="008B0D9B">
        <w:rPr>
          <w:i/>
          <w:iCs/>
        </w:rPr>
        <w:t>(Documents de référence : documents informels INF.19, INF.24 et INF.49)</w:t>
      </w:r>
    </w:p>
    <w:p w14:paraId="28093896" w14:textId="1BA6FD37" w:rsidR="00DE2765" w:rsidRPr="008B0D9B" w:rsidRDefault="00DE2765" w:rsidP="00DE2765">
      <w:pPr>
        <w:pStyle w:val="H23G"/>
      </w:pPr>
      <w:r w:rsidRPr="008B0D9B">
        <w:tab/>
      </w:r>
      <w:r w:rsidRPr="008B0D9B">
        <w:tab/>
        <w:t>Document ECE/TRANS/WP.15/AC.1/2021/43 adopté avec les modifications suivantes :</w:t>
      </w:r>
    </w:p>
    <w:p w14:paraId="04CC8BF7" w14:textId="77777777" w:rsidR="00DE2765" w:rsidRPr="008B0D9B" w:rsidRDefault="00DE2765" w:rsidP="009C51FF">
      <w:pPr>
        <w:pStyle w:val="SingleTxtG"/>
        <w:ind w:left="2268" w:hanging="1134"/>
      </w:pPr>
      <w:r w:rsidRPr="008B0D9B">
        <w:rPr>
          <w:lang w:eastAsia="zh-CN"/>
        </w:rPr>
        <w:t>6.13.2.5</w:t>
      </w:r>
      <w:r w:rsidRPr="008B0D9B">
        <w:rPr>
          <w:lang w:eastAsia="zh-CN"/>
        </w:rPr>
        <w:tab/>
        <w:t>Modification sans objet en français</w:t>
      </w:r>
      <w:r w:rsidRPr="008B0D9B">
        <w:t>.</w:t>
      </w:r>
    </w:p>
    <w:p w14:paraId="3622426C" w14:textId="77777777" w:rsidR="00DE2765" w:rsidRPr="008B0D9B" w:rsidRDefault="00DE2765" w:rsidP="009C51FF">
      <w:pPr>
        <w:pStyle w:val="SingleTxtG"/>
        <w:ind w:left="2268" w:hanging="1134"/>
        <w:rPr>
          <w:lang w:eastAsia="zh-CN"/>
        </w:rPr>
      </w:pPr>
      <w:r w:rsidRPr="008B0D9B">
        <w:t>6.13.2.x</w:t>
      </w:r>
      <w:r w:rsidRPr="008B0D9B">
        <w:tab/>
        <w:t>Devient 6.13.2.13. Renuméroter les paragraphes suivants en conséquence.</w:t>
      </w:r>
    </w:p>
    <w:p w14:paraId="5B5AEBD8" w14:textId="527C089C" w:rsidR="00DE2765" w:rsidRPr="008B0D9B" w:rsidRDefault="00DE2765" w:rsidP="009C51FF">
      <w:pPr>
        <w:pStyle w:val="SingleTxtG"/>
        <w:rPr>
          <w:i/>
          <w:iCs/>
        </w:rPr>
      </w:pPr>
      <w:r w:rsidRPr="008B0D9B">
        <w:rPr>
          <w:i/>
          <w:iCs/>
        </w:rPr>
        <w:t>(Document de référence : document informel INF.49, point 3)</w:t>
      </w:r>
    </w:p>
    <w:p w14:paraId="4A16A9AA" w14:textId="77777777" w:rsidR="00DE2765" w:rsidRPr="008B0D9B" w:rsidRDefault="00DE2765" w:rsidP="00DE2765">
      <w:pPr>
        <w:pStyle w:val="H23G"/>
        <w:rPr>
          <w:lang w:eastAsia="zh-CN"/>
        </w:rPr>
      </w:pPr>
      <w:r w:rsidRPr="008B0D9B">
        <w:rPr>
          <w:lang w:eastAsia="zh-CN"/>
        </w:rPr>
        <w:tab/>
      </w:r>
      <w:r w:rsidRPr="008B0D9B">
        <w:rPr>
          <w:lang w:eastAsia="zh-CN"/>
        </w:rPr>
        <w:tab/>
        <w:t>Modifications du rapport ECE/TRANS/WP.15/AC.1/158, annexe II</w:t>
      </w:r>
    </w:p>
    <w:p w14:paraId="6277C3AF" w14:textId="77777777" w:rsidR="00DE2765" w:rsidRPr="008B0D9B" w:rsidRDefault="00DE2765" w:rsidP="009C51FF">
      <w:pPr>
        <w:pStyle w:val="SingleTxtG"/>
        <w:ind w:left="2268" w:hanging="1134"/>
        <w:rPr>
          <w:lang w:eastAsia="zh-CN"/>
        </w:rPr>
      </w:pPr>
      <w:r w:rsidRPr="008B0D9B">
        <w:rPr>
          <w:lang w:eastAsia="zh-CN"/>
        </w:rPr>
        <w:t>5.3.2.1.5</w:t>
      </w:r>
      <w:r w:rsidRPr="008B0D9B">
        <w:rPr>
          <w:lang w:eastAsia="zh-CN"/>
        </w:rPr>
        <w:tab/>
        <w:t>Dans le nota, remplacer « conteneurs pour vrac » par « conteneurs pour le transport en vrac ».</w:t>
      </w:r>
    </w:p>
    <w:p w14:paraId="279B041E" w14:textId="27C4EF85" w:rsidR="00DE2765" w:rsidRPr="008B0D9B" w:rsidRDefault="00DE2765" w:rsidP="009C51FF">
      <w:pPr>
        <w:pStyle w:val="SingleTxtG"/>
        <w:rPr>
          <w:i/>
          <w:iCs/>
        </w:rPr>
      </w:pPr>
      <w:r w:rsidRPr="008B0D9B">
        <w:rPr>
          <w:i/>
          <w:iCs/>
        </w:rPr>
        <w:t>(Documents de référence : ECE/TRANS/WP.15/AC.1/2021/40)</w:t>
      </w:r>
    </w:p>
    <w:p w14:paraId="00F9A9D3" w14:textId="77777777" w:rsidR="00DE2765" w:rsidRPr="008B0D9B" w:rsidRDefault="00DE2765" w:rsidP="00DE2765">
      <w:pPr>
        <w:pStyle w:val="H23G"/>
        <w:rPr>
          <w:lang w:eastAsia="zh-CN"/>
        </w:rPr>
      </w:pPr>
      <w:r w:rsidRPr="008B0D9B">
        <w:rPr>
          <w:lang w:eastAsia="zh-CN"/>
        </w:rPr>
        <w:lastRenderedPageBreak/>
        <w:tab/>
      </w:r>
      <w:r w:rsidRPr="008B0D9B">
        <w:rPr>
          <w:lang w:eastAsia="zh-CN"/>
        </w:rPr>
        <w:tab/>
        <w:t>Modifications du rapport ECE/TRANS/WP.15/AC.1/160, annexe II</w:t>
      </w:r>
    </w:p>
    <w:p w14:paraId="04F4BC9A" w14:textId="2413FCD8" w:rsidR="00DE2765" w:rsidRPr="008B0D9B" w:rsidRDefault="00DE2765" w:rsidP="009C51FF">
      <w:pPr>
        <w:pStyle w:val="SingleTxtG"/>
        <w:ind w:left="2268" w:hanging="1134"/>
        <w:rPr>
          <w:lang w:eastAsia="zh-CN"/>
        </w:rPr>
      </w:pPr>
      <w:r w:rsidRPr="008B0D9B">
        <w:rPr>
          <w:lang w:eastAsia="zh-CN"/>
        </w:rPr>
        <w:t>1.1.4.7.1</w:t>
      </w:r>
      <w:r w:rsidRPr="008B0D9B">
        <w:rPr>
          <w:lang w:eastAsia="zh-CN"/>
        </w:rPr>
        <w:tab/>
        <w:t>Supprimer le deuxième paragraphe.</w:t>
      </w:r>
    </w:p>
    <w:p w14:paraId="3BF41539" w14:textId="2DD7A66A" w:rsidR="00DE2765" w:rsidRPr="008B0D9B" w:rsidRDefault="00DE2765" w:rsidP="009C51FF">
      <w:pPr>
        <w:pStyle w:val="SingleTxtG"/>
        <w:ind w:left="2268" w:hanging="1134"/>
        <w:rPr>
          <w:lang w:eastAsia="zh-CN"/>
        </w:rPr>
      </w:pPr>
      <w:r w:rsidRPr="008B0D9B">
        <w:rPr>
          <w:lang w:eastAsia="zh-CN"/>
        </w:rPr>
        <w:t>1.1.4.7.2</w:t>
      </w:r>
      <w:r w:rsidRPr="008B0D9B">
        <w:rPr>
          <w:lang w:eastAsia="zh-CN"/>
        </w:rPr>
        <w:tab/>
        <w:t>Supprimer l’alinéa d).</w:t>
      </w:r>
    </w:p>
    <w:p w14:paraId="1DDEF04D" w14:textId="0E6A6E3E" w:rsidR="00DE2765" w:rsidRPr="008B0D9B" w:rsidRDefault="00DE2765" w:rsidP="009C51FF">
      <w:pPr>
        <w:pStyle w:val="SingleTxtG"/>
        <w:ind w:left="2268" w:hanging="1134"/>
      </w:pPr>
      <w:r w:rsidRPr="008B0D9B">
        <w:t>4.1.6.15</w:t>
      </w:r>
      <w:r w:rsidRPr="008B0D9B">
        <w:tab/>
        <w:t>Dans le premier tableau, pour « 4.1.6.8 Robinets munis d’une protection intégrée », dans la deuxième colonne, remplacer « Article 5.9 de EN ISO 14245</w:t>
      </w:r>
      <w:r w:rsidR="00047002">
        <w:t>:20</w:t>
      </w:r>
      <w:r w:rsidRPr="008B0D9B">
        <w:t>10 ou article 5.9 de EN ISO 14245</w:t>
      </w:r>
      <w:r w:rsidR="00047002">
        <w:t>:20</w:t>
      </w:r>
      <w:r w:rsidRPr="008B0D9B">
        <w:t>19 » par « Article 5.9 de EN ISO 14245</w:t>
      </w:r>
      <w:r w:rsidR="00047002">
        <w:t>:20</w:t>
      </w:r>
      <w:r w:rsidRPr="008B0D9B">
        <w:t>10, article 5.9 de EN ISO 14245</w:t>
      </w:r>
      <w:r w:rsidR="00047002">
        <w:t>:20</w:t>
      </w:r>
      <w:r w:rsidRPr="008B0D9B">
        <w:t>19 ou article 5.9 de EN ISO 14245</w:t>
      </w:r>
      <w:r w:rsidR="00047002">
        <w:t>:20</w:t>
      </w:r>
      <w:r w:rsidRPr="008B0D9B">
        <w:t>21 » et remplacer « Article 5.10 de EN ISO 15995</w:t>
      </w:r>
      <w:r w:rsidR="00047002">
        <w:t>:20</w:t>
      </w:r>
      <w:r w:rsidRPr="008B0D9B">
        <w:t>10 ou article 5.10 de EN ISO 15995</w:t>
      </w:r>
      <w:r w:rsidR="00047002">
        <w:t>:20</w:t>
      </w:r>
      <w:r w:rsidRPr="008B0D9B">
        <w:t>19 » par « Article 5.10 de EN ISO 15995</w:t>
      </w:r>
      <w:r w:rsidR="00047002">
        <w:t>:20</w:t>
      </w:r>
      <w:r w:rsidRPr="008B0D9B">
        <w:t>10, article 5.9 de EN ISO 15995</w:t>
      </w:r>
      <w:r w:rsidR="00047002">
        <w:t>:20</w:t>
      </w:r>
      <w:r w:rsidRPr="008B0D9B">
        <w:t>19 ou article 5.9 de EN ISO 15995</w:t>
      </w:r>
      <w:r w:rsidR="00047002">
        <w:t>:20</w:t>
      </w:r>
      <w:r w:rsidRPr="008B0D9B">
        <w:t>21 ».</w:t>
      </w:r>
    </w:p>
    <w:p w14:paraId="0CB5843B" w14:textId="59087E6E" w:rsidR="00DE2765" w:rsidRPr="008B0D9B" w:rsidRDefault="00DE2765" w:rsidP="009C51FF">
      <w:pPr>
        <w:pStyle w:val="SingleTxtG"/>
        <w:rPr>
          <w:i/>
          <w:iCs/>
        </w:rPr>
      </w:pPr>
      <w:r w:rsidRPr="008B0D9B">
        <w:rPr>
          <w:i/>
          <w:iCs/>
        </w:rPr>
        <w:t>(Document de référence : document informel INF.15/Add.1)</w:t>
      </w:r>
    </w:p>
    <w:p w14:paraId="2A9E7F23" w14:textId="77777777" w:rsidR="00DE2765" w:rsidRPr="008B0D9B" w:rsidRDefault="00DE2765" w:rsidP="009C51FF">
      <w:pPr>
        <w:pStyle w:val="SingleTxtG"/>
        <w:ind w:left="2268" w:hanging="1134"/>
        <w:rPr>
          <w:lang w:eastAsia="zh-CN"/>
        </w:rPr>
      </w:pPr>
      <w:r w:rsidRPr="008B0D9B">
        <w:rPr>
          <w:lang w:eastAsia="zh-CN"/>
        </w:rPr>
        <w:t>5.4.1.1.3.2</w:t>
      </w:r>
      <w:r w:rsidRPr="008B0D9B">
        <w:rPr>
          <w:lang w:eastAsia="zh-CN"/>
        </w:rPr>
        <w:tab/>
        <w:t>Supprimer les crochets.</w:t>
      </w:r>
    </w:p>
    <w:p w14:paraId="1D8021EE" w14:textId="0FEC7409" w:rsidR="00DE2765" w:rsidRPr="008B0D9B" w:rsidRDefault="00DE2765" w:rsidP="00047002">
      <w:pPr>
        <w:pStyle w:val="SingleTxtG"/>
        <w:ind w:left="2268"/>
        <w:rPr>
          <w:lang w:eastAsia="zh-CN"/>
        </w:rPr>
      </w:pPr>
      <w:r w:rsidRPr="008B0D9B">
        <w:rPr>
          <w:lang w:eastAsia="zh-CN"/>
        </w:rPr>
        <w:t>Modification des alinéas a), b) et c) sans objet en français.</w:t>
      </w:r>
    </w:p>
    <w:p w14:paraId="57A2747C" w14:textId="77777777" w:rsidR="00DE2765" w:rsidRPr="008B0D9B" w:rsidRDefault="00DE2765" w:rsidP="009C51FF">
      <w:pPr>
        <w:pStyle w:val="SingleTxtG"/>
        <w:ind w:left="2268" w:hanging="1134"/>
        <w:rPr>
          <w:lang w:eastAsia="zh-CN"/>
        </w:rPr>
      </w:pPr>
      <w:r w:rsidRPr="008B0D9B">
        <w:rPr>
          <w:lang w:eastAsia="zh-CN"/>
        </w:rPr>
        <w:t>6.8.2.6.2</w:t>
      </w:r>
      <w:r w:rsidRPr="008B0D9B">
        <w:rPr>
          <w:lang w:eastAsia="zh-CN"/>
        </w:rPr>
        <w:tab/>
        <w:t>Supprimer les crochets.</w:t>
      </w:r>
    </w:p>
    <w:p w14:paraId="0E5BAEC3" w14:textId="32BD9254" w:rsidR="00DE2765" w:rsidRPr="008B0D9B" w:rsidRDefault="00DE2765" w:rsidP="00047002">
      <w:pPr>
        <w:pStyle w:val="SingleTxtG"/>
      </w:pPr>
      <w:r w:rsidRPr="008B0D9B">
        <w:rPr>
          <w:lang w:eastAsia="zh-CN"/>
        </w:rPr>
        <w:tab/>
        <w:t>(RID :) 7.4 / (ADR :) 7.4.1</w:t>
      </w:r>
      <w:r w:rsidRPr="008B0D9B">
        <w:rPr>
          <w:lang w:eastAsia="zh-CN"/>
        </w:rPr>
        <w:tab/>
        <w:t>Remplacer « </w:t>
      </w:r>
      <w:r w:rsidRPr="008B0D9B">
        <w:t>une autorisation » par « un agrément ».</w:t>
      </w:r>
    </w:p>
    <w:p w14:paraId="6E4C3006" w14:textId="74885BFE" w:rsidR="00DE2765" w:rsidRPr="008B0D9B" w:rsidRDefault="00DE2765" w:rsidP="00DE2765">
      <w:pPr>
        <w:pStyle w:val="SingleTxtG"/>
        <w:rPr>
          <w:i/>
          <w:iCs/>
        </w:rPr>
      </w:pPr>
      <w:r w:rsidRPr="008B0D9B">
        <w:rPr>
          <w:i/>
          <w:iCs/>
        </w:rPr>
        <w:t>(Documents de référence : ECE/TRANS/WP.15/AC.1/2021/33 et document informel INF.31)</w:t>
      </w:r>
    </w:p>
    <w:p w14:paraId="7BDB576D" w14:textId="77777777" w:rsidR="00DE2765" w:rsidRPr="008B0D9B" w:rsidRDefault="00DE2765" w:rsidP="00BB440A">
      <w:pPr>
        <w:pStyle w:val="H1G"/>
      </w:pPr>
      <w:r w:rsidRPr="008B0D9B">
        <w:tab/>
        <w:t>II.</w:t>
      </w:r>
      <w:r w:rsidRPr="008B0D9B">
        <w:tab/>
        <w:t>Correction au RID, à l’ADR et à l’ADN 2021</w:t>
      </w:r>
    </w:p>
    <w:p w14:paraId="28B5FD8A" w14:textId="26F82851" w:rsidR="00DE2765" w:rsidRPr="008B0D9B" w:rsidRDefault="00DE2765" w:rsidP="00DE2765">
      <w:pPr>
        <w:pStyle w:val="H23G"/>
      </w:pPr>
      <w:r w:rsidRPr="008B0D9B">
        <w:tab/>
      </w:r>
      <w:r w:rsidRPr="008B0D9B">
        <w:tab/>
        <w:t>Chapitre 2.5, 2.5.3.2.4, rubrique « PEROXYDICARBONATE D’ISOPROPYLE ET DE sec-BUTYLE+PEROXYDICARBONATE DE BIS (sec-BUTYLE)+ PEROXYDICARBONATE DE DIISOPROPYLE », colonne « Concentration »</w:t>
      </w:r>
    </w:p>
    <w:p w14:paraId="68CC643B" w14:textId="5ACA422A" w:rsidR="00DE2765" w:rsidRPr="008B0D9B" w:rsidRDefault="00DE2765" w:rsidP="00DE2765">
      <w:pPr>
        <w:pStyle w:val="SingleTxtG"/>
        <w:rPr>
          <w:b/>
          <w:sz w:val="24"/>
        </w:rPr>
      </w:pPr>
      <w:r w:rsidRPr="008B0D9B">
        <w:rPr>
          <w:i/>
          <w:iCs/>
        </w:rPr>
        <w:tab/>
        <w:t>Au lieu de</w:t>
      </w:r>
      <w:r w:rsidRPr="008B0D9B">
        <w:t xml:space="preserve"> « ≤</w:t>
      </w:r>
      <w:r w:rsidR="000E6187">
        <w:t> </w:t>
      </w:r>
      <w:r w:rsidRPr="008B0D9B">
        <w:t>32 + ≤</w:t>
      </w:r>
      <w:r w:rsidR="000E6187">
        <w:t> </w:t>
      </w:r>
      <w:r w:rsidRPr="008B0D9B">
        <w:t>15 – 18 ≤</w:t>
      </w:r>
      <w:r w:rsidR="000E6187">
        <w:t> </w:t>
      </w:r>
      <w:r w:rsidRPr="008B0D9B">
        <w:t xml:space="preserve">12 -15 », </w:t>
      </w:r>
      <w:r w:rsidRPr="008B0D9B">
        <w:rPr>
          <w:i/>
          <w:iCs/>
        </w:rPr>
        <w:t>lire</w:t>
      </w:r>
      <w:r w:rsidRPr="008B0D9B">
        <w:t xml:space="preserve"> « ≤</w:t>
      </w:r>
      <w:r w:rsidR="000E6187">
        <w:t> </w:t>
      </w:r>
      <w:r w:rsidRPr="008B0D9B">
        <w:t>32 + ≤</w:t>
      </w:r>
      <w:r w:rsidR="000E6187">
        <w:t> </w:t>
      </w:r>
      <w:r w:rsidRPr="008B0D9B">
        <w:t>15 – 18 + ≤</w:t>
      </w:r>
      <w:r w:rsidR="000E6187">
        <w:t> </w:t>
      </w:r>
      <w:r w:rsidRPr="008B0D9B">
        <w:t>12 -15 ».</w:t>
      </w:r>
    </w:p>
    <w:p w14:paraId="042E281E" w14:textId="20B4B836" w:rsidR="00DE2765" w:rsidRPr="008B0D9B" w:rsidRDefault="00DE2765" w:rsidP="00DE2765">
      <w:pPr>
        <w:pStyle w:val="SingleTxtG"/>
        <w:rPr>
          <w:i/>
          <w:iCs/>
        </w:rPr>
      </w:pPr>
      <w:r w:rsidRPr="008B0D9B">
        <w:rPr>
          <w:i/>
          <w:iCs/>
        </w:rPr>
        <w:t>(Document de référence : document informel INF.19)</w:t>
      </w:r>
    </w:p>
    <w:p w14:paraId="39861450" w14:textId="0B39CE30" w:rsidR="00F9573C" w:rsidRPr="008B0D9B" w:rsidRDefault="00DE2765" w:rsidP="00DE2765">
      <w:pPr>
        <w:pStyle w:val="SingleTxtG"/>
        <w:spacing w:before="240" w:after="0"/>
        <w:jc w:val="center"/>
        <w:rPr>
          <w:u w:val="single"/>
        </w:rPr>
      </w:pPr>
      <w:r w:rsidRPr="008B0D9B">
        <w:rPr>
          <w:u w:val="single"/>
        </w:rPr>
        <w:tab/>
      </w:r>
      <w:r w:rsidRPr="008B0D9B">
        <w:rPr>
          <w:u w:val="single"/>
        </w:rPr>
        <w:tab/>
      </w:r>
      <w:r w:rsidRPr="008B0D9B">
        <w:rPr>
          <w:u w:val="single"/>
        </w:rPr>
        <w:tab/>
      </w:r>
      <w:r w:rsidR="00BB440A">
        <w:rPr>
          <w:u w:val="single"/>
        </w:rPr>
        <w:tab/>
      </w:r>
    </w:p>
    <w:sectPr w:rsidR="00F9573C" w:rsidRPr="008B0D9B" w:rsidSect="00492AF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1992D" w14:textId="77777777" w:rsidR="004C775C" w:rsidRDefault="004C775C" w:rsidP="00F95C08">
      <w:pPr>
        <w:spacing w:line="240" w:lineRule="auto"/>
      </w:pPr>
    </w:p>
  </w:endnote>
  <w:endnote w:type="continuationSeparator" w:id="0">
    <w:p w14:paraId="201E1DC1" w14:textId="77777777" w:rsidR="004C775C" w:rsidRPr="00AC3823" w:rsidRDefault="004C775C" w:rsidP="00AC3823">
      <w:pPr>
        <w:pStyle w:val="Footer"/>
      </w:pPr>
    </w:p>
  </w:endnote>
  <w:endnote w:type="continuationNotice" w:id="1">
    <w:p w14:paraId="3D711473" w14:textId="77777777" w:rsidR="004C775C" w:rsidRDefault="004C77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1C8D0" w14:textId="38C048FC" w:rsidR="004C775C" w:rsidRPr="00492AFF" w:rsidRDefault="004C775C" w:rsidP="00492AFF">
    <w:pPr>
      <w:pStyle w:val="Footer"/>
      <w:tabs>
        <w:tab w:val="right" w:pos="9638"/>
      </w:tabs>
    </w:pPr>
    <w:r w:rsidRPr="00492AFF">
      <w:rPr>
        <w:b/>
        <w:sz w:val="18"/>
      </w:rPr>
      <w:fldChar w:fldCharType="begin"/>
    </w:r>
    <w:r w:rsidRPr="00492AFF">
      <w:rPr>
        <w:b/>
        <w:sz w:val="18"/>
      </w:rPr>
      <w:instrText xml:space="preserve"> PAGE  \* MERGEFORMAT </w:instrText>
    </w:r>
    <w:r w:rsidRPr="00492AFF">
      <w:rPr>
        <w:b/>
        <w:sz w:val="18"/>
      </w:rPr>
      <w:fldChar w:fldCharType="separate"/>
    </w:r>
    <w:r w:rsidRPr="00492AFF">
      <w:rPr>
        <w:b/>
        <w:noProof/>
        <w:sz w:val="18"/>
      </w:rPr>
      <w:t>2</w:t>
    </w:r>
    <w:r w:rsidRPr="00492AFF">
      <w:rPr>
        <w:b/>
        <w:sz w:val="18"/>
      </w:rPr>
      <w:fldChar w:fldCharType="end"/>
    </w:r>
    <w:r>
      <w:rPr>
        <w:b/>
        <w:sz w:val="18"/>
      </w:rPr>
      <w:tab/>
    </w:r>
    <w:r>
      <w:t>GE.21-15381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4ECBC" w14:textId="14758A0B" w:rsidR="004C775C" w:rsidRPr="00492AFF" w:rsidRDefault="004C775C" w:rsidP="00492AFF">
    <w:pPr>
      <w:pStyle w:val="Footer"/>
      <w:tabs>
        <w:tab w:val="right" w:pos="9638"/>
      </w:tabs>
      <w:rPr>
        <w:b/>
        <w:sz w:val="18"/>
      </w:rPr>
    </w:pPr>
    <w:r>
      <w:t>GE.21-15381</w:t>
    </w:r>
    <w:r>
      <w:tab/>
    </w:r>
    <w:r w:rsidRPr="00492AFF">
      <w:rPr>
        <w:b/>
        <w:sz w:val="18"/>
      </w:rPr>
      <w:fldChar w:fldCharType="begin"/>
    </w:r>
    <w:r w:rsidRPr="00492AFF">
      <w:rPr>
        <w:b/>
        <w:sz w:val="18"/>
      </w:rPr>
      <w:instrText xml:space="preserve"> PAGE  \* MERGEFORMAT </w:instrText>
    </w:r>
    <w:r w:rsidRPr="00492AFF">
      <w:rPr>
        <w:b/>
        <w:sz w:val="18"/>
      </w:rPr>
      <w:fldChar w:fldCharType="separate"/>
    </w:r>
    <w:r w:rsidRPr="00492AFF">
      <w:rPr>
        <w:b/>
        <w:noProof/>
        <w:sz w:val="18"/>
      </w:rPr>
      <w:t>3</w:t>
    </w:r>
    <w:r w:rsidRPr="00492AF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3B815" w14:textId="59C5641D" w:rsidR="004C775C" w:rsidRPr="00492AFF" w:rsidRDefault="004C775C" w:rsidP="00492AFF">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683BF640" wp14:editId="61281C8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21-15381  (F)</w:t>
    </w:r>
    <w:r>
      <w:rPr>
        <w:noProof/>
        <w:sz w:val="20"/>
      </w:rPr>
      <w:drawing>
        <wp:anchor distT="0" distB="0" distL="114300" distR="114300" simplePos="0" relativeHeight="251660288" behindDoc="0" locked="0" layoutInCell="1" allowOverlap="1" wp14:anchorId="17A402E0" wp14:editId="571BC3E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071221    071221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2C91B" w14:textId="77777777" w:rsidR="004C775C" w:rsidRPr="00AC3823" w:rsidRDefault="004C775C" w:rsidP="00AC3823">
      <w:pPr>
        <w:pStyle w:val="Footer"/>
        <w:tabs>
          <w:tab w:val="right" w:pos="2155"/>
        </w:tabs>
        <w:spacing w:after="80" w:line="240" w:lineRule="atLeast"/>
        <w:ind w:left="680"/>
        <w:rPr>
          <w:u w:val="single"/>
        </w:rPr>
      </w:pPr>
      <w:r>
        <w:rPr>
          <w:u w:val="single"/>
        </w:rPr>
        <w:tab/>
      </w:r>
    </w:p>
  </w:footnote>
  <w:footnote w:type="continuationSeparator" w:id="0">
    <w:p w14:paraId="73554818" w14:textId="77777777" w:rsidR="004C775C" w:rsidRPr="00AC3823" w:rsidRDefault="004C775C" w:rsidP="00AC3823">
      <w:pPr>
        <w:pStyle w:val="Footer"/>
        <w:tabs>
          <w:tab w:val="right" w:pos="2155"/>
        </w:tabs>
        <w:spacing w:after="80" w:line="240" w:lineRule="atLeast"/>
        <w:ind w:left="680"/>
        <w:rPr>
          <w:u w:val="single"/>
        </w:rPr>
      </w:pPr>
      <w:r>
        <w:rPr>
          <w:u w:val="single"/>
        </w:rPr>
        <w:tab/>
      </w:r>
    </w:p>
  </w:footnote>
  <w:footnote w:type="continuationNotice" w:id="1">
    <w:p w14:paraId="1EC03F48" w14:textId="77777777" w:rsidR="004C775C" w:rsidRPr="00AC3823" w:rsidRDefault="004C775C">
      <w:pPr>
        <w:spacing w:line="240" w:lineRule="auto"/>
        <w:rPr>
          <w:sz w:val="2"/>
          <w:szCs w:val="2"/>
        </w:rPr>
      </w:pPr>
    </w:p>
  </w:footnote>
  <w:footnote w:id="2">
    <w:p w14:paraId="79C5C3F6" w14:textId="7035DEEE" w:rsidR="004C775C" w:rsidRPr="008B0D9B" w:rsidRDefault="004C775C" w:rsidP="00DE2765">
      <w:pPr>
        <w:pStyle w:val="FootnoteText"/>
      </w:pPr>
      <w:r w:rsidRPr="008B0D9B">
        <w:tab/>
      </w:r>
      <w:r w:rsidRPr="008B0D9B">
        <w:rPr>
          <w:sz w:val="20"/>
        </w:rPr>
        <w:t>*</w:t>
      </w:r>
      <w:r w:rsidRPr="008B0D9B">
        <w:tab/>
      </w:r>
      <w:r w:rsidRPr="008B0D9B">
        <w:tab/>
        <w:t>Diffusé par l’Organisation intergouvernementale pour les transports internationaux ferroviaires (OTIF) sous la cote OTIF/RID/RC/2021-B. Sauf indication contraire, les autres documents auxquels il est fait référence dans le présent rapport et qui portent une cote ECE/TRANS/WP.15/AC.1/ suivie de l’année et d’un numéro de série ont été diffusés par l’OTIF sous la cote OTIF/RID/RC/ suivie de l’année et du même numéro de série.</w:t>
      </w:r>
    </w:p>
  </w:footnote>
  <w:footnote w:id="3">
    <w:p w14:paraId="6380D7B2" w14:textId="37AA7A68" w:rsidR="004C775C" w:rsidRPr="008B0D9B" w:rsidRDefault="004C775C" w:rsidP="00DE2765">
      <w:pPr>
        <w:pStyle w:val="FootnoteText"/>
      </w:pPr>
      <w:r w:rsidRPr="008B0D9B">
        <w:rPr>
          <w:sz w:val="20"/>
        </w:rPr>
        <w:tab/>
        <w:t>**</w:t>
      </w:r>
      <w:r w:rsidRPr="008B0D9B">
        <w:rPr>
          <w:sz w:val="20"/>
        </w:rPr>
        <w:tab/>
      </w:r>
      <w:r w:rsidRPr="008B0D9B">
        <w:t>Pour des raisons pratiques, l’annexe I est publiée sous forme d’additif au présent document, sous la</w:t>
      </w:r>
      <w:r>
        <w:t> </w:t>
      </w:r>
      <w:r w:rsidRPr="008B0D9B">
        <w:t>cote ECE/TRANS/WP.15/AC.1/162/Add.1.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79B53" w14:textId="71B6D88B" w:rsidR="004C775C" w:rsidRPr="00492AFF" w:rsidRDefault="00CE2728">
    <w:pPr>
      <w:pStyle w:val="Header"/>
    </w:pPr>
    <w:r>
      <w:fldChar w:fldCharType="begin"/>
    </w:r>
    <w:r>
      <w:instrText xml:space="preserve"> TITLE  \* MERGEFORMAT </w:instrText>
    </w:r>
    <w:r>
      <w:fldChar w:fldCharType="separate"/>
    </w:r>
    <w:r w:rsidR="004C775C">
      <w:t>ECE/TRANS/WP.15/AC.1/162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06325" w14:textId="7C4F0AD4" w:rsidR="004C775C" w:rsidRPr="00492AFF" w:rsidRDefault="00CE2728" w:rsidP="00492AFF">
    <w:pPr>
      <w:pStyle w:val="Header"/>
      <w:jc w:val="right"/>
    </w:pPr>
    <w:r>
      <w:fldChar w:fldCharType="begin"/>
    </w:r>
    <w:r>
      <w:instrText xml:space="preserve"> TITLE  \* MERGEFORMAT </w:instrText>
    </w:r>
    <w:r>
      <w:fldChar w:fldCharType="separate"/>
    </w:r>
    <w:r w:rsidR="004C775C">
      <w:t>ECE/TRANS/WP.15/AC.1/162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12E6226"/>
    <w:multiLevelType w:val="hybridMultilevel"/>
    <w:tmpl w:val="83C81F2E"/>
    <w:lvl w:ilvl="0" w:tplc="FEFCB6AE">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8"/>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8"/>
  </w:num>
  <w:num w:numId="16">
    <w:abstractNumId w:val="11"/>
  </w:num>
  <w:num w:numId="17">
    <w:abstractNumId w:val="16"/>
  </w:num>
  <w:num w:numId="18">
    <w:abstractNumId w:val="14"/>
  </w:num>
  <w:num w:numId="19">
    <w:abstractNumId w:val="10"/>
  </w:num>
  <w:num w:numId="20">
    <w:abstractNumId w:val="12"/>
  </w:num>
  <w:num w:numId="21">
    <w:abstractNumId w:val="17"/>
  </w:num>
  <w:num w:numId="22">
    <w:abstractNumId w:val="13"/>
  </w:num>
  <w:num w:numId="23">
    <w:abstractNumId w:val="20"/>
  </w:num>
  <w:num w:numId="24">
    <w:abstractNumId w:val="22"/>
  </w:num>
  <w:num w:numId="25">
    <w:abstractNumId w:val="15"/>
  </w:num>
  <w:num w:numId="26">
    <w:abstractNumId w:val="19"/>
  </w:num>
  <w:num w:numId="27">
    <w:abstractNumId w:val="18"/>
  </w:num>
  <w:num w:numId="28">
    <w:abstractNumId w:val="18"/>
  </w:num>
  <w:num w:numId="29">
    <w:abstractNumId w:val="18"/>
  </w:num>
  <w:num w:numId="30">
    <w:abstractNumId w:val="18"/>
  </w:num>
  <w:num w:numId="31">
    <w:abstractNumId w:val="1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928"/>
    <w:rsid w:val="00017F94"/>
    <w:rsid w:val="00023842"/>
    <w:rsid w:val="000334F9"/>
    <w:rsid w:val="00045FEB"/>
    <w:rsid w:val="00047002"/>
    <w:rsid w:val="0007796D"/>
    <w:rsid w:val="000B7790"/>
    <w:rsid w:val="000E6187"/>
    <w:rsid w:val="00105C81"/>
    <w:rsid w:val="00111F2F"/>
    <w:rsid w:val="00113513"/>
    <w:rsid w:val="0014365E"/>
    <w:rsid w:val="00143C66"/>
    <w:rsid w:val="00176178"/>
    <w:rsid w:val="00192EB8"/>
    <w:rsid w:val="001F525A"/>
    <w:rsid w:val="00201148"/>
    <w:rsid w:val="00223272"/>
    <w:rsid w:val="0024779E"/>
    <w:rsid w:val="00257168"/>
    <w:rsid w:val="002744B8"/>
    <w:rsid w:val="002832AC"/>
    <w:rsid w:val="002C522F"/>
    <w:rsid w:val="002D7C93"/>
    <w:rsid w:val="002E1728"/>
    <w:rsid w:val="00300C28"/>
    <w:rsid w:val="00305801"/>
    <w:rsid w:val="003916DE"/>
    <w:rsid w:val="00421996"/>
    <w:rsid w:val="00441C3B"/>
    <w:rsid w:val="00446FE5"/>
    <w:rsid w:val="00452396"/>
    <w:rsid w:val="00477EB2"/>
    <w:rsid w:val="004837D8"/>
    <w:rsid w:val="00492AFF"/>
    <w:rsid w:val="00494F8C"/>
    <w:rsid w:val="004C775C"/>
    <w:rsid w:val="004E2EED"/>
    <w:rsid w:val="004E468C"/>
    <w:rsid w:val="005505B7"/>
    <w:rsid w:val="00573BE5"/>
    <w:rsid w:val="00586ED3"/>
    <w:rsid w:val="00592D24"/>
    <w:rsid w:val="00596AA9"/>
    <w:rsid w:val="00666101"/>
    <w:rsid w:val="00670E54"/>
    <w:rsid w:val="0071601D"/>
    <w:rsid w:val="007350AA"/>
    <w:rsid w:val="00776B73"/>
    <w:rsid w:val="007A62E6"/>
    <w:rsid w:val="007C0E0B"/>
    <w:rsid w:val="007F20FA"/>
    <w:rsid w:val="0080684C"/>
    <w:rsid w:val="008339D3"/>
    <w:rsid w:val="00871C75"/>
    <w:rsid w:val="008776DC"/>
    <w:rsid w:val="008B0D9B"/>
    <w:rsid w:val="008D5EF9"/>
    <w:rsid w:val="00911928"/>
    <w:rsid w:val="009446C0"/>
    <w:rsid w:val="009705C8"/>
    <w:rsid w:val="009B2F94"/>
    <w:rsid w:val="009C1CF4"/>
    <w:rsid w:val="009C51FF"/>
    <w:rsid w:val="009F6B74"/>
    <w:rsid w:val="00A3029F"/>
    <w:rsid w:val="00A30353"/>
    <w:rsid w:val="00AC3823"/>
    <w:rsid w:val="00AE323C"/>
    <w:rsid w:val="00AF0CB5"/>
    <w:rsid w:val="00B00181"/>
    <w:rsid w:val="00B00B0D"/>
    <w:rsid w:val="00B2396E"/>
    <w:rsid w:val="00B45F2E"/>
    <w:rsid w:val="00B765F7"/>
    <w:rsid w:val="00B77993"/>
    <w:rsid w:val="00BA0A02"/>
    <w:rsid w:val="00BA0CA9"/>
    <w:rsid w:val="00BB440A"/>
    <w:rsid w:val="00C02897"/>
    <w:rsid w:val="00C97039"/>
    <w:rsid w:val="00CC76A6"/>
    <w:rsid w:val="00CE2728"/>
    <w:rsid w:val="00D3439C"/>
    <w:rsid w:val="00D7622E"/>
    <w:rsid w:val="00DB1831"/>
    <w:rsid w:val="00DD3BFD"/>
    <w:rsid w:val="00DE2765"/>
    <w:rsid w:val="00DF6678"/>
    <w:rsid w:val="00E0299A"/>
    <w:rsid w:val="00E70D41"/>
    <w:rsid w:val="00E85C74"/>
    <w:rsid w:val="00EA6547"/>
    <w:rsid w:val="00ED7237"/>
    <w:rsid w:val="00EF2E22"/>
    <w:rsid w:val="00F35BAF"/>
    <w:rsid w:val="00F660DF"/>
    <w:rsid w:val="00F94664"/>
    <w:rsid w:val="00F9573C"/>
    <w:rsid w:val="00F95C08"/>
    <w:rsid w:val="00FD237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2B58C0"/>
  <w15:docId w15:val="{B130F302-3CBA-47C1-B0E4-9BF44679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B77993"/>
    <w:pPr>
      <w:spacing w:after="120"/>
      <w:ind w:left="1134" w:right="1134"/>
      <w:jc w:val="both"/>
    </w:pPr>
  </w:style>
  <w:style w:type="character" w:customStyle="1" w:styleId="SingleTxtGChar">
    <w:name w:val="_ Single Txt_G Char"/>
    <w:link w:val="SingleTxtG"/>
    <w:qFormat/>
    <w:locked/>
    <w:rsid w:val="00DE2765"/>
    <w:rPr>
      <w:rFonts w:ascii="Times New Roman" w:eastAsiaTheme="minorHAnsi" w:hAnsi="Times New Roman" w:cs="Times New Roman"/>
      <w:sz w:val="20"/>
      <w:szCs w:val="20"/>
      <w:lang w:eastAsia="en-US"/>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character" w:customStyle="1" w:styleId="HChGChar">
    <w:name w:val="_ H _Ch_G Char"/>
    <w:link w:val="HChG"/>
    <w:qFormat/>
    <w:rsid w:val="00DE2765"/>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character" w:customStyle="1" w:styleId="H1GChar">
    <w:name w:val="_ H_1_G Char"/>
    <w:link w:val="H1G"/>
    <w:qFormat/>
    <w:locked/>
    <w:rsid w:val="00DE2765"/>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character" w:customStyle="1" w:styleId="H23GChar">
    <w:name w:val="_ H_2/3_G Char"/>
    <w:link w:val="H23G"/>
    <w:locked/>
    <w:rsid w:val="00DE2765"/>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11105</Words>
  <Characters>63302</Characters>
  <Application>Microsoft Office Word</Application>
  <DocSecurity>0</DocSecurity>
  <Lines>527</Lines>
  <Paragraphs>148</Paragraphs>
  <ScaleCrop>false</ScaleCrop>
  <HeadingPairs>
    <vt:vector size="2" baseType="variant">
      <vt:variant>
        <vt:lpstr>Titre</vt:lpstr>
      </vt:variant>
      <vt:variant>
        <vt:i4>1</vt:i4>
      </vt:variant>
    </vt:vector>
  </HeadingPairs>
  <TitlesOfParts>
    <vt:vector size="1" baseType="lpstr">
      <vt:lpstr>ECE/TRANS/WP.15/AC.1/162</vt:lpstr>
    </vt:vector>
  </TitlesOfParts>
  <Company>DCM</Company>
  <LinksUpToDate>false</LinksUpToDate>
  <CharactersWithSpaces>74259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ECE/TRANS/WP.15/AC.1/162</dc:title>
  <dc:subject/>
  <dc:creator>Nicolas MORIN</dc:creator>
  <cp:keywords/>
  <cp:lastModifiedBy>Christine Barrio-Champeau</cp:lastModifiedBy>
  <cp:revision>2</cp:revision>
  <cp:lastPrinted>2014-05-14T10:59:00Z</cp:lastPrinted>
  <dcterms:created xsi:type="dcterms:W3CDTF">2021-12-09T12:57:00Z</dcterms:created>
  <dcterms:modified xsi:type="dcterms:W3CDTF">2021-12-09T12:57:00Z</dcterms:modified>
</cp:coreProperties>
</file>