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E8688" w14:textId="77777777" w:rsidR="00940A9C" w:rsidRPr="00340DAB" w:rsidRDefault="00940A9C" w:rsidP="00940A9C">
      <w:pPr>
        <w:spacing w:line="240" w:lineRule="auto"/>
        <w:ind w:left="5387" w:right="-286"/>
        <w:outlineLvl w:val="0"/>
        <w:rPr>
          <w:rFonts w:ascii="Arial" w:eastAsia="Arial" w:hAnsi="Arial" w:cs="Arial"/>
          <w:bCs/>
          <w:szCs w:val="24"/>
          <w:lang w:val="en-US" w:eastAsia="de-DE"/>
        </w:rPr>
      </w:pPr>
      <w:r w:rsidRPr="00340DAB">
        <w:rPr>
          <w:noProof/>
          <w:lang w:val="de-DE" w:eastAsia="de-DE"/>
        </w:rPr>
        <w:drawing>
          <wp:anchor distT="0" distB="0" distL="114300" distR="114300" simplePos="0" relativeHeight="251659264" behindDoc="0" locked="0" layoutInCell="1" allowOverlap="1" wp14:anchorId="232EFAD2" wp14:editId="5C591FEE">
            <wp:simplePos x="0" y="0"/>
            <wp:positionH relativeFrom="column">
              <wp:posOffset>0</wp:posOffset>
            </wp:positionH>
            <wp:positionV relativeFrom="paragraph">
              <wp:posOffset>-68580</wp:posOffset>
            </wp:positionV>
            <wp:extent cx="1713865" cy="604520"/>
            <wp:effectExtent l="0" t="0" r="635" b="508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865" cy="604520"/>
                    </a:xfrm>
                    <a:prstGeom prst="rect">
                      <a:avLst/>
                    </a:prstGeom>
                    <a:noFill/>
                  </pic:spPr>
                </pic:pic>
              </a:graphicData>
            </a:graphic>
            <wp14:sizeRelH relativeFrom="margin">
              <wp14:pctWidth>0</wp14:pctWidth>
            </wp14:sizeRelH>
            <wp14:sizeRelV relativeFrom="margin">
              <wp14:pctHeight>0</wp14:pctHeight>
            </wp14:sizeRelV>
          </wp:anchor>
        </w:drawing>
      </w:r>
      <w:r w:rsidRPr="00340DAB">
        <w:rPr>
          <w:rFonts w:ascii="Arial" w:eastAsia="Arial" w:hAnsi="Arial" w:cs="Arial"/>
          <w:bCs/>
          <w:szCs w:val="24"/>
          <w:lang w:val="en-US" w:eastAsia="de-DE"/>
        </w:rPr>
        <w:t>CCNR-ZKR/ADN/WP.15/AC.2/78</w:t>
      </w:r>
    </w:p>
    <w:p w14:paraId="583BF6BB" w14:textId="77777777" w:rsidR="00940A9C" w:rsidRPr="00340DAB" w:rsidRDefault="00940A9C" w:rsidP="00940A9C">
      <w:pPr>
        <w:spacing w:line="240" w:lineRule="auto"/>
        <w:ind w:left="5387" w:right="-286"/>
        <w:outlineLvl w:val="0"/>
        <w:rPr>
          <w:rFonts w:ascii="Arial" w:hAnsi="Arial" w:cs="Arial"/>
          <w:sz w:val="16"/>
          <w:szCs w:val="24"/>
          <w:lang w:val="de-DE" w:eastAsia="de-DE"/>
        </w:rPr>
      </w:pPr>
      <w:r w:rsidRPr="00340DAB">
        <w:rPr>
          <w:rFonts w:ascii="Arial" w:hAnsi="Arial" w:cs="Arial"/>
          <w:sz w:val="16"/>
          <w:szCs w:val="24"/>
          <w:lang w:val="de-DE" w:eastAsia="de-DE"/>
        </w:rPr>
        <w:t>Allgemeine Verteilung</w:t>
      </w:r>
    </w:p>
    <w:p w14:paraId="0F75505C" w14:textId="77777777" w:rsidR="00940A9C" w:rsidRPr="00340DAB" w:rsidRDefault="00940A9C" w:rsidP="00940A9C">
      <w:pPr>
        <w:tabs>
          <w:tab w:val="right" w:pos="3856"/>
          <w:tab w:val="left" w:pos="5670"/>
        </w:tabs>
        <w:spacing w:line="240" w:lineRule="auto"/>
        <w:ind w:left="5387"/>
        <w:rPr>
          <w:rFonts w:ascii="Arial" w:eastAsia="Arial" w:hAnsi="Arial" w:cs="Arial"/>
          <w:szCs w:val="24"/>
          <w:lang w:val="de-DE" w:eastAsia="de-DE"/>
        </w:rPr>
      </w:pPr>
      <w:r w:rsidRPr="00340DAB">
        <w:rPr>
          <w:rFonts w:ascii="Arial" w:eastAsia="Arial" w:hAnsi="Arial" w:cs="Arial"/>
          <w:szCs w:val="24"/>
          <w:lang w:val="de-DE" w:eastAsia="de-DE"/>
        </w:rPr>
        <w:t>28. September 2021</w:t>
      </w:r>
    </w:p>
    <w:p w14:paraId="22988688" w14:textId="77777777" w:rsidR="00940A9C" w:rsidRPr="00340DAB" w:rsidRDefault="00940A9C" w:rsidP="00940A9C">
      <w:pPr>
        <w:tabs>
          <w:tab w:val="right" w:pos="3856"/>
          <w:tab w:val="left" w:pos="5670"/>
        </w:tabs>
        <w:spacing w:line="240" w:lineRule="auto"/>
        <w:ind w:left="5387" w:right="565"/>
        <w:rPr>
          <w:rFonts w:ascii="Arial" w:hAnsi="Arial" w:cs="Arial"/>
          <w:snapToGrid w:val="0"/>
          <w:kern w:val="2"/>
          <w:lang w:val="de-DE" w:eastAsia="de-DE"/>
        </w:rPr>
      </w:pPr>
      <w:r w:rsidRPr="00340DAB">
        <w:rPr>
          <w:rFonts w:ascii="Arial" w:eastAsia="Arial" w:hAnsi="Arial" w:cs="Arial"/>
          <w:sz w:val="16"/>
          <w:szCs w:val="24"/>
          <w:lang w:val="de-DE" w:eastAsia="de-DE"/>
        </w:rPr>
        <w:t>Or.  ENGLISCH</w:t>
      </w:r>
    </w:p>
    <w:p w14:paraId="506DD038" w14:textId="77777777" w:rsidR="00940A9C" w:rsidRPr="00340DAB" w:rsidRDefault="00940A9C" w:rsidP="00940A9C">
      <w:pPr>
        <w:spacing w:line="240" w:lineRule="auto"/>
        <w:rPr>
          <w:rFonts w:ascii="Arial" w:hAnsi="Arial" w:cs="Arial"/>
          <w:sz w:val="16"/>
          <w:szCs w:val="24"/>
          <w:lang w:val="de-DE" w:eastAsia="de-DE"/>
        </w:rPr>
      </w:pPr>
    </w:p>
    <w:p w14:paraId="1FD9D2C1" w14:textId="77777777" w:rsidR="00940A9C" w:rsidRPr="00340DAB" w:rsidRDefault="00940A9C" w:rsidP="00940A9C">
      <w:pPr>
        <w:overflowPunct w:val="0"/>
        <w:autoSpaceDE w:val="0"/>
        <w:autoSpaceDN w:val="0"/>
        <w:adjustRightInd w:val="0"/>
        <w:spacing w:line="240" w:lineRule="auto"/>
        <w:ind w:left="4111" w:right="-2"/>
        <w:textAlignment w:val="baseline"/>
        <w:rPr>
          <w:rFonts w:ascii="Arial" w:hAnsi="Arial" w:cs="Arial"/>
          <w:snapToGrid w:val="0"/>
          <w:sz w:val="16"/>
          <w:szCs w:val="16"/>
          <w:lang w:val="de-DE"/>
        </w:rPr>
      </w:pPr>
      <w:r w:rsidRPr="00340DAB">
        <w:rPr>
          <w:rFonts w:ascii="Arial" w:hAnsi="Arial" w:cs="Arial"/>
          <w:snapToGrid w:val="0"/>
          <w:sz w:val="16"/>
          <w:szCs w:val="16"/>
          <w:lang w:val="de-DE"/>
        </w:rPr>
        <w:t>GEMEINSAME EXPERTENTAGUNG FÜR DIE DEM ÜBEREINKOMMEN ÜBER DIE INTERNATIONALE BEFÖRDERUNG VON GEFÄHRLICHEN GÜTERN AUF BINNENWASSERSTRAßEN</w:t>
      </w:r>
    </w:p>
    <w:p w14:paraId="02770ADC" w14:textId="77777777" w:rsidR="00940A9C" w:rsidRPr="00340DAB" w:rsidRDefault="00940A9C" w:rsidP="00940A9C">
      <w:pPr>
        <w:overflowPunct w:val="0"/>
        <w:autoSpaceDE w:val="0"/>
        <w:autoSpaceDN w:val="0"/>
        <w:adjustRightInd w:val="0"/>
        <w:spacing w:line="240" w:lineRule="auto"/>
        <w:ind w:left="4111" w:right="-2"/>
        <w:textAlignment w:val="baseline"/>
        <w:rPr>
          <w:rFonts w:ascii="Arial" w:hAnsi="Arial" w:cs="Arial"/>
          <w:snapToGrid w:val="0"/>
          <w:sz w:val="16"/>
          <w:szCs w:val="16"/>
          <w:lang w:val="de-DE"/>
        </w:rPr>
      </w:pPr>
      <w:r w:rsidRPr="00340DAB">
        <w:rPr>
          <w:rFonts w:ascii="Arial" w:hAnsi="Arial" w:cs="Arial"/>
          <w:snapToGrid w:val="0"/>
          <w:sz w:val="16"/>
          <w:szCs w:val="16"/>
          <w:lang w:val="de-DE"/>
        </w:rPr>
        <w:t>(ADN) BEIGEFÜGTE VERORDNUNG</w:t>
      </w:r>
    </w:p>
    <w:p w14:paraId="2BE85E1C" w14:textId="77777777" w:rsidR="00940A9C" w:rsidRPr="00340DAB" w:rsidRDefault="00940A9C" w:rsidP="00940A9C">
      <w:pPr>
        <w:tabs>
          <w:tab w:val="left" w:pos="2977"/>
        </w:tabs>
        <w:spacing w:line="240" w:lineRule="auto"/>
        <w:ind w:left="4111" w:right="-2"/>
        <w:rPr>
          <w:rFonts w:ascii="Arial" w:hAnsi="Arial" w:cs="Arial"/>
          <w:snapToGrid w:val="0"/>
          <w:sz w:val="16"/>
          <w:szCs w:val="16"/>
          <w:lang w:val="de-DE"/>
        </w:rPr>
      </w:pPr>
      <w:r w:rsidRPr="00340DAB">
        <w:rPr>
          <w:rFonts w:ascii="Arial" w:hAnsi="Arial" w:cs="Arial"/>
          <w:snapToGrid w:val="0"/>
          <w:sz w:val="16"/>
          <w:szCs w:val="16"/>
          <w:lang w:val="de-DE"/>
        </w:rPr>
        <w:t>(SICHERHEITSAUSSCHUSS)</w:t>
      </w:r>
    </w:p>
    <w:p w14:paraId="0C6F16E5" w14:textId="77777777" w:rsidR="00940A9C" w:rsidRPr="00340DAB" w:rsidRDefault="00940A9C" w:rsidP="00940A9C">
      <w:pPr>
        <w:tabs>
          <w:tab w:val="left" w:pos="2977"/>
        </w:tabs>
        <w:spacing w:line="240" w:lineRule="auto"/>
        <w:ind w:left="4111" w:right="-2"/>
        <w:rPr>
          <w:rFonts w:ascii="Arial" w:hAnsi="Arial" w:cs="Arial"/>
          <w:snapToGrid w:val="0"/>
          <w:sz w:val="16"/>
          <w:szCs w:val="16"/>
          <w:lang w:val="de-DE"/>
        </w:rPr>
      </w:pPr>
      <w:r w:rsidRPr="00340DAB">
        <w:rPr>
          <w:rFonts w:ascii="Arial" w:hAnsi="Arial" w:cs="Arial"/>
          <w:snapToGrid w:val="0"/>
          <w:sz w:val="16"/>
          <w:szCs w:val="16"/>
          <w:lang w:val="de-DE"/>
        </w:rPr>
        <w:t>(38. Tagung, Genf, 23. bis 27. August 2021)</w:t>
      </w:r>
    </w:p>
    <w:p w14:paraId="1CCDF495" w14:textId="77777777" w:rsidR="00940A9C" w:rsidRPr="00340DAB" w:rsidRDefault="00940A9C" w:rsidP="00940A9C">
      <w:pPr>
        <w:rPr>
          <w:lang w:val="de-DE" w:eastAsia="en-US"/>
        </w:rPr>
      </w:pPr>
    </w:p>
    <w:p w14:paraId="242CC41C" w14:textId="77777777" w:rsidR="00940A9C" w:rsidRPr="00340DAB" w:rsidRDefault="00940A9C" w:rsidP="00940A9C">
      <w:pPr>
        <w:pStyle w:val="HMG"/>
        <w:spacing w:before="300"/>
        <w:rPr>
          <w:lang w:val="de-DE"/>
        </w:rPr>
      </w:pPr>
      <w:r w:rsidRPr="00340DAB">
        <w:rPr>
          <w:lang w:val="de-DE"/>
        </w:rPr>
        <w:tab/>
      </w:r>
      <w:r w:rsidRPr="00340DAB">
        <w:rPr>
          <w:lang w:val="de-DE"/>
        </w:rPr>
        <w:tab/>
        <w:t>Protokoll über die achtunddreißigste Sitzung der Gemeinsamen Expertentagung für die dem Europäischen Übereinkommen über die internationale Beförderung von gefährlichen Gütern auf Binnenwasserstraßen beigefügte Verordnung (ADN-Sicherheitsausschuss)</w:t>
      </w:r>
      <w:r w:rsidRPr="00340DAB">
        <w:rPr>
          <w:szCs w:val="28"/>
          <w:lang w:val="de-DE"/>
        </w:rPr>
        <w:t xml:space="preserve"> </w:t>
      </w:r>
      <w:r w:rsidRPr="00340DAB">
        <w:rPr>
          <w:szCs w:val="28"/>
          <w:lang w:val="de-DE"/>
        </w:rPr>
        <w:footnoteReference w:customMarkFollows="1" w:id="2"/>
        <w:sym w:font="Symbol" w:char="F02A"/>
      </w:r>
    </w:p>
    <w:p w14:paraId="646C20B0" w14:textId="77777777" w:rsidR="00940A9C" w:rsidRPr="00340DAB" w:rsidRDefault="00940A9C" w:rsidP="00940A9C">
      <w:pPr>
        <w:rPr>
          <w:lang w:val="de-DE"/>
        </w:rPr>
      </w:pPr>
      <w:r w:rsidRPr="00340DAB">
        <w:rPr>
          <w:lang w:val="de-DE"/>
        </w:rPr>
        <w:br w:type="page"/>
      </w:r>
    </w:p>
    <w:p w14:paraId="3948B9B2" w14:textId="7F2B05B7" w:rsidR="001E24FD" w:rsidRPr="00BA758E" w:rsidRDefault="002612B9" w:rsidP="002612B9">
      <w:pPr>
        <w:spacing w:after="120"/>
        <w:rPr>
          <w:sz w:val="28"/>
          <w:lang w:val="de-DE"/>
        </w:rPr>
      </w:pPr>
      <w:r w:rsidRPr="002612B9">
        <w:rPr>
          <w:sz w:val="28"/>
          <w:lang w:val="de-DE"/>
        </w:rPr>
        <w:lastRenderedPageBreak/>
        <w:t>Inhalt</w:t>
      </w:r>
    </w:p>
    <w:p w14:paraId="06844742" w14:textId="2BAFC807" w:rsidR="001E24FD" w:rsidRPr="00BA758E" w:rsidRDefault="001E24FD" w:rsidP="002612B9">
      <w:pPr>
        <w:tabs>
          <w:tab w:val="right" w:pos="9638"/>
        </w:tabs>
        <w:spacing w:after="120"/>
        <w:ind w:left="283"/>
        <w:rPr>
          <w:sz w:val="18"/>
          <w:lang w:val="de-DE"/>
        </w:rPr>
      </w:pPr>
      <w:r w:rsidRPr="00BA758E">
        <w:rPr>
          <w:i/>
          <w:sz w:val="18"/>
          <w:lang w:val="de-DE"/>
        </w:rPr>
        <w:tab/>
      </w:r>
      <w:r w:rsidR="002612B9" w:rsidRPr="002612B9">
        <w:rPr>
          <w:i/>
          <w:sz w:val="18"/>
          <w:lang w:val="de-DE"/>
        </w:rPr>
        <w:t>Seite</w:t>
      </w:r>
    </w:p>
    <w:p w14:paraId="57A1FCC9" w14:textId="1459A3BB" w:rsidR="00BC3304" w:rsidRPr="00BA758E" w:rsidRDefault="00BC3304" w:rsidP="002612B9">
      <w:pPr>
        <w:tabs>
          <w:tab w:val="right" w:pos="850"/>
          <w:tab w:val="left" w:pos="1134"/>
          <w:tab w:val="left" w:pos="1559"/>
          <w:tab w:val="left" w:pos="1984"/>
          <w:tab w:val="left" w:leader="dot" w:pos="8929"/>
          <w:tab w:val="right" w:pos="9638"/>
        </w:tabs>
        <w:spacing w:after="120"/>
        <w:rPr>
          <w:noProof/>
          <w:lang w:val="de-DE"/>
        </w:rPr>
      </w:pPr>
      <w:r w:rsidRPr="00BA758E">
        <w:rPr>
          <w:lang w:val="de-DE"/>
        </w:rPr>
        <w:tab/>
      </w:r>
      <w:r w:rsidR="002612B9" w:rsidRPr="002612B9">
        <w:rPr>
          <w:lang w:val="de-DE"/>
        </w:rPr>
        <w:t>I.</w:t>
      </w:r>
      <w:r w:rsidRPr="00BA758E">
        <w:rPr>
          <w:noProof/>
          <w:lang w:val="de-DE"/>
        </w:rPr>
        <w:tab/>
      </w:r>
      <w:r w:rsidR="002612B9" w:rsidRPr="002612B9">
        <w:rPr>
          <w:lang w:val="de-DE"/>
        </w:rPr>
        <w:t>Teilnehmer</w:t>
      </w:r>
      <w:r w:rsidRPr="00BA758E">
        <w:rPr>
          <w:noProof/>
          <w:webHidden/>
          <w:lang w:val="de-DE"/>
        </w:rPr>
        <w:tab/>
      </w:r>
      <w:r w:rsidRPr="00BA758E">
        <w:rPr>
          <w:noProof/>
          <w:webHidden/>
          <w:lang w:val="de-DE"/>
        </w:rPr>
        <w:tab/>
      </w:r>
      <w:r w:rsidR="0060182D" w:rsidRPr="00BA758E">
        <w:rPr>
          <w:noProof/>
          <w:webHidden/>
          <w:lang w:val="de-DE"/>
        </w:rPr>
        <w:t>4</w:t>
      </w:r>
    </w:p>
    <w:p w14:paraId="7C6B86E1" w14:textId="1EBA9066" w:rsidR="00BC3304" w:rsidRPr="00BA758E" w:rsidRDefault="00BC3304" w:rsidP="002612B9">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002612B9" w:rsidRPr="002612B9">
        <w:rPr>
          <w:lang w:val="de-DE"/>
        </w:rPr>
        <w:t>II.</w:t>
      </w:r>
      <w:r w:rsidRPr="00BA758E">
        <w:rPr>
          <w:noProof/>
          <w:lang w:val="de-DE"/>
        </w:rPr>
        <w:tab/>
      </w:r>
      <w:r w:rsidR="002612B9" w:rsidRPr="002612B9">
        <w:rPr>
          <w:lang w:val="de-DE"/>
        </w:rPr>
        <w:t>Organisatorisches</w:t>
      </w:r>
      <w:r w:rsidRPr="00BA758E">
        <w:rPr>
          <w:noProof/>
          <w:webHidden/>
          <w:lang w:val="de-DE"/>
        </w:rPr>
        <w:tab/>
      </w:r>
      <w:r w:rsidRPr="00BA758E">
        <w:rPr>
          <w:noProof/>
          <w:webHidden/>
          <w:lang w:val="de-DE"/>
        </w:rPr>
        <w:tab/>
      </w:r>
      <w:r w:rsidR="0060182D" w:rsidRPr="00BA758E">
        <w:rPr>
          <w:noProof/>
          <w:webHidden/>
          <w:lang w:val="de-DE"/>
        </w:rPr>
        <w:t>4</w:t>
      </w:r>
    </w:p>
    <w:p w14:paraId="44225A1A" w14:textId="71851C0D" w:rsidR="00BC3304" w:rsidRPr="00BA758E" w:rsidRDefault="00BC3304" w:rsidP="002612B9">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002612B9" w:rsidRPr="002612B9">
        <w:rPr>
          <w:lang w:val="de-DE"/>
        </w:rPr>
        <w:t>III.</w:t>
      </w:r>
      <w:r w:rsidRPr="00BA758E">
        <w:rPr>
          <w:noProof/>
          <w:lang w:val="de-DE"/>
        </w:rPr>
        <w:tab/>
      </w:r>
      <w:r w:rsidR="002612B9" w:rsidRPr="002612B9">
        <w:rPr>
          <w:lang w:val="de-DE"/>
        </w:rPr>
        <w:t>Genehmigung der Tagesordnung (TOP 1)</w:t>
      </w:r>
      <w:r w:rsidRPr="00BA758E">
        <w:rPr>
          <w:noProof/>
          <w:webHidden/>
          <w:lang w:val="de-DE"/>
        </w:rPr>
        <w:tab/>
      </w:r>
      <w:r w:rsidRPr="00BA758E">
        <w:rPr>
          <w:noProof/>
          <w:webHidden/>
          <w:lang w:val="de-DE"/>
        </w:rPr>
        <w:tab/>
      </w:r>
      <w:r w:rsidR="0060182D" w:rsidRPr="00BA758E">
        <w:rPr>
          <w:noProof/>
          <w:webHidden/>
          <w:lang w:val="de-DE"/>
        </w:rPr>
        <w:t>4</w:t>
      </w:r>
    </w:p>
    <w:p w14:paraId="74E774BA" w14:textId="6AF7A2DD" w:rsidR="00BC3304" w:rsidRPr="00BA758E" w:rsidRDefault="00BC3304" w:rsidP="002612B9">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002612B9" w:rsidRPr="002612B9">
        <w:rPr>
          <w:lang w:val="de-DE"/>
        </w:rPr>
        <w:t>IV.</w:t>
      </w:r>
      <w:r w:rsidRPr="00BA758E">
        <w:rPr>
          <w:noProof/>
          <w:lang w:val="de-DE"/>
        </w:rPr>
        <w:tab/>
      </w:r>
      <w:r w:rsidR="002612B9" w:rsidRPr="002612B9">
        <w:rPr>
          <w:lang w:val="de-DE"/>
        </w:rPr>
        <w:t xml:space="preserve">Fragen im Zusammenhang mit den Arbeiten der Organe der Vereinten Nationen oder anderer </w:t>
      </w:r>
      <w:r w:rsidR="00BF777D">
        <w:rPr>
          <w:lang w:val="de-DE"/>
        </w:rPr>
        <w:tab/>
      </w:r>
      <w:r w:rsidR="00BF777D">
        <w:rPr>
          <w:lang w:val="de-DE"/>
        </w:rPr>
        <w:tab/>
      </w:r>
      <w:r w:rsidR="00BF777D">
        <w:rPr>
          <w:lang w:val="de-DE"/>
        </w:rPr>
        <w:tab/>
      </w:r>
      <w:r w:rsidR="00BF777D">
        <w:rPr>
          <w:lang w:val="de-DE"/>
        </w:rPr>
        <w:tab/>
      </w:r>
      <w:r w:rsidR="002612B9" w:rsidRPr="002612B9">
        <w:rPr>
          <w:lang w:val="de-DE"/>
        </w:rPr>
        <w:t>Organisationen (TOP 2)</w:t>
      </w:r>
      <w:r w:rsidRPr="00BA758E">
        <w:rPr>
          <w:noProof/>
          <w:webHidden/>
          <w:lang w:val="de-DE"/>
        </w:rPr>
        <w:tab/>
      </w:r>
      <w:r w:rsidRPr="00BA758E">
        <w:rPr>
          <w:noProof/>
          <w:webHidden/>
          <w:lang w:val="de-DE"/>
        </w:rPr>
        <w:tab/>
      </w:r>
      <w:r w:rsidR="0060182D" w:rsidRPr="00BA758E">
        <w:rPr>
          <w:noProof/>
          <w:webHidden/>
          <w:lang w:val="de-DE"/>
        </w:rPr>
        <w:t>4</w:t>
      </w:r>
    </w:p>
    <w:p w14:paraId="6E76093D" w14:textId="775F0DF5" w:rsidR="00BC3304" w:rsidRPr="00BA758E" w:rsidRDefault="00BC3304" w:rsidP="002612B9">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002612B9" w:rsidRPr="002612B9">
        <w:rPr>
          <w:lang w:val="de-DE"/>
        </w:rPr>
        <w:t>A.</w:t>
      </w:r>
      <w:r w:rsidRPr="00BA758E">
        <w:rPr>
          <w:noProof/>
          <w:lang w:val="de-DE"/>
        </w:rPr>
        <w:tab/>
      </w:r>
      <w:r w:rsidR="002612B9" w:rsidRPr="002612B9">
        <w:rPr>
          <w:lang w:val="de-DE"/>
        </w:rPr>
        <w:t>Arbeiten des Binnenverkehrsausschusses</w:t>
      </w:r>
      <w:r w:rsidRPr="00BA758E">
        <w:rPr>
          <w:noProof/>
          <w:webHidden/>
          <w:lang w:val="de-DE"/>
        </w:rPr>
        <w:tab/>
      </w:r>
      <w:r w:rsidRPr="00BA758E">
        <w:rPr>
          <w:noProof/>
          <w:webHidden/>
          <w:lang w:val="de-DE"/>
        </w:rPr>
        <w:tab/>
      </w:r>
      <w:r w:rsidR="0060182D" w:rsidRPr="00BA758E">
        <w:rPr>
          <w:noProof/>
          <w:webHidden/>
          <w:lang w:val="de-DE"/>
        </w:rPr>
        <w:t>4</w:t>
      </w:r>
    </w:p>
    <w:p w14:paraId="414D6B29" w14:textId="6FF664EC" w:rsidR="00BC3304" w:rsidRPr="00BA758E" w:rsidRDefault="00BC3304" w:rsidP="001A4555">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002612B9" w:rsidRPr="00DC0BA5">
        <w:rPr>
          <w:lang w:val="de-DE"/>
        </w:rPr>
        <w:t>B.</w:t>
      </w:r>
      <w:r w:rsidRPr="00BA758E">
        <w:rPr>
          <w:noProof/>
          <w:lang w:val="de-DE"/>
        </w:rPr>
        <w:tab/>
      </w:r>
      <w:r w:rsidR="002612B9" w:rsidRPr="00DC0BA5">
        <w:rPr>
          <w:lang w:val="de-DE"/>
        </w:rPr>
        <w:t>S</w:t>
      </w:r>
      <w:r w:rsidR="004C3CAA" w:rsidRPr="00DC0BA5">
        <w:rPr>
          <w:lang w:val="de-DE"/>
        </w:rPr>
        <w:t>achs</w:t>
      </w:r>
      <w:r w:rsidR="002612B9" w:rsidRPr="00DC0BA5">
        <w:rPr>
          <w:lang w:val="de-DE"/>
        </w:rPr>
        <w:t xml:space="preserve">tand </w:t>
      </w:r>
      <w:r w:rsidR="004C3CAA" w:rsidRPr="00DC0BA5">
        <w:rPr>
          <w:lang w:val="de-DE"/>
        </w:rPr>
        <w:t xml:space="preserve">zu </w:t>
      </w:r>
      <w:r w:rsidR="002612B9" w:rsidRPr="00DC0BA5">
        <w:rPr>
          <w:lang w:val="de-DE"/>
        </w:rPr>
        <w:t>de</w:t>
      </w:r>
      <w:r w:rsidR="004C3CAA" w:rsidRPr="00DC0BA5">
        <w:rPr>
          <w:lang w:val="de-DE"/>
        </w:rPr>
        <w:t>n</w:t>
      </w:r>
      <w:r w:rsidR="002612B9" w:rsidRPr="00DC0BA5">
        <w:rPr>
          <w:lang w:val="de-DE"/>
        </w:rPr>
        <w:t xml:space="preserve"> </w:t>
      </w:r>
      <w:r w:rsidR="007410BE" w:rsidRPr="00DC0BA5">
        <w:rPr>
          <w:lang w:val="de-DE"/>
        </w:rPr>
        <w:t>Vorschriften</w:t>
      </w:r>
      <w:r w:rsidR="002612B9" w:rsidRPr="00DC0BA5">
        <w:rPr>
          <w:lang w:val="de-DE"/>
        </w:rPr>
        <w:t xml:space="preserve"> </w:t>
      </w:r>
      <w:r w:rsidR="007410BE" w:rsidRPr="00DC0BA5">
        <w:rPr>
          <w:lang w:val="de-DE"/>
        </w:rPr>
        <w:t>für</w:t>
      </w:r>
      <w:r w:rsidR="002612B9" w:rsidRPr="00DC0BA5">
        <w:rPr>
          <w:lang w:val="de-DE"/>
        </w:rPr>
        <w:t xml:space="preserve"> das Stabilitätshandbuch</w:t>
      </w:r>
      <w:r w:rsidRPr="00BA758E">
        <w:rPr>
          <w:noProof/>
          <w:webHidden/>
          <w:lang w:val="de-DE"/>
        </w:rPr>
        <w:tab/>
      </w:r>
      <w:r w:rsidRPr="00BA758E">
        <w:rPr>
          <w:noProof/>
          <w:webHidden/>
          <w:lang w:val="de-DE"/>
        </w:rPr>
        <w:tab/>
      </w:r>
      <w:r w:rsidR="0060182D" w:rsidRPr="00BA758E">
        <w:rPr>
          <w:noProof/>
          <w:webHidden/>
          <w:lang w:val="de-DE"/>
        </w:rPr>
        <w:t>5</w:t>
      </w:r>
    </w:p>
    <w:p w14:paraId="0665BD25" w14:textId="5BE753C5" w:rsidR="00BC3304" w:rsidRPr="00BA758E" w:rsidRDefault="00BC3304" w:rsidP="00F80F86">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001A4555" w:rsidRPr="00DC0BA5">
        <w:rPr>
          <w:lang w:val="de-DE"/>
        </w:rPr>
        <w:t>C.</w:t>
      </w:r>
      <w:r w:rsidRPr="00BA758E">
        <w:rPr>
          <w:noProof/>
          <w:lang w:val="de-DE"/>
        </w:rPr>
        <w:tab/>
      </w:r>
      <w:r w:rsidR="001A4555" w:rsidRPr="00DC0BA5">
        <w:rPr>
          <w:lang w:val="de-DE"/>
        </w:rPr>
        <w:t>Dokumente und sonstige Unterlagen an Bord in elektronischer Form</w:t>
      </w:r>
      <w:r w:rsidRPr="00BA758E">
        <w:rPr>
          <w:noProof/>
          <w:webHidden/>
          <w:lang w:val="de-DE"/>
        </w:rPr>
        <w:tab/>
      </w:r>
      <w:r w:rsidRPr="00BA758E">
        <w:rPr>
          <w:noProof/>
          <w:webHidden/>
          <w:lang w:val="de-DE"/>
        </w:rPr>
        <w:tab/>
      </w:r>
      <w:r w:rsidR="0060182D" w:rsidRPr="00BA758E">
        <w:rPr>
          <w:noProof/>
          <w:webHidden/>
          <w:lang w:val="de-DE"/>
        </w:rPr>
        <w:t>5</w:t>
      </w:r>
    </w:p>
    <w:p w14:paraId="4A6C3FAF" w14:textId="23235A6C" w:rsidR="00BC3304" w:rsidRPr="00BA758E" w:rsidRDefault="00BC3304" w:rsidP="00816A4E">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00F80F86" w:rsidRPr="00F80F86">
        <w:rPr>
          <w:lang w:val="de-DE"/>
        </w:rPr>
        <w:t>D.</w:t>
      </w:r>
      <w:r w:rsidRPr="00BA758E">
        <w:rPr>
          <w:noProof/>
          <w:lang w:val="de-DE"/>
        </w:rPr>
        <w:tab/>
      </w:r>
      <w:r w:rsidR="00F80F86" w:rsidRPr="00816A4E">
        <w:rPr>
          <w:lang w:val="de-DE"/>
        </w:rPr>
        <w:t>Bericht der Donaukommission</w:t>
      </w:r>
      <w:r w:rsidRPr="00BA758E">
        <w:rPr>
          <w:noProof/>
          <w:webHidden/>
          <w:lang w:val="de-DE"/>
        </w:rPr>
        <w:tab/>
      </w:r>
      <w:r w:rsidRPr="00BA758E">
        <w:rPr>
          <w:noProof/>
          <w:webHidden/>
          <w:lang w:val="de-DE"/>
        </w:rPr>
        <w:tab/>
      </w:r>
      <w:r w:rsidR="0060182D" w:rsidRPr="00BA758E">
        <w:rPr>
          <w:noProof/>
          <w:webHidden/>
          <w:lang w:val="de-DE"/>
        </w:rPr>
        <w:t>5</w:t>
      </w:r>
    </w:p>
    <w:p w14:paraId="1DA728F2" w14:textId="392FF9E9" w:rsidR="00BC3304" w:rsidRPr="00BA758E" w:rsidRDefault="00BC3304" w:rsidP="00816A4E">
      <w:pPr>
        <w:tabs>
          <w:tab w:val="right" w:pos="850"/>
          <w:tab w:val="left" w:pos="1134"/>
          <w:tab w:val="left" w:pos="1559"/>
          <w:tab w:val="left" w:pos="1984"/>
          <w:tab w:val="left" w:leader="dot" w:pos="8929"/>
          <w:tab w:val="right" w:pos="9638"/>
        </w:tabs>
        <w:spacing w:after="120"/>
        <w:ind w:left="1134" w:hanging="1134"/>
        <w:rPr>
          <w:noProof/>
          <w:lang w:val="de-DE"/>
        </w:rPr>
      </w:pPr>
      <w:r w:rsidRPr="00BA758E">
        <w:rPr>
          <w:noProof/>
          <w:lang w:val="de-DE"/>
        </w:rPr>
        <w:tab/>
      </w:r>
      <w:r w:rsidR="00816A4E" w:rsidRPr="00816A4E">
        <w:rPr>
          <w:lang w:val="de-DE"/>
        </w:rPr>
        <w:t>V.</w:t>
      </w:r>
      <w:r w:rsidRPr="00BA758E">
        <w:rPr>
          <w:noProof/>
          <w:lang w:val="de-DE"/>
        </w:rPr>
        <w:tab/>
      </w:r>
      <w:r w:rsidR="00816A4E" w:rsidRPr="00816A4E">
        <w:rPr>
          <w:lang w:val="de-DE"/>
        </w:rPr>
        <w:t xml:space="preserve">Durchführung des Europäischen Übereinkommens über die internationale Beförderung von </w:t>
      </w:r>
      <w:r w:rsidR="00BF777D">
        <w:rPr>
          <w:lang w:val="de-DE"/>
        </w:rPr>
        <w:br/>
      </w:r>
      <w:r w:rsidR="00816A4E" w:rsidRPr="00816A4E">
        <w:rPr>
          <w:lang w:val="de-DE"/>
        </w:rPr>
        <w:t>gefährlichen Gütern auf Binnenwasserstraßen (ADN) (TOP 3)</w:t>
      </w:r>
      <w:r w:rsidRPr="00BA758E">
        <w:rPr>
          <w:noProof/>
          <w:webHidden/>
          <w:lang w:val="de-DE"/>
        </w:rPr>
        <w:tab/>
      </w:r>
      <w:r w:rsidRPr="00BA758E">
        <w:rPr>
          <w:noProof/>
          <w:webHidden/>
          <w:lang w:val="de-DE"/>
        </w:rPr>
        <w:tab/>
      </w:r>
      <w:r w:rsidR="0060182D" w:rsidRPr="00BA758E">
        <w:rPr>
          <w:noProof/>
          <w:webHidden/>
          <w:lang w:val="de-DE"/>
        </w:rPr>
        <w:t>6</w:t>
      </w:r>
    </w:p>
    <w:p w14:paraId="30DA7B58" w14:textId="402E237E" w:rsidR="00BC3304" w:rsidRPr="00BA758E" w:rsidRDefault="00BC3304" w:rsidP="00816A4E">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00816A4E" w:rsidRPr="00816A4E">
        <w:rPr>
          <w:lang w:val="de-DE"/>
        </w:rPr>
        <w:t>A.</w:t>
      </w:r>
      <w:r w:rsidRPr="00BA758E">
        <w:rPr>
          <w:noProof/>
          <w:lang w:val="de-DE"/>
        </w:rPr>
        <w:tab/>
      </w:r>
      <w:r w:rsidR="00816A4E" w:rsidRPr="00816A4E">
        <w:rPr>
          <w:lang w:val="de-DE"/>
        </w:rPr>
        <w:t>Status des ADN</w:t>
      </w:r>
      <w:r w:rsidRPr="00BA758E">
        <w:rPr>
          <w:noProof/>
          <w:webHidden/>
          <w:lang w:val="de-DE"/>
        </w:rPr>
        <w:tab/>
      </w:r>
      <w:r w:rsidRPr="00BA758E">
        <w:rPr>
          <w:noProof/>
          <w:webHidden/>
          <w:lang w:val="de-DE"/>
        </w:rPr>
        <w:tab/>
      </w:r>
      <w:r w:rsidR="0060182D" w:rsidRPr="00BA758E">
        <w:rPr>
          <w:noProof/>
          <w:webHidden/>
          <w:lang w:val="de-DE"/>
        </w:rPr>
        <w:t>6</w:t>
      </w:r>
    </w:p>
    <w:p w14:paraId="48BAB7FC" w14:textId="2393B3AA" w:rsidR="00BC3304" w:rsidRPr="00BA758E" w:rsidRDefault="00BC3304" w:rsidP="00816A4E">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00816A4E" w:rsidRPr="00816A4E">
        <w:rPr>
          <w:lang w:val="de-DE"/>
        </w:rPr>
        <w:t>B.</w:t>
      </w:r>
      <w:r w:rsidRPr="00BA758E">
        <w:rPr>
          <w:noProof/>
          <w:lang w:val="de-DE"/>
        </w:rPr>
        <w:tab/>
      </w:r>
      <w:r w:rsidR="00816A4E" w:rsidRPr="00816A4E">
        <w:rPr>
          <w:lang w:val="de-DE"/>
        </w:rPr>
        <w:t>Ausnahmegenehmigungen, Abweichungen und Gleichwertigkeiten</w:t>
      </w:r>
      <w:r w:rsidRPr="00BA758E">
        <w:rPr>
          <w:noProof/>
          <w:webHidden/>
          <w:lang w:val="de-DE"/>
        </w:rPr>
        <w:tab/>
      </w:r>
      <w:r w:rsidRPr="00BA758E">
        <w:rPr>
          <w:noProof/>
          <w:webHidden/>
          <w:lang w:val="de-DE"/>
        </w:rPr>
        <w:tab/>
      </w:r>
      <w:r w:rsidR="0060182D" w:rsidRPr="00BA758E">
        <w:rPr>
          <w:noProof/>
          <w:webHidden/>
          <w:lang w:val="de-DE"/>
        </w:rPr>
        <w:t>6</w:t>
      </w:r>
    </w:p>
    <w:p w14:paraId="3E31104B" w14:textId="271BC025" w:rsidR="00BC3304" w:rsidRPr="00BA758E" w:rsidRDefault="00BC3304" w:rsidP="00816A4E">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t>1.</w:t>
      </w:r>
      <w:r w:rsidRPr="00BA758E">
        <w:rPr>
          <w:noProof/>
          <w:lang w:val="de-DE"/>
        </w:rPr>
        <w:tab/>
      </w:r>
      <w:r w:rsidR="00816A4E" w:rsidRPr="00816A4E">
        <w:rPr>
          <w:lang w:val="de-DE"/>
        </w:rPr>
        <w:t>Ausnahmegenehmigungen</w:t>
      </w:r>
      <w:r w:rsidRPr="00BA758E">
        <w:rPr>
          <w:noProof/>
          <w:webHidden/>
          <w:lang w:val="de-DE"/>
        </w:rPr>
        <w:tab/>
      </w:r>
      <w:r w:rsidRPr="00BA758E">
        <w:rPr>
          <w:noProof/>
          <w:webHidden/>
          <w:lang w:val="de-DE"/>
        </w:rPr>
        <w:tab/>
      </w:r>
      <w:r w:rsidR="0060182D" w:rsidRPr="00BA758E">
        <w:rPr>
          <w:noProof/>
          <w:webHidden/>
          <w:lang w:val="de-DE"/>
        </w:rPr>
        <w:t>6</w:t>
      </w:r>
    </w:p>
    <w:p w14:paraId="419737B6" w14:textId="6A6BE914" w:rsidR="00BC3304" w:rsidRPr="00BA758E" w:rsidRDefault="00BC3304" w:rsidP="002E1AC3">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t>2.</w:t>
      </w:r>
      <w:r w:rsidRPr="00BA758E">
        <w:rPr>
          <w:noProof/>
          <w:lang w:val="de-DE"/>
        </w:rPr>
        <w:tab/>
      </w:r>
      <w:r w:rsidR="00816A4E" w:rsidRPr="002E1AC3">
        <w:rPr>
          <w:lang w:val="de-DE"/>
        </w:rPr>
        <w:t xml:space="preserve">Antrag auf </w:t>
      </w:r>
      <w:r w:rsidR="00D70B3C" w:rsidRPr="002E1AC3">
        <w:rPr>
          <w:lang w:val="de-DE"/>
        </w:rPr>
        <w:t xml:space="preserve">eine </w:t>
      </w:r>
      <w:r w:rsidR="00816A4E" w:rsidRPr="002E1AC3">
        <w:rPr>
          <w:lang w:val="de-DE"/>
        </w:rPr>
        <w:t>Empfehlung</w:t>
      </w:r>
      <w:r w:rsidRPr="00BA758E">
        <w:rPr>
          <w:noProof/>
          <w:webHidden/>
          <w:lang w:val="de-DE"/>
        </w:rPr>
        <w:tab/>
      </w:r>
      <w:r w:rsidRPr="00BA758E">
        <w:rPr>
          <w:noProof/>
          <w:webHidden/>
          <w:lang w:val="de-DE"/>
        </w:rPr>
        <w:tab/>
      </w:r>
      <w:r w:rsidR="0060182D" w:rsidRPr="00BA758E">
        <w:rPr>
          <w:noProof/>
          <w:webHidden/>
          <w:lang w:val="de-DE"/>
        </w:rPr>
        <w:t>6</w:t>
      </w:r>
    </w:p>
    <w:p w14:paraId="18246CA8" w14:textId="4C14BE59" w:rsidR="00BC3304" w:rsidRPr="00BA758E" w:rsidRDefault="00BC3304" w:rsidP="002E1AC3">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002E1AC3" w:rsidRPr="002E1AC3">
        <w:rPr>
          <w:lang w:val="de-DE"/>
        </w:rPr>
        <w:t>C.</w:t>
      </w:r>
      <w:r w:rsidRPr="00BA758E">
        <w:rPr>
          <w:noProof/>
          <w:lang w:val="de-DE"/>
        </w:rPr>
        <w:tab/>
      </w:r>
      <w:r w:rsidR="002E1AC3" w:rsidRPr="002E1AC3">
        <w:rPr>
          <w:lang w:val="de-DE"/>
        </w:rPr>
        <w:t>Auslegung der dem ADN beigefügten Verordnung</w:t>
      </w:r>
      <w:r w:rsidRPr="00BA758E">
        <w:rPr>
          <w:noProof/>
          <w:webHidden/>
          <w:lang w:val="de-DE"/>
        </w:rPr>
        <w:tab/>
      </w:r>
      <w:r w:rsidRPr="00BA758E">
        <w:rPr>
          <w:noProof/>
          <w:webHidden/>
          <w:lang w:val="de-DE"/>
        </w:rPr>
        <w:tab/>
      </w:r>
      <w:r w:rsidR="0060182D" w:rsidRPr="00BA758E">
        <w:rPr>
          <w:noProof/>
          <w:webHidden/>
          <w:lang w:val="de-DE"/>
        </w:rPr>
        <w:t>6</w:t>
      </w:r>
    </w:p>
    <w:p w14:paraId="4869196F" w14:textId="669FD3E3" w:rsidR="00BC3304" w:rsidRPr="00BA758E" w:rsidRDefault="00BC3304" w:rsidP="002E1AC3">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002E1AC3" w:rsidRPr="002E1AC3">
        <w:rPr>
          <w:lang w:val="de-DE"/>
        </w:rPr>
        <w:t>D.</w:t>
      </w:r>
      <w:r w:rsidRPr="00BA758E">
        <w:rPr>
          <w:noProof/>
          <w:lang w:val="de-DE"/>
        </w:rPr>
        <w:tab/>
      </w:r>
      <w:r w:rsidR="002E1AC3" w:rsidRPr="002E1AC3">
        <w:rPr>
          <w:lang w:val="de-DE"/>
        </w:rPr>
        <w:t>Sachkundigenausbildung</w:t>
      </w:r>
      <w:r w:rsidRPr="00BA758E">
        <w:rPr>
          <w:noProof/>
          <w:webHidden/>
          <w:lang w:val="de-DE"/>
        </w:rPr>
        <w:tab/>
      </w:r>
      <w:r w:rsidRPr="00BA758E">
        <w:rPr>
          <w:noProof/>
          <w:webHidden/>
          <w:lang w:val="de-DE"/>
        </w:rPr>
        <w:tab/>
      </w:r>
      <w:r w:rsidR="0060182D" w:rsidRPr="00BA758E">
        <w:rPr>
          <w:noProof/>
          <w:webHidden/>
          <w:lang w:val="de-DE"/>
        </w:rPr>
        <w:t>6</w:t>
      </w:r>
    </w:p>
    <w:p w14:paraId="03019E34" w14:textId="450144E5" w:rsidR="00BC3304" w:rsidRPr="00BA758E" w:rsidRDefault="00BC3304" w:rsidP="002E1AC3">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t>1.</w:t>
      </w:r>
      <w:r w:rsidRPr="00BA758E">
        <w:rPr>
          <w:noProof/>
          <w:lang w:val="de-DE"/>
        </w:rPr>
        <w:tab/>
      </w:r>
      <w:r w:rsidR="002E1AC3" w:rsidRPr="002E1AC3">
        <w:rPr>
          <w:lang w:val="de-DE"/>
        </w:rPr>
        <w:t>ADN-Fragenkatalog 2021</w:t>
      </w:r>
      <w:r w:rsidRPr="00BA758E">
        <w:rPr>
          <w:noProof/>
          <w:webHidden/>
          <w:lang w:val="de-DE"/>
        </w:rPr>
        <w:tab/>
      </w:r>
      <w:r w:rsidRPr="00BA758E">
        <w:rPr>
          <w:noProof/>
          <w:webHidden/>
          <w:lang w:val="de-DE"/>
        </w:rPr>
        <w:tab/>
      </w:r>
      <w:r w:rsidR="0060182D" w:rsidRPr="00BA758E">
        <w:rPr>
          <w:noProof/>
          <w:webHidden/>
          <w:lang w:val="de-DE"/>
        </w:rPr>
        <w:t>6</w:t>
      </w:r>
    </w:p>
    <w:p w14:paraId="6E6D81D3" w14:textId="19C8AED7" w:rsidR="00BC3304" w:rsidRPr="00BA758E" w:rsidRDefault="00BC3304" w:rsidP="00F162AF">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t>2.</w:t>
      </w:r>
      <w:r w:rsidRPr="00BA758E">
        <w:rPr>
          <w:noProof/>
          <w:lang w:val="de-DE"/>
        </w:rPr>
        <w:tab/>
      </w:r>
      <w:r w:rsidR="002E1AC3" w:rsidRPr="00B77C7C">
        <w:rPr>
          <w:lang w:val="de-DE"/>
        </w:rPr>
        <w:t xml:space="preserve">Richtlinie </w:t>
      </w:r>
      <w:r w:rsidR="00E82C71">
        <w:rPr>
          <w:lang w:val="de-DE"/>
        </w:rPr>
        <w:t>für</w:t>
      </w:r>
      <w:r w:rsidR="002E1AC3" w:rsidRPr="00B77C7C">
        <w:rPr>
          <w:lang w:val="de-DE"/>
        </w:rPr>
        <w:t xml:space="preserve"> die Verwendung des Fragenkatalogs für die Prüfung von </w:t>
      </w:r>
      <w:r w:rsidR="00BF777D">
        <w:rPr>
          <w:lang w:val="de-DE"/>
        </w:rPr>
        <w:br/>
      </w:r>
      <w:r w:rsidR="00BF777D">
        <w:rPr>
          <w:lang w:val="de-DE"/>
        </w:rPr>
        <w:tab/>
      </w:r>
      <w:r w:rsidR="00BF777D">
        <w:rPr>
          <w:lang w:val="de-DE"/>
        </w:rPr>
        <w:tab/>
      </w:r>
      <w:r w:rsidR="00BF777D">
        <w:rPr>
          <w:lang w:val="de-DE"/>
        </w:rPr>
        <w:tab/>
      </w:r>
      <w:r w:rsidR="00BF777D">
        <w:rPr>
          <w:lang w:val="de-DE"/>
        </w:rPr>
        <w:tab/>
      </w:r>
      <w:r w:rsidR="002E1AC3" w:rsidRPr="00B77C7C">
        <w:rPr>
          <w:lang w:val="de-DE"/>
        </w:rPr>
        <w:t>ADN-Sachkundigen</w:t>
      </w:r>
      <w:r w:rsidRPr="00BA758E">
        <w:rPr>
          <w:noProof/>
          <w:webHidden/>
          <w:lang w:val="de-DE"/>
        </w:rPr>
        <w:tab/>
      </w:r>
      <w:r w:rsidRPr="00BA758E">
        <w:rPr>
          <w:noProof/>
          <w:webHidden/>
          <w:lang w:val="de-DE"/>
        </w:rPr>
        <w:tab/>
      </w:r>
      <w:r w:rsidR="0060182D" w:rsidRPr="00BA758E">
        <w:rPr>
          <w:noProof/>
          <w:webHidden/>
          <w:lang w:val="de-DE"/>
        </w:rPr>
        <w:t>7</w:t>
      </w:r>
    </w:p>
    <w:p w14:paraId="65089290" w14:textId="51CD5965" w:rsidR="00BC3304" w:rsidRPr="00BA758E" w:rsidRDefault="00BC3304" w:rsidP="00B77C7C">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00B77C7C" w:rsidRPr="00B77C7C">
        <w:rPr>
          <w:lang w:val="de-DE"/>
        </w:rPr>
        <w:t>E.</w:t>
      </w:r>
      <w:r w:rsidRPr="00BA758E">
        <w:rPr>
          <w:noProof/>
          <w:lang w:val="de-DE"/>
        </w:rPr>
        <w:tab/>
      </w:r>
      <w:r w:rsidR="00B77C7C" w:rsidRPr="00B77C7C">
        <w:rPr>
          <w:lang w:val="de-DE"/>
        </w:rPr>
        <w:t>Fragen im Zusammenhang mit den Klassifikationsgesellschaften</w:t>
      </w:r>
      <w:r w:rsidRPr="00BA758E">
        <w:rPr>
          <w:noProof/>
          <w:webHidden/>
          <w:lang w:val="de-DE"/>
        </w:rPr>
        <w:tab/>
      </w:r>
      <w:r w:rsidRPr="00BA758E">
        <w:rPr>
          <w:noProof/>
          <w:webHidden/>
          <w:lang w:val="de-DE"/>
        </w:rPr>
        <w:tab/>
      </w:r>
      <w:r w:rsidR="0060182D" w:rsidRPr="00BA758E">
        <w:rPr>
          <w:noProof/>
          <w:webHidden/>
          <w:lang w:val="de-DE"/>
        </w:rPr>
        <w:t>7</w:t>
      </w:r>
    </w:p>
    <w:p w14:paraId="14EB86FE" w14:textId="3275ACAF" w:rsidR="00BC3304" w:rsidRPr="00BA758E" w:rsidRDefault="00BC3304" w:rsidP="00B77C7C">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00B77C7C" w:rsidRPr="00B77C7C">
        <w:rPr>
          <w:lang w:val="de-DE"/>
        </w:rPr>
        <w:t>VI.</w:t>
      </w:r>
      <w:r w:rsidRPr="00BA758E">
        <w:rPr>
          <w:noProof/>
          <w:lang w:val="de-DE"/>
        </w:rPr>
        <w:tab/>
      </w:r>
      <w:r w:rsidR="00B77C7C" w:rsidRPr="00B77C7C">
        <w:rPr>
          <w:lang w:val="de-DE"/>
        </w:rPr>
        <w:t>Vorschläge für Änderungen der dem ADN beigefügten Verordnung (TOP 4)</w:t>
      </w:r>
      <w:r w:rsidRPr="00BA758E">
        <w:rPr>
          <w:noProof/>
          <w:webHidden/>
          <w:lang w:val="de-DE"/>
        </w:rPr>
        <w:tab/>
      </w:r>
      <w:r w:rsidRPr="00BA758E">
        <w:rPr>
          <w:noProof/>
          <w:webHidden/>
          <w:lang w:val="de-DE"/>
        </w:rPr>
        <w:tab/>
      </w:r>
      <w:r w:rsidR="0060182D" w:rsidRPr="00BA758E">
        <w:rPr>
          <w:noProof/>
          <w:webHidden/>
          <w:lang w:val="de-DE"/>
        </w:rPr>
        <w:t>7</w:t>
      </w:r>
    </w:p>
    <w:p w14:paraId="2AA6683C" w14:textId="6CDE5214" w:rsidR="00BC3304" w:rsidRPr="00BA758E" w:rsidRDefault="00BC3304" w:rsidP="00B77C7C">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00B77C7C" w:rsidRPr="00B77C7C">
        <w:rPr>
          <w:lang w:val="de-DE"/>
        </w:rPr>
        <w:t>A.</w:t>
      </w:r>
      <w:r w:rsidRPr="00BA758E">
        <w:rPr>
          <w:noProof/>
          <w:lang w:val="de-DE"/>
        </w:rPr>
        <w:tab/>
      </w:r>
      <w:r w:rsidR="00B77C7C" w:rsidRPr="00B77C7C">
        <w:rPr>
          <w:lang w:val="de-DE"/>
        </w:rPr>
        <w:t>Arbeiten der Gemeinsamen RID/ADR/ADN-Tagung</w:t>
      </w:r>
      <w:r w:rsidRPr="00BA758E">
        <w:rPr>
          <w:noProof/>
          <w:webHidden/>
          <w:lang w:val="de-DE"/>
        </w:rPr>
        <w:tab/>
      </w:r>
      <w:r w:rsidRPr="00BA758E">
        <w:rPr>
          <w:noProof/>
          <w:webHidden/>
          <w:lang w:val="de-DE"/>
        </w:rPr>
        <w:tab/>
      </w:r>
      <w:r w:rsidR="0060182D" w:rsidRPr="00BA758E">
        <w:rPr>
          <w:noProof/>
          <w:webHidden/>
          <w:lang w:val="de-DE"/>
        </w:rPr>
        <w:t>7</w:t>
      </w:r>
    </w:p>
    <w:p w14:paraId="4CF994D9" w14:textId="33832005" w:rsidR="00BC3304" w:rsidRPr="00BA758E" w:rsidRDefault="00BC3304" w:rsidP="00B77C7C">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00B77C7C" w:rsidRPr="00B77C7C">
        <w:rPr>
          <w:lang w:val="de-DE"/>
        </w:rPr>
        <w:t>B.</w:t>
      </w:r>
      <w:r w:rsidRPr="00BA758E">
        <w:rPr>
          <w:noProof/>
          <w:lang w:val="de-DE"/>
        </w:rPr>
        <w:tab/>
      </w:r>
      <w:r w:rsidR="00B77C7C" w:rsidRPr="00B77C7C">
        <w:rPr>
          <w:lang w:val="de-DE"/>
        </w:rPr>
        <w:t>Weitere Vorschläge</w:t>
      </w:r>
      <w:r w:rsidRPr="00BA758E">
        <w:rPr>
          <w:noProof/>
          <w:webHidden/>
          <w:lang w:val="de-DE"/>
        </w:rPr>
        <w:tab/>
      </w:r>
      <w:r w:rsidRPr="00BA758E">
        <w:rPr>
          <w:noProof/>
          <w:webHidden/>
          <w:lang w:val="de-DE"/>
        </w:rPr>
        <w:tab/>
      </w:r>
      <w:r w:rsidR="0060182D" w:rsidRPr="00BA758E">
        <w:rPr>
          <w:noProof/>
          <w:webHidden/>
          <w:lang w:val="de-DE"/>
        </w:rPr>
        <w:t>7</w:t>
      </w:r>
    </w:p>
    <w:p w14:paraId="1DD01483" w14:textId="1BC84AA5" w:rsidR="00BC3304" w:rsidRPr="00BA758E" w:rsidRDefault="00BC3304" w:rsidP="00B77C7C">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t>1.</w:t>
      </w:r>
      <w:r w:rsidRPr="00BA758E">
        <w:rPr>
          <w:noProof/>
          <w:lang w:val="de-DE"/>
        </w:rPr>
        <w:tab/>
      </w:r>
      <w:r w:rsidR="00B77C7C" w:rsidRPr="00B77C7C">
        <w:rPr>
          <w:lang w:val="de-DE"/>
        </w:rPr>
        <w:t>Änderungsvorschläge</w:t>
      </w:r>
      <w:r w:rsidRPr="00BA758E">
        <w:rPr>
          <w:noProof/>
          <w:webHidden/>
          <w:lang w:val="de-DE"/>
        </w:rPr>
        <w:tab/>
      </w:r>
      <w:r w:rsidRPr="00BA758E">
        <w:rPr>
          <w:noProof/>
          <w:webHidden/>
          <w:lang w:val="de-DE"/>
        </w:rPr>
        <w:tab/>
      </w:r>
      <w:r w:rsidR="0060182D" w:rsidRPr="00BA758E">
        <w:rPr>
          <w:noProof/>
          <w:webHidden/>
          <w:lang w:val="de-DE"/>
        </w:rPr>
        <w:t>7</w:t>
      </w:r>
    </w:p>
    <w:p w14:paraId="52AFAA99" w14:textId="49F896F2" w:rsidR="00BC3304" w:rsidRPr="00BA758E" w:rsidRDefault="00BC3304" w:rsidP="00B77C7C">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t>2.</w:t>
      </w:r>
      <w:r w:rsidRPr="00BA758E">
        <w:rPr>
          <w:noProof/>
          <w:lang w:val="de-DE"/>
        </w:rPr>
        <w:tab/>
      </w:r>
      <w:r w:rsidR="00B77C7C" w:rsidRPr="00B77C7C">
        <w:rPr>
          <w:lang w:val="de-DE"/>
        </w:rPr>
        <w:t xml:space="preserve">Vorschlag zur Änderung von Unterabschnitt 7.2.4.41 in Bezug auf die Beschränkung </w:t>
      </w:r>
      <w:r w:rsidR="00AD624A">
        <w:rPr>
          <w:lang w:val="de-DE"/>
        </w:rPr>
        <w:br/>
      </w:r>
      <w:r w:rsidR="00AD624A">
        <w:rPr>
          <w:lang w:val="de-DE"/>
        </w:rPr>
        <w:tab/>
      </w:r>
      <w:r w:rsidR="00AD624A">
        <w:rPr>
          <w:lang w:val="de-DE"/>
        </w:rPr>
        <w:tab/>
      </w:r>
      <w:r w:rsidR="00AD624A">
        <w:rPr>
          <w:lang w:val="de-DE"/>
        </w:rPr>
        <w:tab/>
      </w:r>
      <w:r w:rsidR="00AD624A">
        <w:rPr>
          <w:lang w:val="de-DE"/>
        </w:rPr>
        <w:tab/>
      </w:r>
      <w:r w:rsidR="00B77C7C" w:rsidRPr="00B77C7C">
        <w:rPr>
          <w:lang w:val="de-DE"/>
        </w:rPr>
        <w:t>für elektronische Zigaretten</w:t>
      </w:r>
      <w:r w:rsidRPr="00BA758E">
        <w:rPr>
          <w:noProof/>
          <w:webHidden/>
          <w:lang w:val="de-DE"/>
        </w:rPr>
        <w:tab/>
      </w:r>
      <w:r w:rsidRPr="00BA758E">
        <w:rPr>
          <w:noProof/>
          <w:webHidden/>
          <w:lang w:val="de-DE"/>
        </w:rPr>
        <w:tab/>
      </w:r>
      <w:r w:rsidR="0060182D" w:rsidRPr="00BA758E">
        <w:rPr>
          <w:noProof/>
          <w:webHidden/>
          <w:lang w:val="de-DE"/>
        </w:rPr>
        <w:t>8</w:t>
      </w:r>
    </w:p>
    <w:p w14:paraId="3AC112A3" w14:textId="7E9CE1BE" w:rsidR="00BC3304" w:rsidRPr="00BA758E" w:rsidRDefault="00BC3304" w:rsidP="0066661C">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t>3.</w:t>
      </w:r>
      <w:r w:rsidRPr="00BA758E">
        <w:rPr>
          <w:noProof/>
          <w:lang w:val="de-DE"/>
        </w:rPr>
        <w:tab/>
      </w:r>
      <w:r w:rsidR="00C863C7" w:rsidRPr="0066661C">
        <w:rPr>
          <w:lang w:val="de-DE"/>
        </w:rPr>
        <w:t xml:space="preserve">Verschiedene </w:t>
      </w:r>
      <w:r w:rsidR="00B77C7C" w:rsidRPr="0066661C">
        <w:rPr>
          <w:lang w:val="de-DE"/>
        </w:rPr>
        <w:t xml:space="preserve">Änderungen und </w:t>
      </w:r>
      <w:r w:rsidR="00C863C7" w:rsidRPr="0066661C">
        <w:rPr>
          <w:lang w:val="de-DE"/>
        </w:rPr>
        <w:t>notifizierungspflichtige Korrekturen</w:t>
      </w:r>
      <w:r w:rsidR="00B77C7C" w:rsidRPr="0066661C">
        <w:rPr>
          <w:lang w:val="de-DE"/>
        </w:rPr>
        <w:t xml:space="preserve"> </w:t>
      </w:r>
      <w:r w:rsidR="00C863C7" w:rsidRPr="0066661C">
        <w:rPr>
          <w:lang w:val="de-DE"/>
        </w:rPr>
        <w:t>des ADN 202</w:t>
      </w:r>
      <w:r w:rsidR="0066661C" w:rsidRPr="0066661C">
        <w:rPr>
          <w:lang w:val="de-DE"/>
        </w:rPr>
        <w:t>1</w:t>
      </w:r>
      <w:r w:rsidRPr="00BA758E">
        <w:rPr>
          <w:noProof/>
          <w:webHidden/>
          <w:lang w:val="de-DE"/>
        </w:rPr>
        <w:tab/>
      </w:r>
      <w:r w:rsidRPr="00BA758E">
        <w:rPr>
          <w:noProof/>
          <w:webHidden/>
          <w:lang w:val="de-DE"/>
        </w:rPr>
        <w:tab/>
      </w:r>
      <w:r w:rsidR="0060182D" w:rsidRPr="00BA758E">
        <w:rPr>
          <w:noProof/>
          <w:webHidden/>
          <w:lang w:val="de-DE"/>
        </w:rPr>
        <w:t>8</w:t>
      </w:r>
    </w:p>
    <w:p w14:paraId="19EAF8ED" w14:textId="21114900" w:rsidR="00BC3304" w:rsidRPr="00BA758E" w:rsidRDefault="00BC3304" w:rsidP="00E263C8">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t>4.</w:t>
      </w:r>
      <w:r w:rsidRPr="00BA758E">
        <w:rPr>
          <w:noProof/>
          <w:lang w:val="de-DE"/>
        </w:rPr>
        <w:tab/>
      </w:r>
      <w:r w:rsidR="0066661C" w:rsidRPr="00E263C8">
        <w:rPr>
          <w:lang w:val="de-DE"/>
        </w:rPr>
        <w:t xml:space="preserve">Abschnitt 8.2.1 ADN – </w:t>
      </w:r>
      <w:r w:rsidR="0066661C" w:rsidRPr="000E2CE0">
        <w:rPr>
          <w:lang w:val="de-DE"/>
        </w:rPr>
        <w:t>Vorschriften</w:t>
      </w:r>
      <w:r w:rsidR="0066661C" w:rsidRPr="00E263C8">
        <w:rPr>
          <w:lang w:val="de-DE"/>
        </w:rPr>
        <w:t xml:space="preserve"> für die Ausbildung von Sachkundigen</w:t>
      </w:r>
      <w:r w:rsidRPr="00BA758E">
        <w:rPr>
          <w:noProof/>
          <w:webHidden/>
          <w:lang w:val="de-DE"/>
        </w:rPr>
        <w:tab/>
      </w:r>
      <w:r w:rsidRPr="00BA758E">
        <w:rPr>
          <w:noProof/>
          <w:webHidden/>
          <w:lang w:val="de-DE"/>
        </w:rPr>
        <w:tab/>
      </w:r>
      <w:r w:rsidR="0060182D" w:rsidRPr="00BA758E">
        <w:rPr>
          <w:noProof/>
          <w:webHidden/>
          <w:lang w:val="de-DE"/>
        </w:rPr>
        <w:t>8</w:t>
      </w:r>
    </w:p>
    <w:p w14:paraId="7E236F0C" w14:textId="1FD0FB3D" w:rsidR="00BC3304" w:rsidRPr="00BA758E" w:rsidRDefault="00BC3304" w:rsidP="00E263C8">
      <w:pPr>
        <w:tabs>
          <w:tab w:val="right" w:pos="850"/>
          <w:tab w:val="left" w:pos="1134"/>
          <w:tab w:val="left" w:pos="1559"/>
          <w:tab w:val="left" w:pos="1984"/>
          <w:tab w:val="left" w:leader="dot" w:pos="8929"/>
          <w:tab w:val="right" w:pos="9638"/>
        </w:tabs>
        <w:spacing w:after="120"/>
        <w:ind w:left="1985" w:hanging="1985"/>
        <w:rPr>
          <w:noProof/>
          <w:lang w:val="de-DE"/>
        </w:rPr>
      </w:pPr>
      <w:r w:rsidRPr="00BA758E">
        <w:rPr>
          <w:noProof/>
          <w:lang w:val="de-DE"/>
        </w:rPr>
        <w:tab/>
      </w:r>
      <w:r w:rsidRPr="00BA758E">
        <w:rPr>
          <w:noProof/>
          <w:lang w:val="de-DE"/>
        </w:rPr>
        <w:tab/>
      </w:r>
      <w:r w:rsidRPr="00BA758E">
        <w:rPr>
          <w:noProof/>
          <w:lang w:val="de-DE"/>
        </w:rPr>
        <w:tab/>
        <w:t>5.</w:t>
      </w:r>
      <w:r w:rsidRPr="00BA758E">
        <w:rPr>
          <w:noProof/>
          <w:lang w:val="de-DE"/>
        </w:rPr>
        <w:tab/>
      </w:r>
      <w:r w:rsidR="00E263C8" w:rsidRPr="00E263C8">
        <w:rPr>
          <w:lang w:val="de-DE"/>
        </w:rPr>
        <w:t>Beförderung von begasten Schüttgütern in Laderäumen und begaste Laderäume von Trockengüterschiffen</w:t>
      </w:r>
      <w:r w:rsidRPr="00BA758E">
        <w:rPr>
          <w:noProof/>
          <w:webHidden/>
          <w:lang w:val="de-DE"/>
        </w:rPr>
        <w:tab/>
      </w:r>
      <w:r w:rsidRPr="00BA758E">
        <w:rPr>
          <w:noProof/>
          <w:webHidden/>
          <w:lang w:val="de-DE"/>
        </w:rPr>
        <w:tab/>
      </w:r>
      <w:r w:rsidR="0060182D" w:rsidRPr="00BA758E">
        <w:rPr>
          <w:noProof/>
          <w:webHidden/>
          <w:lang w:val="de-DE"/>
        </w:rPr>
        <w:t>8</w:t>
      </w:r>
    </w:p>
    <w:p w14:paraId="4127D0F7" w14:textId="074483A4" w:rsidR="00BC3304" w:rsidRPr="00BA758E" w:rsidRDefault="00BC3304" w:rsidP="006849CB">
      <w:pPr>
        <w:tabs>
          <w:tab w:val="right" w:pos="850"/>
          <w:tab w:val="left" w:pos="1134"/>
          <w:tab w:val="left" w:pos="1559"/>
          <w:tab w:val="left" w:pos="1984"/>
          <w:tab w:val="left" w:leader="dot" w:pos="8929"/>
          <w:tab w:val="right" w:pos="9638"/>
        </w:tabs>
        <w:spacing w:after="120"/>
        <w:ind w:left="1985" w:hanging="1985"/>
        <w:rPr>
          <w:noProof/>
          <w:lang w:val="de-DE"/>
        </w:rPr>
      </w:pPr>
      <w:r w:rsidRPr="00BA758E">
        <w:rPr>
          <w:noProof/>
          <w:lang w:val="de-DE"/>
        </w:rPr>
        <w:tab/>
      </w:r>
      <w:r w:rsidRPr="00BA758E">
        <w:rPr>
          <w:noProof/>
          <w:lang w:val="de-DE"/>
        </w:rPr>
        <w:tab/>
      </w:r>
      <w:r w:rsidRPr="00BA758E">
        <w:rPr>
          <w:noProof/>
          <w:lang w:val="de-DE"/>
        </w:rPr>
        <w:tab/>
        <w:t>6.</w:t>
      </w:r>
      <w:r w:rsidRPr="00BA758E">
        <w:rPr>
          <w:noProof/>
          <w:lang w:val="de-DE"/>
        </w:rPr>
        <w:tab/>
      </w:r>
      <w:r w:rsidR="00E263C8" w:rsidRPr="00E263C8">
        <w:rPr>
          <w:lang w:val="de-DE"/>
        </w:rPr>
        <w:t xml:space="preserve">Teile 4 und 6 ADN – Abweichungen durch multilaterale </w:t>
      </w:r>
      <w:r w:rsidR="006849CB">
        <w:rPr>
          <w:lang w:val="de-DE"/>
        </w:rPr>
        <w:t>Abkommen</w:t>
      </w:r>
      <w:r w:rsidR="00E263C8" w:rsidRPr="00E263C8">
        <w:rPr>
          <w:lang w:val="de-DE"/>
        </w:rPr>
        <w:t xml:space="preserve"> nach ADR/RID</w:t>
      </w:r>
      <w:r w:rsidRPr="00BA758E">
        <w:rPr>
          <w:noProof/>
          <w:webHidden/>
          <w:lang w:val="de-DE"/>
        </w:rPr>
        <w:tab/>
      </w:r>
      <w:r w:rsidRPr="00BA758E">
        <w:rPr>
          <w:noProof/>
          <w:webHidden/>
          <w:lang w:val="de-DE"/>
        </w:rPr>
        <w:tab/>
      </w:r>
      <w:r w:rsidR="0060182D" w:rsidRPr="00BA758E">
        <w:rPr>
          <w:noProof/>
          <w:webHidden/>
          <w:lang w:val="de-DE"/>
        </w:rPr>
        <w:t>8</w:t>
      </w:r>
    </w:p>
    <w:p w14:paraId="1E989A75" w14:textId="753C0FA5" w:rsidR="00BC3304" w:rsidRPr="001B5E14" w:rsidRDefault="00BC3304" w:rsidP="007B0D97">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r>
      <w:r w:rsidRPr="001B5E14">
        <w:rPr>
          <w:noProof/>
          <w:lang w:val="de-DE"/>
        </w:rPr>
        <w:t>7.</w:t>
      </w:r>
      <w:r w:rsidRPr="001B5E14">
        <w:rPr>
          <w:noProof/>
          <w:lang w:val="de-DE"/>
        </w:rPr>
        <w:tab/>
      </w:r>
      <w:r w:rsidR="00E263C8" w:rsidRPr="007B0D97">
        <w:rPr>
          <w:lang w:val="de-DE"/>
        </w:rPr>
        <w:t xml:space="preserve">Korrekturvorschlag zu </w:t>
      </w:r>
      <w:r w:rsidR="00515522" w:rsidRPr="007B0D97">
        <w:rPr>
          <w:lang w:val="de-DE"/>
        </w:rPr>
        <w:t>Unterabschnitt</w:t>
      </w:r>
      <w:r w:rsidR="00E263C8" w:rsidRPr="007B0D97">
        <w:rPr>
          <w:lang w:val="de-DE"/>
        </w:rPr>
        <w:t xml:space="preserve"> 9.3.3.60</w:t>
      </w:r>
      <w:r w:rsidRPr="001B5E14">
        <w:rPr>
          <w:noProof/>
          <w:webHidden/>
          <w:lang w:val="de-DE"/>
        </w:rPr>
        <w:tab/>
      </w:r>
      <w:r w:rsidRPr="001B5E14">
        <w:rPr>
          <w:noProof/>
          <w:webHidden/>
          <w:lang w:val="de-DE"/>
        </w:rPr>
        <w:tab/>
      </w:r>
      <w:r w:rsidR="0060182D" w:rsidRPr="001B5E14">
        <w:rPr>
          <w:noProof/>
          <w:webHidden/>
          <w:lang w:val="de-DE"/>
        </w:rPr>
        <w:t>9</w:t>
      </w:r>
    </w:p>
    <w:p w14:paraId="08CBB857" w14:textId="38841585" w:rsidR="00BC3304" w:rsidRPr="00BA758E" w:rsidRDefault="00BC3304" w:rsidP="007B0D97">
      <w:pPr>
        <w:tabs>
          <w:tab w:val="right" w:pos="850"/>
          <w:tab w:val="left" w:pos="1134"/>
          <w:tab w:val="left" w:pos="1559"/>
          <w:tab w:val="left" w:pos="1984"/>
          <w:tab w:val="left" w:leader="dot" w:pos="8929"/>
          <w:tab w:val="right" w:pos="9638"/>
        </w:tabs>
        <w:spacing w:after="120"/>
        <w:rPr>
          <w:noProof/>
          <w:lang w:val="de-DE"/>
        </w:rPr>
      </w:pPr>
      <w:r w:rsidRPr="001B5E14">
        <w:rPr>
          <w:noProof/>
          <w:lang w:val="de-DE"/>
        </w:rPr>
        <w:tab/>
      </w:r>
      <w:r w:rsidRPr="001B5E14">
        <w:rPr>
          <w:noProof/>
          <w:lang w:val="de-DE"/>
        </w:rPr>
        <w:tab/>
      </w:r>
      <w:r w:rsidRPr="001B5E14">
        <w:rPr>
          <w:noProof/>
          <w:lang w:val="de-DE"/>
        </w:rPr>
        <w:tab/>
      </w:r>
      <w:r w:rsidRPr="00BA758E">
        <w:rPr>
          <w:noProof/>
          <w:lang w:val="de-DE"/>
        </w:rPr>
        <w:t>8.</w:t>
      </w:r>
      <w:r w:rsidRPr="00BA758E">
        <w:rPr>
          <w:noProof/>
          <w:lang w:val="de-DE"/>
        </w:rPr>
        <w:tab/>
      </w:r>
      <w:r w:rsidR="007B0D97" w:rsidRPr="007B0D97">
        <w:rPr>
          <w:lang w:val="de-DE"/>
        </w:rPr>
        <w:t>Vorschriften für Kofferdämme</w:t>
      </w:r>
      <w:r w:rsidRPr="00BA758E">
        <w:rPr>
          <w:noProof/>
          <w:webHidden/>
          <w:lang w:val="de-DE"/>
        </w:rPr>
        <w:tab/>
      </w:r>
      <w:r w:rsidRPr="00BA758E">
        <w:rPr>
          <w:noProof/>
          <w:webHidden/>
          <w:lang w:val="de-DE"/>
        </w:rPr>
        <w:tab/>
      </w:r>
      <w:r w:rsidR="0060182D" w:rsidRPr="00BA758E">
        <w:rPr>
          <w:noProof/>
          <w:webHidden/>
          <w:lang w:val="de-DE"/>
        </w:rPr>
        <w:t>9</w:t>
      </w:r>
    </w:p>
    <w:p w14:paraId="5CD2D1D5" w14:textId="3385B590" w:rsidR="00BC3304" w:rsidRPr="00BA758E" w:rsidRDefault="00BC3304" w:rsidP="00F3666F">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t>9.</w:t>
      </w:r>
      <w:r w:rsidRPr="00BA758E">
        <w:rPr>
          <w:noProof/>
          <w:lang w:val="de-DE"/>
        </w:rPr>
        <w:tab/>
      </w:r>
      <w:r w:rsidR="007B0D97" w:rsidRPr="00F3666F">
        <w:rPr>
          <w:lang w:val="de-DE"/>
        </w:rPr>
        <w:t>Instruktion für die Lade- und Löschraten</w:t>
      </w:r>
      <w:r w:rsidRPr="00BA758E">
        <w:rPr>
          <w:noProof/>
          <w:webHidden/>
          <w:lang w:val="de-DE"/>
        </w:rPr>
        <w:tab/>
      </w:r>
      <w:r w:rsidRPr="00BA758E">
        <w:rPr>
          <w:noProof/>
          <w:webHidden/>
          <w:lang w:val="de-DE"/>
        </w:rPr>
        <w:tab/>
      </w:r>
      <w:r w:rsidR="0060182D" w:rsidRPr="00BA758E">
        <w:rPr>
          <w:noProof/>
          <w:webHidden/>
          <w:lang w:val="de-DE"/>
        </w:rPr>
        <w:t>9</w:t>
      </w:r>
    </w:p>
    <w:p w14:paraId="5BAE884A" w14:textId="1D6D91DB" w:rsidR="00BC3304" w:rsidRPr="00BA758E" w:rsidRDefault="00BC3304" w:rsidP="00573C2C">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t>10.</w:t>
      </w:r>
      <w:r w:rsidRPr="00BA758E">
        <w:rPr>
          <w:noProof/>
          <w:lang w:val="de-DE"/>
        </w:rPr>
        <w:tab/>
      </w:r>
      <w:r w:rsidR="00F3666F" w:rsidRPr="00573C2C">
        <w:rPr>
          <w:lang w:val="de-DE"/>
        </w:rPr>
        <w:t>3.2.3.3 Schema B</w:t>
      </w:r>
      <w:r w:rsidRPr="00BA758E">
        <w:rPr>
          <w:noProof/>
          <w:webHidden/>
          <w:lang w:val="de-DE"/>
        </w:rPr>
        <w:tab/>
      </w:r>
      <w:r w:rsidRPr="00BA758E">
        <w:rPr>
          <w:noProof/>
          <w:webHidden/>
          <w:lang w:val="de-DE"/>
        </w:rPr>
        <w:tab/>
      </w:r>
      <w:r w:rsidR="0060182D" w:rsidRPr="00BA758E">
        <w:rPr>
          <w:noProof/>
          <w:webHidden/>
          <w:lang w:val="de-DE"/>
        </w:rPr>
        <w:t>10</w:t>
      </w:r>
    </w:p>
    <w:p w14:paraId="536C2F05" w14:textId="7CBF2BB4" w:rsidR="00BC3304" w:rsidRPr="00BA758E" w:rsidRDefault="00BC3304" w:rsidP="00573C2C">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t>11.</w:t>
      </w:r>
      <w:r w:rsidRPr="00BA758E">
        <w:rPr>
          <w:noProof/>
          <w:lang w:val="de-DE"/>
        </w:rPr>
        <w:tab/>
      </w:r>
      <w:r w:rsidR="00573C2C" w:rsidRPr="00573C2C">
        <w:rPr>
          <w:lang w:val="de-DE"/>
        </w:rPr>
        <w:t>Bauwerkstoffe</w:t>
      </w:r>
      <w:r w:rsidRPr="00BA758E">
        <w:rPr>
          <w:noProof/>
          <w:webHidden/>
          <w:lang w:val="de-DE"/>
        </w:rPr>
        <w:tab/>
      </w:r>
      <w:r w:rsidRPr="00BA758E">
        <w:rPr>
          <w:noProof/>
          <w:webHidden/>
          <w:lang w:val="de-DE"/>
        </w:rPr>
        <w:tab/>
      </w:r>
      <w:r w:rsidR="0060182D" w:rsidRPr="00BA758E">
        <w:rPr>
          <w:noProof/>
          <w:webHidden/>
          <w:lang w:val="de-DE"/>
        </w:rPr>
        <w:t>10</w:t>
      </w:r>
    </w:p>
    <w:p w14:paraId="62EF2085" w14:textId="6E43097E" w:rsidR="00BC3304" w:rsidRPr="00BA758E" w:rsidRDefault="00BC3304" w:rsidP="00573C2C">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t>12.</w:t>
      </w:r>
      <w:r w:rsidRPr="00BA758E">
        <w:rPr>
          <w:noProof/>
          <w:lang w:val="de-DE"/>
        </w:rPr>
        <w:tab/>
      </w:r>
      <w:r w:rsidR="00573C2C" w:rsidRPr="00573C2C">
        <w:rPr>
          <w:lang w:val="de-DE"/>
        </w:rPr>
        <w:t xml:space="preserve">Harmonisierung der in 8.1.2.2 f) und 8.1.2.3 s) des ADN 2021 verwendeten </w:t>
      </w:r>
      <w:r w:rsidR="000E2CE0">
        <w:rPr>
          <w:lang w:val="de-DE"/>
        </w:rPr>
        <w:br/>
      </w:r>
      <w:r w:rsidR="000E2CE0">
        <w:rPr>
          <w:lang w:val="de-DE"/>
        </w:rPr>
        <w:tab/>
      </w:r>
      <w:r w:rsidR="000E2CE0">
        <w:rPr>
          <w:lang w:val="de-DE"/>
        </w:rPr>
        <w:tab/>
      </w:r>
      <w:r w:rsidR="000E2CE0">
        <w:rPr>
          <w:lang w:val="de-DE"/>
        </w:rPr>
        <w:tab/>
      </w:r>
      <w:r w:rsidR="000E2CE0">
        <w:rPr>
          <w:lang w:val="de-DE"/>
        </w:rPr>
        <w:tab/>
      </w:r>
      <w:r w:rsidR="00573C2C" w:rsidRPr="00573C2C">
        <w:rPr>
          <w:lang w:val="de-DE"/>
        </w:rPr>
        <w:t>Terminologie</w:t>
      </w:r>
      <w:r w:rsidRPr="00BA758E">
        <w:rPr>
          <w:noProof/>
          <w:webHidden/>
          <w:lang w:val="de-DE"/>
        </w:rPr>
        <w:tab/>
      </w:r>
      <w:r w:rsidRPr="00BA758E">
        <w:rPr>
          <w:noProof/>
          <w:webHidden/>
          <w:lang w:val="de-DE"/>
        </w:rPr>
        <w:tab/>
      </w:r>
      <w:r w:rsidR="0060182D" w:rsidRPr="00BA758E">
        <w:rPr>
          <w:noProof/>
          <w:webHidden/>
          <w:lang w:val="de-DE"/>
        </w:rPr>
        <w:t>10</w:t>
      </w:r>
    </w:p>
    <w:p w14:paraId="70C8A1A0" w14:textId="187196F8" w:rsidR="00BC3304" w:rsidRPr="00BA758E" w:rsidRDefault="00BC3304" w:rsidP="00573C2C">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t>13.</w:t>
      </w:r>
      <w:r w:rsidRPr="00BA758E">
        <w:rPr>
          <w:noProof/>
          <w:lang w:val="de-DE"/>
        </w:rPr>
        <w:tab/>
      </w:r>
      <w:r w:rsidR="00573C2C" w:rsidRPr="00573C2C">
        <w:rPr>
          <w:lang w:val="de-DE"/>
        </w:rPr>
        <w:t>Harmonisierung der in 1.9.3 c) des ADN 2021 verwendeten Terminologie</w:t>
      </w:r>
      <w:r w:rsidRPr="00BA758E">
        <w:rPr>
          <w:noProof/>
          <w:webHidden/>
          <w:lang w:val="de-DE"/>
        </w:rPr>
        <w:tab/>
      </w:r>
      <w:r w:rsidRPr="00BA758E">
        <w:rPr>
          <w:noProof/>
          <w:webHidden/>
          <w:lang w:val="de-DE"/>
        </w:rPr>
        <w:tab/>
      </w:r>
      <w:r w:rsidR="0060182D" w:rsidRPr="00BA758E">
        <w:rPr>
          <w:noProof/>
          <w:webHidden/>
          <w:lang w:val="de-DE"/>
        </w:rPr>
        <w:t>10</w:t>
      </w:r>
    </w:p>
    <w:p w14:paraId="3E0DBA06" w14:textId="5E4E8B75" w:rsidR="00BC3304" w:rsidRPr="00BA758E" w:rsidRDefault="00BC3304" w:rsidP="00E1668D">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lastRenderedPageBreak/>
        <w:tab/>
      </w:r>
      <w:r w:rsidRPr="00BA758E">
        <w:rPr>
          <w:noProof/>
          <w:lang w:val="de-DE"/>
        </w:rPr>
        <w:tab/>
      </w:r>
      <w:r w:rsidRPr="00BA758E">
        <w:rPr>
          <w:noProof/>
          <w:lang w:val="de-DE"/>
        </w:rPr>
        <w:tab/>
        <w:t>14.</w:t>
      </w:r>
      <w:r w:rsidRPr="00BA758E">
        <w:rPr>
          <w:noProof/>
          <w:lang w:val="de-DE"/>
        </w:rPr>
        <w:tab/>
      </w:r>
      <w:r w:rsidR="00573C2C" w:rsidRPr="00E1668D">
        <w:rPr>
          <w:lang w:val="de-DE"/>
        </w:rPr>
        <w:t>Verwendung einer einheitlichen Terminologie für Leckstabilität</w:t>
      </w:r>
      <w:r w:rsidR="0019499B" w:rsidRPr="00E1668D">
        <w:rPr>
          <w:lang w:val="de-DE"/>
        </w:rPr>
        <w:t>srechnungen</w:t>
      </w:r>
      <w:r w:rsidR="00573C2C" w:rsidRPr="00E1668D">
        <w:rPr>
          <w:lang w:val="de-DE"/>
        </w:rPr>
        <w:t xml:space="preserve"> </w:t>
      </w:r>
      <w:r w:rsidR="000E2CE0">
        <w:rPr>
          <w:lang w:val="de-DE"/>
        </w:rPr>
        <w:br/>
      </w:r>
      <w:r w:rsidR="000E2CE0">
        <w:rPr>
          <w:lang w:val="de-DE"/>
        </w:rPr>
        <w:tab/>
      </w:r>
      <w:r w:rsidR="000E2CE0">
        <w:rPr>
          <w:lang w:val="de-DE"/>
        </w:rPr>
        <w:tab/>
      </w:r>
      <w:r w:rsidR="000E2CE0">
        <w:rPr>
          <w:lang w:val="de-DE"/>
        </w:rPr>
        <w:tab/>
      </w:r>
      <w:r w:rsidR="000E2CE0">
        <w:rPr>
          <w:lang w:val="de-DE"/>
        </w:rPr>
        <w:tab/>
      </w:r>
      <w:r w:rsidR="00573C2C" w:rsidRPr="00E1668D">
        <w:rPr>
          <w:lang w:val="de-DE"/>
        </w:rPr>
        <w:t>in 9.3.x.15.2</w:t>
      </w:r>
      <w:r w:rsidRPr="00BA758E">
        <w:rPr>
          <w:noProof/>
          <w:webHidden/>
          <w:lang w:val="de-DE"/>
        </w:rPr>
        <w:tab/>
      </w:r>
      <w:r w:rsidRPr="00BA758E">
        <w:rPr>
          <w:noProof/>
          <w:webHidden/>
          <w:lang w:val="de-DE"/>
        </w:rPr>
        <w:tab/>
      </w:r>
      <w:r w:rsidR="0060182D" w:rsidRPr="00BA758E">
        <w:rPr>
          <w:noProof/>
          <w:webHidden/>
          <w:lang w:val="de-DE"/>
        </w:rPr>
        <w:t>10</w:t>
      </w:r>
    </w:p>
    <w:p w14:paraId="1B157672" w14:textId="5F05C886" w:rsidR="00BC3304" w:rsidRPr="00BA758E" w:rsidRDefault="00BC3304" w:rsidP="00377729">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t>15.</w:t>
      </w:r>
      <w:r w:rsidRPr="00BA758E">
        <w:rPr>
          <w:noProof/>
          <w:lang w:val="de-DE"/>
        </w:rPr>
        <w:tab/>
      </w:r>
      <w:r w:rsidR="00E1668D" w:rsidRPr="00377729">
        <w:rPr>
          <w:lang w:val="de-DE"/>
        </w:rPr>
        <w:t xml:space="preserve">Verwendung einer einheitlichen Terminologie für Leckstabilitätsrechnungen </w:t>
      </w:r>
      <w:r w:rsidR="000E2CE0">
        <w:rPr>
          <w:lang w:val="de-DE"/>
        </w:rPr>
        <w:br/>
      </w:r>
      <w:r w:rsidR="000E2CE0">
        <w:rPr>
          <w:lang w:val="de-DE"/>
        </w:rPr>
        <w:tab/>
      </w:r>
      <w:r w:rsidR="000E2CE0">
        <w:rPr>
          <w:lang w:val="de-DE"/>
        </w:rPr>
        <w:tab/>
      </w:r>
      <w:r w:rsidR="000E2CE0">
        <w:rPr>
          <w:lang w:val="de-DE"/>
        </w:rPr>
        <w:tab/>
      </w:r>
      <w:r w:rsidR="000E2CE0">
        <w:rPr>
          <w:lang w:val="de-DE"/>
        </w:rPr>
        <w:tab/>
      </w:r>
      <w:r w:rsidR="00E1668D" w:rsidRPr="00377729">
        <w:rPr>
          <w:lang w:val="de-DE"/>
        </w:rPr>
        <w:t>in 9.3.x.14.2 a) und b)</w:t>
      </w:r>
      <w:r w:rsidRPr="00BA758E">
        <w:rPr>
          <w:noProof/>
          <w:webHidden/>
          <w:lang w:val="de-DE"/>
        </w:rPr>
        <w:tab/>
      </w:r>
      <w:r w:rsidRPr="00BA758E">
        <w:rPr>
          <w:noProof/>
          <w:webHidden/>
          <w:lang w:val="de-DE"/>
        </w:rPr>
        <w:tab/>
      </w:r>
      <w:r w:rsidR="0060182D" w:rsidRPr="00BA758E">
        <w:rPr>
          <w:noProof/>
          <w:webHidden/>
          <w:lang w:val="de-DE"/>
        </w:rPr>
        <w:t>10</w:t>
      </w:r>
    </w:p>
    <w:p w14:paraId="0B3FF59C" w14:textId="3663B9A9" w:rsidR="00BC3304" w:rsidRPr="00BA758E" w:rsidRDefault="00BC3304" w:rsidP="00A32483">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t>16.</w:t>
      </w:r>
      <w:r w:rsidRPr="00BA758E">
        <w:rPr>
          <w:noProof/>
          <w:lang w:val="de-DE"/>
        </w:rPr>
        <w:tab/>
      </w:r>
      <w:r w:rsidR="002E4974" w:rsidRPr="00A32483">
        <w:rPr>
          <w:lang w:val="de-DE"/>
        </w:rPr>
        <w:t xml:space="preserve">Tabelle C </w:t>
      </w:r>
      <w:r w:rsidR="009D6B5D" w:rsidRPr="00A32483">
        <w:rPr>
          <w:lang w:val="de-DE"/>
        </w:rPr>
        <w:t>–</w:t>
      </w:r>
      <w:r w:rsidR="002E4974" w:rsidRPr="00A32483">
        <w:rPr>
          <w:lang w:val="de-DE"/>
        </w:rPr>
        <w:t xml:space="preserve"> UN-Nr. 1202, zweite Eintragung GAS</w:t>
      </w:r>
      <w:r w:rsidR="009D6B5D" w:rsidRPr="00A32483">
        <w:rPr>
          <w:lang w:val="de-DE"/>
        </w:rPr>
        <w:t>Ö</w:t>
      </w:r>
      <w:r w:rsidR="002E4974" w:rsidRPr="00A32483">
        <w:rPr>
          <w:lang w:val="de-DE"/>
        </w:rPr>
        <w:t>L</w:t>
      </w:r>
      <w:r w:rsidRPr="00BA758E">
        <w:rPr>
          <w:noProof/>
          <w:webHidden/>
          <w:lang w:val="de-DE"/>
        </w:rPr>
        <w:tab/>
      </w:r>
      <w:r w:rsidRPr="00BA758E">
        <w:rPr>
          <w:noProof/>
          <w:webHidden/>
          <w:lang w:val="de-DE"/>
        </w:rPr>
        <w:tab/>
      </w:r>
      <w:r w:rsidR="0060182D" w:rsidRPr="00BA758E">
        <w:rPr>
          <w:noProof/>
          <w:webHidden/>
          <w:lang w:val="de-DE"/>
        </w:rPr>
        <w:t>10</w:t>
      </w:r>
    </w:p>
    <w:p w14:paraId="2A8BC0FD" w14:textId="11C0938E" w:rsidR="00BC3304" w:rsidRPr="001B5E14" w:rsidRDefault="00BC3304" w:rsidP="00D17F9B">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t>17.</w:t>
      </w:r>
      <w:r w:rsidRPr="00BA758E">
        <w:rPr>
          <w:noProof/>
          <w:lang w:val="de-DE"/>
        </w:rPr>
        <w:tab/>
      </w:r>
      <w:r w:rsidR="00A32483" w:rsidRPr="00D17F9B">
        <w:rPr>
          <w:lang w:val="de-DE"/>
        </w:rPr>
        <w:t>Vorschlag zur Korrektur zwei</w:t>
      </w:r>
      <w:r w:rsidR="00D17F9B" w:rsidRPr="00D17F9B">
        <w:rPr>
          <w:lang w:val="de-DE"/>
        </w:rPr>
        <w:t>er</w:t>
      </w:r>
      <w:r w:rsidR="00A32483" w:rsidRPr="00D17F9B">
        <w:rPr>
          <w:lang w:val="de-DE"/>
        </w:rPr>
        <w:t xml:space="preserve"> Eintr</w:t>
      </w:r>
      <w:r w:rsidR="00651F39" w:rsidRPr="00D17F9B">
        <w:rPr>
          <w:lang w:val="de-DE"/>
        </w:rPr>
        <w:t>a</w:t>
      </w:r>
      <w:r w:rsidR="00A32483" w:rsidRPr="00D17F9B">
        <w:rPr>
          <w:lang w:val="de-DE"/>
        </w:rPr>
        <w:t>g</w:t>
      </w:r>
      <w:r w:rsidR="00651F39" w:rsidRPr="00D17F9B">
        <w:rPr>
          <w:lang w:val="de-DE"/>
        </w:rPr>
        <w:t>ung</w:t>
      </w:r>
      <w:r w:rsidR="00A32483" w:rsidRPr="00D17F9B">
        <w:rPr>
          <w:lang w:val="de-DE"/>
        </w:rPr>
        <w:t>en für UN-Nr. 3295 in Tabelle C</w:t>
      </w:r>
      <w:r w:rsidRPr="001B5E14">
        <w:rPr>
          <w:noProof/>
          <w:webHidden/>
          <w:lang w:val="de-DE"/>
        </w:rPr>
        <w:tab/>
      </w:r>
      <w:r w:rsidRPr="001B5E14">
        <w:rPr>
          <w:noProof/>
          <w:webHidden/>
          <w:lang w:val="de-DE"/>
        </w:rPr>
        <w:tab/>
      </w:r>
      <w:r w:rsidR="0060182D" w:rsidRPr="001B5E14">
        <w:rPr>
          <w:noProof/>
          <w:webHidden/>
          <w:lang w:val="de-DE"/>
        </w:rPr>
        <w:t>10</w:t>
      </w:r>
    </w:p>
    <w:p w14:paraId="54C7CAD1" w14:textId="46790F1B" w:rsidR="00BC3304" w:rsidRPr="001B5E14" w:rsidRDefault="00BC3304" w:rsidP="00162FA8">
      <w:pPr>
        <w:tabs>
          <w:tab w:val="right" w:pos="850"/>
          <w:tab w:val="left" w:pos="1134"/>
          <w:tab w:val="left" w:pos="1559"/>
          <w:tab w:val="left" w:pos="1984"/>
          <w:tab w:val="left" w:leader="dot" w:pos="8929"/>
          <w:tab w:val="right" w:pos="9638"/>
        </w:tabs>
        <w:spacing w:after="120"/>
        <w:rPr>
          <w:noProof/>
          <w:lang w:val="de-DE"/>
        </w:rPr>
      </w:pPr>
      <w:r w:rsidRPr="001B5E14">
        <w:rPr>
          <w:noProof/>
          <w:lang w:val="de-DE"/>
        </w:rPr>
        <w:tab/>
      </w:r>
      <w:r w:rsidRPr="001B5E14">
        <w:rPr>
          <w:noProof/>
          <w:lang w:val="de-DE"/>
        </w:rPr>
        <w:tab/>
      </w:r>
      <w:r w:rsidRPr="001B5E14">
        <w:rPr>
          <w:noProof/>
          <w:lang w:val="de-DE"/>
        </w:rPr>
        <w:tab/>
      </w:r>
      <w:r w:rsidRPr="00BA758E">
        <w:rPr>
          <w:noProof/>
          <w:lang w:val="de-DE"/>
        </w:rPr>
        <w:t>18.</w:t>
      </w:r>
      <w:r w:rsidRPr="00BA758E">
        <w:rPr>
          <w:noProof/>
          <w:lang w:val="de-DE"/>
        </w:rPr>
        <w:tab/>
      </w:r>
      <w:r w:rsidR="00D17F9B" w:rsidRPr="00162FA8">
        <w:rPr>
          <w:lang w:val="de-DE"/>
        </w:rPr>
        <w:t>Antrag auf Zusammenführung zweier Eintragungen für UN</w:t>
      </w:r>
      <w:r w:rsidR="00162FA8">
        <w:rPr>
          <w:lang w:val="de-DE"/>
        </w:rPr>
        <w:t>-Nr.</w:t>
      </w:r>
      <w:r w:rsidR="00D17F9B" w:rsidRPr="00162FA8">
        <w:rPr>
          <w:lang w:val="de-DE"/>
        </w:rPr>
        <w:t xml:space="preserve"> 1202 zu einer </w:t>
      </w:r>
      <w:r w:rsidR="00DF1C96">
        <w:rPr>
          <w:lang w:val="de-DE"/>
        </w:rPr>
        <w:br/>
      </w:r>
      <w:r w:rsidR="00DF1C96">
        <w:rPr>
          <w:lang w:val="de-DE"/>
        </w:rPr>
        <w:tab/>
      </w:r>
      <w:r w:rsidR="00DF1C96">
        <w:rPr>
          <w:lang w:val="de-DE"/>
        </w:rPr>
        <w:tab/>
      </w:r>
      <w:r w:rsidR="00DF1C96">
        <w:rPr>
          <w:lang w:val="de-DE"/>
        </w:rPr>
        <w:tab/>
      </w:r>
      <w:r w:rsidR="00DF1C96">
        <w:rPr>
          <w:lang w:val="de-DE"/>
        </w:rPr>
        <w:tab/>
      </w:r>
      <w:r w:rsidR="00D17F9B" w:rsidRPr="00162FA8">
        <w:rPr>
          <w:lang w:val="de-DE"/>
        </w:rPr>
        <w:t>Eintragung</w:t>
      </w:r>
      <w:r w:rsidRPr="001B5E14">
        <w:rPr>
          <w:noProof/>
          <w:webHidden/>
          <w:lang w:val="de-DE"/>
        </w:rPr>
        <w:tab/>
      </w:r>
      <w:r w:rsidRPr="001B5E14">
        <w:rPr>
          <w:noProof/>
          <w:webHidden/>
          <w:lang w:val="de-DE"/>
        </w:rPr>
        <w:tab/>
      </w:r>
      <w:r w:rsidR="0060182D" w:rsidRPr="001B5E14">
        <w:rPr>
          <w:noProof/>
          <w:webHidden/>
          <w:lang w:val="de-DE"/>
        </w:rPr>
        <w:t>11</w:t>
      </w:r>
    </w:p>
    <w:p w14:paraId="507A7FA8" w14:textId="04E9EC62" w:rsidR="00BC3304" w:rsidRPr="00BA758E" w:rsidRDefault="00BC3304" w:rsidP="000D4A3F">
      <w:pPr>
        <w:tabs>
          <w:tab w:val="right" w:pos="850"/>
          <w:tab w:val="left" w:pos="1134"/>
          <w:tab w:val="left" w:pos="1559"/>
          <w:tab w:val="left" w:pos="1984"/>
          <w:tab w:val="left" w:leader="dot" w:pos="8929"/>
          <w:tab w:val="right" w:pos="9638"/>
        </w:tabs>
        <w:spacing w:after="120"/>
        <w:rPr>
          <w:noProof/>
          <w:lang w:val="de-DE"/>
        </w:rPr>
      </w:pPr>
      <w:r w:rsidRPr="001B5E14">
        <w:rPr>
          <w:noProof/>
          <w:lang w:val="de-DE"/>
        </w:rPr>
        <w:tab/>
      </w:r>
      <w:r w:rsidRPr="001B5E14">
        <w:rPr>
          <w:noProof/>
          <w:lang w:val="de-DE"/>
        </w:rPr>
        <w:tab/>
      </w:r>
      <w:r w:rsidRPr="001B5E14">
        <w:rPr>
          <w:noProof/>
          <w:lang w:val="de-DE"/>
        </w:rPr>
        <w:tab/>
      </w:r>
      <w:r w:rsidRPr="00BA758E">
        <w:rPr>
          <w:noProof/>
          <w:lang w:val="de-DE"/>
        </w:rPr>
        <w:t>19.</w:t>
      </w:r>
      <w:r w:rsidRPr="00BA758E">
        <w:rPr>
          <w:noProof/>
          <w:lang w:val="de-DE"/>
        </w:rPr>
        <w:tab/>
      </w:r>
      <w:r w:rsidR="00C16042" w:rsidRPr="000D4A3F">
        <w:rPr>
          <w:lang w:val="de-DE"/>
        </w:rPr>
        <w:t xml:space="preserve">UN-Nr. 1972 – Antrag auf </w:t>
      </w:r>
      <w:r w:rsidR="00F36F29" w:rsidRPr="000D4A3F">
        <w:rPr>
          <w:lang w:val="de-DE"/>
        </w:rPr>
        <w:t>Korrektur</w:t>
      </w:r>
      <w:r w:rsidR="00C16042" w:rsidRPr="000D4A3F">
        <w:rPr>
          <w:lang w:val="de-DE"/>
        </w:rPr>
        <w:t xml:space="preserve"> einer Unstimmigkeit in Tabelle C, Spalte (2)</w:t>
      </w:r>
      <w:r w:rsidRPr="00BA758E">
        <w:rPr>
          <w:noProof/>
          <w:webHidden/>
          <w:lang w:val="de-DE"/>
        </w:rPr>
        <w:tab/>
      </w:r>
      <w:r w:rsidRPr="00BA758E">
        <w:rPr>
          <w:noProof/>
          <w:webHidden/>
          <w:lang w:val="de-DE"/>
        </w:rPr>
        <w:tab/>
      </w:r>
      <w:r w:rsidR="0060182D" w:rsidRPr="00BA758E">
        <w:rPr>
          <w:noProof/>
          <w:webHidden/>
          <w:lang w:val="de-DE"/>
        </w:rPr>
        <w:t>11</w:t>
      </w:r>
    </w:p>
    <w:p w14:paraId="00B5E073" w14:textId="2D4568FC" w:rsidR="00BC3304" w:rsidRPr="00BA758E" w:rsidRDefault="00BC3304" w:rsidP="00AE523E">
      <w:pPr>
        <w:tabs>
          <w:tab w:val="right" w:pos="850"/>
          <w:tab w:val="left" w:pos="1134"/>
          <w:tab w:val="left" w:pos="1559"/>
          <w:tab w:val="left" w:pos="1984"/>
          <w:tab w:val="left" w:leader="dot" w:pos="8929"/>
          <w:tab w:val="right" w:pos="9638"/>
        </w:tabs>
        <w:spacing w:after="120"/>
        <w:ind w:left="1985" w:hanging="1985"/>
        <w:rPr>
          <w:noProof/>
          <w:lang w:val="de-DE"/>
        </w:rPr>
      </w:pPr>
      <w:r w:rsidRPr="00BA758E">
        <w:rPr>
          <w:noProof/>
          <w:lang w:val="de-DE"/>
        </w:rPr>
        <w:tab/>
      </w:r>
      <w:r w:rsidRPr="00BA758E">
        <w:rPr>
          <w:noProof/>
          <w:lang w:val="de-DE"/>
        </w:rPr>
        <w:tab/>
      </w:r>
      <w:r w:rsidRPr="00BA758E">
        <w:rPr>
          <w:noProof/>
          <w:lang w:val="de-DE"/>
        </w:rPr>
        <w:tab/>
        <w:t>20.</w:t>
      </w:r>
      <w:r w:rsidRPr="00BA758E">
        <w:rPr>
          <w:noProof/>
          <w:lang w:val="de-DE"/>
        </w:rPr>
        <w:tab/>
      </w:r>
      <w:r w:rsidR="000F2B92" w:rsidRPr="00AE523E">
        <w:rPr>
          <w:lang w:val="de-DE"/>
        </w:rPr>
        <w:t xml:space="preserve">Kleine Unstimmigkeit bezüglich des zulässigen </w:t>
      </w:r>
      <w:r w:rsidR="00F73983" w:rsidRPr="00AE523E">
        <w:rPr>
          <w:lang w:val="de-DE"/>
        </w:rPr>
        <w:t>Aufstellungs</w:t>
      </w:r>
      <w:r w:rsidR="000F2B92" w:rsidRPr="00AE523E">
        <w:rPr>
          <w:lang w:val="de-DE"/>
        </w:rPr>
        <w:t xml:space="preserve">orts von Koch- und </w:t>
      </w:r>
      <w:r w:rsidR="00DF1C96">
        <w:rPr>
          <w:lang w:val="de-DE"/>
        </w:rPr>
        <w:br/>
      </w:r>
      <w:r w:rsidR="000F2B92" w:rsidRPr="00AE523E">
        <w:rPr>
          <w:lang w:val="de-DE"/>
        </w:rPr>
        <w:t>Kühlgeräten zwischen ADN 7.2.3.41.2 und 9.3.x.41.2</w:t>
      </w:r>
      <w:r w:rsidRPr="00BA758E">
        <w:rPr>
          <w:noProof/>
          <w:webHidden/>
          <w:lang w:val="de-DE"/>
        </w:rPr>
        <w:tab/>
      </w:r>
      <w:r w:rsidRPr="00BA758E">
        <w:rPr>
          <w:noProof/>
          <w:webHidden/>
          <w:lang w:val="de-DE"/>
        </w:rPr>
        <w:tab/>
      </w:r>
      <w:r w:rsidR="0060182D" w:rsidRPr="00BA758E">
        <w:rPr>
          <w:noProof/>
          <w:webHidden/>
          <w:lang w:val="de-DE"/>
        </w:rPr>
        <w:t>11</w:t>
      </w:r>
    </w:p>
    <w:p w14:paraId="5DCDC911" w14:textId="4E4AC7C2" w:rsidR="00BC3304" w:rsidRPr="001B5E14" w:rsidRDefault="00BC3304" w:rsidP="007813AE">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Pr="00BA758E">
        <w:rPr>
          <w:noProof/>
          <w:lang w:val="de-DE"/>
        </w:rPr>
        <w:tab/>
      </w:r>
      <w:r w:rsidRPr="001B5E14">
        <w:rPr>
          <w:noProof/>
          <w:lang w:val="de-DE"/>
        </w:rPr>
        <w:t>21.</w:t>
      </w:r>
      <w:r w:rsidRPr="001B5E14">
        <w:rPr>
          <w:noProof/>
          <w:lang w:val="de-DE"/>
        </w:rPr>
        <w:tab/>
      </w:r>
      <w:r w:rsidR="007813AE" w:rsidRPr="007813AE">
        <w:rPr>
          <w:lang w:val="de-DE"/>
        </w:rPr>
        <w:t xml:space="preserve"> Zulassungszeugnis für Trockengüterschiffe</w:t>
      </w:r>
      <w:r w:rsidRPr="001B5E14">
        <w:rPr>
          <w:noProof/>
          <w:webHidden/>
          <w:lang w:val="de-DE"/>
        </w:rPr>
        <w:tab/>
      </w:r>
      <w:r w:rsidRPr="001B5E14">
        <w:rPr>
          <w:noProof/>
          <w:webHidden/>
          <w:lang w:val="de-DE"/>
        </w:rPr>
        <w:tab/>
      </w:r>
      <w:r w:rsidR="0060182D" w:rsidRPr="001B5E14">
        <w:rPr>
          <w:noProof/>
          <w:webHidden/>
          <w:lang w:val="de-DE"/>
        </w:rPr>
        <w:t>11</w:t>
      </w:r>
    </w:p>
    <w:p w14:paraId="5D217FFD" w14:textId="52A2C379" w:rsidR="00BC3304" w:rsidRPr="00BA758E" w:rsidRDefault="00BC3304" w:rsidP="009365DB">
      <w:pPr>
        <w:tabs>
          <w:tab w:val="right" w:pos="850"/>
          <w:tab w:val="left" w:pos="1134"/>
          <w:tab w:val="left" w:pos="1559"/>
          <w:tab w:val="left" w:pos="1984"/>
          <w:tab w:val="left" w:leader="dot" w:pos="8929"/>
          <w:tab w:val="right" w:pos="9638"/>
        </w:tabs>
        <w:spacing w:after="120"/>
        <w:rPr>
          <w:noProof/>
          <w:lang w:val="de-DE"/>
        </w:rPr>
      </w:pPr>
      <w:r w:rsidRPr="001B5E14">
        <w:rPr>
          <w:noProof/>
          <w:lang w:val="de-DE"/>
        </w:rPr>
        <w:tab/>
      </w:r>
      <w:r w:rsidR="007813AE" w:rsidRPr="00C506F4">
        <w:rPr>
          <w:lang w:val="de-DE"/>
        </w:rPr>
        <w:t>VII.</w:t>
      </w:r>
      <w:r w:rsidRPr="00BA758E">
        <w:rPr>
          <w:noProof/>
          <w:lang w:val="de-DE"/>
        </w:rPr>
        <w:tab/>
      </w:r>
      <w:r w:rsidR="00C506F4" w:rsidRPr="009365DB">
        <w:rPr>
          <w:lang w:val="de-DE"/>
        </w:rPr>
        <w:t>Berichte informeller Arbeitsgruppen (TOP 5)</w:t>
      </w:r>
      <w:r w:rsidRPr="00BA758E">
        <w:rPr>
          <w:noProof/>
          <w:webHidden/>
          <w:lang w:val="de-DE"/>
        </w:rPr>
        <w:tab/>
      </w:r>
      <w:r w:rsidRPr="00BA758E">
        <w:rPr>
          <w:noProof/>
          <w:webHidden/>
          <w:lang w:val="de-DE"/>
        </w:rPr>
        <w:tab/>
      </w:r>
      <w:r w:rsidR="0060182D" w:rsidRPr="00BA758E">
        <w:rPr>
          <w:noProof/>
          <w:webHidden/>
          <w:lang w:val="de-DE"/>
        </w:rPr>
        <w:t>11</w:t>
      </w:r>
    </w:p>
    <w:p w14:paraId="6937F5F5" w14:textId="3EA15408" w:rsidR="00BC3304" w:rsidRPr="00BA758E" w:rsidRDefault="00BC3304" w:rsidP="009365DB">
      <w:pPr>
        <w:tabs>
          <w:tab w:val="right" w:pos="850"/>
          <w:tab w:val="left" w:pos="1134"/>
          <w:tab w:val="left" w:pos="1559"/>
          <w:tab w:val="left" w:pos="1701"/>
          <w:tab w:val="left" w:pos="1984"/>
          <w:tab w:val="left" w:leader="dot" w:pos="8929"/>
          <w:tab w:val="right" w:pos="9638"/>
        </w:tabs>
        <w:spacing w:after="120"/>
        <w:ind w:left="1560" w:hanging="1560"/>
        <w:rPr>
          <w:noProof/>
          <w:lang w:val="de-DE"/>
        </w:rPr>
      </w:pPr>
      <w:r w:rsidRPr="00BA758E">
        <w:rPr>
          <w:noProof/>
          <w:lang w:val="de-DE"/>
        </w:rPr>
        <w:tab/>
      </w:r>
      <w:r w:rsidRPr="00BA758E">
        <w:rPr>
          <w:noProof/>
          <w:lang w:val="de-DE"/>
        </w:rPr>
        <w:tab/>
      </w:r>
      <w:r w:rsidR="009365DB" w:rsidRPr="009365DB">
        <w:rPr>
          <w:lang w:val="de-DE"/>
        </w:rPr>
        <w:t>A.</w:t>
      </w:r>
      <w:r w:rsidRPr="00BA758E">
        <w:rPr>
          <w:noProof/>
          <w:lang w:val="de-DE"/>
        </w:rPr>
        <w:tab/>
      </w:r>
      <w:r w:rsidR="009365DB" w:rsidRPr="009365DB">
        <w:rPr>
          <w:lang w:val="de-DE"/>
        </w:rPr>
        <w:t>Bericht über die einundzwanzigste Sitzung der Gruppe der Empfohlenen ADN-Klassifikationsgesellschaften</w:t>
      </w:r>
      <w:r w:rsidRPr="00BA758E">
        <w:rPr>
          <w:noProof/>
          <w:webHidden/>
          <w:lang w:val="de-DE"/>
        </w:rPr>
        <w:tab/>
      </w:r>
      <w:r w:rsidRPr="00BA758E">
        <w:rPr>
          <w:noProof/>
          <w:webHidden/>
          <w:lang w:val="de-DE"/>
        </w:rPr>
        <w:tab/>
      </w:r>
      <w:r w:rsidR="0060182D" w:rsidRPr="00BA758E">
        <w:rPr>
          <w:noProof/>
          <w:webHidden/>
          <w:lang w:val="de-DE"/>
        </w:rPr>
        <w:t>11</w:t>
      </w:r>
    </w:p>
    <w:p w14:paraId="5E4E5683" w14:textId="1953DEAA" w:rsidR="00BC3304" w:rsidRPr="00BA758E" w:rsidRDefault="00BC3304" w:rsidP="002C1AC8">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009365DB" w:rsidRPr="009365DB">
        <w:rPr>
          <w:lang w:val="de-DE"/>
        </w:rPr>
        <w:t>B.</w:t>
      </w:r>
      <w:r w:rsidRPr="00BA758E">
        <w:rPr>
          <w:noProof/>
          <w:lang w:val="de-DE"/>
        </w:rPr>
        <w:tab/>
      </w:r>
      <w:r w:rsidR="009365DB" w:rsidRPr="009365DB">
        <w:rPr>
          <w:lang w:val="de-DE"/>
        </w:rPr>
        <w:t>Bericht über die dritte Sitzung der informellen Arbeitsgruppe „Load</w:t>
      </w:r>
      <w:r w:rsidR="002C1AC8">
        <w:rPr>
          <w:lang w:val="de-DE"/>
        </w:rPr>
        <w:t>ing</w:t>
      </w:r>
      <w:r w:rsidR="009365DB" w:rsidRPr="009365DB">
        <w:rPr>
          <w:lang w:val="de-DE"/>
        </w:rPr>
        <w:t xml:space="preserve">-on-Top in </w:t>
      </w:r>
      <w:r w:rsidR="00DF1C96">
        <w:rPr>
          <w:lang w:val="de-DE"/>
        </w:rPr>
        <w:br/>
      </w:r>
      <w:r w:rsidR="00DF1C96">
        <w:rPr>
          <w:lang w:val="de-DE"/>
        </w:rPr>
        <w:tab/>
      </w:r>
      <w:r w:rsidR="00DF1C96">
        <w:rPr>
          <w:lang w:val="de-DE"/>
        </w:rPr>
        <w:tab/>
      </w:r>
      <w:r w:rsidR="00DF1C96">
        <w:rPr>
          <w:lang w:val="de-DE"/>
        </w:rPr>
        <w:tab/>
      </w:r>
      <w:r w:rsidR="009365DB" w:rsidRPr="009365DB">
        <w:rPr>
          <w:lang w:val="de-DE"/>
        </w:rPr>
        <w:t>Binnenschiffen“</w:t>
      </w:r>
      <w:r w:rsidRPr="00BA758E">
        <w:rPr>
          <w:noProof/>
          <w:webHidden/>
          <w:lang w:val="de-DE"/>
        </w:rPr>
        <w:tab/>
      </w:r>
      <w:r w:rsidRPr="00BA758E">
        <w:rPr>
          <w:noProof/>
          <w:webHidden/>
          <w:lang w:val="de-DE"/>
        </w:rPr>
        <w:tab/>
      </w:r>
      <w:r w:rsidR="0060182D" w:rsidRPr="00BA758E">
        <w:rPr>
          <w:noProof/>
          <w:webHidden/>
          <w:lang w:val="de-DE"/>
        </w:rPr>
        <w:t>12</w:t>
      </w:r>
    </w:p>
    <w:p w14:paraId="5328A2C3" w14:textId="3037A81E" w:rsidR="00BC3304" w:rsidRPr="00940A9C" w:rsidRDefault="00BC3304" w:rsidP="008B3DC0">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009365DB" w:rsidRPr="009365DB">
        <w:rPr>
          <w:lang w:val="de-DE"/>
        </w:rPr>
        <w:t>VIII.</w:t>
      </w:r>
      <w:r w:rsidRPr="00940A9C">
        <w:rPr>
          <w:noProof/>
          <w:lang w:val="de-DE"/>
        </w:rPr>
        <w:tab/>
      </w:r>
      <w:r w:rsidR="009365DB" w:rsidRPr="008B3DC0">
        <w:rPr>
          <w:lang w:val="de-DE"/>
        </w:rPr>
        <w:t>Arbeitsprogramm und Sitzungsplan (TOP 6)</w:t>
      </w:r>
      <w:r w:rsidRPr="00940A9C">
        <w:rPr>
          <w:noProof/>
          <w:webHidden/>
          <w:lang w:val="de-DE"/>
        </w:rPr>
        <w:tab/>
      </w:r>
      <w:r w:rsidRPr="00940A9C">
        <w:rPr>
          <w:noProof/>
          <w:webHidden/>
          <w:lang w:val="de-DE"/>
        </w:rPr>
        <w:tab/>
      </w:r>
      <w:r w:rsidR="0060182D" w:rsidRPr="00940A9C">
        <w:rPr>
          <w:noProof/>
          <w:webHidden/>
          <w:lang w:val="de-DE"/>
        </w:rPr>
        <w:t>13</w:t>
      </w:r>
    </w:p>
    <w:p w14:paraId="58F8F06D" w14:textId="4EC0B98B" w:rsidR="00BC3304" w:rsidRPr="00BA758E" w:rsidRDefault="00BC3304" w:rsidP="008B3DC0">
      <w:pPr>
        <w:tabs>
          <w:tab w:val="right" w:pos="850"/>
          <w:tab w:val="left" w:pos="1134"/>
          <w:tab w:val="left" w:pos="1559"/>
          <w:tab w:val="left" w:pos="1984"/>
          <w:tab w:val="left" w:leader="dot" w:pos="8929"/>
          <w:tab w:val="right" w:pos="9638"/>
        </w:tabs>
        <w:spacing w:after="120"/>
        <w:rPr>
          <w:noProof/>
          <w:lang w:val="de-DE"/>
        </w:rPr>
      </w:pPr>
      <w:r w:rsidRPr="00940A9C">
        <w:rPr>
          <w:noProof/>
          <w:lang w:val="de-DE"/>
        </w:rPr>
        <w:tab/>
      </w:r>
      <w:r w:rsidR="008B3DC0" w:rsidRPr="008B3DC0">
        <w:rPr>
          <w:lang w:val="de-DE"/>
        </w:rPr>
        <w:t>IX.</w:t>
      </w:r>
      <w:r w:rsidRPr="00BA758E">
        <w:rPr>
          <w:noProof/>
          <w:lang w:val="de-DE"/>
        </w:rPr>
        <w:tab/>
      </w:r>
      <w:r w:rsidR="008B3DC0" w:rsidRPr="008B3DC0">
        <w:rPr>
          <w:lang w:val="de-DE"/>
        </w:rPr>
        <w:t>Verschiedenes (TOP 7)</w:t>
      </w:r>
      <w:r w:rsidRPr="00BA758E">
        <w:rPr>
          <w:noProof/>
          <w:webHidden/>
          <w:lang w:val="de-DE"/>
        </w:rPr>
        <w:tab/>
      </w:r>
      <w:r w:rsidRPr="00BA758E">
        <w:rPr>
          <w:noProof/>
          <w:webHidden/>
          <w:lang w:val="de-DE"/>
        </w:rPr>
        <w:tab/>
      </w:r>
      <w:r w:rsidR="0060182D" w:rsidRPr="00BA758E">
        <w:rPr>
          <w:noProof/>
          <w:webHidden/>
          <w:lang w:val="de-DE"/>
        </w:rPr>
        <w:t>13</w:t>
      </w:r>
    </w:p>
    <w:p w14:paraId="612C5A6A" w14:textId="4DD2A569" w:rsidR="00BC3304" w:rsidRPr="00BA758E" w:rsidRDefault="00BC3304" w:rsidP="00065C2B">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008B3DC0" w:rsidRPr="008B3DC0">
        <w:rPr>
          <w:lang w:val="de-DE"/>
        </w:rPr>
        <w:t>A.</w:t>
      </w:r>
      <w:r w:rsidRPr="00BA758E">
        <w:rPr>
          <w:noProof/>
          <w:lang w:val="de-DE"/>
        </w:rPr>
        <w:tab/>
      </w:r>
      <w:r w:rsidR="008B3DC0" w:rsidRPr="00065C2B">
        <w:rPr>
          <w:lang w:val="de-DE"/>
        </w:rPr>
        <w:t>Geschäftsordnung für den ADN-Sicherheitsausschuss</w:t>
      </w:r>
      <w:r w:rsidRPr="00BA758E">
        <w:rPr>
          <w:noProof/>
          <w:webHidden/>
          <w:lang w:val="de-DE"/>
        </w:rPr>
        <w:tab/>
      </w:r>
      <w:r w:rsidRPr="00BA758E">
        <w:rPr>
          <w:noProof/>
          <w:webHidden/>
          <w:lang w:val="de-DE"/>
        </w:rPr>
        <w:tab/>
      </w:r>
      <w:r w:rsidR="0060182D" w:rsidRPr="00BA758E">
        <w:rPr>
          <w:noProof/>
          <w:webHidden/>
          <w:lang w:val="de-DE"/>
        </w:rPr>
        <w:t>13</w:t>
      </w:r>
    </w:p>
    <w:p w14:paraId="6C437522" w14:textId="406B4D5F" w:rsidR="00BC3304" w:rsidRPr="00BA758E" w:rsidRDefault="00BC3304" w:rsidP="00522EAE">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00065C2B" w:rsidRPr="00065C2B">
        <w:rPr>
          <w:lang w:val="de-DE"/>
        </w:rPr>
        <w:t>B.</w:t>
      </w:r>
      <w:r w:rsidRPr="00BA758E">
        <w:rPr>
          <w:noProof/>
          <w:lang w:val="de-DE"/>
        </w:rPr>
        <w:tab/>
      </w:r>
      <w:r w:rsidR="00522EAE" w:rsidRPr="00522EAE">
        <w:rPr>
          <w:lang w:val="de-DE"/>
        </w:rPr>
        <w:t xml:space="preserve">Informationen über Finanzierungsmöglichkeiten für die Ökologisierung der Beförderung </w:t>
      </w:r>
      <w:r w:rsidR="00DF1C96">
        <w:rPr>
          <w:lang w:val="de-DE"/>
        </w:rPr>
        <w:br/>
      </w:r>
      <w:r w:rsidR="00DF1C96">
        <w:rPr>
          <w:lang w:val="de-DE"/>
        </w:rPr>
        <w:tab/>
      </w:r>
      <w:r w:rsidR="00DF1C96">
        <w:rPr>
          <w:lang w:val="de-DE"/>
        </w:rPr>
        <w:tab/>
      </w:r>
      <w:r w:rsidR="00DF1C96">
        <w:rPr>
          <w:lang w:val="de-DE"/>
        </w:rPr>
        <w:tab/>
      </w:r>
      <w:r w:rsidR="00522EAE" w:rsidRPr="00522EAE">
        <w:rPr>
          <w:lang w:val="de-DE"/>
        </w:rPr>
        <w:t>gefährlicher Güter</w:t>
      </w:r>
      <w:r w:rsidRPr="00BA758E">
        <w:rPr>
          <w:noProof/>
          <w:webHidden/>
          <w:lang w:val="de-DE"/>
        </w:rPr>
        <w:tab/>
      </w:r>
      <w:r w:rsidRPr="00BA758E">
        <w:rPr>
          <w:noProof/>
          <w:webHidden/>
          <w:lang w:val="de-DE"/>
        </w:rPr>
        <w:tab/>
      </w:r>
      <w:r w:rsidR="0060182D" w:rsidRPr="00BA758E">
        <w:rPr>
          <w:noProof/>
          <w:webHidden/>
          <w:lang w:val="de-DE"/>
        </w:rPr>
        <w:t>13</w:t>
      </w:r>
    </w:p>
    <w:p w14:paraId="39E1AB3B" w14:textId="324F53C5" w:rsidR="00BC3304" w:rsidRPr="00BA758E" w:rsidRDefault="00BC3304" w:rsidP="00522EAE">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Pr="00BA758E">
        <w:rPr>
          <w:noProof/>
          <w:lang w:val="de-DE"/>
        </w:rPr>
        <w:tab/>
      </w:r>
      <w:r w:rsidR="00522EAE" w:rsidRPr="00522EAE">
        <w:rPr>
          <w:lang w:val="de-DE"/>
        </w:rPr>
        <w:t>C.</w:t>
      </w:r>
      <w:r w:rsidRPr="00BA758E">
        <w:rPr>
          <w:noProof/>
          <w:lang w:val="de-DE"/>
        </w:rPr>
        <w:tab/>
      </w:r>
      <w:r w:rsidR="00460622">
        <w:rPr>
          <w:lang w:val="de-DE"/>
        </w:rPr>
        <w:t>Transport Community</w:t>
      </w:r>
      <w:r w:rsidRPr="00BA758E">
        <w:rPr>
          <w:noProof/>
          <w:webHidden/>
          <w:lang w:val="de-DE"/>
        </w:rPr>
        <w:tab/>
      </w:r>
      <w:r w:rsidRPr="00BA758E">
        <w:rPr>
          <w:noProof/>
          <w:webHidden/>
          <w:lang w:val="de-DE"/>
        </w:rPr>
        <w:tab/>
      </w:r>
      <w:r w:rsidR="0060182D" w:rsidRPr="00BA758E">
        <w:rPr>
          <w:noProof/>
          <w:webHidden/>
          <w:lang w:val="de-DE"/>
        </w:rPr>
        <w:t>14</w:t>
      </w:r>
    </w:p>
    <w:p w14:paraId="2172C0B1" w14:textId="5791010D" w:rsidR="00BC3304" w:rsidRPr="00BA758E" w:rsidRDefault="00BC3304" w:rsidP="00522EAE">
      <w:pPr>
        <w:tabs>
          <w:tab w:val="right" w:pos="850"/>
          <w:tab w:val="left" w:pos="1134"/>
          <w:tab w:val="left" w:pos="1559"/>
          <w:tab w:val="left" w:pos="1984"/>
          <w:tab w:val="left" w:leader="dot" w:pos="8929"/>
          <w:tab w:val="right" w:pos="9638"/>
        </w:tabs>
        <w:spacing w:after="120"/>
        <w:rPr>
          <w:noProof/>
          <w:lang w:val="de-DE"/>
        </w:rPr>
      </w:pPr>
      <w:r w:rsidRPr="00BA758E">
        <w:rPr>
          <w:noProof/>
          <w:lang w:val="de-DE"/>
        </w:rPr>
        <w:tab/>
      </w:r>
      <w:r w:rsidR="00522EAE" w:rsidRPr="00522EAE">
        <w:rPr>
          <w:lang w:val="de-DE"/>
        </w:rPr>
        <w:t>X.</w:t>
      </w:r>
      <w:r w:rsidRPr="00BA758E">
        <w:rPr>
          <w:noProof/>
          <w:lang w:val="de-DE"/>
        </w:rPr>
        <w:tab/>
      </w:r>
      <w:r w:rsidR="00522EAE" w:rsidRPr="00522EAE">
        <w:rPr>
          <w:lang w:val="de-DE"/>
        </w:rPr>
        <w:t>Genehmigung des Sitzungsprotokolls (TOP 8)</w:t>
      </w:r>
      <w:r w:rsidRPr="00BA758E">
        <w:rPr>
          <w:noProof/>
          <w:webHidden/>
          <w:lang w:val="de-DE"/>
        </w:rPr>
        <w:tab/>
      </w:r>
      <w:r w:rsidRPr="00BA758E">
        <w:rPr>
          <w:noProof/>
          <w:webHidden/>
          <w:lang w:val="de-DE"/>
        </w:rPr>
        <w:tab/>
      </w:r>
      <w:r w:rsidR="0060182D" w:rsidRPr="00BA758E">
        <w:rPr>
          <w:noProof/>
          <w:webHidden/>
          <w:lang w:val="de-DE"/>
        </w:rPr>
        <w:t>14</w:t>
      </w:r>
    </w:p>
    <w:p w14:paraId="0BB358DD" w14:textId="7B23B238" w:rsidR="001C6663" w:rsidRPr="00BA758E" w:rsidRDefault="00522EAE" w:rsidP="00936B93">
      <w:pPr>
        <w:spacing w:after="120"/>
        <w:rPr>
          <w:lang w:val="de-DE"/>
        </w:rPr>
      </w:pPr>
      <w:r w:rsidRPr="00936B93">
        <w:rPr>
          <w:lang w:val="de-DE"/>
        </w:rPr>
        <w:t>Anlagen</w:t>
      </w:r>
    </w:p>
    <w:p w14:paraId="527B720F" w14:textId="63563B79" w:rsidR="00072D30" w:rsidRPr="001B5E14" w:rsidRDefault="00181181" w:rsidP="00936B93">
      <w:pPr>
        <w:tabs>
          <w:tab w:val="right" w:pos="850"/>
          <w:tab w:val="left" w:pos="1134"/>
          <w:tab w:val="left" w:pos="1559"/>
          <w:tab w:val="left" w:pos="1984"/>
          <w:tab w:val="left" w:leader="dot" w:pos="8929"/>
          <w:tab w:val="right" w:pos="9638"/>
        </w:tabs>
        <w:spacing w:after="120"/>
        <w:rPr>
          <w:lang w:val="de-DE"/>
        </w:rPr>
      </w:pPr>
      <w:r w:rsidRPr="00BA758E">
        <w:rPr>
          <w:lang w:val="de-DE"/>
        </w:rPr>
        <w:tab/>
      </w:r>
      <w:r w:rsidR="00936B93" w:rsidRPr="00936B93">
        <w:rPr>
          <w:lang w:val="de-DE"/>
        </w:rPr>
        <w:t>I.</w:t>
      </w:r>
      <w:r w:rsidRPr="00BA758E">
        <w:rPr>
          <w:lang w:val="de-DE"/>
        </w:rPr>
        <w:tab/>
      </w:r>
      <w:r w:rsidR="00936B93" w:rsidRPr="00936B93">
        <w:rPr>
          <w:spacing w:val="-2"/>
          <w:lang w:val="de-DE"/>
        </w:rPr>
        <w:t xml:space="preserve">Änderungsvorschläge zu der dem ADN beigefügten Verordnung, die am 1. Januar 2023 in Kraft </w:t>
      </w:r>
      <w:r w:rsidR="005D039C">
        <w:rPr>
          <w:spacing w:val="-2"/>
          <w:lang w:val="de-DE"/>
        </w:rPr>
        <w:br/>
      </w:r>
      <w:r w:rsidR="005D039C">
        <w:rPr>
          <w:spacing w:val="-2"/>
          <w:lang w:val="de-DE"/>
        </w:rPr>
        <w:tab/>
      </w:r>
      <w:r w:rsidR="005D039C">
        <w:rPr>
          <w:spacing w:val="-2"/>
          <w:lang w:val="de-DE"/>
        </w:rPr>
        <w:tab/>
      </w:r>
      <w:r w:rsidR="00936B93" w:rsidRPr="00936B93">
        <w:rPr>
          <w:spacing w:val="-2"/>
          <w:lang w:val="de-DE"/>
        </w:rPr>
        <w:t>treten sollen</w:t>
      </w:r>
      <w:r w:rsidRPr="001B5E14">
        <w:rPr>
          <w:lang w:val="de-DE"/>
        </w:rPr>
        <w:tab/>
      </w:r>
      <w:r w:rsidR="00BA345B" w:rsidRPr="001B5E14">
        <w:rPr>
          <w:lang w:val="de-DE"/>
        </w:rPr>
        <w:tab/>
      </w:r>
      <w:r w:rsidRPr="001B5E14">
        <w:rPr>
          <w:lang w:val="de-DE"/>
        </w:rPr>
        <w:t>15</w:t>
      </w:r>
    </w:p>
    <w:p w14:paraId="4C26D73C" w14:textId="0E09873A" w:rsidR="00181181" w:rsidRPr="00BA758E" w:rsidRDefault="00181181" w:rsidP="00EC4EC9">
      <w:pPr>
        <w:tabs>
          <w:tab w:val="right" w:pos="850"/>
          <w:tab w:val="left" w:pos="1134"/>
          <w:tab w:val="left" w:pos="1559"/>
          <w:tab w:val="left" w:pos="1984"/>
          <w:tab w:val="left" w:leader="dot" w:pos="8929"/>
          <w:tab w:val="right" w:pos="9638"/>
        </w:tabs>
        <w:rPr>
          <w:lang w:val="de-DE"/>
        </w:rPr>
      </w:pPr>
      <w:r w:rsidRPr="001B5E14">
        <w:rPr>
          <w:lang w:val="de-DE"/>
        </w:rPr>
        <w:tab/>
      </w:r>
      <w:r w:rsidR="00936B93" w:rsidRPr="00936B93">
        <w:rPr>
          <w:lang w:val="de-DE"/>
        </w:rPr>
        <w:t>II.</w:t>
      </w:r>
      <w:r w:rsidRPr="00BA758E">
        <w:rPr>
          <w:lang w:val="de-DE"/>
        </w:rPr>
        <w:tab/>
      </w:r>
      <w:r w:rsidR="00936B93" w:rsidRPr="00936B93">
        <w:rPr>
          <w:lang w:val="de-DE"/>
        </w:rPr>
        <w:t>Berichtigungen am Dokument ECE/TRANS/301 (ADN-Ausgabe 2021)</w:t>
      </w:r>
      <w:r w:rsidRPr="00BA758E">
        <w:rPr>
          <w:lang w:val="de-DE"/>
        </w:rPr>
        <w:tab/>
      </w:r>
      <w:r w:rsidRPr="00BA758E">
        <w:rPr>
          <w:lang w:val="de-DE"/>
        </w:rPr>
        <w:tab/>
        <w:t>22</w:t>
      </w:r>
    </w:p>
    <w:p w14:paraId="0771F175" w14:textId="0A51C158" w:rsidR="001E24FD" w:rsidRPr="00BA758E" w:rsidRDefault="001E24FD" w:rsidP="001E24FD">
      <w:pPr>
        <w:spacing w:before="120"/>
        <w:rPr>
          <w:lang w:val="de-DE"/>
        </w:rPr>
      </w:pPr>
      <w:r w:rsidRPr="00BA758E">
        <w:rPr>
          <w:lang w:val="de-DE"/>
        </w:rPr>
        <w:br w:type="page"/>
      </w:r>
    </w:p>
    <w:p w14:paraId="3A120518" w14:textId="1311C6B6" w:rsidR="001E24FD" w:rsidRPr="00BA758E" w:rsidRDefault="001E24FD" w:rsidP="00EC4EC9">
      <w:pPr>
        <w:pStyle w:val="HChG"/>
        <w:spacing w:before="0" w:after="120"/>
        <w:rPr>
          <w:lang w:val="de-DE"/>
        </w:rPr>
      </w:pPr>
      <w:r w:rsidRPr="00BA758E">
        <w:rPr>
          <w:lang w:val="de-DE"/>
        </w:rPr>
        <w:tab/>
      </w:r>
      <w:bookmarkStart w:id="0" w:name="_Toc81410355"/>
      <w:r w:rsidR="00936B93" w:rsidRPr="00936B93">
        <w:rPr>
          <w:lang w:val="de-DE"/>
        </w:rPr>
        <w:t>I.</w:t>
      </w:r>
      <w:r w:rsidRPr="00BA758E">
        <w:rPr>
          <w:lang w:val="de-DE"/>
        </w:rPr>
        <w:tab/>
      </w:r>
      <w:bookmarkEnd w:id="0"/>
      <w:r w:rsidR="00936B93" w:rsidRPr="00936B93">
        <w:rPr>
          <w:lang w:val="de-DE"/>
        </w:rPr>
        <w:t>Teilnehmer</w:t>
      </w:r>
    </w:p>
    <w:p w14:paraId="605A492D" w14:textId="47F6026C" w:rsidR="001E24FD" w:rsidRPr="00BA758E" w:rsidRDefault="001E24FD" w:rsidP="00101E08">
      <w:pPr>
        <w:pStyle w:val="SingleTxtG"/>
        <w:rPr>
          <w:lang w:val="de-DE"/>
        </w:rPr>
      </w:pPr>
      <w:bookmarkStart w:id="1" w:name="_Hlk18340908"/>
      <w:r w:rsidRPr="00BA758E">
        <w:rPr>
          <w:lang w:val="de-DE"/>
        </w:rPr>
        <w:t>1.</w:t>
      </w:r>
      <w:r w:rsidRPr="00BA758E">
        <w:rPr>
          <w:lang w:val="de-DE"/>
        </w:rPr>
        <w:tab/>
      </w:r>
      <w:bookmarkStart w:id="2" w:name="_Hlk18487351"/>
      <w:r w:rsidR="00936B93" w:rsidRPr="00101E08">
        <w:rPr>
          <w:lang w:val="de-DE"/>
        </w:rPr>
        <w:t xml:space="preserve">Die Gemeinsame Expertentagung für die dem Europäischen Übereinkommen über die internationale Beförderung von gefährlichen Gütern auf Binnenwasserstraßen (ADN) beigefügte Verordnung (ADN-Sicherheitsausschuss) </w:t>
      </w:r>
      <w:r w:rsidR="00DF52AA" w:rsidRPr="00101E08">
        <w:rPr>
          <w:lang w:val="de-DE"/>
        </w:rPr>
        <w:t>hielt</w:t>
      </w:r>
      <w:r w:rsidR="00936B93" w:rsidRPr="00101E08">
        <w:rPr>
          <w:lang w:val="de-DE"/>
        </w:rPr>
        <w:t xml:space="preserve"> vom 23. bis 27. </w:t>
      </w:r>
      <w:r w:rsidR="00EB028F" w:rsidRPr="00101E08">
        <w:rPr>
          <w:lang w:val="de-DE"/>
        </w:rPr>
        <w:t>August</w:t>
      </w:r>
      <w:r w:rsidR="00936B93" w:rsidRPr="00101E08">
        <w:rPr>
          <w:lang w:val="de-DE"/>
        </w:rPr>
        <w:t xml:space="preserve"> 2021 in Genf ihre </w:t>
      </w:r>
      <w:r w:rsidR="00EB028F" w:rsidRPr="00101E08">
        <w:rPr>
          <w:lang w:val="de-DE"/>
        </w:rPr>
        <w:t>achtunddreißigste</w:t>
      </w:r>
      <w:r w:rsidR="00936B93" w:rsidRPr="00101E08">
        <w:rPr>
          <w:lang w:val="de-DE"/>
        </w:rPr>
        <w:t xml:space="preserve"> Sitzung ab.</w:t>
      </w:r>
      <w:r w:rsidR="00DF52AA" w:rsidRPr="00101E08">
        <w:rPr>
          <w:lang w:val="de-DE"/>
        </w:rPr>
        <w:t xml:space="preserve"> Den Vorsitz führte Herr H. Langenberg (Niederlande) und den stellvertretenden Vorsitz Herr B. Birklhuber (Österreich).</w:t>
      </w:r>
      <w:bookmarkEnd w:id="2"/>
      <w:r w:rsidRPr="00BA758E">
        <w:rPr>
          <w:lang w:val="de-DE"/>
        </w:rPr>
        <w:t xml:space="preserve"> </w:t>
      </w:r>
    </w:p>
    <w:p w14:paraId="02B62CED" w14:textId="1274BABD" w:rsidR="001E24FD" w:rsidRPr="00BA758E" w:rsidRDefault="001E24FD" w:rsidP="00101E08">
      <w:pPr>
        <w:pStyle w:val="SingleTxtG"/>
        <w:rPr>
          <w:lang w:val="de-DE"/>
        </w:rPr>
      </w:pPr>
      <w:r w:rsidRPr="00BA758E">
        <w:rPr>
          <w:lang w:val="de-DE"/>
        </w:rPr>
        <w:t>2.</w:t>
      </w:r>
      <w:r w:rsidRPr="00BA758E">
        <w:rPr>
          <w:lang w:val="de-DE"/>
        </w:rPr>
        <w:tab/>
      </w:r>
      <w:r w:rsidR="00417299" w:rsidRPr="00101E08">
        <w:rPr>
          <w:lang w:val="de-DE"/>
        </w:rPr>
        <w:t>An den Arbeiten dieser Sitzung beteiligten sich Vertreter der folgenden Länder:</w:t>
      </w:r>
      <w:r w:rsidRPr="00BA758E">
        <w:rPr>
          <w:lang w:val="de-DE"/>
        </w:rPr>
        <w:t xml:space="preserve"> </w:t>
      </w:r>
      <w:r w:rsidR="00417299" w:rsidRPr="00732033">
        <w:rPr>
          <w:lang w:val="de-DE"/>
        </w:rPr>
        <w:t>Belgien, Bulgarien, Deutschland, Frankreich, Luxemburg, Niederlande, Österreich, Polen, Rumänien, Russische Föderation, Slowakei</w:t>
      </w:r>
      <w:r w:rsidR="00FE0437" w:rsidRPr="00732033">
        <w:rPr>
          <w:lang w:val="de-DE"/>
        </w:rPr>
        <w:t>,</w:t>
      </w:r>
      <w:r w:rsidR="00417299" w:rsidRPr="00732033">
        <w:rPr>
          <w:lang w:val="de-DE"/>
        </w:rPr>
        <w:t xml:space="preserve"> Schweiz</w:t>
      </w:r>
      <w:r w:rsidR="00FE0437" w:rsidRPr="00732033">
        <w:rPr>
          <w:lang w:val="de-DE"/>
        </w:rPr>
        <w:t xml:space="preserve"> und Tschechische Republik</w:t>
      </w:r>
      <w:r w:rsidR="00417299" w:rsidRPr="00732033">
        <w:rPr>
          <w:lang w:val="de-DE"/>
        </w:rPr>
        <w:t>.</w:t>
      </w:r>
      <w:r w:rsidRPr="00BA758E">
        <w:rPr>
          <w:lang w:val="de-DE"/>
        </w:rPr>
        <w:t xml:space="preserve"> </w:t>
      </w:r>
    </w:p>
    <w:p w14:paraId="21E630F4" w14:textId="6D998BE6" w:rsidR="001E24FD" w:rsidRPr="00BA758E" w:rsidRDefault="001E24FD" w:rsidP="00101E08">
      <w:pPr>
        <w:pStyle w:val="SingleTxtG"/>
        <w:rPr>
          <w:lang w:val="de-DE"/>
        </w:rPr>
      </w:pPr>
      <w:r w:rsidRPr="00BA758E">
        <w:rPr>
          <w:lang w:val="de-DE"/>
        </w:rPr>
        <w:t>3.</w:t>
      </w:r>
      <w:r w:rsidRPr="00BA758E">
        <w:rPr>
          <w:lang w:val="de-DE"/>
        </w:rPr>
        <w:tab/>
      </w:r>
      <w:r w:rsidR="00732033" w:rsidRPr="00101E08">
        <w:rPr>
          <w:lang w:val="de-DE"/>
        </w:rPr>
        <w:t>Folgende zwischenstaatliche Organisationen waren vertreten:</w:t>
      </w:r>
      <w:r w:rsidRPr="00BA758E">
        <w:rPr>
          <w:lang w:val="de-DE"/>
        </w:rPr>
        <w:t xml:space="preserve"> </w:t>
      </w:r>
      <w:r w:rsidR="001708D0" w:rsidRPr="001708D0">
        <w:rPr>
          <w:lang w:val="de-DE"/>
        </w:rPr>
        <w:t>Zentralkommission für die Rheinschifffahrt (ZKR), Donaukommission und Europäische Kommission.</w:t>
      </w:r>
    </w:p>
    <w:p w14:paraId="16F0C49B" w14:textId="1692DAC2" w:rsidR="001E24FD" w:rsidRPr="00BA758E" w:rsidRDefault="001E24FD" w:rsidP="00A974A0">
      <w:pPr>
        <w:pStyle w:val="SingleTxtG"/>
        <w:rPr>
          <w:lang w:val="de-DE"/>
        </w:rPr>
      </w:pPr>
      <w:r w:rsidRPr="00BA758E">
        <w:rPr>
          <w:lang w:val="de-DE"/>
        </w:rPr>
        <w:t>4.</w:t>
      </w:r>
      <w:r w:rsidRPr="00BA758E">
        <w:rPr>
          <w:lang w:val="de-DE"/>
        </w:rPr>
        <w:tab/>
      </w:r>
      <w:r w:rsidR="001708D0" w:rsidRPr="001708D0">
        <w:rPr>
          <w:lang w:val="de-DE"/>
        </w:rPr>
        <w:t>Ebenfalls vertreten waren folgende nichtstaatlichen Organisationen:</w:t>
      </w:r>
      <w:r w:rsidR="00DD1F72" w:rsidRPr="00BA758E">
        <w:rPr>
          <w:lang w:val="de-DE"/>
        </w:rPr>
        <w:t xml:space="preserve"> </w:t>
      </w:r>
      <w:r w:rsidR="001708D0" w:rsidRPr="00A974A0">
        <w:rPr>
          <w:lang w:val="de-DE"/>
        </w:rPr>
        <w:t>Europäische Binnenschifffahrtsunion (EBU), Europäischer Rat der chemischen Industrieverbände (CEFIC), Europäische Schifferorganisation (ESO), Verband europäischer Tanklager (FETSA), FuelsEurope, Grain and Feed Trade Association (GAFTA), Internationaler Ausschuss für die Verhütung von Arbeitsunfällen in der Binnenschifffahrt (CIPA) und Gruppe der Empfohlenen ADN-Klassifikationsgesellschaften.</w:t>
      </w:r>
    </w:p>
    <w:p w14:paraId="2DB32F1F" w14:textId="07DD2673" w:rsidR="001E24FD" w:rsidRPr="00BA758E" w:rsidRDefault="001E24FD" w:rsidP="00EC4EC9">
      <w:pPr>
        <w:pStyle w:val="HChG"/>
        <w:spacing w:before="240" w:after="120"/>
        <w:rPr>
          <w:lang w:val="de-DE"/>
        </w:rPr>
      </w:pPr>
      <w:r w:rsidRPr="00BA758E">
        <w:rPr>
          <w:lang w:val="de-DE"/>
        </w:rPr>
        <w:tab/>
      </w:r>
      <w:bookmarkStart w:id="3" w:name="_Toc81410356"/>
      <w:r w:rsidR="00A974A0" w:rsidRPr="00A974A0">
        <w:rPr>
          <w:lang w:val="de-DE"/>
        </w:rPr>
        <w:t>II.</w:t>
      </w:r>
      <w:r w:rsidRPr="00BA758E">
        <w:rPr>
          <w:lang w:val="de-DE"/>
        </w:rPr>
        <w:tab/>
      </w:r>
      <w:bookmarkEnd w:id="3"/>
      <w:r w:rsidR="00A974A0" w:rsidRPr="00A974A0">
        <w:rPr>
          <w:lang w:val="de-DE"/>
        </w:rPr>
        <w:t>Organisatorisches</w:t>
      </w:r>
    </w:p>
    <w:p w14:paraId="4E2396AC" w14:textId="5070D5D0" w:rsidR="001E24FD" w:rsidRPr="00BA758E" w:rsidRDefault="001E24FD" w:rsidP="004F0DBD">
      <w:pPr>
        <w:pStyle w:val="SingleTxtG"/>
        <w:rPr>
          <w:lang w:val="de-DE"/>
        </w:rPr>
      </w:pPr>
      <w:r w:rsidRPr="00BA758E">
        <w:rPr>
          <w:lang w:val="de-DE"/>
        </w:rPr>
        <w:t>5.</w:t>
      </w:r>
      <w:r w:rsidRPr="00BA758E">
        <w:rPr>
          <w:lang w:val="de-DE"/>
        </w:rPr>
        <w:tab/>
      </w:r>
      <w:r w:rsidR="00D95A96" w:rsidRPr="00101E08">
        <w:rPr>
          <w:lang w:val="de-DE"/>
        </w:rPr>
        <w:t xml:space="preserve">Der Sicherheitsausschuss wurde darüber informiert, dass </w:t>
      </w:r>
      <w:r w:rsidR="00A974A0" w:rsidRPr="00101E08">
        <w:rPr>
          <w:lang w:val="de-DE"/>
        </w:rPr>
        <w:t xml:space="preserve">aufgrund der Koinzidenz von COVID-19-Bekämpfungsmaßnahmen, finanziellen Einschränkungen </w:t>
      </w:r>
      <w:r w:rsidR="00993E0A" w:rsidRPr="00101E08">
        <w:rPr>
          <w:lang w:val="de-DE"/>
        </w:rPr>
        <w:t>infolge</w:t>
      </w:r>
      <w:r w:rsidR="00A974A0" w:rsidRPr="00101E08">
        <w:rPr>
          <w:lang w:val="de-DE"/>
        </w:rPr>
        <w:t xml:space="preserve"> der Liquiditätskrise der Vereinten Nationen, laufenden Renovierungsarbeiten im Palais des Nations im Rahmen des strategischen Kulturerbeplans und technischen Einschränkungen wegen der begrenzten Anzahl von für hybride Sitzungen verfügbaren Sitzungsräumen der der </w:t>
      </w:r>
      <w:r w:rsidR="00D95A96" w:rsidRPr="00101E08">
        <w:rPr>
          <w:lang w:val="de-DE"/>
        </w:rPr>
        <w:t xml:space="preserve">Wirtschaftskommission für Europa </w:t>
      </w:r>
      <w:r w:rsidR="00A974A0" w:rsidRPr="00101E08">
        <w:rPr>
          <w:lang w:val="de-DE"/>
        </w:rPr>
        <w:t xml:space="preserve">zugewiesene Anteil an Sitzungen mit Dolmetschern für das </w:t>
      </w:r>
      <w:r w:rsidR="004176F2" w:rsidRPr="00101E08">
        <w:rPr>
          <w:lang w:val="de-DE"/>
        </w:rPr>
        <w:t>erste Halbjahr</w:t>
      </w:r>
      <w:r w:rsidR="00A974A0" w:rsidRPr="00101E08">
        <w:rPr>
          <w:lang w:val="de-DE"/>
        </w:rPr>
        <w:t xml:space="preserve"> 202</w:t>
      </w:r>
      <w:r w:rsidR="004176F2" w:rsidRPr="00101E08">
        <w:rPr>
          <w:lang w:val="de-DE"/>
        </w:rPr>
        <w:t>1</w:t>
      </w:r>
      <w:r w:rsidR="00A974A0" w:rsidRPr="00101E08">
        <w:rPr>
          <w:lang w:val="de-DE"/>
        </w:rPr>
        <w:t xml:space="preserve"> </w:t>
      </w:r>
      <w:r w:rsidR="00DC1352" w:rsidRPr="00101E08">
        <w:rPr>
          <w:lang w:val="de-DE"/>
        </w:rPr>
        <w:t xml:space="preserve">von den üblichen drei Sitzungen pro Tag </w:t>
      </w:r>
      <w:r w:rsidR="00A974A0" w:rsidRPr="00101E08">
        <w:rPr>
          <w:lang w:val="de-DE"/>
        </w:rPr>
        <w:t xml:space="preserve">auf nur eine Sitzung pro Tag </w:t>
      </w:r>
      <w:r w:rsidR="00444FAF" w:rsidRPr="00101E08">
        <w:rPr>
          <w:lang w:val="de-DE"/>
        </w:rPr>
        <w:t>reduziert wurde</w:t>
      </w:r>
      <w:r w:rsidR="00A974A0" w:rsidRPr="00101E08">
        <w:rPr>
          <w:lang w:val="de-DE"/>
        </w:rPr>
        <w:t>.</w:t>
      </w:r>
      <w:r w:rsidRPr="00BA758E">
        <w:rPr>
          <w:lang w:val="de-DE"/>
        </w:rPr>
        <w:t xml:space="preserve"> </w:t>
      </w:r>
      <w:r w:rsidR="00C41792" w:rsidRPr="004F0DBD">
        <w:rPr>
          <w:lang w:val="de-DE"/>
        </w:rPr>
        <w:t xml:space="preserve">Für die zweite Jahreshälfte versucht die UNECE, zum normalen Geschäftsbetrieb zurückzukehren, indem sie die </w:t>
      </w:r>
      <w:r w:rsidR="00101E08" w:rsidRPr="004F0DBD">
        <w:rPr>
          <w:lang w:val="de-DE"/>
        </w:rPr>
        <w:t xml:space="preserve">(auf zwei Stunden begrenzte) </w:t>
      </w:r>
      <w:r w:rsidR="00C41792" w:rsidRPr="004F0DBD">
        <w:rPr>
          <w:lang w:val="de-DE"/>
        </w:rPr>
        <w:t xml:space="preserve">Dauer der hybriden Sitzungen am Vormittag oder Nachmittag </w:t>
      </w:r>
      <w:r w:rsidR="00327F8A" w:rsidRPr="004F0DBD">
        <w:rPr>
          <w:lang w:val="de-DE"/>
        </w:rPr>
        <w:t xml:space="preserve">in bestimmten Fällen </w:t>
      </w:r>
      <w:r w:rsidR="00C41792" w:rsidRPr="004F0DBD">
        <w:rPr>
          <w:lang w:val="de-DE"/>
        </w:rPr>
        <w:t>auf die üblichen drei Stunden erhöht.</w:t>
      </w:r>
      <w:r w:rsidRPr="00BA758E">
        <w:rPr>
          <w:lang w:val="de-DE"/>
        </w:rPr>
        <w:t xml:space="preserve"> </w:t>
      </w:r>
      <w:r w:rsidR="00327F8A" w:rsidRPr="004F0DBD">
        <w:rPr>
          <w:lang w:val="de-DE"/>
        </w:rPr>
        <w:t>Unter Berücksichtigung dieser Faktoren</w:t>
      </w:r>
      <w:r w:rsidR="00006BF1" w:rsidRPr="004F0DBD">
        <w:rPr>
          <w:lang w:val="de-DE"/>
        </w:rPr>
        <w:t xml:space="preserve"> und</w:t>
      </w:r>
      <w:r w:rsidR="00327F8A" w:rsidRPr="004F0DBD">
        <w:rPr>
          <w:lang w:val="de-DE"/>
        </w:rPr>
        <w:t xml:space="preserve"> der </w:t>
      </w:r>
      <w:r w:rsidR="00006BF1" w:rsidRPr="004F0DBD">
        <w:rPr>
          <w:lang w:val="de-DE"/>
        </w:rPr>
        <w:t xml:space="preserve">immer noch </w:t>
      </w:r>
      <w:r w:rsidR="00327F8A" w:rsidRPr="004F0DBD">
        <w:rPr>
          <w:lang w:val="de-DE"/>
        </w:rPr>
        <w:t xml:space="preserve">geltenden Quarantäne- und Reisebeschränkungen </w:t>
      </w:r>
      <w:r w:rsidR="00D62DBE" w:rsidRPr="004F0DBD">
        <w:rPr>
          <w:lang w:val="de-DE"/>
        </w:rPr>
        <w:t xml:space="preserve">haben die </w:t>
      </w:r>
      <w:r w:rsidR="00D62DBE" w:rsidRPr="00626323">
        <w:rPr>
          <w:lang w:val="de-DE"/>
        </w:rPr>
        <w:t>Verantwortlichen</w:t>
      </w:r>
      <w:r w:rsidR="00D62DBE" w:rsidRPr="004F0DBD">
        <w:rPr>
          <w:lang w:val="de-DE"/>
        </w:rPr>
        <w:t xml:space="preserve"> des Sicherheitsausschusses</w:t>
      </w:r>
      <w:r w:rsidR="00327F8A" w:rsidRPr="004F0DBD">
        <w:rPr>
          <w:lang w:val="de-DE"/>
        </w:rPr>
        <w:t xml:space="preserve"> </w:t>
      </w:r>
      <w:r w:rsidR="00D62DBE" w:rsidRPr="004F0DBD">
        <w:rPr>
          <w:lang w:val="de-DE"/>
        </w:rPr>
        <w:t xml:space="preserve">nach Rücksprache mit dem Sekretariat und dem Konferenzdienst des Büros der Vereinten Nationen in Genf </w:t>
      </w:r>
      <w:r w:rsidR="00327F8A" w:rsidRPr="004F0DBD">
        <w:rPr>
          <w:lang w:val="de-DE"/>
        </w:rPr>
        <w:t xml:space="preserve">beschlossen, das Format der </w:t>
      </w:r>
      <w:r w:rsidR="00D62DBE" w:rsidRPr="004F0DBD">
        <w:rPr>
          <w:lang w:val="de-DE"/>
        </w:rPr>
        <w:t>acht</w:t>
      </w:r>
      <w:r w:rsidR="00327F8A" w:rsidRPr="004F0DBD">
        <w:rPr>
          <w:lang w:val="de-DE"/>
        </w:rPr>
        <w:t>unddreißigsten Sitzung</w:t>
      </w:r>
      <w:r w:rsidR="004531C5" w:rsidRPr="004F0DBD">
        <w:rPr>
          <w:lang w:val="de-DE"/>
        </w:rPr>
        <w:t xml:space="preserve"> erneut</w:t>
      </w:r>
      <w:r w:rsidR="00327F8A" w:rsidRPr="004F0DBD">
        <w:rPr>
          <w:lang w:val="de-DE"/>
        </w:rPr>
        <w:t xml:space="preserve"> anzupassen.</w:t>
      </w:r>
    </w:p>
    <w:bookmarkEnd w:id="1"/>
    <w:p w14:paraId="4658193A" w14:textId="6342455D" w:rsidR="001E24FD" w:rsidRPr="00BA758E" w:rsidRDefault="001E24FD" w:rsidP="00EC4EC9">
      <w:pPr>
        <w:pStyle w:val="HChG"/>
        <w:spacing w:before="240" w:after="120"/>
        <w:rPr>
          <w:lang w:val="de-DE"/>
        </w:rPr>
      </w:pPr>
      <w:r w:rsidRPr="00BA758E">
        <w:rPr>
          <w:lang w:val="de-DE"/>
        </w:rPr>
        <w:tab/>
      </w:r>
      <w:bookmarkStart w:id="4" w:name="_Toc81410357"/>
      <w:r w:rsidR="00800294" w:rsidRPr="00800294">
        <w:rPr>
          <w:lang w:val="de-DE"/>
        </w:rPr>
        <w:t>III.</w:t>
      </w:r>
      <w:r w:rsidRPr="00BA758E">
        <w:rPr>
          <w:lang w:val="de-DE"/>
        </w:rPr>
        <w:tab/>
      </w:r>
      <w:bookmarkEnd w:id="4"/>
      <w:r w:rsidR="00800294" w:rsidRPr="00800294">
        <w:rPr>
          <w:lang w:val="de-DE"/>
        </w:rPr>
        <w:t>Genehmigung der Tagesordnung (TOP 1)</w:t>
      </w:r>
    </w:p>
    <w:p w14:paraId="3CCCB09E" w14:textId="3D01998B" w:rsidR="001E24FD" w:rsidRPr="00BA758E" w:rsidRDefault="00800294" w:rsidP="00EC4EC9">
      <w:pPr>
        <w:pStyle w:val="SingleTxtG"/>
        <w:tabs>
          <w:tab w:val="left" w:pos="2835"/>
        </w:tabs>
        <w:spacing w:after="60"/>
        <w:rPr>
          <w:lang w:val="de-DE"/>
        </w:rPr>
      </w:pPr>
      <w:r w:rsidRPr="00800294">
        <w:rPr>
          <w:i/>
          <w:lang w:val="de-DE" w:eastAsia="en-US"/>
        </w:rPr>
        <w:t>Dokumente:</w:t>
      </w:r>
      <w:r w:rsidR="001E24FD" w:rsidRPr="00BA758E">
        <w:rPr>
          <w:lang w:val="de-DE"/>
        </w:rPr>
        <w:tab/>
      </w:r>
      <w:r w:rsidR="00EC4EC9">
        <w:rPr>
          <w:lang w:val="de-DE"/>
        </w:rPr>
        <w:tab/>
      </w:r>
      <w:r w:rsidR="00EC4EC9">
        <w:rPr>
          <w:lang w:val="de-DE"/>
        </w:rPr>
        <w:tab/>
      </w:r>
      <w:r w:rsidR="001E24FD" w:rsidRPr="00BA758E">
        <w:rPr>
          <w:lang w:val="de-DE"/>
        </w:rPr>
        <w:t xml:space="preserve">ECE/TRANS/WP.15/AC.2/77 </w:t>
      </w:r>
      <w:r w:rsidRPr="00BA758E">
        <w:rPr>
          <w:lang w:val="de-DE"/>
        </w:rPr>
        <w:t>u</w:t>
      </w:r>
      <w:r w:rsidR="001E24FD" w:rsidRPr="00BA758E">
        <w:rPr>
          <w:lang w:val="de-DE"/>
        </w:rPr>
        <w:t>nd Add.1</w:t>
      </w:r>
    </w:p>
    <w:p w14:paraId="13A0827B" w14:textId="3F2D1538" w:rsidR="001E24FD" w:rsidRPr="001B5E14" w:rsidRDefault="00800294" w:rsidP="00800294">
      <w:pPr>
        <w:pStyle w:val="SingleTxtG"/>
        <w:rPr>
          <w:lang w:val="de-DE"/>
        </w:rPr>
      </w:pPr>
      <w:r w:rsidRPr="00800294">
        <w:rPr>
          <w:i/>
          <w:lang w:val="de-DE" w:eastAsia="en-US"/>
        </w:rPr>
        <w:t>Informelles Dokument:</w:t>
      </w:r>
      <w:r w:rsidR="001E24FD" w:rsidRPr="001B5E14">
        <w:rPr>
          <w:lang w:val="de-DE"/>
        </w:rPr>
        <w:tab/>
      </w:r>
      <w:r w:rsidRPr="00800294">
        <w:rPr>
          <w:lang w:val="de-DE"/>
        </w:rPr>
        <w:t>INF.1 (Sekretariat)</w:t>
      </w:r>
    </w:p>
    <w:p w14:paraId="0FBA5D70" w14:textId="281971E9" w:rsidR="001E24FD" w:rsidRPr="00BA758E" w:rsidRDefault="001E24FD" w:rsidP="00800294">
      <w:pPr>
        <w:pStyle w:val="SingleTxtG"/>
        <w:rPr>
          <w:lang w:val="de-DE"/>
        </w:rPr>
      </w:pPr>
      <w:r w:rsidRPr="00BA758E">
        <w:rPr>
          <w:lang w:val="de-DE"/>
        </w:rPr>
        <w:t>6.</w:t>
      </w:r>
      <w:r w:rsidRPr="00BA758E">
        <w:rPr>
          <w:lang w:val="de-DE"/>
        </w:rPr>
        <w:tab/>
      </w:r>
      <w:r w:rsidR="00800294" w:rsidRPr="00800294">
        <w:rPr>
          <w:lang w:val="de-DE"/>
        </w:rPr>
        <w:t>Der Sicherheitsausschuss genehmigte die vom Sekretariat vorbereitete Tagesordnung in der durch das informelle Dokument INF.1 zur Berücksichtigung der informellen Dokumente INF.2 bis INF.20 geänderten Fassung.</w:t>
      </w:r>
    </w:p>
    <w:p w14:paraId="7B9F405D" w14:textId="479665ED" w:rsidR="001E24FD" w:rsidRPr="00BA758E" w:rsidRDefault="001E24FD" w:rsidP="00EC4EC9">
      <w:pPr>
        <w:pStyle w:val="HChG"/>
        <w:spacing w:before="240" w:after="120"/>
        <w:rPr>
          <w:lang w:val="de-DE"/>
        </w:rPr>
      </w:pPr>
      <w:r w:rsidRPr="00BA758E">
        <w:rPr>
          <w:lang w:val="de-DE"/>
        </w:rPr>
        <w:tab/>
      </w:r>
      <w:bookmarkStart w:id="5" w:name="_Toc81410358"/>
      <w:r w:rsidR="00800294" w:rsidRPr="00800294">
        <w:rPr>
          <w:lang w:val="de-DE"/>
        </w:rPr>
        <w:t>IV.</w:t>
      </w:r>
      <w:r w:rsidRPr="00BA758E">
        <w:rPr>
          <w:lang w:val="de-DE"/>
        </w:rPr>
        <w:tab/>
      </w:r>
      <w:bookmarkEnd w:id="5"/>
      <w:r w:rsidR="00800294" w:rsidRPr="0011382B">
        <w:rPr>
          <w:lang w:val="de-DE"/>
        </w:rPr>
        <w:t>Fragen im Zusammenhang mit den Arbeiten der Organe der Vereinten Nationen oder anderer Organisationen (TOP 2)</w:t>
      </w:r>
    </w:p>
    <w:p w14:paraId="27753635" w14:textId="2419566D" w:rsidR="001E24FD" w:rsidRPr="00BA758E" w:rsidRDefault="001E24FD" w:rsidP="00EC4EC9">
      <w:pPr>
        <w:pStyle w:val="H1G"/>
        <w:spacing w:before="240" w:after="120"/>
        <w:rPr>
          <w:lang w:val="de-DE"/>
        </w:rPr>
      </w:pPr>
      <w:r w:rsidRPr="00BA758E">
        <w:rPr>
          <w:lang w:val="de-DE"/>
        </w:rPr>
        <w:tab/>
      </w:r>
      <w:bookmarkStart w:id="6" w:name="_Toc81410359"/>
      <w:r w:rsidR="0011382B" w:rsidRPr="0011382B">
        <w:rPr>
          <w:lang w:val="de-DE"/>
        </w:rPr>
        <w:t>A.</w:t>
      </w:r>
      <w:r w:rsidRPr="00BA758E">
        <w:rPr>
          <w:lang w:val="de-DE"/>
        </w:rPr>
        <w:tab/>
      </w:r>
      <w:bookmarkEnd w:id="6"/>
      <w:r w:rsidR="0011382B" w:rsidRPr="0011382B">
        <w:rPr>
          <w:lang w:val="de-DE"/>
        </w:rPr>
        <w:t>Arbeiten des Binnenverkehrsausschusses</w:t>
      </w:r>
    </w:p>
    <w:p w14:paraId="56AD63FF" w14:textId="5CBF2768" w:rsidR="001E24FD" w:rsidRPr="00940A9C" w:rsidRDefault="001E24FD" w:rsidP="00EC4EC9">
      <w:pPr>
        <w:pStyle w:val="SingleTxtG"/>
        <w:spacing w:line="240" w:lineRule="auto"/>
        <w:rPr>
          <w:bCs/>
          <w:i/>
          <w:iCs/>
          <w:lang w:val="de-DE"/>
        </w:rPr>
      </w:pPr>
      <w:r w:rsidRPr="00BA758E">
        <w:rPr>
          <w:lang w:val="de-DE"/>
        </w:rPr>
        <w:t>7.</w:t>
      </w:r>
      <w:r w:rsidRPr="00BA758E">
        <w:rPr>
          <w:lang w:val="de-DE"/>
        </w:rPr>
        <w:tab/>
      </w:r>
      <w:r w:rsidR="0011382B" w:rsidRPr="004F0DBD">
        <w:rPr>
          <w:lang w:val="de-DE"/>
        </w:rPr>
        <w:t>Der Sicherheitsausschuss wurde darüber informiert, dass die dreiundachtzigste Sitzung des Binnenverkehrsausschusses (BVA) vom 23. bis 26. Februar 2021 in Genf stattfand.</w:t>
      </w:r>
      <w:r w:rsidRPr="001B5E14">
        <w:rPr>
          <w:lang w:val="de-DE"/>
        </w:rPr>
        <w:t xml:space="preserve"> </w:t>
      </w:r>
      <w:r w:rsidR="00BE6583" w:rsidRPr="004F0DBD">
        <w:rPr>
          <w:lang w:val="de-DE"/>
        </w:rPr>
        <w:t xml:space="preserve">Die Sitzung des BVA hatte Themen von globaler Bedeutung wie Verkehrssicherheit, autonome Fahrzeuge und Digitalisierung des Verkehrs sowie </w:t>
      </w:r>
      <w:r w:rsidR="002B1468" w:rsidRPr="004F0DBD">
        <w:rPr>
          <w:lang w:val="de-DE"/>
        </w:rPr>
        <w:t>die</w:t>
      </w:r>
      <w:r w:rsidR="00BE6583" w:rsidRPr="004F0DBD">
        <w:rPr>
          <w:lang w:val="de-DE"/>
        </w:rPr>
        <w:t xml:space="preserve"> Umsetzung der </w:t>
      </w:r>
      <w:r w:rsidR="00A30A0B" w:rsidRPr="004F0DBD">
        <w:rPr>
          <w:lang w:val="de-DE"/>
        </w:rPr>
        <w:t>BVA</w:t>
      </w:r>
      <w:r w:rsidR="00BE6583" w:rsidRPr="004F0DBD">
        <w:rPr>
          <w:lang w:val="de-DE"/>
        </w:rPr>
        <w:t>-Strategie bis 2030</w:t>
      </w:r>
      <w:r w:rsidR="002B1468" w:rsidRPr="004F0DBD">
        <w:rPr>
          <w:lang w:val="de-DE"/>
        </w:rPr>
        <w:t xml:space="preserve"> zum Gegenstand</w:t>
      </w:r>
      <w:r w:rsidR="00BE6583" w:rsidRPr="004F0DBD">
        <w:rPr>
          <w:lang w:val="de-DE"/>
        </w:rPr>
        <w:t>.</w:t>
      </w:r>
      <w:r w:rsidRPr="00BA758E">
        <w:rPr>
          <w:lang w:val="de-DE"/>
        </w:rPr>
        <w:t xml:space="preserve"> </w:t>
      </w:r>
      <w:r w:rsidR="006D6229" w:rsidRPr="004F0DBD">
        <w:rPr>
          <w:lang w:val="de-DE"/>
        </w:rPr>
        <w:t xml:space="preserve">Die Liste der Beschlüsse kann </w:t>
      </w:r>
      <w:r w:rsidR="005B3798" w:rsidRPr="004F0DBD">
        <w:rPr>
          <w:lang w:val="de-DE"/>
        </w:rPr>
        <w:t>de</w:t>
      </w:r>
      <w:r w:rsidR="006D6229" w:rsidRPr="004F0DBD">
        <w:rPr>
          <w:lang w:val="de-DE"/>
        </w:rPr>
        <w:t>m informellen Dokument INF.8 de</w:t>
      </w:r>
      <w:r w:rsidR="000848EA" w:rsidRPr="004F0DBD">
        <w:rPr>
          <w:lang w:val="de-DE"/>
        </w:rPr>
        <w:t>s</w:t>
      </w:r>
      <w:r w:rsidR="006D6229" w:rsidRPr="004F0DBD">
        <w:rPr>
          <w:lang w:val="de-DE"/>
        </w:rPr>
        <w:t xml:space="preserve"> </w:t>
      </w:r>
      <w:r w:rsidR="000848EA" w:rsidRPr="004F0DBD">
        <w:rPr>
          <w:lang w:val="de-DE"/>
        </w:rPr>
        <w:t>BVA</w:t>
      </w:r>
      <w:r w:rsidR="006D6229" w:rsidRPr="004F0DBD">
        <w:rPr>
          <w:lang w:val="de-DE"/>
        </w:rPr>
        <w:t xml:space="preserve"> </w:t>
      </w:r>
      <w:r w:rsidR="005B3798" w:rsidRPr="004F0DBD">
        <w:rPr>
          <w:lang w:val="de-DE"/>
        </w:rPr>
        <w:t>entnommen</w:t>
      </w:r>
      <w:r w:rsidR="006D6229" w:rsidRPr="004F0DBD">
        <w:rPr>
          <w:lang w:val="de-DE"/>
        </w:rPr>
        <w:t xml:space="preserve"> werden. </w:t>
      </w:r>
      <w:r w:rsidR="0003244D" w:rsidRPr="004F0DBD">
        <w:rPr>
          <w:lang w:val="de-DE"/>
        </w:rPr>
        <w:t xml:space="preserve">Ausführlichere Informationen sind im </w:t>
      </w:r>
      <w:r w:rsidR="0003244D" w:rsidRPr="00AE0502">
        <w:rPr>
          <w:lang w:val="de-DE"/>
        </w:rPr>
        <w:t>Sitzungsbericht</w:t>
      </w:r>
      <w:r w:rsidR="0003244D" w:rsidRPr="004F0DBD">
        <w:rPr>
          <w:lang w:val="de-DE"/>
        </w:rPr>
        <w:t xml:space="preserve"> (ECE/TRANS/304) auf der UNECE-Website </w:t>
      </w:r>
      <w:r w:rsidR="00843D8B" w:rsidRPr="004F0DBD">
        <w:rPr>
          <w:lang w:val="de-DE"/>
        </w:rPr>
        <w:t>zu finden</w:t>
      </w:r>
      <w:r w:rsidR="0003244D" w:rsidRPr="004F0DBD">
        <w:rPr>
          <w:lang w:val="de-DE"/>
        </w:rPr>
        <w:t>.</w:t>
      </w:r>
      <w:r w:rsidRPr="00BA758E">
        <w:rPr>
          <w:lang w:val="de-DE"/>
        </w:rPr>
        <w:t xml:space="preserve"> </w:t>
      </w:r>
      <w:r w:rsidR="00723D69" w:rsidRPr="004F0DBD">
        <w:rPr>
          <w:lang w:val="de-DE"/>
        </w:rPr>
        <w:t>Die nächste Sitzung des BVA ist für den 22. bis 25. Februar 2022 geplant, der Ausschuss wird sein fünfundsiebzigjähriges Bestehen feiern.</w:t>
      </w:r>
    </w:p>
    <w:p w14:paraId="54E2182F" w14:textId="4527BE98" w:rsidR="001E24FD" w:rsidRPr="00BA758E" w:rsidRDefault="001E24FD" w:rsidP="004F0DBD">
      <w:pPr>
        <w:pStyle w:val="H1G"/>
        <w:rPr>
          <w:lang w:val="de-DE"/>
        </w:rPr>
      </w:pPr>
      <w:r w:rsidRPr="00940A9C">
        <w:rPr>
          <w:lang w:val="de-DE"/>
        </w:rPr>
        <w:tab/>
      </w:r>
      <w:bookmarkStart w:id="7" w:name="_Toc81410360"/>
      <w:r w:rsidR="00723D69" w:rsidRPr="004F0DBD">
        <w:rPr>
          <w:lang w:val="de-DE"/>
        </w:rPr>
        <w:t>B.</w:t>
      </w:r>
      <w:r w:rsidRPr="00BA758E">
        <w:rPr>
          <w:lang w:val="de-DE"/>
        </w:rPr>
        <w:tab/>
      </w:r>
      <w:bookmarkEnd w:id="7"/>
      <w:r w:rsidR="00723D69" w:rsidRPr="00723D69">
        <w:rPr>
          <w:lang w:val="de-DE"/>
        </w:rPr>
        <w:t xml:space="preserve">Sachstand zu den </w:t>
      </w:r>
      <w:r w:rsidR="00BA6237">
        <w:rPr>
          <w:lang w:val="de-DE"/>
        </w:rPr>
        <w:t>Vorschriften</w:t>
      </w:r>
      <w:r w:rsidR="00723D69" w:rsidRPr="00723D69">
        <w:rPr>
          <w:lang w:val="de-DE"/>
        </w:rPr>
        <w:t xml:space="preserve"> </w:t>
      </w:r>
      <w:r w:rsidR="00BA6237">
        <w:rPr>
          <w:lang w:val="de-DE"/>
        </w:rPr>
        <w:t>für</w:t>
      </w:r>
      <w:r w:rsidR="00723D69" w:rsidRPr="00723D69">
        <w:rPr>
          <w:lang w:val="de-DE"/>
        </w:rPr>
        <w:t xml:space="preserve"> das Stabilitätshandbuch</w:t>
      </w:r>
    </w:p>
    <w:p w14:paraId="00C6A828" w14:textId="53C3F0E4" w:rsidR="001E24FD" w:rsidRPr="001B5E14" w:rsidRDefault="001E24FD" w:rsidP="00723D69">
      <w:pPr>
        <w:pStyle w:val="SingleTxtG"/>
        <w:rPr>
          <w:b/>
          <w:lang w:val="de-DE"/>
        </w:rPr>
      </w:pPr>
      <w:r w:rsidRPr="00BA758E">
        <w:rPr>
          <w:i/>
          <w:iCs/>
          <w:lang w:val="de-DE"/>
        </w:rPr>
        <w:tab/>
      </w:r>
      <w:bookmarkStart w:id="8" w:name="_Toc81410361"/>
      <w:r w:rsidR="00723D69" w:rsidRPr="00723D69">
        <w:rPr>
          <w:i/>
          <w:iCs/>
          <w:lang w:val="de-DE"/>
        </w:rPr>
        <w:t>Informelles Dokument:</w:t>
      </w:r>
      <w:r w:rsidRPr="001B5E14">
        <w:rPr>
          <w:lang w:val="de-DE"/>
        </w:rPr>
        <w:tab/>
      </w:r>
      <w:r w:rsidRPr="001B5E14">
        <w:rPr>
          <w:lang w:val="de-DE"/>
        </w:rPr>
        <w:tab/>
        <w:t>INF.6 (</w:t>
      </w:r>
      <w:r w:rsidR="00723D69" w:rsidRPr="001B5E14">
        <w:rPr>
          <w:lang w:val="de-DE"/>
        </w:rPr>
        <w:t>ZK</w:t>
      </w:r>
      <w:r w:rsidRPr="001B5E14">
        <w:rPr>
          <w:lang w:val="de-DE"/>
        </w:rPr>
        <w:t>R)</w:t>
      </w:r>
      <w:bookmarkEnd w:id="8"/>
    </w:p>
    <w:p w14:paraId="602DBB47" w14:textId="5D0910F8" w:rsidR="001E24FD" w:rsidRPr="00BA758E" w:rsidRDefault="001E24FD" w:rsidP="00D92B26">
      <w:pPr>
        <w:pStyle w:val="SingleTxtG"/>
        <w:rPr>
          <w:lang w:val="de-DE"/>
        </w:rPr>
      </w:pPr>
      <w:r w:rsidRPr="00BA758E">
        <w:rPr>
          <w:lang w:val="de-DE"/>
        </w:rPr>
        <w:t>8.</w:t>
      </w:r>
      <w:r w:rsidRPr="00BA758E">
        <w:rPr>
          <w:lang w:val="de-DE"/>
        </w:rPr>
        <w:tab/>
      </w:r>
      <w:r w:rsidR="00595974" w:rsidRPr="004F0DBD">
        <w:rPr>
          <w:lang w:val="de-DE"/>
        </w:rPr>
        <w:t>Der Vertreter der ZKR informiert</w:t>
      </w:r>
      <w:r w:rsidR="00735763" w:rsidRPr="004F0DBD">
        <w:rPr>
          <w:lang w:val="de-DE"/>
        </w:rPr>
        <w:t>e</w:t>
      </w:r>
      <w:r w:rsidR="00595974" w:rsidRPr="004F0DBD">
        <w:rPr>
          <w:lang w:val="de-DE"/>
        </w:rPr>
        <w:t xml:space="preserve"> den Sicherheitsausschuss über den S</w:t>
      </w:r>
      <w:r w:rsidR="001307FA" w:rsidRPr="004F0DBD">
        <w:rPr>
          <w:lang w:val="de-DE"/>
        </w:rPr>
        <w:t>achs</w:t>
      </w:r>
      <w:r w:rsidR="00595974" w:rsidRPr="004F0DBD">
        <w:rPr>
          <w:lang w:val="de-DE"/>
        </w:rPr>
        <w:t xml:space="preserve">tand </w:t>
      </w:r>
      <w:r w:rsidR="001307FA" w:rsidRPr="004F0DBD">
        <w:rPr>
          <w:lang w:val="de-DE"/>
        </w:rPr>
        <w:t>zu den</w:t>
      </w:r>
      <w:r w:rsidR="00595974" w:rsidRPr="004F0DBD">
        <w:rPr>
          <w:lang w:val="de-DE"/>
        </w:rPr>
        <w:t xml:space="preserve"> Stabilitätsvorschriften in Unterabschnitt 9.3.x.13, die </w:t>
      </w:r>
      <w:r w:rsidR="00937257" w:rsidRPr="004F0DBD">
        <w:rPr>
          <w:lang w:val="de-DE"/>
        </w:rPr>
        <w:t>vorübergehend</w:t>
      </w:r>
      <w:r w:rsidR="00595974" w:rsidRPr="004F0DBD">
        <w:rPr>
          <w:lang w:val="de-DE"/>
        </w:rPr>
        <w:t xml:space="preserve"> in das ADN aufgenommen wurden, bis </w:t>
      </w:r>
      <w:r w:rsidR="00D840CB" w:rsidRPr="004F0DBD">
        <w:rPr>
          <w:lang w:val="de-DE"/>
        </w:rPr>
        <w:t xml:space="preserve">der ES-TRIN mit </w:t>
      </w:r>
      <w:r w:rsidR="00595974" w:rsidRPr="004F0DBD">
        <w:rPr>
          <w:lang w:val="de-DE"/>
        </w:rPr>
        <w:t>allgemeine</w:t>
      </w:r>
      <w:r w:rsidR="00D840CB" w:rsidRPr="004F0DBD">
        <w:rPr>
          <w:lang w:val="de-DE"/>
        </w:rPr>
        <w:t>n</w:t>
      </w:r>
      <w:r w:rsidR="00595974" w:rsidRPr="004F0DBD">
        <w:rPr>
          <w:lang w:val="de-DE"/>
        </w:rPr>
        <w:t xml:space="preserve"> Stabilitätsvorschriften für alle Binnenschiffe </w:t>
      </w:r>
      <w:r w:rsidR="00D840CB" w:rsidRPr="004F0DBD">
        <w:rPr>
          <w:lang w:val="de-DE"/>
        </w:rPr>
        <w:t xml:space="preserve">ergänzt </w:t>
      </w:r>
      <w:r w:rsidR="008825E4" w:rsidRPr="004F0DBD">
        <w:rPr>
          <w:lang w:val="de-DE"/>
        </w:rPr>
        <w:t>worden ist</w:t>
      </w:r>
      <w:r w:rsidR="00595974" w:rsidRPr="004F0DBD">
        <w:rPr>
          <w:lang w:val="de-DE"/>
        </w:rPr>
        <w:t>.</w:t>
      </w:r>
      <w:r w:rsidRPr="00BA758E">
        <w:rPr>
          <w:lang w:val="de-DE"/>
        </w:rPr>
        <w:t xml:space="preserve"> </w:t>
      </w:r>
      <w:r w:rsidR="00F1477C" w:rsidRPr="004F0DBD">
        <w:rPr>
          <w:lang w:val="de-DE"/>
        </w:rPr>
        <w:t>Der ES-TRIN 2021 w</w:t>
      </w:r>
      <w:r w:rsidR="00F661DB" w:rsidRPr="004F0DBD">
        <w:rPr>
          <w:lang w:val="de-DE"/>
        </w:rPr>
        <w:t>e</w:t>
      </w:r>
      <w:r w:rsidR="00F1477C" w:rsidRPr="004F0DBD">
        <w:rPr>
          <w:lang w:val="de-DE"/>
        </w:rPr>
        <w:t>rd</w:t>
      </w:r>
      <w:r w:rsidR="00F661DB" w:rsidRPr="004F0DBD">
        <w:rPr>
          <w:lang w:val="de-DE"/>
        </w:rPr>
        <w:t>e</w:t>
      </w:r>
      <w:r w:rsidR="00F1477C" w:rsidRPr="004F0DBD">
        <w:rPr>
          <w:lang w:val="de-DE"/>
        </w:rPr>
        <w:t xml:space="preserve"> am 1. Januar 2022 in Kraft treten, aber die Stabilitätsvorschriften s</w:t>
      </w:r>
      <w:r w:rsidR="00F661DB" w:rsidRPr="004F0DBD">
        <w:rPr>
          <w:lang w:val="de-DE"/>
        </w:rPr>
        <w:t>e</w:t>
      </w:r>
      <w:r w:rsidR="00F1477C" w:rsidRPr="004F0DBD">
        <w:rPr>
          <w:lang w:val="de-DE"/>
        </w:rPr>
        <w:t>i</w:t>
      </w:r>
      <w:r w:rsidR="00F661DB" w:rsidRPr="004F0DBD">
        <w:rPr>
          <w:lang w:val="de-DE"/>
        </w:rPr>
        <w:t>e</w:t>
      </w:r>
      <w:r w:rsidR="00F1477C" w:rsidRPr="004F0DBD">
        <w:rPr>
          <w:lang w:val="de-DE"/>
        </w:rPr>
        <w:t>n noch nicht aktualisiert worden.</w:t>
      </w:r>
      <w:r w:rsidRPr="00940A9C">
        <w:rPr>
          <w:lang w:val="de-DE"/>
        </w:rPr>
        <w:t xml:space="preserve"> </w:t>
      </w:r>
      <w:r w:rsidR="00F661DB" w:rsidRPr="004F0DBD">
        <w:rPr>
          <w:lang w:val="de-DE"/>
        </w:rPr>
        <w:t>Der Sicherheitsausschuss beschl</w:t>
      </w:r>
      <w:r w:rsidR="002A0E82" w:rsidRPr="004F0DBD">
        <w:rPr>
          <w:lang w:val="de-DE"/>
        </w:rPr>
        <w:t>oss</w:t>
      </w:r>
      <w:r w:rsidR="00F661DB" w:rsidRPr="004F0DBD">
        <w:rPr>
          <w:lang w:val="de-DE"/>
        </w:rPr>
        <w:t xml:space="preserve">, dass die </w:t>
      </w:r>
      <w:r w:rsidR="00807071" w:rsidRPr="004F0DBD">
        <w:rPr>
          <w:lang w:val="de-DE"/>
        </w:rPr>
        <w:t>Vorschriften</w:t>
      </w:r>
      <w:r w:rsidR="00F661DB" w:rsidRPr="004F0DBD">
        <w:rPr>
          <w:lang w:val="de-DE"/>
        </w:rPr>
        <w:t xml:space="preserve"> in künftigen </w:t>
      </w:r>
      <w:r w:rsidR="00807071" w:rsidRPr="004F0DBD">
        <w:rPr>
          <w:lang w:val="de-DE"/>
        </w:rPr>
        <w:t>Ausgaben</w:t>
      </w:r>
      <w:r w:rsidR="00F661DB" w:rsidRPr="004F0DBD">
        <w:rPr>
          <w:lang w:val="de-DE"/>
        </w:rPr>
        <w:t xml:space="preserve"> des ADN beibehalten werden müssen, bis die Stabilitäts</w:t>
      </w:r>
      <w:r w:rsidR="001324B2" w:rsidRPr="004F0DBD">
        <w:rPr>
          <w:lang w:val="de-DE"/>
        </w:rPr>
        <w:t>vorschriften</w:t>
      </w:r>
      <w:r w:rsidR="00F661DB" w:rsidRPr="004F0DBD">
        <w:rPr>
          <w:lang w:val="de-DE"/>
        </w:rPr>
        <w:t xml:space="preserve"> i</w:t>
      </w:r>
      <w:r w:rsidR="001324B2" w:rsidRPr="004F0DBD">
        <w:rPr>
          <w:lang w:val="de-DE"/>
        </w:rPr>
        <w:t>m</w:t>
      </w:r>
      <w:r w:rsidR="00F661DB" w:rsidRPr="004F0DBD">
        <w:rPr>
          <w:lang w:val="de-DE"/>
        </w:rPr>
        <w:t xml:space="preserve"> ES-TRIN aktualisiert worden sind</w:t>
      </w:r>
      <w:r w:rsidR="001324B2" w:rsidRPr="004F0DBD">
        <w:rPr>
          <w:lang w:val="de-DE"/>
        </w:rPr>
        <w:t>.</w:t>
      </w:r>
      <w:r w:rsidRPr="00BA758E">
        <w:rPr>
          <w:lang w:val="de-DE"/>
        </w:rPr>
        <w:t xml:space="preserve"> </w:t>
      </w:r>
      <w:r w:rsidR="00072A4D" w:rsidRPr="00D92B26">
        <w:rPr>
          <w:lang w:val="de-DE"/>
        </w:rPr>
        <w:t>Der Vertreter Deutschlands kündigt</w:t>
      </w:r>
      <w:r w:rsidR="004F0DBD" w:rsidRPr="00D92B26">
        <w:rPr>
          <w:lang w:val="de-DE"/>
        </w:rPr>
        <w:t>e</w:t>
      </w:r>
      <w:r w:rsidR="00072A4D" w:rsidRPr="00D92B26">
        <w:rPr>
          <w:lang w:val="de-DE"/>
        </w:rPr>
        <w:t xml:space="preserve"> an, dass er einen förmlichen Antrag zur Harmonisierung der Vorschriften des Absatzes 9.3.x.13.3 in allen Sprachfassungen einreichen werde.</w:t>
      </w:r>
    </w:p>
    <w:p w14:paraId="55768E33" w14:textId="78699F6F" w:rsidR="001E24FD" w:rsidRPr="00BA758E" w:rsidRDefault="001E24FD" w:rsidP="00072A4D">
      <w:pPr>
        <w:pStyle w:val="H1G"/>
        <w:rPr>
          <w:lang w:val="de-DE"/>
        </w:rPr>
      </w:pPr>
      <w:r w:rsidRPr="00BA758E">
        <w:rPr>
          <w:lang w:val="de-DE"/>
        </w:rPr>
        <w:tab/>
      </w:r>
      <w:bookmarkStart w:id="9" w:name="_Toc81410362"/>
      <w:r w:rsidR="00072A4D" w:rsidRPr="00072A4D">
        <w:rPr>
          <w:lang w:val="de-DE"/>
        </w:rPr>
        <w:t>C.</w:t>
      </w:r>
      <w:r w:rsidRPr="00BA758E">
        <w:rPr>
          <w:lang w:val="de-DE"/>
        </w:rPr>
        <w:tab/>
      </w:r>
      <w:bookmarkEnd w:id="9"/>
      <w:r w:rsidR="00072A4D" w:rsidRPr="00AE0502">
        <w:rPr>
          <w:lang w:val="de-DE"/>
        </w:rPr>
        <w:t>Dokumente</w:t>
      </w:r>
      <w:r w:rsidR="00072A4D" w:rsidRPr="00072A4D">
        <w:rPr>
          <w:lang w:val="de-DE"/>
        </w:rPr>
        <w:t xml:space="preserve"> und sonstige Unterlagen an Bord in elektronischer Form</w:t>
      </w:r>
    </w:p>
    <w:p w14:paraId="403A260D" w14:textId="7BFFB314" w:rsidR="001E24FD" w:rsidRPr="00BA758E" w:rsidRDefault="001E24FD" w:rsidP="00072A4D">
      <w:pPr>
        <w:pStyle w:val="H23G"/>
        <w:tabs>
          <w:tab w:val="left" w:pos="3402"/>
        </w:tabs>
        <w:rPr>
          <w:b w:val="0"/>
          <w:bCs/>
          <w:lang w:val="de-DE"/>
        </w:rPr>
      </w:pPr>
      <w:r w:rsidRPr="00BA758E">
        <w:rPr>
          <w:b w:val="0"/>
          <w:bCs/>
          <w:i/>
          <w:iCs/>
          <w:lang w:val="de-DE"/>
        </w:rPr>
        <w:tab/>
      </w:r>
      <w:r w:rsidRPr="00BA758E">
        <w:rPr>
          <w:b w:val="0"/>
          <w:bCs/>
          <w:i/>
          <w:iCs/>
          <w:lang w:val="de-DE"/>
        </w:rPr>
        <w:tab/>
      </w:r>
      <w:bookmarkStart w:id="10" w:name="_Toc81410363"/>
      <w:r w:rsidR="00072A4D" w:rsidRPr="00072A4D">
        <w:rPr>
          <w:b w:val="0"/>
          <w:bCs/>
          <w:i/>
          <w:iCs/>
          <w:lang w:val="de-DE"/>
        </w:rPr>
        <w:t>Informelles Dokument:</w:t>
      </w:r>
      <w:r w:rsidRPr="00BA758E">
        <w:rPr>
          <w:b w:val="0"/>
          <w:bCs/>
          <w:lang w:val="de-DE"/>
        </w:rPr>
        <w:tab/>
      </w:r>
      <w:r w:rsidRPr="00BA758E">
        <w:rPr>
          <w:b w:val="0"/>
          <w:bCs/>
          <w:lang w:val="de-DE"/>
        </w:rPr>
        <w:tab/>
      </w:r>
      <w:bookmarkEnd w:id="10"/>
      <w:r w:rsidR="00072A4D" w:rsidRPr="00072A4D">
        <w:rPr>
          <w:b w:val="0"/>
          <w:bCs/>
          <w:lang w:val="de-DE"/>
        </w:rPr>
        <w:t>INF.9 (ZKR)</w:t>
      </w:r>
    </w:p>
    <w:p w14:paraId="11D28D4D" w14:textId="2B981FCB" w:rsidR="001E24FD" w:rsidRPr="00BA758E" w:rsidRDefault="001E24FD" w:rsidP="00B91DE2">
      <w:pPr>
        <w:pStyle w:val="SingleTxtG"/>
        <w:rPr>
          <w:lang w:val="de-DE"/>
        </w:rPr>
      </w:pPr>
      <w:r w:rsidRPr="00BA758E">
        <w:rPr>
          <w:lang w:val="de-DE"/>
        </w:rPr>
        <w:t>9.</w:t>
      </w:r>
      <w:r w:rsidRPr="00BA758E">
        <w:rPr>
          <w:lang w:val="de-DE"/>
        </w:rPr>
        <w:tab/>
      </w:r>
      <w:r w:rsidR="00414538" w:rsidRPr="00B91DE2">
        <w:rPr>
          <w:lang w:val="de-DE"/>
        </w:rPr>
        <w:t xml:space="preserve">Der Sicherheitsausschuss beriet darüber, ob die Verwendung elektronischer Dokumente an Bord in Zukunft im Rahmen des ADN </w:t>
      </w:r>
      <w:r w:rsidR="00C508DF" w:rsidRPr="00B91DE2">
        <w:rPr>
          <w:lang w:val="de-DE"/>
        </w:rPr>
        <w:t xml:space="preserve">als Option </w:t>
      </w:r>
      <w:r w:rsidR="00CC42EA" w:rsidRPr="00AE0502">
        <w:rPr>
          <w:lang w:val="de-DE"/>
        </w:rPr>
        <w:t>er</w:t>
      </w:r>
      <w:r w:rsidR="00414538" w:rsidRPr="00AE0502">
        <w:rPr>
          <w:lang w:val="de-DE"/>
        </w:rPr>
        <w:t>möglich</w:t>
      </w:r>
      <w:r w:rsidR="00CC42EA" w:rsidRPr="00AE0502">
        <w:rPr>
          <w:lang w:val="de-DE"/>
        </w:rPr>
        <w:t>t</w:t>
      </w:r>
      <w:r w:rsidR="00414538" w:rsidRPr="00B91DE2">
        <w:rPr>
          <w:lang w:val="de-DE"/>
        </w:rPr>
        <w:t xml:space="preserve"> </w:t>
      </w:r>
      <w:r w:rsidR="00CC42EA" w:rsidRPr="00B91DE2">
        <w:rPr>
          <w:lang w:val="de-DE"/>
        </w:rPr>
        <w:t>werden</w:t>
      </w:r>
      <w:r w:rsidR="00414538" w:rsidRPr="00B91DE2">
        <w:rPr>
          <w:lang w:val="de-DE"/>
        </w:rPr>
        <w:t xml:space="preserve"> sollte (informelles Dokument INF.9).</w:t>
      </w:r>
      <w:r w:rsidRPr="00BA758E">
        <w:rPr>
          <w:lang w:val="de-DE"/>
        </w:rPr>
        <w:t xml:space="preserve"> </w:t>
      </w:r>
      <w:r w:rsidR="00F304FB" w:rsidRPr="00B91DE2">
        <w:rPr>
          <w:lang w:val="de-DE"/>
        </w:rPr>
        <w:t xml:space="preserve">Der Sicherheitsausschuss vereinbarte, detaillierte Vorschriften für die </w:t>
      </w:r>
      <w:r w:rsidR="004712CF" w:rsidRPr="00B91DE2">
        <w:rPr>
          <w:lang w:val="de-DE"/>
        </w:rPr>
        <w:t xml:space="preserve">allgemeine </w:t>
      </w:r>
      <w:r w:rsidR="00F304FB" w:rsidRPr="00B91DE2">
        <w:rPr>
          <w:lang w:val="de-DE"/>
        </w:rPr>
        <w:t xml:space="preserve">Verwendung elektronischer Dokumente und nicht nur für </w:t>
      </w:r>
      <w:r w:rsidR="00096493" w:rsidRPr="00B91DE2">
        <w:rPr>
          <w:lang w:val="de-DE"/>
        </w:rPr>
        <w:t xml:space="preserve">das </w:t>
      </w:r>
      <w:r w:rsidR="00F304FB" w:rsidRPr="00B91DE2">
        <w:rPr>
          <w:lang w:val="de-DE"/>
        </w:rPr>
        <w:t>Beförderungspapier auszuarbeiten.</w:t>
      </w:r>
      <w:r w:rsidRPr="00BA758E">
        <w:rPr>
          <w:lang w:val="de-DE"/>
        </w:rPr>
        <w:t xml:space="preserve"> </w:t>
      </w:r>
      <w:r w:rsidR="004064DB" w:rsidRPr="00B91DE2">
        <w:rPr>
          <w:lang w:val="de-DE"/>
        </w:rPr>
        <w:t>Es w</w:t>
      </w:r>
      <w:r w:rsidR="000A1A22" w:rsidRPr="00B91DE2">
        <w:rPr>
          <w:lang w:val="de-DE"/>
        </w:rPr>
        <w:t>u</w:t>
      </w:r>
      <w:r w:rsidR="004064DB" w:rsidRPr="00B91DE2">
        <w:rPr>
          <w:lang w:val="de-DE"/>
        </w:rPr>
        <w:t>rd</w:t>
      </w:r>
      <w:r w:rsidR="000A1A22" w:rsidRPr="00B91DE2">
        <w:rPr>
          <w:lang w:val="de-DE"/>
        </w:rPr>
        <w:t>e</w:t>
      </w:r>
      <w:r w:rsidR="004064DB" w:rsidRPr="00B91DE2">
        <w:rPr>
          <w:lang w:val="de-DE"/>
        </w:rPr>
        <w:t xml:space="preserve"> </w:t>
      </w:r>
      <w:r w:rsidR="005F635E" w:rsidRPr="00B91DE2">
        <w:rPr>
          <w:lang w:val="de-DE"/>
        </w:rPr>
        <w:t>darauf hingewiesen</w:t>
      </w:r>
      <w:r w:rsidR="004064DB" w:rsidRPr="00B91DE2">
        <w:rPr>
          <w:lang w:val="de-DE"/>
        </w:rPr>
        <w:t xml:space="preserve">, dass die Gemeinsame Tagung des RID-Fachausschusses und der Arbeitsgruppe für die Beförderung gefährlicher Güter bereits eine ähnliche Initiative ergriffen und eine Arbeitsgruppe </w:t>
      </w:r>
      <w:r w:rsidR="00FA323E" w:rsidRPr="00B91DE2">
        <w:rPr>
          <w:lang w:val="de-DE"/>
        </w:rPr>
        <w:t>„</w:t>
      </w:r>
      <w:r w:rsidR="004064DB" w:rsidRPr="00B91DE2">
        <w:rPr>
          <w:lang w:val="de-DE"/>
        </w:rPr>
        <w:t>Telematik für die Beförderung gefährlicher Güter</w:t>
      </w:r>
      <w:r w:rsidR="0057088D" w:rsidRPr="00B91DE2">
        <w:rPr>
          <w:lang w:val="de-DE"/>
        </w:rPr>
        <w:t>“</w:t>
      </w:r>
      <w:r w:rsidR="004064DB" w:rsidRPr="00B91DE2">
        <w:rPr>
          <w:lang w:val="de-DE"/>
        </w:rPr>
        <w:t xml:space="preserve"> eing</w:t>
      </w:r>
      <w:r w:rsidR="0057088D" w:rsidRPr="00B91DE2">
        <w:rPr>
          <w:lang w:val="de-DE"/>
        </w:rPr>
        <w:t>esetz</w:t>
      </w:r>
      <w:r w:rsidR="004064DB" w:rsidRPr="00B91DE2">
        <w:rPr>
          <w:lang w:val="de-DE"/>
        </w:rPr>
        <w:t>t hat, wobei die laufenden Aktivitäten in der Europäischen Union zu</w:t>
      </w:r>
      <w:r w:rsidR="002B236B" w:rsidRPr="00B91DE2">
        <w:rPr>
          <w:lang w:val="de-DE"/>
        </w:rPr>
        <w:t>r</w:t>
      </w:r>
      <w:r w:rsidR="004064DB" w:rsidRPr="00B91DE2">
        <w:rPr>
          <w:lang w:val="de-DE"/>
        </w:rPr>
        <w:t xml:space="preserve"> Umsetzung der EU-Verordnung über </w:t>
      </w:r>
      <w:r w:rsidR="005F635E" w:rsidRPr="00B91DE2">
        <w:rPr>
          <w:lang w:val="de-DE"/>
        </w:rPr>
        <w:t xml:space="preserve">elektronische </w:t>
      </w:r>
      <w:r w:rsidR="002C3B42" w:rsidRPr="00B91DE2">
        <w:rPr>
          <w:lang w:val="de-DE"/>
        </w:rPr>
        <w:t xml:space="preserve">Frachtbeförderungsinformationen </w:t>
      </w:r>
      <w:r w:rsidR="004064DB" w:rsidRPr="00B91DE2">
        <w:rPr>
          <w:lang w:val="de-DE"/>
        </w:rPr>
        <w:t>(eFTI) berücksichtigt werden.</w:t>
      </w:r>
    </w:p>
    <w:p w14:paraId="55838EE0" w14:textId="0DF7307D" w:rsidR="001E24FD" w:rsidRPr="00BA758E" w:rsidRDefault="001E24FD" w:rsidP="00B91DE2">
      <w:pPr>
        <w:pStyle w:val="SingleTxtG"/>
        <w:rPr>
          <w:lang w:val="de-DE"/>
        </w:rPr>
      </w:pPr>
      <w:r w:rsidRPr="00BA758E">
        <w:rPr>
          <w:lang w:val="de-DE"/>
        </w:rPr>
        <w:t>10.</w:t>
      </w:r>
      <w:r w:rsidRPr="00BA758E">
        <w:rPr>
          <w:lang w:val="de-DE"/>
        </w:rPr>
        <w:tab/>
      </w:r>
      <w:r w:rsidR="004B1C2A" w:rsidRPr="00B91DE2">
        <w:rPr>
          <w:lang w:val="de-DE"/>
        </w:rPr>
        <w:t xml:space="preserve">Im Anschluss an die Diskussion beschloss der Sicherheitsausschuss, eine informelle Arbeitsgruppe einzusetzen, die unter Berücksichtigung der bereits geleisteten Arbeit </w:t>
      </w:r>
      <w:r w:rsidR="00B30607" w:rsidRPr="00B91DE2">
        <w:rPr>
          <w:lang w:val="de-DE"/>
        </w:rPr>
        <w:t xml:space="preserve">weiter über </w:t>
      </w:r>
      <w:r w:rsidR="004B1C2A" w:rsidRPr="00B91DE2">
        <w:rPr>
          <w:lang w:val="de-DE"/>
        </w:rPr>
        <w:t xml:space="preserve">die Rechtsgrundlage </w:t>
      </w:r>
      <w:r w:rsidR="00B30607" w:rsidRPr="00B91DE2">
        <w:rPr>
          <w:lang w:val="de-DE"/>
        </w:rPr>
        <w:t>diskutieren</w:t>
      </w:r>
      <w:r w:rsidR="004B1C2A" w:rsidRPr="00B91DE2">
        <w:rPr>
          <w:lang w:val="de-DE"/>
        </w:rPr>
        <w:t xml:space="preserve"> soll, um festzustellen, welche Dokumente für eine Dematerialisierung und die Verwendung i</w:t>
      </w:r>
      <w:r w:rsidR="0067388A" w:rsidRPr="00B91DE2">
        <w:rPr>
          <w:lang w:val="de-DE"/>
        </w:rPr>
        <w:t>n</w:t>
      </w:r>
      <w:r w:rsidR="004B1C2A" w:rsidRPr="00B91DE2">
        <w:rPr>
          <w:lang w:val="de-DE"/>
        </w:rPr>
        <w:t xml:space="preserve"> elektronische</w:t>
      </w:r>
      <w:r w:rsidR="0067388A" w:rsidRPr="00B91DE2">
        <w:rPr>
          <w:lang w:val="de-DE"/>
        </w:rPr>
        <w:t>r</w:t>
      </w:r>
      <w:r w:rsidR="004B1C2A" w:rsidRPr="00B91DE2">
        <w:rPr>
          <w:lang w:val="de-DE"/>
        </w:rPr>
        <w:t xml:space="preserve"> Form geeignet sind und unter welchen Bedingungen diese Dokumente </w:t>
      </w:r>
      <w:r w:rsidR="0067388A" w:rsidRPr="00B91DE2">
        <w:rPr>
          <w:lang w:val="de-DE"/>
        </w:rPr>
        <w:t>eingesetzt</w:t>
      </w:r>
      <w:r w:rsidR="004B1C2A" w:rsidRPr="00B91DE2">
        <w:rPr>
          <w:lang w:val="de-DE"/>
        </w:rPr>
        <w:t xml:space="preserve"> werden könn</w:t>
      </w:r>
      <w:r w:rsidR="00626587" w:rsidRPr="00B91DE2">
        <w:rPr>
          <w:lang w:val="de-DE"/>
        </w:rPr>
        <w:t>t</w:t>
      </w:r>
      <w:r w:rsidR="004B1C2A" w:rsidRPr="00B91DE2">
        <w:rPr>
          <w:lang w:val="de-DE"/>
        </w:rPr>
        <w:t>en (d.</w:t>
      </w:r>
      <w:r w:rsidR="00AD6308" w:rsidRPr="00B91DE2">
        <w:rPr>
          <w:lang w:val="de-DE"/>
        </w:rPr>
        <w:t> </w:t>
      </w:r>
      <w:r w:rsidR="004B1C2A" w:rsidRPr="00B91DE2">
        <w:rPr>
          <w:lang w:val="de-DE"/>
        </w:rPr>
        <w:t>h. Format, Cybersicherheit, Datenbank- und Datenschutz usw.). Das Sekretariat der ZKR erklärte sich bereit, für die nächste Sitzung einen Vorschlag für eine Aufgabenbeschreibung und einen Fahrplan für die informelle Arbeitsgruppe auszuarbeiten.</w:t>
      </w:r>
    </w:p>
    <w:p w14:paraId="330D014A" w14:textId="39EC8E04" w:rsidR="001E24FD" w:rsidRPr="001B5E14" w:rsidRDefault="001E24FD" w:rsidP="00C6487A">
      <w:pPr>
        <w:pStyle w:val="H1G"/>
        <w:rPr>
          <w:lang w:val="de-DE"/>
        </w:rPr>
      </w:pPr>
      <w:r w:rsidRPr="00BA758E">
        <w:rPr>
          <w:lang w:val="de-DE"/>
        </w:rPr>
        <w:tab/>
      </w:r>
      <w:bookmarkStart w:id="11" w:name="_Toc81410364"/>
      <w:r w:rsidR="00C6487A" w:rsidRPr="00C6487A">
        <w:rPr>
          <w:lang w:val="de-DE"/>
        </w:rPr>
        <w:t>D.</w:t>
      </w:r>
      <w:r w:rsidRPr="001B5E14">
        <w:rPr>
          <w:lang w:val="de-DE"/>
        </w:rPr>
        <w:tab/>
      </w:r>
      <w:bookmarkEnd w:id="11"/>
      <w:r w:rsidR="00C6487A" w:rsidRPr="00C6487A">
        <w:rPr>
          <w:lang w:val="de-DE"/>
        </w:rPr>
        <w:t>Bericht der Donaukommission</w:t>
      </w:r>
    </w:p>
    <w:p w14:paraId="14F74C87" w14:textId="0A01FE1A" w:rsidR="001E24FD" w:rsidRPr="00BA758E" w:rsidRDefault="001E24FD" w:rsidP="00C6487A">
      <w:pPr>
        <w:pStyle w:val="H23G"/>
        <w:tabs>
          <w:tab w:val="left" w:pos="3402"/>
        </w:tabs>
        <w:rPr>
          <w:b w:val="0"/>
          <w:bCs/>
          <w:lang w:val="de-DE"/>
        </w:rPr>
      </w:pPr>
      <w:r w:rsidRPr="001B5E14">
        <w:rPr>
          <w:b w:val="0"/>
          <w:bCs/>
          <w:i/>
          <w:iCs/>
          <w:lang w:val="de-DE"/>
        </w:rPr>
        <w:tab/>
      </w:r>
      <w:r w:rsidRPr="001B5E14">
        <w:rPr>
          <w:b w:val="0"/>
          <w:bCs/>
          <w:i/>
          <w:iCs/>
          <w:lang w:val="de-DE"/>
        </w:rPr>
        <w:tab/>
      </w:r>
      <w:bookmarkStart w:id="12" w:name="_Toc81410365"/>
      <w:r w:rsidR="00C6487A" w:rsidRPr="00B91DE2">
        <w:rPr>
          <w:b w:val="0"/>
          <w:bCs/>
          <w:i/>
          <w:iCs/>
          <w:lang w:val="de-DE"/>
        </w:rPr>
        <w:t>Informelles Dokument:</w:t>
      </w:r>
      <w:r w:rsidRPr="00BA758E">
        <w:rPr>
          <w:b w:val="0"/>
          <w:bCs/>
          <w:lang w:val="de-DE"/>
        </w:rPr>
        <w:tab/>
      </w:r>
      <w:r w:rsidRPr="00BA758E">
        <w:rPr>
          <w:b w:val="0"/>
          <w:bCs/>
          <w:lang w:val="de-DE"/>
        </w:rPr>
        <w:tab/>
      </w:r>
      <w:bookmarkEnd w:id="12"/>
      <w:r w:rsidR="00C6487A" w:rsidRPr="00B91DE2">
        <w:rPr>
          <w:b w:val="0"/>
          <w:bCs/>
          <w:lang w:val="de-DE"/>
        </w:rPr>
        <w:t>INF.14 (Donaukommission)</w:t>
      </w:r>
    </w:p>
    <w:p w14:paraId="6E3F85F2" w14:textId="33A2FD4F" w:rsidR="001E24FD" w:rsidRPr="00BA758E" w:rsidRDefault="001E24FD" w:rsidP="00122EC8">
      <w:pPr>
        <w:pStyle w:val="SingleTxtG"/>
        <w:rPr>
          <w:lang w:val="de-DE"/>
        </w:rPr>
      </w:pPr>
      <w:r w:rsidRPr="00BA758E">
        <w:rPr>
          <w:lang w:val="de-DE"/>
        </w:rPr>
        <w:t>11.</w:t>
      </w:r>
      <w:r w:rsidRPr="00BA758E">
        <w:rPr>
          <w:lang w:val="de-DE"/>
        </w:rPr>
        <w:tab/>
      </w:r>
      <w:r w:rsidR="00E97A8D" w:rsidRPr="00122EC8">
        <w:rPr>
          <w:lang w:val="de-DE"/>
        </w:rPr>
        <w:t xml:space="preserve">Der Vertreter der Donaukommission berichtete über die geplanten Arbeiten zur Modernisierung künftiger Binnenschiffe, um die Schadstoffemissionen von Schiffsdieselmotoren zu reduzieren und alternative Kraftstoffe (Wasserstoff, </w:t>
      </w:r>
      <w:r w:rsidR="00725D34" w:rsidRPr="00122EC8">
        <w:rPr>
          <w:lang w:val="de-DE"/>
        </w:rPr>
        <w:t>LNG</w:t>
      </w:r>
      <w:r w:rsidR="00E97A8D" w:rsidRPr="00122EC8">
        <w:rPr>
          <w:lang w:val="de-DE"/>
        </w:rPr>
        <w:t>, Biokraftstoffe und andere Kraftstoffe) für den Antrieb zu verwenden.</w:t>
      </w:r>
      <w:r w:rsidRPr="00BA758E">
        <w:rPr>
          <w:lang w:val="de-DE"/>
        </w:rPr>
        <w:t xml:space="preserve"> </w:t>
      </w:r>
      <w:r w:rsidR="00725D34" w:rsidRPr="00122EC8">
        <w:rPr>
          <w:lang w:val="de-DE"/>
        </w:rPr>
        <w:t xml:space="preserve">Er </w:t>
      </w:r>
      <w:r w:rsidR="00621AC1" w:rsidRPr="00122EC8">
        <w:rPr>
          <w:lang w:val="de-DE"/>
        </w:rPr>
        <w:t>erklärte weiter</w:t>
      </w:r>
      <w:r w:rsidR="00725D34" w:rsidRPr="00122EC8">
        <w:rPr>
          <w:lang w:val="de-DE"/>
        </w:rPr>
        <w:t>, dass die Donaukommission eine spezifische Arbeitsplattform zur Flottenmodernisierung für das Jahr 2022 und darüber hinaus entwickle.</w:t>
      </w:r>
      <w:r w:rsidRPr="00BA758E">
        <w:rPr>
          <w:lang w:val="de-DE"/>
        </w:rPr>
        <w:t xml:space="preserve"> </w:t>
      </w:r>
    </w:p>
    <w:p w14:paraId="160289E1" w14:textId="168B555C" w:rsidR="001E24FD" w:rsidRPr="00BA758E" w:rsidRDefault="001E24FD" w:rsidP="00F96560">
      <w:pPr>
        <w:pStyle w:val="SingleTxtG"/>
        <w:rPr>
          <w:lang w:val="de-DE"/>
        </w:rPr>
      </w:pPr>
      <w:r w:rsidRPr="00BA758E">
        <w:rPr>
          <w:lang w:val="de-DE"/>
        </w:rPr>
        <w:t>12.</w:t>
      </w:r>
      <w:r w:rsidRPr="00BA758E">
        <w:rPr>
          <w:lang w:val="de-DE"/>
        </w:rPr>
        <w:tab/>
      </w:r>
      <w:r w:rsidR="00621AC1" w:rsidRPr="00122EC8">
        <w:rPr>
          <w:lang w:val="de-DE"/>
        </w:rPr>
        <w:t xml:space="preserve">Der Sicherheitsausschuss begrüßte die Informationen und stellte fest, dass </w:t>
      </w:r>
      <w:r w:rsidR="00FB618F" w:rsidRPr="00122EC8">
        <w:rPr>
          <w:lang w:val="de-DE"/>
        </w:rPr>
        <w:t xml:space="preserve">es für </w:t>
      </w:r>
      <w:r w:rsidR="00621AC1" w:rsidRPr="00122EC8">
        <w:rPr>
          <w:lang w:val="de-DE"/>
        </w:rPr>
        <w:t xml:space="preserve">eine detaillierte Diskussion auf </w:t>
      </w:r>
      <w:r w:rsidR="00FB618F" w:rsidRPr="00122EC8">
        <w:rPr>
          <w:lang w:val="de-DE"/>
        </w:rPr>
        <w:t>ADN-</w:t>
      </w:r>
      <w:r w:rsidR="00621AC1" w:rsidRPr="00122EC8">
        <w:rPr>
          <w:lang w:val="de-DE"/>
        </w:rPr>
        <w:t xml:space="preserve">Ebene </w:t>
      </w:r>
      <w:r w:rsidR="00FB618F" w:rsidRPr="00122EC8">
        <w:rPr>
          <w:lang w:val="de-DE"/>
        </w:rPr>
        <w:t xml:space="preserve">noch zu </w:t>
      </w:r>
      <w:r w:rsidR="00621AC1" w:rsidRPr="00122EC8">
        <w:rPr>
          <w:lang w:val="de-DE"/>
        </w:rPr>
        <w:t>früh sei.</w:t>
      </w:r>
      <w:r w:rsidRPr="00BA758E">
        <w:rPr>
          <w:lang w:val="de-DE"/>
        </w:rPr>
        <w:t xml:space="preserve"> </w:t>
      </w:r>
      <w:r w:rsidR="00202059" w:rsidRPr="00F96560">
        <w:rPr>
          <w:lang w:val="de-DE"/>
        </w:rPr>
        <w:t xml:space="preserve">Es wurde darauf hingewiesen, dass bei der Erörterung der ADN-Bestimmungen für die Beförderung von Wasserstoff in Schiffen klar unterschieden werden muss zwischen dem Transport als Ladung und der Verwendung als </w:t>
      </w:r>
      <w:r w:rsidR="00BE6144" w:rsidRPr="00FB0D10">
        <w:rPr>
          <w:lang w:val="de-DE"/>
        </w:rPr>
        <w:t>Treib</w:t>
      </w:r>
      <w:r w:rsidR="00202059" w:rsidRPr="00FB0D10">
        <w:rPr>
          <w:lang w:val="de-DE"/>
        </w:rPr>
        <w:t>stoff</w:t>
      </w:r>
      <w:r w:rsidR="00202059" w:rsidRPr="00F96560">
        <w:rPr>
          <w:lang w:val="de-DE"/>
        </w:rPr>
        <w:t xml:space="preserve"> für den Antrieb.</w:t>
      </w:r>
      <w:r w:rsidRPr="00BA758E">
        <w:rPr>
          <w:lang w:val="de-DE"/>
        </w:rPr>
        <w:t xml:space="preserve"> </w:t>
      </w:r>
      <w:r w:rsidR="0086756B" w:rsidRPr="00F96560">
        <w:rPr>
          <w:lang w:val="de-DE"/>
        </w:rPr>
        <w:t>Zudem</w:t>
      </w:r>
      <w:r w:rsidR="00202059" w:rsidRPr="00F96560">
        <w:rPr>
          <w:lang w:val="de-DE"/>
        </w:rPr>
        <w:t xml:space="preserve"> wurde vereinbart, die Diskussion über die Beförderung von Wasserstoff als Ladung zu einem späteren Zeitpunkt wieder aufzunehmen, sobald Anträge für die Beförderung von Wasserstoff vorliegen, und dass die informelle Arbeitsgruppe „Stoffe“ am besten </w:t>
      </w:r>
      <w:r w:rsidR="001D0CC3" w:rsidRPr="00F96560">
        <w:rPr>
          <w:lang w:val="de-DE"/>
        </w:rPr>
        <w:t>geeignet</w:t>
      </w:r>
      <w:r w:rsidR="00202059" w:rsidRPr="00F96560">
        <w:rPr>
          <w:lang w:val="de-DE"/>
        </w:rPr>
        <w:t xml:space="preserve"> wäre, </w:t>
      </w:r>
      <w:r w:rsidR="001D0CC3" w:rsidRPr="00F96560">
        <w:rPr>
          <w:lang w:val="de-DE"/>
        </w:rPr>
        <w:t xml:space="preserve">um </w:t>
      </w:r>
      <w:r w:rsidR="00202059" w:rsidRPr="00F96560">
        <w:rPr>
          <w:lang w:val="de-DE"/>
        </w:rPr>
        <w:t>detailliertere Diskussionen über die Beförderungsbedingungen zu führen.</w:t>
      </w:r>
    </w:p>
    <w:p w14:paraId="4886776E" w14:textId="486F6B30" w:rsidR="00B27959" w:rsidRPr="00BA758E" w:rsidRDefault="00B27959" w:rsidP="00F96560">
      <w:pPr>
        <w:pStyle w:val="HChG"/>
        <w:rPr>
          <w:lang w:val="de-DE"/>
        </w:rPr>
      </w:pPr>
      <w:r w:rsidRPr="00BA758E">
        <w:rPr>
          <w:lang w:val="de-DE"/>
        </w:rPr>
        <w:tab/>
      </w:r>
      <w:bookmarkStart w:id="13" w:name="_Toc81410366"/>
      <w:r w:rsidR="00872A47" w:rsidRPr="00F96560">
        <w:rPr>
          <w:lang w:val="de-DE"/>
        </w:rPr>
        <w:t>V.</w:t>
      </w:r>
      <w:r w:rsidRPr="00BA758E">
        <w:rPr>
          <w:lang w:val="de-DE"/>
        </w:rPr>
        <w:tab/>
      </w:r>
      <w:bookmarkEnd w:id="13"/>
      <w:r w:rsidR="00872A47" w:rsidRPr="00872A47">
        <w:rPr>
          <w:lang w:val="de-DE"/>
        </w:rPr>
        <w:t>Durchführung des Europäischen Übereinkommens über die internationale Beförderung von gefährlichen Gütern auf Binnenwasserstraßen (ADN) (TOP 3)</w:t>
      </w:r>
    </w:p>
    <w:p w14:paraId="69A08868" w14:textId="05F0D252" w:rsidR="00B27959" w:rsidRPr="00BA758E" w:rsidRDefault="00B27959" w:rsidP="00872A47">
      <w:pPr>
        <w:pStyle w:val="H1G"/>
        <w:rPr>
          <w:lang w:val="de-DE"/>
        </w:rPr>
      </w:pPr>
      <w:r w:rsidRPr="00BA758E">
        <w:rPr>
          <w:lang w:val="de-DE"/>
        </w:rPr>
        <w:tab/>
      </w:r>
      <w:bookmarkStart w:id="14" w:name="_Toc81410367"/>
      <w:r w:rsidR="00872A47" w:rsidRPr="00872A47">
        <w:rPr>
          <w:lang w:val="de-DE"/>
        </w:rPr>
        <w:t>A.</w:t>
      </w:r>
      <w:r w:rsidRPr="00BA758E">
        <w:rPr>
          <w:lang w:val="de-DE"/>
        </w:rPr>
        <w:tab/>
      </w:r>
      <w:bookmarkEnd w:id="14"/>
      <w:r w:rsidR="00872A47" w:rsidRPr="00872A47">
        <w:rPr>
          <w:lang w:val="de-DE"/>
        </w:rPr>
        <w:t>Status des ADN</w:t>
      </w:r>
    </w:p>
    <w:p w14:paraId="4E9DE8A1" w14:textId="4BAF8F2F" w:rsidR="00B27959" w:rsidRPr="00BA758E" w:rsidRDefault="00B27959" w:rsidP="00872A47">
      <w:pPr>
        <w:pStyle w:val="SingleTxtG"/>
        <w:rPr>
          <w:lang w:val="de-DE"/>
        </w:rPr>
      </w:pPr>
      <w:r w:rsidRPr="00BA758E">
        <w:rPr>
          <w:lang w:val="de-DE"/>
        </w:rPr>
        <w:t>13.</w:t>
      </w:r>
      <w:r w:rsidRPr="00BA758E">
        <w:rPr>
          <w:lang w:val="de-DE"/>
        </w:rPr>
        <w:tab/>
      </w:r>
      <w:r w:rsidR="00872A47" w:rsidRPr="00872A47">
        <w:rPr>
          <w:lang w:val="de-DE"/>
        </w:rPr>
        <w:t>Der Sicherheitsausschuss stellte fest, dass über den Status des ADN keine neuen Informationen vorlagen.</w:t>
      </w:r>
    </w:p>
    <w:p w14:paraId="1AF24314" w14:textId="3FEC9309" w:rsidR="00B27959" w:rsidRPr="00BA758E" w:rsidRDefault="00B27959" w:rsidP="00066261">
      <w:pPr>
        <w:pStyle w:val="H1G"/>
        <w:rPr>
          <w:lang w:val="de-DE"/>
        </w:rPr>
      </w:pPr>
      <w:r w:rsidRPr="00BA758E">
        <w:rPr>
          <w:lang w:val="de-DE"/>
        </w:rPr>
        <w:tab/>
      </w:r>
      <w:bookmarkStart w:id="15" w:name="_Toc81410368"/>
      <w:r w:rsidR="00872A47" w:rsidRPr="00872A47">
        <w:rPr>
          <w:lang w:val="de-DE"/>
        </w:rPr>
        <w:t>B.</w:t>
      </w:r>
      <w:r w:rsidRPr="00BA758E">
        <w:rPr>
          <w:lang w:val="de-DE"/>
        </w:rPr>
        <w:tab/>
      </w:r>
      <w:bookmarkEnd w:id="15"/>
      <w:r w:rsidR="00872A47" w:rsidRPr="00066261">
        <w:rPr>
          <w:lang w:val="de-DE"/>
        </w:rPr>
        <w:t>Ausnahmegenehmigungen, Abweichungen und Gleichwertigkeiten</w:t>
      </w:r>
    </w:p>
    <w:p w14:paraId="5B0420E5" w14:textId="0F34CB51" w:rsidR="00B27959" w:rsidRPr="00BA758E" w:rsidRDefault="00B27959" w:rsidP="00066261">
      <w:pPr>
        <w:pStyle w:val="H23G"/>
        <w:rPr>
          <w:lang w:val="de-DE"/>
        </w:rPr>
      </w:pPr>
      <w:r w:rsidRPr="00BA758E">
        <w:rPr>
          <w:lang w:val="de-DE"/>
        </w:rPr>
        <w:tab/>
      </w:r>
      <w:bookmarkStart w:id="16" w:name="_Toc81410369"/>
      <w:r w:rsidRPr="00BA758E">
        <w:rPr>
          <w:lang w:val="de-DE"/>
        </w:rPr>
        <w:t>1.</w:t>
      </w:r>
      <w:r w:rsidRPr="00BA758E">
        <w:rPr>
          <w:lang w:val="de-DE"/>
        </w:rPr>
        <w:tab/>
      </w:r>
      <w:bookmarkEnd w:id="16"/>
      <w:r w:rsidR="00066261" w:rsidRPr="00066261">
        <w:rPr>
          <w:lang w:val="de-DE"/>
        </w:rPr>
        <w:t>Ausnahmegenehmigungen</w:t>
      </w:r>
    </w:p>
    <w:p w14:paraId="486EC7BC" w14:textId="44D80309" w:rsidR="00B27959" w:rsidRPr="00BA758E" w:rsidRDefault="00B27959" w:rsidP="00066261">
      <w:pPr>
        <w:pStyle w:val="H23G"/>
        <w:tabs>
          <w:tab w:val="left" w:pos="3402"/>
        </w:tabs>
        <w:spacing w:after="0"/>
        <w:rPr>
          <w:b w:val="0"/>
          <w:bCs/>
          <w:lang w:val="de-DE"/>
        </w:rPr>
      </w:pPr>
      <w:r w:rsidRPr="00BA758E">
        <w:rPr>
          <w:b w:val="0"/>
          <w:bCs/>
          <w:lang w:val="de-DE"/>
        </w:rPr>
        <w:tab/>
      </w:r>
      <w:r w:rsidRPr="00BA758E">
        <w:rPr>
          <w:b w:val="0"/>
          <w:bCs/>
          <w:lang w:val="de-DE"/>
        </w:rPr>
        <w:tab/>
      </w:r>
      <w:bookmarkStart w:id="17" w:name="_Toc81410370"/>
      <w:r w:rsidR="00066261" w:rsidRPr="00066261">
        <w:rPr>
          <w:b w:val="0"/>
          <w:bCs/>
          <w:i/>
          <w:iCs/>
          <w:lang w:val="de-DE"/>
        </w:rPr>
        <w:t>Dokument:</w:t>
      </w:r>
      <w:r w:rsidRPr="00BA758E">
        <w:rPr>
          <w:b w:val="0"/>
          <w:bCs/>
          <w:lang w:val="de-DE"/>
        </w:rPr>
        <w:tab/>
        <w:t>ECE/TRANS/WP.15/AC.2/2021/20 (N</w:t>
      </w:r>
      <w:r w:rsidR="00066261" w:rsidRPr="00BA758E">
        <w:rPr>
          <w:b w:val="0"/>
          <w:bCs/>
          <w:lang w:val="de-DE"/>
        </w:rPr>
        <w:t>i</w:t>
      </w:r>
      <w:r w:rsidRPr="00BA758E">
        <w:rPr>
          <w:b w:val="0"/>
          <w:bCs/>
          <w:lang w:val="de-DE"/>
        </w:rPr>
        <w:t>e</w:t>
      </w:r>
      <w:r w:rsidR="00066261" w:rsidRPr="00BA758E">
        <w:rPr>
          <w:b w:val="0"/>
          <w:bCs/>
          <w:lang w:val="de-DE"/>
        </w:rPr>
        <w:t>d</w:t>
      </w:r>
      <w:r w:rsidRPr="00BA758E">
        <w:rPr>
          <w:b w:val="0"/>
          <w:bCs/>
          <w:lang w:val="de-DE"/>
        </w:rPr>
        <w:t>erland</w:t>
      </w:r>
      <w:r w:rsidR="00066261" w:rsidRPr="00BA758E">
        <w:rPr>
          <w:b w:val="0"/>
          <w:bCs/>
          <w:lang w:val="de-DE"/>
        </w:rPr>
        <w:t>e</w:t>
      </w:r>
      <w:r w:rsidRPr="00BA758E">
        <w:rPr>
          <w:b w:val="0"/>
          <w:bCs/>
          <w:lang w:val="de-DE"/>
        </w:rPr>
        <w:t>)</w:t>
      </w:r>
      <w:bookmarkEnd w:id="17"/>
    </w:p>
    <w:p w14:paraId="5CF14944" w14:textId="516F74C7" w:rsidR="00B27959" w:rsidRPr="00BA758E" w:rsidRDefault="00B27959" w:rsidP="00BE5CE4">
      <w:pPr>
        <w:pStyle w:val="H23G"/>
        <w:tabs>
          <w:tab w:val="left" w:pos="3402"/>
        </w:tabs>
        <w:spacing w:before="0"/>
        <w:rPr>
          <w:b w:val="0"/>
          <w:bCs/>
          <w:lang w:val="de-DE"/>
        </w:rPr>
      </w:pPr>
      <w:r w:rsidRPr="00BA758E">
        <w:rPr>
          <w:b w:val="0"/>
          <w:bCs/>
          <w:lang w:val="de-DE"/>
        </w:rPr>
        <w:tab/>
      </w:r>
      <w:r w:rsidRPr="00BA758E">
        <w:rPr>
          <w:b w:val="0"/>
          <w:bCs/>
          <w:lang w:val="de-DE"/>
        </w:rPr>
        <w:tab/>
      </w:r>
      <w:bookmarkStart w:id="18" w:name="_Toc81410371"/>
      <w:r w:rsidR="00BE5CE4" w:rsidRPr="00BE5CE4">
        <w:rPr>
          <w:b w:val="0"/>
          <w:bCs/>
          <w:i/>
          <w:iCs/>
          <w:lang w:val="de-DE"/>
        </w:rPr>
        <w:t>Informelles Dokument:</w:t>
      </w:r>
      <w:r w:rsidRPr="00BA758E">
        <w:rPr>
          <w:b w:val="0"/>
          <w:bCs/>
          <w:lang w:val="de-DE"/>
        </w:rPr>
        <w:tab/>
        <w:t>INF.3 (N</w:t>
      </w:r>
      <w:r w:rsidR="00BE5CE4" w:rsidRPr="00BA758E">
        <w:rPr>
          <w:b w:val="0"/>
          <w:bCs/>
          <w:lang w:val="de-DE"/>
        </w:rPr>
        <w:t>i</w:t>
      </w:r>
      <w:r w:rsidRPr="00BA758E">
        <w:rPr>
          <w:b w:val="0"/>
          <w:bCs/>
          <w:lang w:val="de-DE"/>
        </w:rPr>
        <w:t>e</w:t>
      </w:r>
      <w:r w:rsidR="00BE5CE4" w:rsidRPr="00BA758E">
        <w:rPr>
          <w:b w:val="0"/>
          <w:bCs/>
          <w:lang w:val="de-DE"/>
        </w:rPr>
        <w:t>d</w:t>
      </w:r>
      <w:r w:rsidRPr="00BA758E">
        <w:rPr>
          <w:b w:val="0"/>
          <w:bCs/>
          <w:lang w:val="de-DE"/>
        </w:rPr>
        <w:t>erland</w:t>
      </w:r>
      <w:r w:rsidR="00BE5CE4" w:rsidRPr="00BA758E">
        <w:rPr>
          <w:b w:val="0"/>
          <w:bCs/>
          <w:lang w:val="de-DE"/>
        </w:rPr>
        <w:t>e</w:t>
      </w:r>
      <w:r w:rsidRPr="00BA758E">
        <w:rPr>
          <w:b w:val="0"/>
          <w:bCs/>
          <w:lang w:val="de-DE"/>
        </w:rPr>
        <w:t>)</w:t>
      </w:r>
      <w:bookmarkEnd w:id="18"/>
    </w:p>
    <w:p w14:paraId="2F94AAF8" w14:textId="60498A4E" w:rsidR="00B27959" w:rsidRPr="00BA758E" w:rsidRDefault="00B27959" w:rsidP="000754E2">
      <w:pPr>
        <w:pStyle w:val="SingleTxtG"/>
        <w:rPr>
          <w:snapToGrid w:val="0"/>
          <w:lang w:val="de-DE"/>
        </w:rPr>
      </w:pPr>
      <w:r w:rsidRPr="00BA758E">
        <w:rPr>
          <w:lang w:val="de-DE"/>
        </w:rPr>
        <w:t>14.</w:t>
      </w:r>
      <w:r w:rsidRPr="00BA758E">
        <w:rPr>
          <w:lang w:val="de-DE"/>
        </w:rPr>
        <w:tab/>
      </w:r>
      <w:r w:rsidR="00823CCA" w:rsidRPr="00F96560">
        <w:rPr>
          <w:lang w:val="de-DE"/>
        </w:rPr>
        <w:t xml:space="preserve">Der Sicherheitsausschuss </w:t>
      </w:r>
      <w:r w:rsidR="00187429" w:rsidRPr="00F96560">
        <w:rPr>
          <w:lang w:val="de-DE"/>
        </w:rPr>
        <w:t>prüfte</w:t>
      </w:r>
      <w:r w:rsidR="00823CCA" w:rsidRPr="00F96560">
        <w:rPr>
          <w:lang w:val="de-DE"/>
        </w:rPr>
        <w:t xml:space="preserve"> d</w:t>
      </w:r>
      <w:r w:rsidR="00187429" w:rsidRPr="00F96560">
        <w:rPr>
          <w:lang w:val="de-DE"/>
        </w:rPr>
        <w:t>as</w:t>
      </w:r>
      <w:r w:rsidR="00823CCA" w:rsidRPr="00F96560">
        <w:rPr>
          <w:lang w:val="de-DE"/>
        </w:rPr>
        <w:t xml:space="preserve"> Dokument ECE/TRANS/WP.15/AC.2/2021/20 und </w:t>
      </w:r>
      <w:r w:rsidR="00187429" w:rsidRPr="00F96560">
        <w:rPr>
          <w:lang w:val="de-DE"/>
        </w:rPr>
        <w:t>das</w:t>
      </w:r>
      <w:r w:rsidR="00823CCA" w:rsidRPr="00F96560">
        <w:rPr>
          <w:lang w:val="de-DE"/>
        </w:rPr>
        <w:t xml:space="preserve"> informelle Dokument INF.3 über eine </w:t>
      </w:r>
      <w:r w:rsidR="004101EA" w:rsidRPr="00F96560">
        <w:rPr>
          <w:lang w:val="de-DE"/>
        </w:rPr>
        <w:t>Ausnahme</w:t>
      </w:r>
      <w:r w:rsidR="00823CCA" w:rsidRPr="00F96560">
        <w:rPr>
          <w:lang w:val="de-DE"/>
        </w:rPr>
        <w:t>genehmigung gemäß Abschnitt 1.5.2 für die Beförderung von UN-Nr. 1288 Schieferöl in Tankschiffen.</w:t>
      </w:r>
      <w:r w:rsidRPr="001B5E14">
        <w:rPr>
          <w:lang w:val="de-DE"/>
        </w:rPr>
        <w:t xml:space="preserve"> </w:t>
      </w:r>
      <w:r w:rsidR="004B0883" w:rsidRPr="00A508D6">
        <w:rPr>
          <w:lang w:val="de-DE"/>
        </w:rPr>
        <w:t xml:space="preserve">Einige Vertreter befürworten die </w:t>
      </w:r>
      <w:r w:rsidR="00142D27" w:rsidRPr="00A508D6">
        <w:rPr>
          <w:lang w:val="de-DE"/>
        </w:rPr>
        <w:t>Ausnahme</w:t>
      </w:r>
      <w:r w:rsidR="004B0883" w:rsidRPr="00A508D6">
        <w:rPr>
          <w:lang w:val="de-DE"/>
        </w:rPr>
        <w:t xml:space="preserve">genehmigung grundsätzlich, </w:t>
      </w:r>
      <w:r w:rsidR="00F96560" w:rsidRPr="00A508D6">
        <w:rPr>
          <w:lang w:val="de-DE"/>
        </w:rPr>
        <w:t>sprachen sich jedoch dafür aus</w:t>
      </w:r>
      <w:r w:rsidR="004B0883" w:rsidRPr="00A508D6">
        <w:rPr>
          <w:lang w:val="de-DE"/>
        </w:rPr>
        <w:t>, die Aufnahme einer neuen Eintragung für UN-Nr</w:t>
      </w:r>
      <w:r w:rsidR="00CF2B5A" w:rsidRPr="00A508D6">
        <w:rPr>
          <w:lang w:val="de-DE"/>
        </w:rPr>
        <w:t>.</w:t>
      </w:r>
      <w:r w:rsidR="004B0883" w:rsidRPr="00A508D6">
        <w:rPr>
          <w:lang w:val="de-DE"/>
        </w:rPr>
        <w:t xml:space="preserve"> 1288 in Tabelle C des ADN zu prüfen.</w:t>
      </w:r>
      <w:r w:rsidRPr="001B5E14">
        <w:rPr>
          <w:lang w:val="de-DE"/>
        </w:rPr>
        <w:t xml:space="preserve"> </w:t>
      </w:r>
      <w:r w:rsidR="00485792" w:rsidRPr="000754E2">
        <w:rPr>
          <w:lang w:val="de-DE"/>
        </w:rPr>
        <w:t>Der Sicherheitsausschuss kam überein, die Diskussion zu diesem Thema auf seiner nächsten Sitzung auf der Grundlage eines offiziellen Vorschlags der Niederlande und unter Berücksichtigung des Unterabschnitts 3.2.4.2 ADN wieder aufzunehmen.</w:t>
      </w:r>
    </w:p>
    <w:p w14:paraId="756FA9D5" w14:textId="729D4611" w:rsidR="00B27959" w:rsidRPr="00BA758E" w:rsidRDefault="00B27959" w:rsidP="00F048DA">
      <w:pPr>
        <w:pStyle w:val="H23G"/>
        <w:rPr>
          <w:lang w:val="de-DE"/>
        </w:rPr>
      </w:pPr>
      <w:r w:rsidRPr="00BA758E">
        <w:rPr>
          <w:lang w:val="de-DE"/>
        </w:rPr>
        <w:tab/>
      </w:r>
      <w:bookmarkStart w:id="19" w:name="_Toc81410372"/>
      <w:r w:rsidRPr="00BA758E">
        <w:rPr>
          <w:lang w:val="de-DE"/>
        </w:rPr>
        <w:t>2.</w:t>
      </w:r>
      <w:r w:rsidRPr="00BA758E">
        <w:rPr>
          <w:lang w:val="de-DE"/>
        </w:rPr>
        <w:tab/>
      </w:r>
      <w:bookmarkEnd w:id="19"/>
      <w:r w:rsidR="00F048DA" w:rsidRPr="00F048DA">
        <w:rPr>
          <w:lang w:val="de-DE"/>
        </w:rPr>
        <w:t>Antrag auf eine Empfehlung</w:t>
      </w:r>
    </w:p>
    <w:p w14:paraId="57D343FE" w14:textId="57DF13BD" w:rsidR="00B27959" w:rsidRPr="00BA758E" w:rsidRDefault="00B27959" w:rsidP="00F048DA">
      <w:pPr>
        <w:pStyle w:val="H23G"/>
        <w:tabs>
          <w:tab w:val="left" w:pos="3402"/>
        </w:tabs>
        <w:spacing w:before="0"/>
        <w:rPr>
          <w:b w:val="0"/>
          <w:bCs/>
          <w:lang w:val="de-DE"/>
        </w:rPr>
      </w:pPr>
      <w:r w:rsidRPr="00BA758E">
        <w:rPr>
          <w:b w:val="0"/>
          <w:bCs/>
          <w:lang w:val="de-DE"/>
        </w:rPr>
        <w:tab/>
      </w:r>
      <w:r w:rsidRPr="00BA758E">
        <w:rPr>
          <w:b w:val="0"/>
          <w:bCs/>
          <w:lang w:val="de-DE"/>
        </w:rPr>
        <w:tab/>
      </w:r>
      <w:bookmarkStart w:id="20" w:name="_Toc81410373"/>
      <w:r w:rsidR="00F048DA" w:rsidRPr="00F048DA">
        <w:rPr>
          <w:b w:val="0"/>
          <w:bCs/>
          <w:i/>
          <w:iCs/>
          <w:lang w:val="de-DE"/>
        </w:rPr>
        <w:t>Informelles Dokument:</w:t>
      </w:r>
      <w:r w:rsidRPr="00BA758E">
        <w:rPr>
          <w:b w:val="0"/>
          <w:bCs/>
          <w:lang w:val="de-DE"/>
        </w:rPr>
        <w:t xml:space="preserve"> </w:t>
      </w:r>
      <w:r w:rsidRPr="00BA758E">
        <w:rPr>
          <w:b w:val="0"/>
          <w:bCs/>
          <w:lang w:val="de-DE"/>
        </w:rPr>
        <w:tab/>
      </w:r>
      <w:bookmarkEnd w:id="20"/>
      <w:r w:rsidR="00F048DA" w:rsidRPr="00F048DA">
        <w:rPr>
          <w:b w:val="0"/>
          <w:bCs/>
          <w:lang w:val="de-DE"/>
        </w:rPr>
        <w:t>INF.17 (Niederlande)</w:t>
      </w:r>
    </w:p>
    <w:p w14:paraId="5EE44B9A" w14:textId="496798F4" w:rsidR="00B27959" w:rsidRPr="00BA758E" w:rsidRDefault="00B27959" w:rsidP="003A44EE">
      <w:pPr>
        <w:pStyle w:val="SingleTxtG"/>
        <w:rPr>
          <w:lang w:val="de-DE"/>
        </w:rPr>
      </w:pPr>
      <w:r w:rsidRPr="00BA758E">
        <w:rPr>
          <w:lang w:val="de-DE"/>
        </w:rPr>
        <w:t>15.</w:t>
      </w:r>
      <w:r w:rsidRPr="00BA758E">
        <w:rPr>
          <w:lang w:val="de-DE"/>
        </w:rPr>
        <w:tab/>
      </w:r>
      <w:r w:rsidR="00CB4D31" w:rsidRPr="000754E2">
        <w:rPr>
          <w:lang w:val="de-DE"/>
        </w:rPr>
        <w:t>Mit Blick auf</w:t>
      </w:r>
      <w:r w:rsidR="00F048DA" w:rsidRPr="000754E2">
        <w:rPr>
          <w:lang w:val="de-DE"/>
        </w:rPr>
        <w:t xml:space="preserve"> den Antrag auf eine Empfehlung für eine </w:t>
      </w:r>
      <w:r w:rsidR="00AF1F27" w:rsidRPr="000754E2">
        <w:rPr>
          <w:lang w:val="de-DE"/>
        </w:rPr>
        <w:t>Abweichung</w:t>
      </w:r>
      <w:r w:rsidR="00F048DA" w:rsidRPr="000754E2">
        <w:rPr>
          <w:lang w:val="de-DE"/>
        </w:rPr>
        <w:t xml:space="preserve"> für de</w:t>
      </w:r>
      <w:r w:rsidR="009D69BA" w:rsidRPr="000754E2">
        <w:rPr>
          <w:lang w:val="de-DE"/>
        </w:rPr>
        <w:t>n</w:t>
      </w:r>
      <w:r w:rsidR="00F048DA" w:rsidRPr="000754E2">
        <w:rPr>
          <w:lang w:val="de-DE"/>
        </w:rPr>
        <w:t xml:space="preserve"> </w:t>
      </w:r>
      <w:r w:rsidR="009D69BA" w:rsidRPr="000754E2">
        <w:rPr>
          <w:lang w:val="de-DE"/>
        </w:rPr>
        <w:t>Einbau</w:t>
      </w:r>
      <w:r w:rsidR="00F048DA" w:rsidRPr="000754E2">
        <w:rPr>
          <w:lang w:val="de-DE"/>
        </w:rPr>
        <w:t xml:space="preserve"> eine</w:t>
      </w:r>
      <w:r w:rsidR="009D69BA" w:rsidRPr="000754E2">
        <w:rPr>
          <w:lang w:val="de-DE"/>
        </w:rPr>
        <w:t>r</w:t>
      </w:r>
      <w:r w:rsidR="00F048DA" w:rsidRPr="000754E2">
        <w:rPr>
          <w:lang w:val="de-DE"/>
        </w:rPr>
        <w:t xml:space="preserve"> </w:t>
      </w:r>
      <w:r w:rsidR="009D69BA" w:rsidRPr="000754E2">
        <w:rPr>
          <w:lang w:val="de-DE"/>
        </w:rPr>
        <w:t>fes</w:t>
      </w:r>
      <w:r w:rsidR="00F048DA" w:rsidRPr="000754E2">
        <w:rPr>
          <w:lang w:val="de-DE"/>
        </w:rPr>
        <w:t>t</w:t>
      </w:r>
      <w:r w:rsidR="009D69BA" w:rsidRPr="000754E2">
        <w:rPr>
          <w:lang w:val="de-DE"/>
        </w:rPr>
        <w:t>in</w:t>
      </w:r>
      <w:r w:rsidR="00F048DA" w:rsidRPr="000754E2">
        <w:rPr>
          <w:lang w:val="de-DE"/>
        </w:rPr>
        <w:t>s</w:t>
      </w:r>
      <w:r w:rsidR="009D69BA" w:rsidRPr="000754E2">
        <w:rPr>
          <w:lang w:val="de-DE"/>
        </w:rPr>
        <w:t>tallier</w:t>
      </w:r>
      <w:r w:rsidR="00F048DA" w:rsidRPr="000754E2">
        <w:rPr>
          <w:lang w:val="de-DE"/>
        </w:rPr>
        <w:t>ten Feuerlösch</w:t>
      </w:r>
      <w:r w:rsidR="004B2837" w:rsidRPr="000754E2">
        <w:rPr>
          <w:lang w:val="de-DE"/>
        </w:rPr>
        <w:t>anlage</w:t>
      </w:r>
      <w:r w:rsidR="00F048DA" w:rsidRPr="000754E2">
        <w:rPr>
          <w:lang w:val="de-DE"/>
        </w:rPr>
        <w:t xml:space="preserve"> für den </w:t>
      </w:r>
      <w:r w:rsidR="00CB4D31" w:rsidRPr="000754E2">
        <w:rPr>
          <w:lang w:val="de-DE"/>
        </w:rPr>
        <w:t>Objekts</w:t>
      </w:r>
      <w:r w:rsidR="00F048DA" w:rsidRPr="000754E2">
        <w:rPr>
          <w:lang w:val="de-DE"/>
        </w:rPr>
        <w:t xml:space="preserve">chutz erklärte sich die niederländische Delegation bereit, den Antrag auf der </w:t>
      </w:r>
      <w:r w:rsidR="00CB4D31" w:rsidRPr="000754E2">
        <w:rPr>
          <w:lang w:val="de-DE"/>
        </w:rPr>
        <w:t>Sitzung</w:t>
      </w:r>
      <w:r w:rsidR="00F048DA" w:rsidRPr="000754E2">
        <w:rPr>
          <w:lang w:val="de-DE"/>
        </w:rPr>
        <w:t xml:space="preserve"> im Januar 2022 vorzustellen.</w:t>
      </w:r>
      <w:r w:rsidRPr="00BA758E">
        <w:rPr>
          <w:lang w:val="de-DE"/>
        </w:rPr>
        <w:t xml:space="preserve"> </w:t>
      </w:r>
      <w:r w:rsidR="0086756B" w:rsidRPr="003A44EE">
        <w:rPr>
          <w:lang w:val="de-DE"/>
        </w:rPr>
        <w:t>Der Sicherheitsausschuss stellte auch klar, dass er es vorz</w:t>
      </w:r>
      <w:r w:rsidR="000754E2" w:rsidRPr="003A44EE">
        <w:rPr>
          <w:lang w:val="de-DE"/>
        </w:rPr>
        <w:t>ieht</w:t>
      </w:r>
      <w:r w:rsidR="0086756B" w:rsidRPr="003A44EE">
        <w:rPr>
          <w:lang w:val="de-DE"/>
        </w:rPr>
        <w:t>, die entsprechenden Vorschriften im ADN beizubehalten und sie mit den Vorschriften des ES-TRIN zu harmonisieren, um für alle Parteien Klarheit zu schaffen.</w:t>
      </w:r>
      <w:r w:rsidRPr="00BA758E">
        <w:rPr>
          <w:lang w:val="de-DE"/>
        </w:rPr>
        <w:t xml:space="preserve"> </w:t>
      </w:r>
      <w:r w:rsidR="0086756B" w:rsidRPr="003A44EE">
        <w:rPr>
          <w:lang w:val="de-DE"/>
        </w:rPr>
        <w:t>Es wurde vereinbart, auf der nächsten Sitzung einen Vorschlag der Niederlande zur Änderung des ADN zu prüfen.</w:t>
      </w:r>
    </w:p>
    <w:p w14:paraId="77353519" w14:textId="040D02AC" w:rsidR="00B27959" w:rsidRPr="00BA758E" w:rsidRDefault="00B27959" w:rsidP="0086756B">
      <w:pPr>
        <w:pStyle w:val="H1G"/>
        <w:rPr>
          <w:lang w:val="de-DE"/>
        </w:rPr>
      </w:pPr>
      <w:r w:rsidRPr="00BA758E">
        <w:rPr>
          <w:lang w:val="de-DE"/>
        </w:rPr>
        <w:tab/>
      </w:r>
      <w:bookmarkStart w:id="21" w:name="_Toc81410374"/>
      <w:r w:rsidR="0086756B" w:rsidRPr="0086756B">
        <w:rPr>
          <w:lang w:val="de-DE"/>
        </w:rPr>
        <w:t>C.</w:t>
      </w:r>
      <w:r w:rsidRPr="00BA758E">
        <w:rPr>
          <w:lang w:val="de-DE"/>
        </w:rPr>
        <w:tab/>
      </w:r>
      <w:bookmarkEnd w:id="21"/>
      <w:r w:rsidR="0086756B" w:rsidRPr="0086756B">
        <w:rPr>
          <w:lang w:val="de-DE"/>
        </w:rPr>
        <w:t>Auslegung der dem ADN beigefügten Verordnung</w:t>
      </w:r>
    </w:p>
    <w:p w14:paraId="4F42FE56" w14:textId="74E93500" w:rsidR="00B27959" w:rsidRPr="00BA758E" w:rsidRDefault="00B27959" w:rsidP="0086756B">
      <w:pPr>
        <w:pStyle w:val="SingleTxtG"/>
        <w:rPr>
          <w:lang w:val="de-DE"/>
        </w:rPr>
      </w:pPr>
      <w:r w:rsidRPr="00BA758E">
        <w:rPr>
          <w:lang w:val="de-DE"/>
        </w:rPr>
        <w:t>16.</w:t>
      </w:r>
      <w:r w:rsidRPr="00BA758E">
        <w:rPr>
          <w:lang w:val="de-DE"/>
        </w:rPr>
        <w:tab/>
      </w:r>
      <w:r w:rsidR="0086756B" w:rsidRPr="0086756B">
        <w:rPr>
          <w:lang w:val="de-DE"/>
        </w:rPr>
        <w:t>Da zu diesem Unterpunkt kein Dokument vorgelegt wurde, fand zu diesem Thema keine Diskussion statt.</w:t>
      </w:r>
    </w:p>
    <w:p w14:paraId="582405A1" w14:textId="2E2F1BB2" w:rsidR="00B27959" w:rsidRPr="001B5E14" w:rsidRDefault="00B27959" w:rsidP="0086756B">
      <w:pPr>
        <w:pStyle w:val="H1G"/>
        <w:rPr>
          <w:lang w:val="de-DE"/>
        </w:rPr>
      </w:pPr>
      <w:r w:rsidRPr="00BA758E">
        <w:rPr>
          <w:lang w:val="de-DE"/>
        </w:rPr>
        <w:tab/>
      </w:r>
      <w:bookmarkStart w:id="22" w:name="_Toc81410375"/>
      <w:r w:rsidR="0086756B" w:rsidRPr="001B5E14">
        <w:rPr>
          <w:lang w:val="de-DE"/>
        </w:rPr>
        <w:t>D.</w:t>
      </w:r>
      <w:r w:rsidRPr="001B5E14">
        <w:rPr>
          <w:lang w:val="de-DE"/>
        </w:rPr>
        <w:tab/>
      </w:r>
      <w:bookmarkEnd w:id="22"/>
      <w:r w:rsidR="0086756B" w:rsidRPr="001B5E14">
        <w:rPr>
          <w:lang w:val="de-DE"/>
        </w:rPr>
        <w:t>Sachkundigenausbildung</w:t>
      </w:r>
    </w:p>
    <w:p w14:paraId="78F8C9E7" w14:textId="05D22176" w:rsidR="00B27959" w:rsidRPr="001B5E14" w:rsidRDefault="00B27959" w:rsidP="0086756B">
      <w:pPr>
        <w:pStyle w:val="H23G"/>
        <w:rPr>
          <w:lang w:val="de-DE"/>
        </w:rPr>
      </w:pPr>
      <w:r w:rsidRPr="001B5E14">
        <w:rPr>
          <w:lang w:val="de-DE"/>
        </w:rPr>
        <w:tab/>
      </w:r>
      <w:bookmarkStart w:id="23" w:name="_Toc81410376"/>
      <w:r w:rsidRPr="001B5E14">
        <w:rPr>
          <w:lang w:val="de-DE"/>
        </w:rPr>
        <w:t>1.</w:t>
      </w:r>
      <w:r w:rsidRPr="001B5E14">
        <w:rPr>
          <w:lang w:val="de-DE"/>
        </w:rPr>
        <w:tab/>
      </w:r>
      <w:bookmarkEnd w:id="23"/>
      <w:r w:rsidR="0086756B" w:rsidRPr="001B5E14">
        <w:rPr>
          <w:lang w:val="de-DE"/>
        </w:rPr>
        <w:t>ADN-Fragenkatalog 2021</w:t>
      </w:r>
    </w:p>
    <w:p w14:paraId="7B6689A4" w14:textId="2578BF60" w:rsidR="00B27959" w:rsidRPr="001B5E14" w:rsidRDefault="00B27959" w:rsidP="0086756B">
      <w:pPr>
        <w:pStyle w:val="H23G"/>
        <w:tabs>
          <w:tab w:val="left" w:pos="1134"/>
          <w:tab w:val="left" w:pos="3402"/>
        </w:tabs>
        <w:spacing w:before="0"/>
        <w:ind w:left="3402" w:hanging="3402"/>
        <w:rPr>
          <w:b w:val="0"/>
          <w:bCs/>
          <w:lang w:val="de-DE"/>
        </w:rPr>
      </w:pPr>
      <w:r w:rsidRPr="001B5E14">
        <w:rPr>
          <w:b w:val="0"/>
          <w:bCs/>
          <w:lang w:val="de-DE"/>
        </w:rPr>
        <w:tab/>
      </w:r>
      <w:r w:rsidRPr="001B5E14">
        <w:rPr>
          <w:b w:val="0"/>
          <w:bCs/>
          <w:lang w:val="de-DE"/>
        </w:rPr>
        <w:tab/>
      </w:r>
      <w:bookmarkStart w:id="24" w:name="_Toc81410377"/>
      <w:r w:rsidR="0086756B" w:rsidRPr="001B5E14">
        <w:rPr>
          <w:b w:val="0"/>
          <w:bCs/>
          <w:i/>
          <w:iCs/>
          <w:lang w:val="de-DE"/>
        </w:rPr>
        <w:t>Dokumente:</w:t>
      </w:r>
      <w:r w:rsidRPr="001B5E14">
        <w:rPr>
          <w:b w:val="0"/>
          <w:bCs/>
          <w:lang w:val="de-DE"/>
        </w:rPr>
        <w:tab/>
        <w:t>ECE/TRANS/WP.15/AC.2/2021/11, ECE/TRANS/WP.15/AC.2/2021/12, ECE/TRANS/WP.15/AC.2/2021/13 (</w:t>
      </w:r>
      <w:r w:rsidR="0086756B" w:rsidRPr="001B5E14">
        <w:rPr>
          <w:b w:val="0"/>
          <w:bCs/>
          <w:lang w:val="de-DE"/>
        </w:rPr>
        <w:t>ZK</w:t>
      </w:r>
      <w:r w:rsidRPr="001B5E14">
        <w:rPr>
          <w:b w:val="0"/>
          <w:bCs/>
          <w:lang w:val="de-DE"/>
        </w:rPr>
        <w:t xml:space="preserve">R) </w:t>
      </w:r>
      <w:r w:rsidR="0086756B" w:rsidRPr="001B5E14">
        <w:rPr>
          <w:b w:val="0"/>
          <w:bCs/>
          <w:lang w:val="de-DE"/>
        </w:rPr>
        <w:t>u</w:t>
      </w:r>
      <w:r w:rsidRPr="001B5E14">
        <w:rPr>
          <w:b w:val="0"/>
          <w:bCs/>
          <w:lang w:val="de-DE"/>
        </w:rPr>
        <w:t>nd ECE/TRANS/WP.15/AC.2/2021/15 (</w:t>
      </w:r>
      <w:r w:rsidR="0086756B" w:rsidRPr="001B5E14">
        <w:rPr>
          <w:b w:val="0"/>
          <w:bCs/>
          <w:lang w:val="de-DE"/>
        </w:rPr>
        <w:t>Österreich</w:t>
      </w:r>
      <w:r w:rsidRPr="001B5E14">
        <w:rPr>
          <w:b w:val="0"/>
          <w:bCs/>
          <w:lang w:val="de-DE"/>
        </w:rPr>
        <w:t>)</w:t>
      </w:r>
      <w:bookmarkEnd w:id="24"/>
    </w:p>
    <w:p w14:paraId="27BB59FB" w14:textId="4AAB2709" w:rsidR="00B27959" w:rsidRPr="00BA758E" w:rsidRDefault="00B27959" w:rsidP="00AC3DA9">
      <w:pPr>
        <w:pStyle w:val="SingleTxtG"/>
        <w:rPr>
          <w:bCs/>
          <w:lang w:val="de-DE"/>
        </w:rPr>
      </w:pPr>
      <w:r w:rsidRPr="00BA758E">
        <w:rPr>
          <w:lang w:val="de-DE"/>
        </w:rPr>
        <w:t>17.</w:t>
      </w:r>
      <w:r w:rsidRPr="00BA758E">
        <w:rPr>
          <w:lang w:val="de-DE"/>
        </w:rPr>
        <w:tab/>
      </w:r>
      <w:r w:rsidR="00316F94" w:rsidRPr="00AC3DA9">
        <w:rPr>
          <w:lang w:val="de-DE"/>
        </w:rPr>
        <w:t>Der Sicherheitsausschuss erinnerte an die Ergebnisse der Diskussion auf seiner letzten Sitzung und bestätigte die Annahme der Vorschläge zur Aktualisierung der Fragenkataloge 2021, um den Bestimmungen der Ausgabe 2021 des ADN entsprechend den Dokumenten ECE/TRANS/WP.15/AC.2/2021/11, ECE/TRANS/WP.15/AC.2/2021/12 und ECE/TRANS/WP.15/AC.2/2021/13, einschließlich der in Dokument ECE/TRANS/WP.15/AC.2/2021/1</w:t>
      </w:r>
      <w:r w:rsidR="003A44EE" w:rsidRPr="00AC3DA9">
        <w:rPr>
          <w:lang w:val="de-DE"/>
        </w:rPr>
        <w:t>5</w:t>
      </w:r>
      <w:r w:rsidR="00316F94" w:rsidRPr="00AC3DA9">
        <w:rPr>
          <w:lang w:val="de-DE"/>
        </w:rPr>
        <w:t xml:space="preserve"> aufgeführten Berichtigungen und Änderungen des Dokuments ECE/TRANS/WP.15/AC.2/2021/1</w:t>
      </w:r>
      <w:r w:rsidR="003A44EE" w:rsidRPr="00AC3DA9">
        <w:rPr>
          <w:lang w:val="de-DE"/>
        </w:rPr>
        <w:t>3</w:t>
      </w:r>
      <w:r w:rsidR="00AA1AF6" w:rsidRPr="00AC3DA9">
        <w:rPr>
          <w:lang w:val="de-DE"/>
        </w:rPr>
        <w:t>,</w:t>
      </w:r>
      <w:r w:rsidR="00337918" w:rsidRPr="00AC3DA9">
        <w:rPr>
          <w:lang w:val="de-DE"/>
        </w:rPr>
        <w:t xml:space="preserve"> Rechnung zu tragen</w:t>
      </w:r>
      <w:r w:rsidR="00316F94" w:rsidRPr="00AC3DA9">
        <w:rPr>
          <w:lang w:val="de-DE"/>
        </w:rPr>
        <w:t>.</w:t>
      </w:r>
    </w:p>
    <w:p w14:paraId="5977C055" w14:textId="203D26BE" w:rsidR="00B27959" w:rsidRPr="00BA758E" w:rsidRDefault="00B27959" w:rsidP="00AA1AF6">
      <w:pPr>
        <w:pStyle w:val="H23G"/>
        <w:rPr>
          <w:lang w:val="de-DE"/>
        </w:rPr>
      </w:pPr>
      <w:r w:rsidRPr="00BA758E">
        <w:rPr>
          <w:lang w:val="de-DE"/>
        </w:rPr>
        <w:tab/>
      </w:r>
      <w:bookmarkStart w:id="25" w:name="_Toc81410378"/>
      <w:r w:rsidRPr="00BA758E">
        <w:rPr>
          <w:lang w:val="de-DE"/>
        </w:rPr>
        <w:t>2.</w:t>
      </w:r>
      <w:r w:rsidRPr="00BA758E">
        <w:rPr>
          <w:lang w:val="de-DE"/>
        </w:rPr>
        <w:tab/>
      </w:r>
      <w:bookmarkEnd w:id="25"/>
      <w:r w:rsidR="00AA1AF6" w:rsidRPr="00AA1AF6">
        <w:rPr>
          <w:lang w:val="de-DE"/>
        </w:rPr>
        <w:t xml:space="preserve">Richtlinie </w:t>
      </w:r>
      <w:r w:rsidR="00E82C71">
        <w:rPr>
          <w:lang w:val="de-DE"/>
        </w:rPr>
        <w:t>für</w:t>
      </w:r>
      <w:r w:rsidR="00AA1AF6" w:rsidRPr="00AA1AF6">
        <w:rPr>
          <w:lang w:val="de-DE"/>
        </w:rPr>
        <w:t xml:space="preserve"> die Verwendung des Fragenkatalogs für die Prüfung von ADN-Sachkundigen</w:t>
      </w:r>
    </w:p>
    <w:p w14:paraId="621A6806" w14:textId="74E97F98" w:rsidR="00B27959" w:rsidRPr="00BA758E" w:rsidRDefault="00B27959" w:rsidP="00AA1AF6">
      <w:pPr>
        <w:pStyle w:val="H23G"/>
        <w:tabs>
          <w:tab w:val="left" w:pos="1134"/>
          <w:tab w:val="left" w:pos="3402"/>
        </w:tabs>
        <w:spacing w:before="0"/>
        <w:ind w:left="3402" w:hanging="3402"/>
        <w:rPr>
          <w:b w:val="0"/>
          <w:bCs/>
          <w:lang w:val="de-DE"/>
        </w:rPr>
      </w:pPr>
      <w:r w:rsidRPr="00BA758E">
        <w:rPr>
          <w:b w:val="0"/>
          <w:bCs/>
          <w:lang w:val="de-DE"/>
        </w:rPr>
        <w:tab/>
      </w:r>
      <w:r w:rsidRPr="00BA758E">
        <w:rPr>
          <w:b w:val="0"/>
          <w:bCs/>
          <w:lang w:val="de-DE"/>
        </w:rPr>
        <w:tab/>
      </w:r>
      <w:bookmarkStart w:id="26" w:name="_Toc81410379"/>
      <w:r w:rsidR="00AA1AF6" w:rsidRPr="00AA1AF6">
        <w:rPr>
          <w:b w:val="0"/>
          <w:bCs/>
          <w:i/>
          <w:iCs/>
          <w:lang w:val="de-DE"/>
        </w:rPr>
        <w:t>Dokumente:</w:t>
      </w:r>
      <w:r w:rsidRPr="00BA758E">
        <w:rPr>
          <w:b w:val="0"/>
          <w:bCs/>
          <w:lang w:val="de-DE"/>
        </w:rPr>
        <w:tab/>
        <w:t xml:space="preserve">ECE/TRANS/WP.15/AC.2/2021/14 </w:t>
      </w:r>
      <w:r w:rsidR="00442AE9" w:rsidRPr="00BA758E">
        <w:rPr>
          <w:b w:val="0"/>
          <w:bCs/>
          <w:lang w:val="de-DE"/>
        </w:rPr>
        <w:t>u</w:t>
      </w:r>
      <w:r w:rsidRPr="00BA758E">
        <w:rPr>
          <w:b w:val="0"/>
          <w:bCs/>
          <w:lang w:val="de-DE"/>
        </w:rPr>
        <w:t>nd Corr.1 (</w:t>
      </w:r>
      <w:r w:rsidR="00442AE9" w:rsidRPr="00BA758E">
        <w:rPr>
          <w:b w:val="0"/>
          <w:bCs/>
          <w:lang w:val="de-DE"/>
        </w:rPr>
        <w:t>ZKR</w:t>
      </w:r>
      <w:r w:rsidRPr="00BA758E">
        <w:rPr>
          <w:b w:val="0"/>
          <w:bCs/>
          <w:lang w:val="de-DE"/>
        </w:rPr>
        <w:t>)</w:t>
      </w:r>
      <w:bookmarkEnd w:id="26"/>
    </w:p>
    <w:p w14:paraId="2A15A4A5" w14:textId="70E05F13" w:rsidR="00B27959" w:rsidRPr="00BA758E" w:rsidRDefault="00B27959" w:rsidP="00BF2750">
      <w:pPr>
        <w:pStyle w:val="SingleTxtG"/>
        <w:rPr>
          <w:lang w:val="de-DE"/>
        </w:rPr>
      </w:pPr>
      <w:r w:rsidRPr="00BA758E">
        <w:rPr>
          <w:lang w:val="de-DE"/>
        </w:rPr>
        <w:t>18.</w:t>
      </w:r>
      <w:r w:rsidRPr="00BA758E">
        <w:rPr>
          <w:lang w:val="de-DE"/>
        </w:rPr>
        <w:tab/>
      </w:r>
      <w:r w:rsidR="00CC2CB6" w:rsidRPr="00BF2750">
        <w:rPr>
          <w:lang w:val="de-DE"/>
        </w:rPr>
        <w:t xml:space="preserve">Der Sicherheitsausschuss nahm die Vorschläge zur Änderung der Richtlinie des Verwaltungsausschusses </w:t>
      </w:r>
      <w:r w:rsidR="00E82C71" w:rsidRPr="00BF2750">
        <w:rPr>
          <w:lang w:val="de-DE"/>
        </w:rPr>
        <w:t>für</w:t>
      </w:r>
      <w:r w:rsidR="00CC2CB6" w:rsidRPr="00BF2750">
        <w:rPr>
          <w:lang w:val="de-DE"/>
        </w:rPr>
        <w:t xml:space="preserve"> die Verwendung des Fragenkatalogs für die </w:t>
      </w:r>
      <w:r w:rsidR="00EC387F" w:rsidRPr="00BF2750">
        <w:rPr>
          <w:lang w:val="de-DE"/>
        </w:rPr>
        <w:t xml:space="preserve">Prüfung von </w:t>
      </w:r>
      <w:r w:rsidR="00CC2CB6" w:rsidRPr="00BF2750">
        <w:rPr>
          <w:lang w:val="de-DE"/>
        </w:rPr>
        <w:t>ADN-Sach</w:t>
      </w:r>
      <w:r w:rsidR="00EC387F" w:rsidRPr="00BF2750">
        <w:rPr>
          <w:lang w:val="de-DE"/>
        </w:rPr>
        <w:t>kundig</w:t>
      </w:r>
      <w:r w:rsidR="00CC2CB6" w:rsidRPr="00BF2750">
        <w:rPr>
          <w:lang w:val="de-DE"/>
        </w:rPr>
        <w:t>en gemäß Kapitel 8.2 ADN zur Kenntnis, einschließlich der Streichung der eckigen Klammern um den Text in Absatz 51 des Dokuments und einiger Korrekturen in der deutschen Fassung.</w:t>
      </w:r>
    </w:p>
    <w:p w14:paraId="1B5A0817" w14:textId="6FA15D36" w:rsidR="00B27959" w:rsidRPr="00BA758E" w:rsidRDefault="00B27959" w:rsidP="00BF2750">
      <w:pPr>
        <w:pStyle w:val="SingleTxtG"/>
        <w:rPr>
          <w:lang w:val="de-DE"/>
        </w:rPr>
      </w:pPr>
      <w:r w:rsidRPr="00BA758E">
        <w:rPr>
          <w:lang w:val="de-DE"/>
        </w:rPr>
        <w:t>19.</w:t>
      </w:r>
      <w:r w:rsidRPr="00BA758E">
        <w:rPr>
          <w:lang w:val="de-DE"/>
        </w:rPr>
        <w:tab/>
      </w:r>
      <w:r w:rsidR="006A6BE1" w:rsidRPr="00BF2750">
        <w:rPr>
          <w:lang w:val="de-DE"/>
        </w:rPr>
        <w:t xml:space="preserve">Auf eine Bemerkung des Vertreters Deutschlands zur Gewährleistung der Fairness in Bezug auf den Schwierigkeitsgrad der Fragen und die Bewertung der Antworten </w:t>
      </w:r>
      <w:r w:rsidR="000F5FD7" w:rsidRPr="00BF2750">
        <w:rPr>
          <w:lang w:val="de-DE"/>
        </w:rPr>
        <w:t>ersuchte</w:t>
      </w:r>
      <w:r w:rsidR="006A6BE1" w:rsidRPr="00BF2750">
        <w:rPr>
          <w:lang w:val="de-DE"/>
        </w:rPr>
        <w:t xml:space="preserve"> der Sicherheitsausschuss die informelle Arbeitsgruppe </w:t>
      </w:r>
      <w:r w:rsidR="00CC6172" w:rsidRPr="00BF2750">
        <w:rPr>
          <w:lang w:val="de-DE"/>
        </w:rPr>
        <w:t>„Sachkundigena</w:t>
      </w:r>
      <w:r w:rsidR="006A6BE1" w:rsidRPr="00BF2750">
        <w:rPr>
          <w:lang w:val="de-DE"/>
        </w:rPr>
        <w:t>usbildung</w:t>
      </w:r>
      <w:r w:rsidR="00CC6172" w:rsidRPr="00BF2750">
        <w:rPr>
          <w:lang w:val="de-DE"/>
        </w:rPr>
        <w:t>“</w:t>
      </w:r>
      <w:r w:rsidR="006A6BE1" w:rsidRPr="00BF2750">
        <w:rPr>
          <w:lang w:val="de-DE"/>
        </w:rPr>
        <w:t xml:space="preserve">, die vorgeschlagenen Änderungen zusammen mit dem Dokument ECE/TRANS/WP.15/AC.2/2021/19 zu überdenken und </w:t>
      </w:r>
      <w:r w:rsidR="008508B1" w:rsidRPr="00BF2750">
        <w:rPr>
          <w:lang w:val="de-DE"/>
        </w:rPr>
        <w:t xml:space="preserve">auf der nächsten Sitzung im Januar 2022 </w:t>
      </w:r>
      <w:r w:rsidR="006A6BE1" w:rsidRPr="00BF2750">
        <w:rPr>
          <w:lang w:val="de-DE"/>
        </w:rPr>
        <w:t>einen aktualisierten Vorschlag zur Prüfung vorzulegen.</w:t>
      </w:r>
    </w:p>
    <w:p w14:paraId="67F50C08" w14:textId="2949004D" w:rsidR="00B27959" w:rsidRPr="00BA758E" w:rsidRDefault="00B27959" w:rsidP="006E6DE9">
      <w:pPr>
        <w:pStyle w:val="H1G"/>
        <w:spacing w:before="240" w:after="120"/>
        <w:rPr>
          <w:lang w:val="de-DE"/>
        </w:rPr>
      </w:pPr>
      <w:r w:rsidRPr="00BA758E">
        <w:rPr>
          <w:lang w:val="de-DE"/>
        </w:rPr>
        <w:tab/>
      </w:r>
      <w:bookmarkStart w:id="27" w:name="_Toc81410380"/>
      <w:r w:rsidR="008508B1" w:rsidRPr="008508B1">
        <w:rPr>
          <w:lang w:val="de-DE"/>
        </w:rPr>
        <w:t>E.</w:t>
      </w:r>
      <w:r w:rsidRPr="00BA758E">
        <w:rPr>
          <w:lang w:val="de-DE"/>
        </w:rPr>
        <w:tab/>
      </w:r>
      <w:bookmarkEnd w:id="27"/>
      <w:r w:rsidR="008508B1" w:rsidRPr="008508B1">
        <w:rPr>
          <w:lang w:val="de-DE"/>
        </w:rPr>
        <w:t>Fragen im Zusammenhang mit den Klassifikationsgesellschaften</w:t>
      </w:r>
    </w:p>
    <w:p w14:paraId="3EDB7928" w14:textId="5E2B1557" w:rsidR="00B27959" w:rsidRPr="00BA758E" w:rsidRDefault="00B27959" w:rsidP="00BF2750">
      <w:pPr>
        <w:pStyle w:val="SingleTxtG"/>
        <w:rPr>
          <w:lang w:val="de-DE"/>
        </w:rPr>
      </w:pPr>
      <w:r w:rsidRPr="00BA758E">
        <w:rPr>
          <w:lang w:val="de-DE"/>
        </w:rPr>
        <w:t>20.</w:t>
      </w:r>
      <w:r w:rsidRPr="00BA758E">
        <w:rPr>
          <w:lang w:val="de-DE"/>
        </w:rPr>
        <w:tab/>
      </w:r>
      <w:r w:rsidR="008508B1" w:rsidRPr="00BF2750">
        <w:rPr>
          <w:lang w:val="de-DE"/>
        </w:rPr>
        <w:t>Da zu diesem Unterpunkt kein Dokument vorgelegt wurde, fand zu diesem Thema keine Diskussion statt.</w:t>
      </w:r>
    </w:p>
    <w:p w14:paraId="04C3BCBD" w14:textId="5854A36C" w:rsidR="00B27959" w:rsidRPr="00BA758E" w:rsidRDefault="00B27959" w:rsidP="006E6DE9">
      <w:pPr>
        <w:pStyle w:val="HChG"/>
        <w:spacing w:before="240" w:after="120"/>
        <w:rPr>
          <w:lang w:val="de-DE"/>
        </w:rPr>
      </w:pPr>
      <w:r w:rsidRPr="00BA758E">
        <w:rPr>
          <w:lang w:val="de-DE"/>
        </w:rPr>
        <w:tab/>
      </w:r>
      <w:bookmarkStart w:id="28" w:name="_Toc81410381"/>
      <w:r w:rsidR="008508B1" w:rsidRPr="008508B1">
        <w:rPr>
          <w:lang w:val="de-DE"/>
        </w:rPr>
        <w:t>VI.</w:t>
      </w:r>
      <w:r w:rsidRPr="00BA758E">
        <w:rPr>
          <w:lang w:val="de-DE"/>
        </w:rPr>
        <w:tab/>
      </w:r>
      <w:bookmarkEnd w:id="28"/>
      <w:r w:rsidR="008508B1" w:rsidRPr="008508B1">
        <w:rPr>
          <w:lang w:val="de-DE"/>
        </w:rPr>
        <w:t>Vorschläge für Änderungen der dem ADN beigefügten Verordnung (TOP 4)</w:t>
      </w:r>
    </w:p>
    <w:p w14:paraId="642C63E4" w14:textId="07F20790" w:rsidR="00B27959" w:rsidRPr="00BA758E" w:rsidRDefault="00B27959" w:rsidP="006E6DE9">
      <w:pPr>
        <w:pStyle w:val="H1G"/>
        <w:spacing w:before="240" w:after="120"/>
        <w:rPr>
          <w:lang w:val="de-DE"/>
        </w:rPr>
      </w:pPr>
      <w:r w:rsidRPr="00BA758E">
        <w:rPr>
          <w:lang w:val="de-DE"/>
        </w:rPr>
        <w:tab/>
      </w:r>
      <w:bookmarkStart w:id="29" w:name="_Toc81410382"/>
      <w:r w:rsidR="008508B1" w:rsidRPr="008508B1">
        <w:rPr>
          <w:lang w:val="de-DE"/>
        </w:rPr>
        <w:t>A.</w:t>
      </w:r>
      <w:r w:rsidRPr="00BA758E">
        <w:rPr>
          <w:lang w:val="de-DE"/>
        </w:rPr>
        <w:tab/>
      </w:r>
      <w:bookmarkEnd w:id="29"/>
      <w:r w:rsidR="008508B1" w:rsidRPr="008508B1">
        <w:rPr>
          <w:lang w:val="de-DE"/>
        </w:rPr>
        <w:t>Arbeiten der Gemeinsamen RID/ADR/ADN-Tagung</w:t>
      </w:r>
    </w:p>
    <w:p w14:paraId="16011BBD" w14:textId="0292A0C5" w:rsidR="00B27959" w:rsidRPr="00BA758E" w:rsidRDefault="008508B1" w:rsidP="008508B1">
      <w:pPr>
        <w:pStyle w:val="SingleTxtG"/>
        <w:ind w:left="3402" w:hanging="2268"/>
        <w:jc w:val="left"/>
        <w:rPr>
          <w:lang w:val="de-DE"/>
        </w:rPr>
      </w:pPr>
      <w:r w:rsidRPr="008508B1">
        <w:rPr>
          <w:i/>
          <w:lang w:val="de-DE"/>
        </w:rPr>
        <w:t>Dokumente:</w:t>
      </w:r>
      <w:r w:rsidR="00B27959" w:rsidRPr="00BA758E">
        <w:rPr>
          <w:lang w:val="de-DE"/>
        </w:rPr>
        <w:tab/>
      </w:r>
      <w:r w:rsidRPr="008508B1">
        <w:rPr>
          <w:lang w:val="de-DE"/>
        </w:rPr>
        <w:t>ECE/TRANS/WP.15/AC.1/158, Anlage II</w:t>
      </w:r>
      <w:r w:rsidR="00B27959" w:rsidRPr="00BA758E">
        <w:rPr>
          <w:lang w:val="de-DE"/>
        </w:rPr>
        <w:br/>
      </w:r>
      <w:r w:rsidR="00B27959" w:rsidRPr="00BA758E">
        <w:rPr>
          <w:lang w:val="de-DE"/>
        </w:rPr>
        <w:tab/>
      </w:r>
      <w:r w:rsidRPr="008508B1">
        <w:rPr>
          <w:lang w:val="de-DE"/>
        </w:rPr>
        <w:t>ECE/TRANS/WP.15/AC.1/160, Anlage II</w:t>
      </w:r>
      <w:r w:rsidR="00B27959" w:rsidRPr="00BA758E">
        <w:rPr>
          <w:lang w:val="de-DE"/>
        </w:rPr>
        <w:br/>
      </w:r>
      <w:r w:rsidR="00B27959" w:rsidRPr="00BA758E">
        <w:rPr>
          <w:lang w:val="de-DE"/>
        </w:rPr>
        <w:tab/>
      </w:r>
      <w:r w:rsidRPr="008508B1">
        <w:rPr>
          <w:lang w:val="de-DE"/>
        </w:rPr>
        <w:t>ECE/TRANS/WP.15/251, Anlage I</w:t>
      </w:r>
      <w:r w:rsidR="00B27959" w:rsidRPr="00BA758E">
        <w:rPr>
          <w:lang w:val="de-DE"/>
        </w:rPr>
        <w:br/>
      </w:r>
      <w:r w:rsidR="00B27959" w:rsidRPr="00BA758E">
        <w:rPr>
          <w:lang w:val="de-DE"/>
        </w:rPr>
        <w:tab/>
      </w:r>
      <w:r w:rsidRPr="008508B1">
        <w:rPr>
          <w:lang w:val="de-DE"/>
        </w:rPr>
        <w:t>ECE/TRANS/WP.15/253, Anlage I</w:t>
      </w:r>
      <w:r w:rsidRPr="008508B1">
        <w:rPr>
          <w:lang w:val="de-DE"/>
        </w:rPr>
        <w:br/>
        <w:t>ECE/TRANS/WP.15/AC.1/2021/24 und Add.1</w:t>
      </w:r>
    </w:p>
    <w:p w14:paraId="4391E971" w14:textId="319FBBBC" w:rsidR="00B27959" w:rsidRPr="00BA758E" w:rsidRDefault="00B27959" w:rsidP="00BF2750">
      <w:pPr>
        <w:pStyle w:val="SingleTxtG"/>
        <w:rPr>
          <w:lang w:val="de-DE"/>
        </w:rPr>
      </w:pPr>
      <w:r w:rsidRPr="00BA758E">
        <w:rPr>
          <w:lang w:val="de-DE"/>
        </w:rPr>
        <w:t>21.</w:t>
      </w:r>
      <w:r w:rsidRPr="00BA758E">
        <w:rPr>
          <w:lang w:val="de-DE"/>
        </w:rPr>
        <w:tab/>
      </w:r>
      <w:r w:rsidR="00E9363C" w:rsidRPr="00BF2750">
        <w:rPr>
          <w:lang w:val="de-DE"/>
        </w:rPr>
        <w:t xml:space="preserve">Der </w:t>
      </w:r>
      <w:r w:rsidR="00E9363C" w:rsidRPr="005F33CC">
        <w:rPr>
          <w:lang w:val="de-DE"/>
        </w:rPr>
        <w:t xml:space="preserve">Sicherheitsausschuss nahm die von der Gemeinsamen </w:t>
      </w:r>
      <w:r w:rsidR="006B604E" w:rsidRPr="005F33CC">
        <w:rPr>
          <w:lang w:val="de-DE"/>
        </w:rPr>
        <w:t>RID/ADR/ADN-</w:t>
      </w:r>
      <w:r w:rsidR="00E9363C" w:rsidRPr="005F33CC">
        <w:rPr>
          <w:lang w:val="de-DE"/>
        </w:rPr>
        <w:t xml:space="preserve">Tagung und der Arbeitsgruppe </w:t>
      </w:r>
      <w:r w:rsidR="006B604E" w:rsidRPr="005F33CC">
        <w:rPr>
          <w:lang w:val="de-DE"/>
        </w:rPr>
        <w:t xml:space="preserve">für die </w:t>
      </w:r>
      <w:r w:rsidR="00E9363C" w:rsidRPr="005F33CC">
        <w:rPr>
          <w:lang w:val="de-DE"/>
        </w:rPr>
        <w:t>Beförderung gefährlicher Güter (</w:t>
      </w:r>
      <w:r w:rsidR="00E9363C" w:rsidRPr="00BF2750">
        <w:rPr>
          <w:lang w:val="de-DE"/>
        </w:rPr>
        <w:t>WP.15) in den Jahren 2020 und 2021 angenommenen Änderungsentwürfe zum RID/ADR/ADN zur Kenntnis.</w:t>
      </w:r>
      <w:r w:rsidRPr="00BA758E">
        <w:rPr>
          <w:lang w:val="de-DE"/>
        </w:rPr>
        <w:t xml:space="preserve"> </w:t>
      </w:r>
      <w:r w:rsidR="0035611E" w:rsidRPr="00BF2750">
        <w:rPr>
          <w:lang w:val="de-DE"/>
        </w:rPr>
        <w:t xml:space="preserve">Der Sicherheitsausschuss nahm ferner zur Kenntnis, dass die Gemeinsame RID/ADR/ADN-Tagung bei ihrer nächsten Sitzung im Herbst 2021 auch </w:t>
      </w:r>
      <w:r w:rsidR="00C71E0C" w:rsidRPr="00BF2750">
        <w:rPr>
          <w:lang w:val="de-DE"/>
        </w:rPr>
        <w:t xml:space="preserve">die in ECE/TRANS/WP.15/AC.1/2021/24 und Add.1 enthaltenen </w:t>
      </w:r>
      <w:r w:rsidR="0035611E" w:rsidRPr="00BF2750">
        <w:rPr>
          <w:lang w:val="de-DE"/>
        </w:rPr>
        <w:t>Vorschläge zur Harmonisierung mit der zweiundzwanzigsten überarbeiteten Ausgabe der Empfehlungen der Vereinten Nationen für die Beförderung gefährlicher Güter</w:t>
      </w:r>
      <w:r w:rsidR="00FC3697" w:rsidRPr="00BF2750">
        <w:rPr>
          <w:lang w:val="de-DE"/>
        </w:rPr>
        <w:t xml:space="preserve"> </w:t>
      </w:r>
      <w:r w:rsidR="0035611E" w:rsidRPr="00BF2750">
        <w:rPr>
          <w:lang w:val="de-DE"/>
        </w:rPr>
        <w:t>prüfen wird.</w:t>
      </w:r>
    </w:p>
    <w:p w14:paraId="4FB56E57" w14:textId="795BA59D" w:rsidR="00B27959" w:rsidRPr="00BA758E" w:rsidRDefault="00B27959" w:rsidP="00BF2750">
      <w:pPr>
        <w:pStyle w:val="SingleTxtG"/>
        <w:rPr>
          <w:lang w:val="de-DE"/>
        </w:rPr>
      </w:pPr>
      <w:r w:rsidRPr="00BA758E">
        <w:rPr>
          <w:lang w:val="de-DE"/>
        </w:rPr>
        <w:t>22.</w:t>
      </w:r>
      <w:r w:rsidRPr="00BA758E">
        <w:rPr>
          <w:lang w:val="de-DE"/>
        </w:rPr>
        <w:tab/>
      </w:r>
      <w:r w:rsidR="0005214A" w:rsidRPr="00BF2750">
        <w:rPr>
          <w:lang w:val="de-DE"/>
        </w:rPr>
        <w:t xml:space="preserve">Das Sekretariat wurde gebeten, alle </w:t>
      </w:r>
      <w:r w:rsidR="00F35546" w:rsidRPr="00BF2750">
        <w:rPr>
          <w:lang w:val="de-DE"/>
        </w:rPr>
        <w:t>Ä</w:t>
      </w:r>
      <w:r w:rsidR="0005214A" w:rsidRPr="00BF2750">
        <w:rPr>
          <w:lang w:val="de-DE"/>
        </w:rPr>
        <w:t>nderungen</w:t>
      </w:r>
      <w:r w:rsidR="00F35546" w:rsidRPr="00BF2750">
        <w:rPr>
          <w:lang w:val="de-DE"/>
        </w:rPr>
        <w:t xml:space="preserve"> zur Harmonisierung</w:t>
      </w:r>
      <w:r w:rsidR="0005214A" w:rsidRPr="00BF2750">
        <w:rPr>
          <w:lang w:val="de-DE"/>
        </w:rPr>
        <w:t>, die in d</w:t>
      </w:r>
      <w:r w:rsidR="00F35546" w:rsidRPr="00BF2750">
        <w:rPr>
          <w:lang w:val="de-DE"/>
        </w:rPr>
        <w:t>i</w:t>
      </w:r>
      <w:r w:rsidR="0005214A" w:rsidRPr="00BF2750">
        <w:rPr>
          <w:lang w:val="de-DE"/>
        </w:rPr>
        <w:t xml:space="preserve">e dem ADN beigefügte </w:t>
      </w:r>
      <w:r w:rsidR="00720552" w:rsidRPr="00BF2750">
        <w:rPr>
          <w:lang w:val="de-DE"/>
        </w:rPr>
        <w:t>Verordnung</w:t>
      </w:r>
      <w:r w:rsidR="0005214A" w:rsidRPr="00BF2750">
        <w:rPr>
          <w:lang w:val="de-DE"/>
        </w:rPr>
        <w:t xml:space="preserve"> </w:t>
      </w:r>
      <w:r w:rsidR="00F35546" w:rsidRPr="00BF2750">
        <w:rPr>
          <w:lang w:val="de-DE"/>
        </w:rPr>
        <w:t>aufgenommen werden</w:t>
      </w:r>
      <w:r w:rsidR="0005214A" w:rsidRPr="00BF2750">
        <w:rPr>
          <w:lang w:val="de-DE"/>
        </w:rPr>
        <w:t xml:space="preserve"> sollen, in einem Dokument zusammenzu</w:t>
      </w:r>
      <w:r w:rsidR="003A03A0" w:rsidRPr="00BF2750">
        <w:rPr>
          <w:lang w:val="de-DE"/>
        </w:rPr>
        <w:t>stell</w:t>
      </w:r>
      <w:r w:rsidR="0005214A" w:rsidRPr="00BF2750">
        <w:rPr>
          <w:lang w:val="de-DE"/>
        </w:rPr>
        <w:t>en u</w:t>
      </w:r>
      <w:r w:rsidR="00175F19" w:rsidRPr="00BF2750">
        <w:rPr>
          <w:lang w:val="de-DE"/>
        </w:rPr>
        <w:t>nd</w:t>
      </w:r>
      <w:r w:rsidR="0005214A" w:rsidRPr="00BF2750">
        <w:rPr>
          <w:lang w:val="de-DE"/>
        </w:rPr>
        <w:t xml:space="preserve"> auf der nächsten </w:t>
      </w:r>
      <w:r w:rsidR="00175F19" w:rsidRPr="00BF2750">
        <w:rPr>
          <w:lang w:val="de-DE"/>
        </w:rPr>
        <w:t>Sitzung</w:t>
      </w:r>
      <w:r w:rsidR="0005214A" w:rsidRPr="00BF2750">
        <w:rPr>
          <w:lang w:val="de-DE"/>
        </w:rPr>
        <w:t xml:space="preserve"> im Januar 2022 </w:t>
      </w:r>
      <w:r w:rsidR="00175F19" w:rsidRPr="00BF2750">
        <w:rPr>
          <w:lang w:val="de-DE"/>
        </w:rPr>
        <w:t xml:space="preserve">zur </w:t>
      </w:r>
      <w:r w:rsidR="0005214A" w:rsidRPr="00BF2750">
        <w:rPr>
          <w:lang w:val="de-DE"/>
        </w:rPr>
        <w:t>eingehend</w:t>
      </w:r>
      <w:r w:rsidR="00175F19" w:rsidRPr="00BF2750">
        <w:rPr>
          <w:lang w:val="de-DE"/>
        </w:rPr>
        <w:t>en</w:t>
      </w:r>
      <w:r w:rsidR="0005214A" w:rsidRPr="00BF2750">
        <w:rPr>
          <w:lang w:val="de-DE"/>
        </w:rPr>
        <w:t xml:space="preserve"> </w:t>
      </w:r>
      <w:r w:rsidR="00175F19" w:rsidRPr="00BF2750">
        <w:rPr>
          <w:lang w:val="de-DE"/>
        </w:rPr>
        <w:t>P</w:t>
      </w:r>
      <w:r w:rsidR="0005214A" w:rsidRPr="00BF2750">
        <w:rPr>
          <w:lang w:val="de-DE"/>
        </w:rPr>
        <w:t>rüf</w:t>
      </w:r>
      <w:r w:rsidR="00175F19" w:rsidRPr="00BF2750">
        <w:rPr>
          <w:lang w:val="de-DE"/>
        </w:rPr>
        <w:t>u</w:t>
      </w:r>
      <w:r w:rsidR="0005214A" w:rsidRPr="00BF2750">
        <w:rPr>
          <w:lang w:val="de-DE"/>
        </w:rPr>
        <w:t>n</w:t>
      </w:r>
      <w:r w:rsidR="00175F19" w:rsidRPr="00BF2750">
        <w:rPr>
          <w:lang w:val="de-DE"/>
        </w:rPr>
        <w:t>g vorzulegen</w:t>
      </w:r>
      <w:r w:rsidR="0005214A" w:rsidRPr="00BF2750">
        <w:rPr>
          <w:lang w:val="de-DE"/>
        </w:rPr>
        <w:t>.</w:t>
      </w:r>
    </w:p>
    <w:p w14:paraId="42C0DA20" w14:textId="1F8B13DA" w:rsidR="00B27959" w:rsidRPr="00BA758E" w:rsidRDefault="00B27959" w:rsidP="006E6DE9">
      <w:pPr>
        <w:pStyle w:val="H1G"/>
        <w:keepNext w:val="0"/>
        <w:keepLines w:val="0"/>
        <w:spacing w:before="240" w:after="120"/>
        <w:rPr>
          <w:lang w:val="de-DE"/>
        </w:rPr>
      </w:pPr>
      <w:r w:rsidRPr="00BA758E">
        <w:rPr>
          <w:lang w:val="de-DE"/>
        </w:rPr>
        <w:tab/>
      </w:r>
      <w:bookmarkStart w:id="30" w:name="_Toc81410383"/>
      <w:r w:rsidRPr="00BA758E">
        <w:rPr>
          <w:lang w:val="de-DE"/>
        </w:rPr>
        <w:t>B.</w:t>
      </w:r>
      <w:r w:rsidRPr="00BA758E">
        <w:rPr>
          <w:lang w:val="de-DE"/>
        </w:rPr>
        <w:tab/>
      </w:r>
      <w:bookmarkEnd w:id="30"/>
      <w:r w:rsidR="00927A58" w:rsidRPr="00BF2750">
        <w:rPr>
          <w:lang w:val="de-DE"/>
        </w:rPr>
        <w:t>Weitere Vorschläge</w:t>
      </w:r>
    </w:p>
    <w:p w14:paraId="7B7CDE94" w14:textId="59357676" w:rsidR="00B27959" w:rsidRPr="00BA758E" w:rsidRDefault="00B27959" w:rsidP="006E6DE9">
      <w:pPr>
        <w:pStyle w:val="H23G"/>
        <w:spacing w:before="120"/>
        <w:rPr>
          <w:lang w:val="de-DE"/>
        </w:rPr>
      </w:pPr>
      <w:r w:rsidRPr="00BA758E">
        <w:rPr>
          <w:lang w:val="de-DE"/>
        </w:rPr>
        <w:tab/>
      </w:r>
      <w:bookmarkStart w:id="31" w:name="_Toc81410384"/>
      <w:r w:rsidRPr="00BA758E">
        <w:rPr>
          <w:lang w:val="de-DE"/>
        </w:rPr>
        <w:t>1.</w:t>
      </w:r>
      <w:r w:rsidRPr="00BA758E">
        <w:rPr>
          <w:lang w:val="de-DE"/>
        </w:rPr>
        <w:tab/>
      </w:r>
      <w:bookmarkEnd w:id="31"/>
      <w:r w:rsidR="00927A58" w:rsidRPr="00BF2750">
        <w:rPr>
          <w:lang w:val="de-DE"/>
        </w:rPr>
        <w:t>Änderungsvorschläge</w:t>
      </w:r>
    </w:p>
    <w:p w14:paraId="0073D59F" w14:textId="09D4C773" w:rsidR="00B27959" w:rsidRPr="00BA758E" w:rsidRDefault="00927A58" w:rsidP="00927A58">
      <w:pPr>
        <w:pStyle w:val="SingleTxtG"/>
        <w:ind w:left="3402" w:hanging="2268"/>
        <w:jc w:val="left"/>
        <w:rPr>
          <w:b/>
          <w:bCs/>
          <w:lang w:val="de-DE"/>
        </w:rPr>
      </w:pPr>
      <w:r w:rsidRPr="00BF2750">
        <w:rPr>
          <w:bCs/>
          <w:i/>
          <w:iCs/>
          <w:lang w:val="de-DE"/>
        </w:rPr>
        <w:t>Dokument:</w:t>
      </w:r>
      <w:r w:rsidR="00B27959" w:rsidRPr="00BA758E">
        <w:rPr>
          <w:bCs/>
          <w:lang w:val="de-DE"/>
        </w:rPr>
        <w:tab/>
        <w:t>ECE/TRANS/WP.15/AC.2/2021/16 (</w:t>
      </w:r>
      <w:r w:rsidR="00B27959" w:rsidRPr="00BF2750">
        <w:rPr>
          <w:bCs/>
          <w:lang w:val="de-DE"/>
        </w:rPr>
        <w:t>D</w:t>
      </w:r>
      <w:r w:rsidRPr="00BF2750">
        <w:rPr>
          <w:bCs/>
          <w:lang w:val="de-DE"/>
        </w:rPr>
        <w:t>on</w:t>
      </w:r>
      <w:r w:rsidR="00B27959" w:rsidRPr="00BF2750">
        <w:rPr>
          <w:bCs/>
          <w:lang w:val="de-DE"/>
        </w:rPr>
        <w:t>au</w:t>
      </w:r>
      <w:r w:rsidRPr="00BF2750">
        <w:rPr>
          <w:bCs/>
          <w:lang w:val="de-DE"/>
        </w:rPr>
        <w:t>k</w:t>
      </w:r>
      <w:r w:rsidR="00B27959" w:rsidRPr="00BF2750">
        <w:rPr>
          <w:bCs/>
          <w:lang w:val="de-DE"/>
        </w:rPr>
        <w:t>ommission</w:t>
      </w:r>
      <w:r w:rsidR="00B27959" w:rsidRPr="00BA758E">
        <w:rPr>
          <w:bCs/>
          <w:lang w:val="de-DE"/>
        </w:rPr>
        <w:t>)</w:t>
      </w:r>
    </w:p>
    <w:p w14:paraId="76D6DFFE" w14:textId="1911ABB2" w:rsidR="00B27959" w:rsidRPr="00BA758E" w:rsidRDefault="00B27959" w:rsidP="00543B54">
      <w:pPr>
        <w:pStyle w:val="SingleTxtG"/>
        <w:rPr>
          <w:lang w:val="de-DE"/>
        </w:rPr>
      </w:pPr>
      <w:r w:rsidRPr="00BA758E">
        <w:rPr>
          <w:lang w:val="de-DE"/>
        </w:rPr>
        <w:t>23.</w:t>
      </w:r>
      <w:r w:rsidRPr="00BA758E">
        <w:rPr>
          <w:lang w:val="de-DE"/>
        </w:rPr>
        <w:tab/>
      </w:r>
      <w:r w:rsidR="00B9378B" w:rsidRPr="00EC7F28">
        <w:rPr>
          <w:lang w:val="de-DE"/>
        </w:rPr>
        <w:t xml:space="preserve">Der Sicherheitsausschuss billigte die Klarstellung der russischen Fassung der Begriffsbestimmung für </w:t>
      </w:r>
      <w:r w:rsidR="006259F9" w:rsidRPr="00EC7F28">
        <w:rPr>
          <w:lang w:val="de-DE"/>
        </w:rPr>
        <w:t>„</w:t>
      </w:r>
      <w:r w:rsidR="00B9378B" w:rsidRPr="00EC7F28">
        <w:rPr>
          <w:lang w:val="de-DE"/>
        </w:rPr>
        <w:t>Membrantank</w:t>
      </w:r>
      <w:r w:rsidR="006259F9" w:rsidRPr="00EC7F28">
        <w:rPr>
          <w:lang w:val="de-DE"/>
        </w:rPr>
        <w:t>“</w:t>
      </w:r>
      <w:r w:rsidR="00B9378B" w:rsidRPr="00EC7F28">
        <w:rPr>
          <w:lang w:val="de-DE"/>
        </w:rPr>
        <w:t xml:space="preserve"> in Abschnitt 1.2.1 </w:t>
      </w:r>
      <w:r w:rsidR="007F0F66" w:rsidRPr="00EC7F28">
        <w:rPr>
          <w:lang w:val="de-DE"/>
        </w:rPr>
        <w:t>„</w:t>
      </w:r>
      <w:r w:rsidR="00B9378B" w:rsidRPr="00EC7F28">
        <w:rPr>
          <w:lang w:val="de-DE"/>
        </w:rPr>
        <w:t>Ladetank</w:t>
      </w:r>
      <w:r w:rsidR="007F18A1" w:rsidRPr="00EC7F28">
        <w:rPr>
          <w:lang w:val="de-DE"/>
        </w:rPr>
        <w:t>typ</w:t>
      </w:r>
      <w:r w:rsidR="007F0F66" w:rsidRPr="00EC7F28">
        <w:rPr>
          <w:lang w:val="de-DE"/>
        </w:rPr>
        <w:t>“</w:t>
      </w:r>
      <w:r w:rsidR="00B9378B" w:rsidRPr="00EC7F28">
        <w:rPr>
          <w:lang w:val="de-DE"/>
        </w:rPr>
        <w:t xml:space="preserve"> d) grundsätzlich, betonte jedoch die Notwendigkeit einer vollständigen Anpassung an </w:t>
      </w:r>
      <w:r w:rsidR="00F5104F" w:rsidRPr="00EC7F28">
        <w:rPr>
          <w:lang w:val="de-DE"/>
        </w:rPr>
        <w:t>den Sinn</w:t>
      </w:r>
      <w:r w:rsidR="00B9378B" w:rsidRPr="00EC7F28">
        <w:rPr>
          <w:lang w:val="de-DE"/>
        </w:rPr>
        <w:t xml:space="preserve"> in den anderen Sprach</w:t>
      </w:r>
      <w:r w:rsidR="006259F9" w:rsidRPr="00EC7F28">
        <w:rPr>
          <w:lang w:val="de-DE"/>
        </w:rPr>
        <w:t>fassung</w:t>
      </w:r>
      <w:r w:rsidR="00B9378B" w:rsidRPr="00EC7F28">
        <w:rPr>
          <w:lang w:val="de-DE"/>
        </w:rPr>
        <w:t>en des ADN.</w:t>
      </w:r>
      <w:r w:rsidRPr="00BA758E">
        <w:rPr>
          <w:lang w:val="de-DE"/>
        </w:rPr>
        <w:t xml:space="preserve"> </w:t>
      </w:r>
      <w:r w:rsidR="00E43DBA" w:rsidRPr="00EC7F28">
        <w:rPr>
          <w:lang w:val="de-DE"/>
        </w:rPr>
        <w:t xml:space="preserve">Bezüglich der Änderungsvorschläge zu den Absätzen 9.3.1.18.1 und 9.3.1.18.2 zog es der Sicherheitsausschuss vor, die beiden Absätze nicht zusammenzuführen, da Absatz 9.3.1.18.1 Vorschriften für </w:t>
      </w:r>
      <w:r w:rsidR="00C05C85" w:rsidRPr="00EC7F28">
        <w:rPr>
          <w:lang w:val="de-DE"/>
        </w:rPr>
        <w:t>Gasspür</w:t>
      </w:r>
      <w:r w:rsidR="00E43DBA" w:rsidRPr="00EC7F28">
        <w:rPr>
          <w:lang w:val="de-DE"/>
        </w:rPr>
        <w:t>zwecke und Absatz 9.3.3.18.2 die Verwendung eines Inertgases für Sicherheitszwecke betrifft.</w:t>
      </w:r>
      <w:r w:rsidRPr="00BA758E">
        <w:rPr>
          <w:lang w:val="de-DE"/>
        </w:rPr>
        <w:t xml:space="preserve"> </w:t>
      </w:r>
      <w:r w:rsidR="00026B2A" w:rsidRPr="00543B54">
        <w:rPr>
          <w:lang w:val="de-DE"/>
        </w:rPr>
        <w:t xml:space="preserve">Der Vertreter der Donaukommission erklärte sich bereit, für die nächste Sitzung einen aktualisierten </w:t>
      </w:r>
      <w:r w:rsidR="00663B43" w:rsidRPr="00543B54">
        <w:rPr>
          <w:lang w:val="de-DE"/>
        </w:rPr>
        <w:t>Vorschlag</w:t>
      </w:r>
      <w:r w:rsidR="00026B2A" w:rsidRPr="00543B54">
        <w:rPr>
          <w:lang w:val="de-DE"/>
        </w:rPr>
        <w:t xml:space="preserve"> vorzulegen, in dem die Bauarten von Binnenschiffen berücksichtigt </w:t>
      </w:r>
      <w:r w:rsidR="00543B54" w:rsidRPr="00543B54">
        <w:rPr>
          <w:lang w:val="de-DE"/>
        </w:rPr>
        <w:t>sind</w:t>
      </w:r>
      <w:r w:rsidR="00026B2A" w:rsidRPr="00543B54">
        <w:rPr>
          <w:lang w:val="de-DE"/>
        </w:rPr>
        <w:t>.</w:t>
      </w:r>
      <w:r w:rsidRPr="00BA758E">
        <w:rPr>
          <w:lang w:val="de-DE"/>
        </w:rPr>
        <w:t xml:space="preserve"> </w:t>
      </w:r>
    </w:p>
    <w:p w14:paraId="2C5C0C0F" w14:textId="13243E88" w:rsidR="00B27959" w:rsidRPr="00BA758E" w:rsidRDefault="00B27959" w:rsidP="006E6DE9">
      <w:pPr>
        <w:pStyle w:val="H23G"/>
        <w:spacing w:before="0" w:line="240" w:lineRule="auto"/>
        <w:rPr>
          <w:lang w:val="de-DE"/>
        </w:rPr>
      </w:pPr>
      <w:r w:rsidRPr="00BA758E">
        <w:rPr>
          <w:lang w:val="de-DE"/>
        </w:rPr>
        <w:tab/>
      </w:r>
      <w:bookmarkStart w:id="32" w:name="_Toc81410385"/>
      <w:r w:rsidRPr="00BA758E">
        <w:rPr>
          <w:lang w:val="de-DE"/>
        </w:rPr>
        <w:t>2.</w:t>
      </w:r>
      <w:r w:rsidRPr="00BA758E">
        <w:rPr>
          <w:lang w:val="de-DE"/>
        </w:rPr>
        <w:tab/>
      </w:r>
      <w:bookmarkEnd w:id="32"/>
      <w:r w:rsidR="00CA3B70" w:rsidRPr="00543B54">
        <w:rPr>
          <w:lang w:val="de-DE"/>
        </w:rPr>
        <w:t>Vorschlag zur Änderung von Unterabschnitt 7.2.4.41 in Bezug auf die Beschränkung für elektronische Zigaretten</w:t>
      </w:r>
    </w:p>
    <w:p w14:paraId="62477955" w14:textId="5D85642A" w:rsidR="00B27959" w:rsidRPr="00BA758E" w:rsidRDefault="00CA3B70" w:rsidP="006E6DE9">
      <w:pPr>
        <w:pStyle w:val="H23G"/>
        <w:keepNext w:val="0"/>
        <w:keepLines w:val="0"/>
        <w:tabs>
          <w:tab w:val="left" w:pos="1134"/>
          <w:tab w:val="left" w:pos="3402"/>
        </w:tabs>
        <w:spacing w:before="120" w:line="240" w:lineRule="auto"/>
        <w:ind w:firstLine="0"/>
        <w:rPr>
          <w:b w:val="0"/>
          <w:bCs/>
          <w:lang w:val="de-DE"/>
        </w:rPr>
      </w:pPr>
      <w:bookmarkStart w:id="33" w:name="_Toc81410386"/>
      <w:r w:rsidRPr="00CA3B70">
        <w:rPr>
          <w:b w:val="0"/>
          <w:bCs/>
          <w:i/>
          <w:iCs/>
          <w:lang w:val="de-DE"/>
        </w:rPr>
        <w:t>Dokument:</w:t>
      </w:r>
      <w:r w:rsidR="00B27959" w:rsidRPr="00BA758E">
        <w:rPr>
          <w:b w:val="0"/>
          <w:bCs/>
          <w:lang w:val="de-DE"/>
        </w:rPr>
        <w:tab/>
        <w:t>ECE/TRANS/WP.15/AC.2/2021/17 (</w:t>
      </w:r>
      <w:r w:rsidRPr="00BA758E">
        <w:rPr>
          <w:b w:val="0"/>
          <w:bCs/>
          <w:lang w:val="de-DE"/>
        </w:rPr>
        <w:t>ZK</w:t>
      </w:r>
      <w:r w:rsidR="00B27959" w:rsidRPr="00BA758E">
        <w:rPr>
          <w:b w:val="0"/>
          <w:bCs/>
          <w:lang w:val="de-DE"/>
        </w:rPr>
        <w:t>R)</w:t>
      </w:r>
      <w:bookmarkEnd w:id="33"/>
    </w:p>
    <w:p w14:paraId="6B06A292" w14:textId="5E8EFBBC" w:rsidR="00B27959" w:rsidRPr="00BA758E" w:rsidRDefault="00B27959" w:rsidP="006E6DE9">
      <w:pPr>
        <w:pStyle w:val="SingleTxtG"/>
        <w:spacing w:line="240" w:lineRule="auto"/>
        <w:rPr>
          <w:lang w:val="de-DE"/>
        </w:rPr>
      </w:pPr>
      <w:r w:rsidRPr="00BA758E">
        <w:rPr>
          <w:lang w:val="de-DE"/>
        </w:rPr>
        <w:t>24.</w:t>
      </w:r>
      <w:r w:rsidRPr="00BA758E">
        <w:rPr>
          <w:lang w:val="de-DE"/>
        </w:rPr>
        <w:tab/>
      </w:r>
      <w:r w:rsidR="0046424E" w:rsidRPr="00543B54">
        <w:rPr>
          <w:lang w:val="de-DE"/>
        </w:rPr>
        <w:t xml:space="preserve">Der Sicherheitsausschuss nahm den Änderungsvorschlag zu Unterabschnitt 7.2.4.41, </w:t>
      </w:r>
      <w:r w:rsidR="006C1CF7" w:rsidRPr="00543B54">
        <w:rPr>
          <w:lang w:val="de-DE"/>
        </w:rPr>
        <w:t>der auf ein Verbot</w:t>
      </w:r>
      <w:r w:rsidR="0046424E" w:rsidRPr="00543B54">
        <w:rPr>
          <w:lang w:val="de-DE"/>
        </w:rPr>
        <w:t xml:space="preserve"> de</w:t>
      </w:r>
      <w:r w:rsidR="006C1CF7" w:rsidRPr="00543B54">
        <w:rPr>
          <w:lang w:val="de-DE"/>
        </w:rPr>
        <w:t>r</w:t>
      </w:r>
      <w:r w:rsidR="0046424E" w:rsidRPr="00543B54">
        <w:rPr>
          <w:lang w:val="de-DE"/>
        </w:rPr>
        <w:t xml:space="preserve"> Verwendung elektronischer Zigaretten </w:t>
      </w:r>
      <w:r w:rsidR="006C1CF7" w:rsidRPr="00543B54">
        <w:rPr>
          <w:lang w:val="de-DE"/>
        </w:rPr>
        <w:t>zielt</w:t>
      </w:r>
      <w:r w:rsidR="000C1E19" w:rsidRPr="00543B54">
        <w:rPr>
          <w:lang w:val="de-DE"/>
        </w:rPr>
        <w:t>, an</w:t>
      </w:r>
      <w:r w:rsidR="0046424E" w:rsidRPr="00543B54">
        <w:rPr>
          <w:lang w:val="de-DE"/>
        </w:rPr>
        <w:t xml:space="preserve"> (siehe Anlage I).</w:t>
      </w:r>
    </w:p>
    <w:p w14:paraId="78979C11" w14:textId="26D61EB1" w:rsidR="00B27959" w:rsidRPr="00BA758E" w:rsidRDefault="00B27959" w:rsidP="006E6DE9">
      <w:pPr>
        <w:pStyle w:val="H23G"/>
        <w:spacing w:line="240" w:lineRule="auto"/>
        <w:rPr>
          <w:lang w:val="de-DE"/>
        </w:rPr>
      </w:pPr>
      <w:r w:rsidRPr="00BA758E">
        <w:rPr>
          <w:lang w:val="de-DE"/>
        </w:rPr>
        <w:tab/>
      </w:r>
      <w:bookmarkStart w:id="34" w:name="_Toc81410387"/>
      <w:r w:rsidRPr="00BA758E">
        <w:rPr>
          <w:lang w:val="de-DE"/>
        </w:rPr>
        <w:t>3.</w:t>
      </w:r>
      <w:r w:rsidRPr="00BA758E">
        <w:rPr>
          <w:lang w:val="de-DE"/>
        </w:rPr>
        <w:tab/>
      </w:r>
      <w:bookmarkEnd w:id="34"/>
      <w:r w:rsidR="002242D4" w:rsidRPr="002242D4">
        <w:rPr>
          <w:lang w:val="de-DE"/>
        </w:rPr>
        <w:t>Verschiedene Änderungen und notifizierungspflichtige Korrekturen des ADN 2021</w:t>
      </w:r>
    </w:p>
    <w:p w14:paraId="6B4B4111" w14:textId="5F0A6EC7" w:rsidR="00B27959" w:rsidRPr="00BA758E" w:rsidRDefault="002242D4" w:rsidP="006E6DE9">
      <w:pPr>
        <w:pStyle w:val="H23G"/>
        <w:tabs>
          <w:tab w:val="left" w:pos="1134"/>
          <w:tab w:val="left" w:pos="3402"/>
        </w:tabs>
        <w:spacing w:before="120" w:line="240" w:lineRule="auto"/>
        <w:ind w:firstLine="0"/>
        <w:rPr>
          <w:b w:val="0"/>
          <w:bCs/>
          <w:lang w:val="de-DE"/>
        </w:rPr>
      </w:pPr>
      <w:bookmarkStart w:id="35" w:name="_Toc81410388"/>
      <w:r w:rsidRPr="002242D4">
        <w:rPr>
          <w:b w:val="0"/>
          <w:bCs/>
          <w:i/>
          <w:iCs/>
          <w:lang w:val="de-DE"/>
        </w:rPr>
        <w:t>Dokument:</w:t>
      </w:r>
      <w:r w:rsidR="00B27959" w:rsidRPr="00BA758E">
        <w:rPr>
          <w:b w:val="0"/>
          <w:bCs/>
          <w:lang w:val="de-DE"/>
        </w:rPr>
        <w:tab/>
      </w:r>
      <w:bookmarkEnd w:id="35"/>
      <w:r w:rsidRPr="002242D4">
        <w:rPr>
          <w:b w:val="0"/>
          <w:bCs/>
          <w:lang w:val="de-DE"/>
        </w:rPr>
        <w:t>ECE/TRANS/WP.15/AC.2/2021/19 (Deutschland)</w:t>
      </w:r>
    </w:p>
    <w:p w14:paraId="410C23FC" w14:textId="352A30E2" w:rsidR="00B27959" w:rsidRPr="00BA758E" w:rsidRDefault="00B27959" w:rsidP="006E6DE9">
      <w:pPr>
        <w:pStyle w:val="SingleTxtG"/>
        <w:spacing w:line="240" w:lineRule="auto"/>
        <w:rPr>
          <w:lang w:val="de-DE"/>
        </w:rPr>
      </w:pPr>
      <w:r w:rsidRPr="00BA758E">
        <w:rPr>
          <w:lang w:val="de-DE"/>
        </w:rPr>
        <w:t>25.</w:t>
      </w:r>
      <w:r w:rsidRPr="00BA758E">
        <w:rPr>
          <w:lang w:val="de-DE"/>
        </w:rPr>
        <w:tab/>
      </w:r>
      <w:r w:rsidR="002242D4" w:rsidRPr="00A614A4">
        <w:rPr>
          <w:lang w:val="de-DE"/>
        </w:rPr>
        <w:t>Der Sicherheitsausschuss nahm die in ECE/TRANS/WP.15/AC.2/2021/19 vorgeschlagenen Änderungen und Korrekturen der Tabellen A und C sowie des Absatzes 7.2.5.4.2 in der geänderten Fassung an (siehe Anlage I).</w:t>
      </w:r>
    </w:p>
    <w:p w14:paraId="09CD494D" w14:textId="1E675447" w:rsidR="00B27959" w:rsidRPr="00BA758E" w:rsidRDefault="00B27959" w:rsidP="006E6DE9">
      <w:pPr>
        <w:pStyle w:val="H23G"/>
        <w:spacing w:before="120" w:line="240" w:lineRule="auto"/>
        <w:rPr>
          <w:lang w:val="de-DE"/>
        </w:rPr>
      </w:pPr>
      <w:r w:rsidRPr="00BA758E">
        <w:rPr>
          <w:lang w:val="de-DE"/>
        </w:rPr>
        <w:tab/>
      </w:r>
      <w:bookmarkStart w:id="36" w:name="_Toc81410389"/>
      <w:r w:rsidRPr="00BA758E">
        <w:rPr>
          <w:lang w:val="de-DE"/>
        </w:rPr>
        <w:t>4.</w:t>
      </w:r>
      <w:r w:rsidRPr="00BA758E">
        <w:rPr>
          <w:lang w:val="de-DE"/>
        </w:rPr>
        <w:tab/>
      </w:r>
      <w:bookmarkEnd w:id="36"/>
      <w:r w:rsidR="00A614A4" w:rsidRPr="00A614A4">
        <w:rPr>
          <w:lang w:val="de-DE"/>
        </w:rPr>
        <w:t>Abschnitt 8.2.1 ADN – Vorschriften für die Ausbildung von Sachkundigen</w:t>
      </w:r>
    </w:p>
    <w:p w14:paraId="2381BEC7" w14:textId="3B84B9FE" w:rsidR="00B27959" w:rsidRPr="00BA758E" w:rsidRDefault="00A614A4" w:rsidP="006E6DE9">
      <w:pPr>
        <w:pStyle w:val="H23G"/>
        <w:tabs>
          <w:tab w:val="left" w:pos="1134"/>
          <w:tab w:val="left" w:pos="3402"/>
        </w:tabs>
        <w:spacing w:before="120" w:line="240" w:lineRule="auto"/>
        <w:ind w:firstLine="0"/>
        <w:rPr>
          <w:b w:val="0"/>
          <w:bCs/>
          <w:lang w:val="de-DE"/>
        </w:rPr>
      </w:pPr>
      <w:bookmarkStart w:id="37" w:name="_Toc81410390"/>
      <w:r w:rsidRPr="00A614A4">
        <w:rPr>
          <w:b w:val="0"/>
          <w:bCs/>
          <w:i/>
          <w:iCs/>
          <w:lang w:val="de-DE"/>
        </w:rPr>
        <w:t>Dokument:</w:t>
      </w:r>
      <w:r w:rsidR="00B27959" w:rsidRPr="00BA758E">
        <w:rPr>
          <w:b w:val="0"/>
          <w:bCs/>
          <w:lang w:val="de-DE"/>
        </w:rPr>
        <w:tab/>
      </w:r>
      <w:bookmarkEnd w:id="37"/>
      <w:r w:rsidRPr="00A614A4">
        <w:rPr>
          <w:b w:val="0"/>
          <w:bCs/>
          <w:lang w:val="de-DE"/>
        </w:rPr>
        <w:t>ECE/TRANS/WP.15/AC.2/2021/21 (Deutschland)</w:t>
      </w:r>
    </w:p>
    <w:p w14:paraId="4380ADC9" w14:textId="19D01FDA" w:rsidR="00B27959" w:rsidRPr="00BA758E" w:rsidRDefault="00B27959" w:rsidP="006E6DE9">
      <w:pPr>
        <w:pStyle w:val="SingleTxtG"/>
        <w:spacing w:line="240" w:lineRule="auto"/>
        <w:rPr>
          <w:lang w:val="de-DE"/>
        </w:rPr>
      </w:pPr>
      <w:r w:rsidRPr="00BA758E">
        <w:rPr>
          <w:lang w:val="de-DE"/>
        </w:rPr>
        <w:t>26.</w:t>
      </w:r>
      <w:r w:rsidRPr="00BA758E">
        <w:rPr>
          <w:lang w:val="de-DE"/>
        </w:rPr>
        <w:tab/>
      </w:r>
      <w:r w:rsidR="00A614A4" w:rsidRPr="00543B54">
        <w:rPr>
          <w:lang w:val="de-DE"/>
        </w:rPr>
        <w:t>Der Sicherheitsausschuss unterzog die Änderungsvorschläge zu den Punkten 1, 2, 3, 4 und 5 einer eingehenden Prüfung und billigte die Vorschläge zu den Punkten 2 und 5 (siehe An</w:t>
      </w:r>
      <w:r w:rsidR="00345F2C" w:rsidRPr="00543B54">
        <w:rPr>
          <w:lang w:val="de-DE"/>
        </w:rPr>
        <w:t>l</w:t>
      </w:r>
      <w:r w:rsidR="00A614A4" w:rsidRPr="00543B54">
        <w:rPr>
          <w:lang w:val="de-DE"/>
        </w:rPr>
        <w:t>ag</w:t>
      </w:r>
      <w:r w:rsidR="00345F2C" w:rsidRPr="00543B54">
        <w:rPr>
          <w:lang w:val="de-DE"/>
        </w:rPr>
        <w:t>e </w:t>
      </w:r>
      <w:r w:rsidR="00A614A4" w:rsidRPr="00543B54">
        <w:rPr>
          <w:lang w:val="de-DE"/>
        </w:rPr>
        <w:t>I) im Grundsatz.</w:t>
      </w:r>
      <w:r w:rsidRPr="00BA758E">
        <w:rPr>
          <w:lang w:val="de-DE"/>
        </w:rPr>
        <w:t xml:space="preserve"> </w:t>
      </w:r>
      <w:r w:rsidR="007F67DD" w:rsidRPr="00543B54">
        <w:rPr>
          <w:lang w:val="de-DE"/>
        </w:rPr>
        <w:t>Zu Vorschlag 3 kam der Sicherheitsausschuss zu dem Schluss, dass aus pädagogischen Gründen ein</w:t>
      </w:r>
      <w:r w:rsidR="002B02F6" w:rsidRPr="00543B54">
        <w:rPr>
          <w:lang w:val="de-DE"/>
        </w:rPr>
        <w:t>e</w:t>
      </w:r>
      <w:r w:rsidR="007F67DD" w:rsidRPr="00543B54">
        <w:rPr>
          <w:lang w:val="de-DE"/>
        </w:rPr>
        <w:t xml:space="preserve"> </w:t>
      </w:r>
      <w:r w:rsidR="002B02F6" w:rsidRPr="00543B54">
        <w:rPr>
          <w:lang w:val="de-DE"/>
        </w:rPr>
        <w:t>Anzahl</w:t>
      </w:r>
      <w:r w:rsidR="007F67DD" w:rsidRPr="00543B54">
        <w:rPr>
          <w:lang w:val="de-DE"/>
        </w:rPr>
        <w:t xml:space="preserve"> von zwei Wiederholungen </w:t>
      </w:r>
      <w:r w:rsidR="005417FE" w:rsidRPr="00543B54">
        <w:rPr>
          <w:lang w:val="de-DE"/>
        </w:rPr>
        <w:t>sinnvoll</w:t>
      </w:r>
      <w:r w:rsidR="007F67DD" w:rsidRPr="00543B54">
        <w:rPr>
          <w:lang w:val="de-DE"/>
        </w:rPr>
        <w:t xml:space="preserve"> </w:t>
      </w:r>
      <w:r w:rsidR="00543B54" w:rsidRPr="00543B54">
        <w:rPr>
          <w:lang w:val="de-DE"/>
        </w:rPr>
        <w:t>sei</w:t>
      </w:r>
      <w:r w:rsidR="007F67DD" w:rsidRPr="00543B54">
        <w:rPr>
          <w:lang w:val="de-DE"/>
        </w:rPr>
        <w:t xml:space="preserve"> und ein Vergleich mit anderen Prüfungsformen wünschenswert </w:t>
      </w:r>
      <w:r w:rsidR="00543B54" w:rsidRPr="00543B54">
        <w:rPr>
          <w:lang w:val="de-DE"/>
        </w:rPr>
        <w:t>sei</w:t>
      </w:r>
      <w:r w:rsidR="007F67DD" w:rsidRPr="00543B54">
        <w:rPr>
          <w:lang w:val="de-DE"/>
        </w:rPr>
        <w:t>.</w:t>
      </w:r>
      <w:r w:rsidRPr="00BA758E">
        <w:rPr>
          <w:lang w:val="de-DE"/>
        </w:rPr>
        <w:t xml:space="preserve"> </w:t>
      </w:r>
      <w:r w:rsidR="005417FE" w:rsidRPr="0043158A">
        <w:rPr>
          <w:lang w:val="de-DE"/>
        </w:rPr>
        <w:t xml:space="preserve">Zu den Änderungsvorschlägen zu Absatz 8.2.2.7.2.1 für die Zulassung zu den Aufbaukursen Gas und Chemie stellte der Sicherheitsausschuss fest, dass die </w:t>
      </w:r>
      <w:r w:rsidR="002F41F2" w:rsidRPr="0043158A">
        <w:rPr>
          <w:lang w:val="de-DE"/>
        </w:rPr>
        <w:t>Bewerber</w:t>
      </w:r>
      <w:r w:rsidR="005417FE" w:rsidRPr="0043158A">
        <w:rPr>
          <w:lang w:val="de-DE"/>
        </w:rPr>
        <w:t xml:space="preserve"> nicht unbedingt im Besitz de</w:t>
      </w:r>
      <w:r w:rsidR="00F74E98" w:rsidRPr="0043158A">
        <w:rPr>
          <w:lang w:val="de-DE"/>
        </w:rPr>
        <w:t>r</w:t>
      </w:r>
      <w:r w:rsidR="005417FE" w:rsidRPr="0043158A">
        <w:rPr>
          <w:lang w:val="de-DE"/>
        </w:rPr>
        <w:t xml:space="preserve"> </w:t>
      </w:r>
      <w:r w:rsidR="00F74E98" w:rsidRPr="0043158A">
        <w:rPr>
          <w:lang w:val="de-DE"/>
        </w:rPr>
        <w:t>physischen Urkunde</w:t>
      </w:r>
      <w:r w:rsidR="005417FE" w:rsidRPr="0043158A">
        <w:rPr>
          <w:lang w:val="de-DE"/>
        </w:rPr>
        <w:t xml:space="preserve"> sein müssen, um sich für die Prüfung anzumelden, da sich dies verzögern könne.</w:t>
      </w:r>
      <w:r w:rsidRPr="00BA758E">
        <w:rPr>
          <w:lang w:val="de-DE"/>
        </w:rPr>
        <w:t xml:space="preserve"> </w:t>
      </w:r>
      <w:r w:rsidR="000C6220" w:rsidRPr="0091203B">
        <w:rPr>
          <w:lang w:val="de-DE"/>
        </w:rPr>
        <w:t xml:space="preserve">Es wurde auch festgestellt, dass für </w:t>
      </w:r>
      <w:r w:rsidR="00C13EC0" w:rsidRPr="0091203B">
        <w:rPr>
          <w:lang w:val="de-DE"/>
        </w:rPr>
        <w:t>Kandidaten</w:t>
      </w:r>
      <w:r w:rsidR="000C6220" w:rsidRPr="0091203B">
        <w:rPr>
          <w:lang w:val="de-DE"/>
        </w:rPr>
        <w:t xml:space="preserve"> mit Behinderungen besondere Prüfungsbedingungen </w:t>
      </w:r>
      <w:r w:rsidR="00E51C9E" w:rsidRPr="0091203B">
        <w:rPr>
          <w:lang w:val="de-DE"/>
        </w:rPr>
        <w:t>entsprechend</w:t>
      </w:r>
      <w:r w:rsidR="000C6220" w:rsidRPr="0091203B">
        <w:rPr>
          <w:lang w:val="de-DE"/>
        </w:rPr>
        <w:t xml:space="preserve"> den staatlichen Vorschriften zulässig sind.</w:t>
      </w:r>
      <w:r w:rsidRPr="00BA758E">
        <w:rPr>
          <w:lang w:val="de-DE"/>
        </w:rPr>
        <w:t xml:space="preserve"> </w:t>
      </w:r>
      <w:r w:rsidR="00E51C9E" w:rsidRPr="0091203B">
        <w:rPr>
          <w:lang w:val="de-DE"/>
        </w:rPr>
        <w:t>Der Vertreter Deutschlands bot an, für die nächste Sitzung im Januar 2022 einen aktualisierten Vorschlag zur abschließenden Überprüfung vorzubereiten.</w:t>
      </w:r>
    </w:p>
    <w:p w14:paraId="3A97DB86" w14:textId="4617302B" w:rsidR="00B27959" w:rsidRPr="00BA758E" w:rsidRDefault="00B27959" w:rsidP="006E6DE9">
      <w:pPr>
        <w:pStyle w:val="H23G"/>
        <w:spacing w:before="120" w:line="240" w:lineRule="auto"/>
        <w:rPr>
          <w:lang w:val="de-DE"/>
        </w:rPr>
      </w:pPr>
      <w:r w:rsidRPr="00BA758E">
        <w:rPr>
          <w:lang w:val="de-DE"/>
        </w:rPr>
        <w:tab/>
      </w:r>
      <w:bookmarkStart w:id="38" w:name="_Toc81410391"/>
      <w:r w:rsidRPr="00BA758E">
        <w:rPr>
          <w:lang w:val="de-DE"/>
        </w:rPr>
        <w:t>5.</w:t>
      </w:r>
      <w:r w:rsidRPr="00BA758E">
        <w:rPr>
          <w:lang w:val="de-DE"/>
        </w:rPr>
        <w:tab/>
      </w:r>
      <w:bookmarkEnd w:id="38"/>
      <w:r w:rsidR="00E51C9E" w:rsidRPr="00E51C9E">
        <w:rPr>
          <w:lang w:val="de-DE"/>
        </w:rPr>
        <w:t>Beförderung von begasten Schüttgütern in Laderäumen und begaste Laderäume von Trockengüterschiffen</w:t>
      </w:r>
    </w:p>
    <w:p w14:paraId="6ECD85E8" w14:textId="6DE88BF9" w:rsidR="00B27959" w:rsidRPr="00BA758E" w:rsidRDefault="00E51C9E" w:rsidP="006E6DE9">
      <w:pPr>
        <w:pStyle w:val="H23G"/>
        <w:tabs>
          <w:tab w:val="left" w:pos="3402"/>
        </w:tabs>
        <w:spacing w:after="0" w:line="240" w:lineRule="auto"/>
        <w:ind w:left="3402" w:hanging="2268"/>
        <w:rPr>
          <w:b w:val="0"/>
          <w:bCs/>
          <w:lang w:val="de-DE"/>
        </w:rPr>
      </w:pPr>
      <w:bookmarkStart w:id="39" w:name="_Toc81410392"/>
      <w:r w:rsidRPr="00E51C9E">
        <w:rPr>
          <w:b w:val="0"/>
          <w:bCs/>
          <w:i/>
          <w:iCs/>
          <w:lang w:val="de-DE"/>
        </w:rPr>
        <w:t>Dokument:</w:t>
      </w:r>
      <w:r w:rsidR="00B27959" w:rsidRPr="00BA758E">
        <w:rPr>
          <w:b w:val="0"/>
          <w:bCs/>
          <w:lang w:val="de-DE"/>
        </w:rPr>
        <w:tab/>
      </w:r>
      <w:bookmarkEnd w:id="39"/>
      <w:r w:rsidRPr="00E51C9E">
        <w:rPr>
          <w:b w:val="0"/>
          <w:bCs/>
          <w:lang w:val="de-DE"/>
        </w:rPr>
        <w:t>ECE/TRANS/WP.15/AC.2/2021/22 (Deutschland)</w:t>
      </w:r>
    </w:p>
    <w:p w14:paraId="5D971A81" w14:textId="5B6A1873" w:rsidR="00B27959" w:rsidRPr="001B5E14" w:rsidRDefault="00E51C9E" w:rsidP="006E6DE9">
      <w:pPr>
        <w:pStyle w:val="H23G"/>
        <w:tabs>
          <w:tab w:val="left" w:pos="3402"/>
        </w:tabs>
        <w:spacing w:before="0" w:line="240" w:lineRule="auto"/>
        <w:ind w:left="3402" w:hanging="2268"/>
        <w:rPr>
          <w:b w:val="0"/>
          <w:bCs/>
          <w:lang w:val="de-DE"/>
        </w:rPr>
      </w:pPr>
      <w:bookmarkStart w:id="40" w:name="_Toc81410393"/>
      <w:r w:rsidRPr="00E51C9E">
        <w:rPr>
          <w:b w:val="0"/>
          <w:bCs/>
          <w:i/>
          <w:iCs/>
          <w:lang w:val="de-DE"/>
        </w:rPr>
        <w:t>Informelles Dokument:</w:t>
      </w:r>
      <w:r w:rsidR="00B27959" w:rsidRPr="001B5E14">
        <w:rPr>
          <w:b w:val="0"/>
          <w:bCs/>
          <w:lang w:val="de-DE"/>
        </w:rPr>
        <w:tab/>
      </w:r>
      <w:bookmarkEnd w:id="40"/>
      <w:r w:rsidRPr="00E51C9E">
        <w:rPr>
          <w:b w:val="0"/>
          <w:bCs/>
          <w:lang w:val="de-DE"/>
        </w:rPr>
        <w:t>INF.5 (Österreich)</w:t>
      </w:r>
    </w:p>
    <w:p w14:paraId="08E09F35" w14:textId="5C4D978A" w:rsidR="00B27959" w:rsidRPr="00BA758E" w:rsidRDefault="00B27959" w:rsidP="006E6DE9">
      <w:pPr>
        <w:pStyle w:val="SingleTxtG"/>
        <w:spacing w:line="240" w:lineRule="auto"/>
        <w:rPr>
          <w:lang w:val="de-DE"/>
        </w:rPr>
      </w:pPr>
      <w:r w:rsidRPr="00BA758E">
        <w:rPr>
          <w:lang w:val="de-DE"/>
        </w:rPr>
        <w:t>27.</w:t>
      </w:r>
      <w:r w:rsidRPr="00BA758E">
        <w:rPr>
          <w:lang w:val="de-DE"/>
        </w:rPr>
        <w:tab/>
      </w:r>
      <w:r w:rsidR="00B56012" w:rsidRPr="0091203B">
        <w:rPr>
          <w:lang w:val="de-DE"/>
        </w:rPr>
        <w:t>Der Sicherheitsausschuss war sich einig, dass eine Änderung der dem ADN beigefügten V</w:t>
      </w:r>
      <w:r w:rsidR="004E3A50" w:rsidRPr="0091203B">
        <w:rPr>
          <w:lang w:val="de-DE"/>
        </w:rPr>
        <w:t>e</w:t>
      </w:r>
      <w:r w:rsidR="00B56012" w:rsidRPr="0091203B">
        <w:rPr>
          <w:lang w:val="de-DE"/>
        </w:rPr>
        <w:t>r</w:t>
      </w:r>
      <w:r w:rsidR="004E3A50" w:rsidRPr="0091203B">
        <w:rPr>
          <w:lang w:val="de-DE"/>
        </w:rPr>
        <w:t>ordnung</w:t>
      </w:r>
      <w:r w:rsidR="00B56012" w:rsidRPr="0091203B">
        <w:rPr>
          <w:lang w:val="de-DE"/>
        </w:rPr>
        <w:t xml:space="preserve"> </w:t>
      </w:r>
      <w:r w:rsidR="00515802" w:rsidRPr="0091203B">
        <w:rPr>
          <w:lang w:val="de-DE"/>
        </w:rPr>
        <w:t>wichtig ist, um</w:t>
      </w:r>
      <w:r w:rsidR="00B56012" w:rsidRPr="0091203B">
        <w:rPr>
          <w:lang w:val="de-DE"/>
        </w:rPr>
        <w:t xml:space="preserve"> die Beförderung von begasten </w:t>
      </w:r>
      <w:r w:rsidR="00A002BB" w:rsidRPr="0091203B">
        <w:rPr>
          <w:lang w:val="de-DE"/>
        </w:rPr>
        <w:t>Schütt</w:t>
      </w:r>
      <w:r w:rsidR="00B56012" w:rsidRPr="0091203B">
        <w:rPr>
          <w:lang w:val="de-DE"/>
        </w:rPr>
        <w:t>gütern in Laderäumen und begaste Laderäume von Trocken</w:t>
      </w:r>
      <w:r w:rsidR="00515802" w:rsidRPr="0091203B">
        <w:rPr>
          <w:lang w:val="de-DE"/>
        </w:rPr>
        <w:t>güter</w:t>
      </w:r>
      <w:r w:rsidR="00B56012" w:rsidRPr="0091203B">
        <w:rPr>
          <w:lang w:val="de-DE"/>
        </w:rPr>
        <w:t xml:space="preserve">schiffen </w:t>
      </w:r>
      <w:r w:rsidR="00515802" w:rsidRPr="0091203B">
        <w:rPr>
          <w:lang w:val="de-DE"/>
        </w:rPr>
        <w:t xml:space="preserve">zu erfassen </w:t>
      </w:r>
      <w:r w:rsidR="00B56012" w:rsidRPr="0091203B">
        <w:rPr>
          <w:lang w:val="de-DE"/>
        </w:rPr>
        <w:t>u</w:t>
      </w:r>
      <w:r w:rsidR="00515802" w:rsidRPr="0091203B">
        <w:rPr>
          <w:lang w:val="de-DE"/>
        </w:rPr>
        <w:t>nd</w:t>
      </w:r>
      <w:r w:rsidR="00B56012" w:rsidRPr="0091203B">
        <w:rPr>
          <w:lang w:val="de-DE"/>
        </w:rPr>
        <w:t xml:space="preserve"> die Sicherheit der Besatzungsmitglieder und anderer Personen an Bord zu gewährleisten.</w:t>
      </w:r>
      <w:r w:rsidRPr="00BA758E">
        <w:rPr>
          <w:lang w:val="de-DE"/>
        </w:rPr>
        <w:t xml:space="preserve"> </w:t>
      </w:r>
      <w:r w:rsidR="00194777" w:rsidRPr="0091203B">
        <w:rPr>
          <w:lang w:val="de-DE"/>
        </w:rPr>
        <w:t xml:space="preserve">Unter Berücksichtigung der im deutschen </w:t>
      </w:r>
      <w:r w:rsidR="00C870EE" w:rsidRPr="0091203B">
        <w:rPr>
          <w:lang w:val="de-DE"/>
        </w:rPr>
        <w:t>Vorschlag</w:t>
      </w:r>
      <w:r w:rsidR="00194777" w:rsidRPr="0091203B">
        <w:rPr>
          <w:lang w:val="de-DE"/>
        </w:rPr>
        <w:t xml:space="preserve"> enthaltenen Beschränkung auf </w:t>
      </w:r>
      <w:r w:rsidR="009E277E" w:rsidRPr="0091203B">
        <w:rPr>
          <w:lang w:val="de-DE"/>
        </w:rPr>
        <w:t>Schütt</w:t>
      </w:r>
      <w:r w:rsidR="00194777" w:rsidRPr="0091203B">
        <w:rPr>
          <w:lang w:val="de-DE"/>
        </w:rPr>
        <w:t>gut legt</w:t>
      </w:r>
      <w:r w:rsidR="00D7256F" w:rsidRPr="0091203B">
        <w:rPr>
          <w:lang w:val="de-DE"/>
        </w:rPr>
        <w:t>e</w:t>
      </w:r>
      <w:r w:rsidR="00194777" w:rsidRPr="0091203B">
        <w:rPr>
          <w:lang w:val="de-DE"/>
        </w:rPr>
        <w:t xml:space="preserve"> der Vertreter Österreichs im informellen Dokument INF.5 einen </w:t>
      </w:r>
      <w:r w:rsidR="00D7256F" w:rsidRPr="0091203B">
        <w:rPr>
          <w:lang w:val="de-DE"/>
        </w:rPr>
        <w:t>A</w:t>
      </w:r>
      <w:r w:rsidR="00194777" w:rsidRPr="0091203B">
        <w:rPr>
          <w:lang w:val="de-DE"/>
        </w:rPr>
        <w:t>lternativ</w:t>
      </w:r>
      <w:r w:rsidR="00D7256F" w:rsidRPr="0091203B">
        <w:rPr>
          <w:lang w:val="de-DE"/>
        </w:rPr>
        <w:t>vorschlag</w:t>
      </w:r>
      <w:r w:rsidR="00194777" w:rsidRPr="0091203B">
        <w:rPr>
          <w:lang w:val="de-DE"/>
        </w:rPr>
        <w:t xml:space="preserve"> </w:t>
      </w:r>
      <w:r w:rsidR="0001312A" w:rsidRPr="0091203B">
        <w:rPr>
          <w:lang w:val="de-DE"/>
        </w:rPr>
        <w:t>für die Aufnahme der Vorschriften in Abschnitt 5.5.2 anstelle eines neuen Abschnitts 5.5.5 vor</w:t>
      </w:r>
      <w:r w:rsidR="00194777" w:rsidRPr="0091203B">
        <w:rPr>
          <w:lang w:val="de-DE"/>
        </w:rPr>
        <w:t>.</w:t>
      </w:r>
    </w:p>
    <w:p w14:paraId="2C486DA7" w14:textId="155E44B7" w:rsidR="00B27959" w:rsidRPr="00BA758E" w:rsidRDefault="00B27959" w:rsidP="006E6DE9">
      <w:pPr>
        <w:pStyle w:val="SingleTxtG"/>
        <w:spacing w:line="240" w:lineRule="auto"/>
        <w:rPr>
          <w:lang w:val="de-DE"/>
        </w:rPr>
      </w:pPr>
      <w:r w:rsidRPr="00BA758E">
        <w:rPr>
          <w:lang w:val="de-DE"/>
        </w:rPr>
        <w:t>28.</w:t>
      </w:r>
      <w:r w:rsidRPr="00BA758E">
        <w:rPr>
          <w:lang w:val="de-DE"/>
        </w:rPr>
        <w:tab/>
      </w:r>
      <w:r w:rsidR="000A2C64" w:rsidRPr="0091203B">
        <w:rPr>
          <w:lang w:val="de-DE"/>
        </w:rPr>
        <w:t xml:space="preserve">Im Anschluss an die Diskussion lud der Sicherheitsausschuss Deutschland und die Niederlande zur Bildung einer Korrespondenzgruppe ein, um </w:t>
      </w:r>
      <w:r w:rsidR="00330FEF" w:rsidRPr="0091203B">
        <w:rPr>
          <w:lang w:val="de-DE"/>
        </w:rPr>
        <w:t xml:space="preserve">in dieser Frage </w:t>
      </w:r>
      <w:r w:rsidR="000A2C64" w:rsidRPr="0091203B">
        <w:rPr>
          <w:lang w:val="de-DE"/>
        </w:rPr>
        <w:t>Fortschritte zu erzielen.</w:t>
      </w:r>
      <w:r w:rsidRPr="00BA758E">
        <w:rPr>
          <w:lang w:val="de-DE"/>
        </w:rPr>
        <w:t xml:space="preserve"> </w:t>
      </w:r>
      <w:r w:rsidR="009A5721" w:rsidRPr="0091203B">
        <w:rPr>
          <w:lang w:val="de-DE"/>
        </w:rPr>
        <w:t xml:space="preserve">Es wurde vereinbart, dass sich der Vorschlag auf die Sicherheit </w:t>
      </w:r>
      <w:r w:rsidR="00B17FD6" w:rsidRPr="0091203B">
        <w:rPr>
          <w:lang w:val="de-DE"/>
        </w:rPr>
        <w:t>der</w:t>
      </w:r>
      <w:r w:rsidR="009A5721" w:rsidRPr="0091203B">
        <w:rPr>
          <w:lang w:val="de-DE"/>
        </w:rPr>
        <w:t xml:space="preserve"> Besatzungsmitglieder und andere</w:t>
      </w:r>
      <w:r w:rsidR="00B17FD6" w:rsidRPr="0091203B">
        <w:rPr>
          <w:lang w:val="de-DE"/>
        </w:rPr>
        <w:t>r</w:t>
      </w:r>
      <w:r w:rsidR="009A5721" w:rsidRPr="0091203B">
        <w:rPr>
          <w:lang w:val="de-DE"/>
        </w:rPr>
        <w:t xml:space="preserve"> Personen an Bord konzentrieren sollte, wobei alle </w:t>
      </w:r>
      <w:r w:rsidR="00B17FD6" w:rsidRPr="0091203B">
        <w:rPr>
          <w:lang w:val="de-DE"/>
        </w:rPr>
        <w:t>denkbaren</w:t>
      </w:r>
      <w:r w:rsidR="009A5721" w:rsidRPr="0091203B">
        <w:rPr>
          <w:lang w:val="de-DE"/>
        </w:rPr>
        <w:t xml:space="preserve"> Risiken berücksichtigt werden</w:t>
      </w:r>
      <w:r w:rsidR="00B17FD6" w:rsidRPr="0091203B">
        <w:rPr>
          <w:lang w:val="de-DE"/>
        </w:rPr>
        <w:t xml:space="preserve"> sollten</w:t>
      </w:r>
      <w:r w:rsidR="009A5721" w:rsidRPr="0091203B">
        <w:rPr>
          <w:lang w:val="de-DE"/>
        </w:rPr>
        <w:t>.</w:t>
      </w:r>
      <w:r w:rsidRPr="00BA758E">
        <w:rPr>
          <w:lang w:val="de-DE"/>
        </w:rPr>
        <w:t xml:space="preserve"> </w:t>
      </w:r>
      <w:r w:rsidR="00140CAC" w:rsidRPr="00F920C6">
        <w:rPr>
          <w:lang w:val="de-DE"/>
        </w:rPr>
        <w:t xml:space="preserve">Ferner wurde </w:t>
      </w:r>
      <w:r w:rsidR="008E00A9" w:rsidRPr="00F920C6">
        <w:rPr>
          <w:lang w:val="de-DE"/>
        </w:rPr>
        <w:t>festgestellt</w:t>
      </w:r>
      <w:r w:rsidR="00140CAC" w:rsidRPr="00F920C6">
        <w:rPr>
          <w:lang w:val="de-DE"/>
        </w:rPr>
        <w:t xml:space="preserve">, </w:t>
      </w:r>
      <w:r w:rsidR="008E00A9" w:rsidRPr="00F920C6">
        <w:rPr>
          <w:lang w:val="de-DE"/>
        </w:rPr>
        <w:t xml:space="preserve">dass </w:t>
      </w:r>
      <w:r w:rsidR="00140CAC" w:rsidRPr="00F920C6">
        <w:rPr>
          <w:lang w:val="de-DE"/>
        </w:rPr>
        <w:t xml:space="preserve">die verfügbare technische und wissenschaftliche Literatur zu diesem Thema </w:t>
      </w:r>
      <w:r w:rsidR="0091203B" w:rsidRPr="00F920C6">
        <w:rPr>
          <w:lang w:val="de-DE"/>
        </w:rPr>
        <w:t>so</w:t>
      </w:r>
      <w:r w:rsidR="00211421" w:rsidRPr="00F920C6">
        <w:rPr>
          <w:lang w:val="de-DE"/>
        </w:rPr>
        <w:t>wie</w:t>
      </w:r>
      <w:r w:rsidR="0091203B" w:rsidRPr="00F920C6">
        <w:rPr>
          <w:lang w:val="de-DE"/>
        </w:rPr>
        <w:t xml:space="preserve"> </w:t>
      </w:r>
      <w:r w:rsidR="00211421" w:rsidRPr="00F920C6">
        <w:rPr>
          <w:lang w:val="de-DE"/>
        </w:rPr>
        <w:t>Fachleute</w:t>
      </w:r>
      <w:r w:rsidR="00140CAC" w:rsidRPr="00F920C6">
        <w:rPr>
          <w:lang w:val="de-DE"/>
        </w:rPr>
        <w:t xml:space="preserve"> konsultier</w:t>
      </w:r>
      <w:r w:rsidR="008E00A9" w:rsidRPr="00F920C6">
        <w:rPr>
          <w:lang w:val="de-DE"/>
        </w:rPr>
        <w:t>t werd</w:t>
      </w:r>
      <w:r w:rsidR="00140CAC" w:rsidRPr="00F920C6">
        <w:rPr>
          <w:lang w:val="de-DE"/>
        </w:rPr>
        <w:t>en</w:t>
      </w:r>
      <w:r w:rsidR="008E00A9" w:rsidRPr="00F920C6">
        <w:rPr>
          <w:lang w:val="de-DE"/>
        </w:rPr>
        <w:t xml:space="preserve"> sollte</w:t>
      </w:r>
      <w:r w:rsidR="00211421" w:rsidRPr="00F920C6">
        <w:rPr>
          <w:lang w:val="de-DE"/>
        </w:rPr>
        <w:t>n</w:t>
      </w:r>
      <w:r w:rsidR="00140CAC" w:rsidRPr="00F920C6">
        <w:rPr>
          <w:lang w:val="de-DE"/>
        </w:rPr>
        <w:t>, um ein besseres Verständnis des Verhaltens dieser Begasungsstoffe zu erlangen.</w:t>
      </w:r>
      <w:r w:rsidRPr="00BA758E">
        <w:rPr>
          <w:lang w:val="de-DE"/>
        </w:rPr>
        <w:t xml:space="preserve"> </w:t>
      </w:r>
      <w:r w:rsidR="00D6205E" w:rsidRPr="00F920C6">
        <w:rPr>
          <w:lang w:val="de-DE"/>
        </w:rPr>
        <w:t>Der Vertreter der GAFTA bot seine Unterstützung und sein technisches Fachwissen bei diesen wichtigen Diskussionen an.</w:t>
      </w:r>
    </w:p>
    <w:p w14:paraId="5FFD4D0C" w14:textId="07EF772E" w:rsidR="00B27959" w:rsidRPr="00BA758E" w:rsidRDefault="00B27959" w:rsidP="006E6DE9">
      <w:pPr>
        <w:pStyle w:val="H23G"/>
        <w:spacing w:before="120" w:line="240" w:lineRule="auto"/>
        <w:rPr>
          <w:lang w:val="de-DE"/>
        </w:rPr>
      </w:pPr>
      <w:r w:rsidRPr="00BA758E">
        <w:rPr>
          <w:lang w:val="de-DE"/>
        </w:rPr>
        <w:tab/>
      </w:r>
      <w:bookmarkStart w:id="41" w:name="_Toc81410394"/>
      <w:r w:rsidRPr="00BA758E">
        <w:rPr>
          <w:lang w:val="de-DE"/>
        </w:rPr>
        <w:t>6.</w:t>
      </w:r>
      <w:r w:rsidRPr="00BA758E">
        <w:rPr>
          <w:lang w:val="de-DE"/>
        </w:rPr>
        <w:tab/>
      </w:r>
      <w:bookmarkEnd w:id="41"/>
      <w:r w:rsidR="00D6205E" w:rsidRPr="00497AC8">
        <w:rPr>
          <w:lang w:val="de-DE"/>
        </w:rPr>
        <w:t xml:space="preserve">Teile 4 und 6 ADN – Abweichungen durch multilaterale </w:t>
      </w:r>
      <w:r w:rsidR="006849CB">
        <w:rPr>
          <w:lang w:val="de-DE"/>
        </w:rPr>
        <w:t>Abkommen</w:t>
      </w:r>
      <w:r w:rsidR="00D6205E" w:rsidRPr="00497AC8">
        <w:rPr>
          <w:lang w:val="de-DE"/>
        </w:rPr>
        <w:t xml:space="preserve"> nach ADR/RID</w:t>
      </w:r>
    </w:p>
    <w:p w14:paraId="1381A5B8" w14:textId="47113741" w:rsidR="00B27959" w:rsidRPr="00BA758E" w:rsidRDefault="00497AC8" w:rsidP="006E6DE9">
      <w:pPr>
        <w:pStyle w:val="H23G"/>
        <w:keepNext w:val="0"/>
        <w:keepLines w:val="0"/>
        <w:tabs>
          <w:tab w:val="left" w:pos="1134"/>
          <w:tab w:val="left" w:pos="3402"/>
        </w:tabs>
        <w:spacing w:before="120" w:line="240" w:lineRule="auto"/>
        <w:ind w:firstLine="0"/>
        <w:rPr>
          <w:b w:val="0"/>
          <w:bCs/>
          <w:lang w:val="de-DE"/>
        </w:rPr>
      </w:pPr>
      <w:bookmarkStart w:id="42" w:name="_Toc81410395"/>
      <w:r w:rsidRPr="00497AC8">
        <w:rPr>
          <w:b w:val="0"/>
          <w:bCs/>
          <w:i/>
          <w:iCs/>
          <w:lang w:val="de-DE"/>
        </w:rPr>
        <w:t>Dokument:</w:t>
      </w:r>
      <w:r w:rsidR="00B27959" w:rsidRPr="00BA758E">
        <w:rPr>
          <w:b w:val="0"/>
          <w:bCs/>
          <w:lang w:val="de-DE"/>
        </w:rPr>
        <w:tab/>
      </w:r>
      <w:bookmarkEnd w:id="42"/>
      <w:r w:rsidRPr="00497AC8">
        <w:rPr>
          <w:b w:val="0"/>
          <w:bCs/>
          <w:lang w:val="de-DE"/>
        </w:rPr>
        <w:t>ECE/TRANS/WP.15/AC.2/2021/23 (Deutschland)</w:t>
      </w:r>
    </w:p>
    <w:p w14:paraId="6FBF4DF2" w14:textId="2948F93D" w:rsidR="00B27959" w:rsidRPr="00BA758E" w:rsidRDefault="00B27959" w:rsidP="006E6DE9">
      <w:pPr>
        <w:pStyle w:val="SingleTxtG"/>
        <w:spacing w:line="240" w:lineRule="auto"/>
        <w:rPr>
          <w:lang w:val="de-DE"/>
        </w:rPr>
      </w:pPr>
      <w:r w:rsidRPr="00BA758E">
        <w:rPr>
          <w:lang w:val="de-DE"/>
        </w:rPr>
        <w:t>29.</w:t>
      </w:r>
      <w:r w:rsidRPr="00BA758E">
        <w:rPr>
          <w:lang w:val="de-DE"/>
        </w:rPr>
        <w:tab/>
      </w:r>
      <w:r w:rsidR="002239ED" w:rsidRPr="00D101B1">
        <w:rPr>
          <w:lang w:val="de-DE"/>
        </w:rPr>
        <w:t xml:space="preserve">Der Sicherheitsausschuss war </w:t>
      </w:r>
      <w:r w:rsidR="00C0534C" w:rsidRPr="00D101B1">
        <w:rPr>
          <w:lang w:val="de-DE"/>
        </w:rPr>
        <w:t xml:space="preserve">geteilter Meinung </w:t>
      </w:r>
      <w:r w:rsidR="002239ED" w:rsidRPr="00D101B1">
        <w:rPr>
          <w:lang w:val="de-DE"/>
        </w:rPr>
        <w:t xml:space="preserve">über den Vorschlag Deutschlands, in Abschnitt 1.5.1 eine neue </w:t>
      </w:r>
      <w:r w:rsidR="00D61A03" w:rsidRPr="00D101B1">
        <w:rPr>
          <w:lang w:val="de-DE"/>
        </w:rPr>
        <w:t>Vorschrift</w:t>
      </w:r>
      <w:r w:rsidR="002239ED" w:rsidRPr="00D101B1">
        <w:rPr>
          <w:lang w:val="de-DE"/>
        </w:rPr>
        <w:t xml:space="preserve"> einzufügen, wonach vorübergehende Abweichungen</w:t>
      </w:r>
      <w:r w:rsidR="00753226" w:rsidRPr="00D101B1">
        <w:rPr>
          <w:lang w:val="de-DE"/>
        </w:rPr>
        <w:t>, die</w:t>
      </w:r>
      <w:r w:rsidR="002239ED" w:rsidRPr="00D101B1">
        <w:rPr>
          <w:lang w:val="de-DE"/>
        </w:rPr>
        <w:t xml:space="preserve"> Teil 4 </w:t>
      </w:r>
      <w:r w:rsidR="00753226" w:rsidRPr="00D101B1">
        <w:rPr>
          <w:lang w:val="de-DE"/>
        </w:rPr>
        <w:t>oder</w:t>
      </w:r>
      <w:r w:rsidR="002239ED" w:rsidRPr="00D101B1">
        <w:rPr>
          <w:lang w:val="de-DE"/>
        </w:rPr>
        <w:t xml:space="preserve"> </w:t>
      </w:r>
      <w:r w:rsidR="00753226" w:rsidRPr="00D101B1">
        <w:rPr>
          <w:lang w:val="de-DE"/>
        </w:rPr>
        <w:t xml:space="preserve">Teil </w:t>
      </w:r>
      <w:r w:rsidR="002239ED" w:rsidRPr="00D101B1">
        <w:rPr>
          <w:lang w:val="de-DE"/>
        </w:rPr>
        <w:t xml:space="preserve">6 des RID/ADR </w:t>
      </w:r>
      <w:r w:rsidR="00753226" w:rsidRPr="00D101B1">
        <w:rPr>
          <w:lang w:val="de-DE"/>
        </w:rPr>
        <w:t xml:space="preserve">betreffen, </w:t>
      </w:r>
      <w:r w:rsidR="006849CB" w:rsidRPr="00D101B1">
        <w:rPr>
          <w:lang w:val="de-DE"/>
        </w:rPr>
        <w:t>„</w:t>
      </w:r>
      <w:r w:rsidR="002239ED" w:rsidRPr="00D101B1">
        <w:rPr>
          <w:lang w:val="de-DE"/>
        </w:rPr>
        <w:t>automatisch</w:t>
      </w:r>
      <w:r w:rsidR="006849CB" w:rsidRPr="00D101B1">
        <w:rPr>
          <w:lang w:val="de-DE"/>
        </w:rPr>
        <w:t>“</w:t>
      </w:r>
      <w:r w:rsidR="002239ED" w:rsidRPr="00D101B1">
        <w:rPr>
          <w:lang w:val="de-DE"/>
        </w:rPr>
        <w:t xml:space="preserve"> als bilaterale oder multilaterale </w:t>
      </w:r>
      <w:r w:rsidR="006849CB" w:rsidRPr="00D101B1">
        <w:rPr>
          <w:lang w:val="de-DE"/>
        </w:rPr>
        <w:t>Abkommen</w:t>
      </w:r>
      <w:r w:rsidR="002239ED" w:rsidRPr="00D101B1">
        <w:rPr>
          <w:lang w:val="de-DE"/>
        </w:rPr>
        <w:t xml:space="preserve"> zwischen den ADN-Vertragsparteien, die diese bilateralen/multilateralen </w:t>
      </w:r>
      <w:r w:rsidR="006849CB" w:rsidRPr="00D101B1">
        <w:rPr>
          <w:lang w:val="de-DE"/>
        </w:rPr>
        <w:t>Abkommen</w:t>
      </w:r>
      <w:r w:rsidR="002239ED" w:rsidRPr="00D101B1">
        <w:rPr>
          <w:lang w:val="de-DE"/>
        </w:rPr>
        <w:t xml:space="preserve"> unterzeichnet haben, und den ADN-Vertragsparteien im Allgemeinen </w:t>
      </w:r>
      <w:r w:rsidR="00C91066" w:rsidRPr="00D101B1">
        <w:rPr>
          <w:lang w:val="de-DE"/>
        </w:rPr>
        <w:t>gelten solle</w:t>
      </w:r>
      <w:r w:rsidR="002239ED" w:rsidRPr="00D101B1">
        <w:rPr>
          <w:lang w:val="de-DE"/>
        </w:rPr>
        <w:t>n.</w:t>
      </w:r>
      <w:r w:rsidRPr="00BA758E">
        <w:rPr>
          <w:lang w:val="de-DE"/>
        </w:rPr>
        <w:t xml:space="preserve"> </w:t>
      </w:r>
      <w:r w:rsidR="002600B7" w:rsidRPr="00A0351D">
        <w:rPr>
          <w:lang w:val="de-DE"/>
        </w:rPr>
        <w:t>Aus den Diskussionen ging hervor, dass die Auslegung und damit die Anwendung dieses Grundsatzes nicht nur zwischen den zuständigen Behörden, sondern auch zwischen den Behörden, die für die verschiedenen Verkehrsträger im Hoheitsgebiet einer Vertragspartei zuständig sind, unterschiedlich gehandhabt w</w:t>
      </w:r>
      <w:r w:rsidR="00D101B1" w:rsidRPr="00A0351D">
        <w:rPr>
          <w:lang w:val="de-DE"/>
        </w:rPr>
        <w:t>e</w:t>
      </w:r>
      <w:r w:rsidR="002600B7" w:rsidRPr="00A0351D">
        <w:rPr>
          <w:lang w:val="de-DE"/>
        </w:rPr>
        <w:t>rd</w:t>
      </w:r>
      <w:r w:rsidR="00D101B1" w:rsidRPr="00A0351D">
        <w:rPr>
          <w:lang w:val="de-DE"/>
        </w:rPr>
        <w:t>en</w:t>
      </w:r>
      <w:r w:rsidR="002600B7" w:rsidRPr="00A0351D">
        <w:rPr>
          <w:lang w:val="de-DE"/>
        </w:rPr>
        <w:t xml:space="preserve">, und es wurden Bedenken </w:t>
      </w:r>
      <w:r w:rsidR="005A7B07" w:rsidRPr="00A0351D">
        <w:rPr>
          <w:lang w:val="de-DE"/>
        </w:rPr>
        <w:t>wegen</w:t>
      </w:r>
      <w:r w:rsidR="002600B7" w:rsidRPr="00A0351D">
        <w:rPr>
          <w:lang w:val="de-DE"/>
        </w:rPr>
        <w:t xml:space="preserve"> möglicher Unterbrechungen der multimodalen Transportkette geäußert.</w:t>
      </w:r>
    </w:p>
    <w:p w14:paraId="191E2F68" w14:textId="418C15F9" w:rsidR="00B27959" w:rsidRPr="00BA758E" w:rsidRDefault="00B27959" w:rsidP="006E6DE9">
      <w:pPr>
        <w:pStyle w:val="SingleTxtG"/>
        <w:spacing w:line="240" w:lineRule="auto"/>
        <w:rPr>
          <w:lang w:val="de-DE"/>
        </w:rPr>
      </w:pPr>
      <w:r w:rsidRPr="00BA758E">
        <w:rPr>
          <w:lang w:val="de-DE"/>
        </w:rPr>
        <w:t>30.</w:t>
      </w:r>
      <w:r w:rsidRPr="00BA758E">
        <w:rPr>
          <w:lang w:val="de-DE"/>
        </w:rPr>
        <w:tab/>
      </w:r>
      <w:r w:rsidR="00F23DE2" w:rsidRPr="00C52BDF">
        <w:rPr>
          <w:lang w:val="de-DE"/>
        </w:rPr>
        <w:t>Während sich einige Vertreter dafür aussprachen, eine gewisse Flexibilität zu bewahren und über die Relevanz vorübergehender Abweichungen</w:t>
      </w:r>
      <w:r w:rsidR="00F631FA" w:rsidRPr="00C52BDF">
        <w:rPr>
          <w:lang w:val="de-DE"/>
        </w:rPr>
        <w:t xml:space="preserve"> betreffend </w:t>
      </w:r>
      <w:r w:rsidR="00F23DE2" w:rsidRPr="00C52BDF">
        <w:rPr>
          <w:lang w:val="de-DE"/>
        </w:rPr>
        <w:t xml:space="preserve">Teil 4 </w:t>
      </w:r>
      <w:r w:rsidR="00F631FA" w:rsidRPr="00C52BDF">
        <w:rPr>
          <w:lang w:val="de-DE"/>
        </w:rPr>
        <w:t>oder Teil</w:t>
      </w:r>
      <w:r w:rsidR="00F23DE2" w:rsidRPr="00C52BDF">
        <w:rPr>
          <w:lang w:val="de-DE"/>
        </w:rPr>
        <w:t xml:space="preserve"> 6 </w:t>
      </w:r>
      <w:r w:rsidR="00753226" w:rsidRPr="00C52BDF">
        <w:rPr>
          <w:lang w:val="de-DE"/>
        </w:rPr>
        <w:t>des RID/ADR</w:t>
      </w:r>
      <w:r w:rsidR="00F631FA" w:rsidRPr="00C52BDF">
        <w:rPr>
          <w:lang w:val="de-DE"/>
        </w:rPr>
        <w:t xml:space="preserve"> </w:t>
      </w:r>
      <w:r w:rsidR="00F23DE2" w:rsidRPr="00C52BDF">
        <w:rPr>
          <w:lang w:val="de-DE"/>
        </w:rPr>
        <w:t>für das ADN von Fall zu Fall zu entscheiden, stimmten andere</w:t>
      </w:r>
      <w:r w:rsidR="0054535A" w:rsidRPr="00C52BDF">
        <w:rPr>
          <w:lang w:val="de-DE"/>
        </w:rPr>
        <w:t xml:space="preserve"> in d</w:t>
      </w:r>
      <w:r w:rsidR="00F23DE2" w:rsidRPr="00C52BDF">
        <w:rPr>
          <w:lang w:val="de-DE"/>
        </w:rPr>
        <w:t xml:space="preserve">em Grundsatz </w:t>
      </w:r>
      <w:r w:rsidR="0054535A" w:rsidRPr="00C52BDF">
        <w:rPr>
          <w:lang w:val="de-DE"/>
        </w:rPr>
        <w:t>überein</w:t>
      </w:r>
      <w:r w:rsidR="00F23DE2" w:rsidRPr="00C52BDF">
        <w:rPr>
          <w:lang w:val="de-DE"/>
        </w:rPr>
        <w:t xml:space="preserve">, dass </w:t>
      </w:r>
      <w:r w:rsidR="007C1577" w:rsidRPr="00C52BDF">
        <w:rPr>
          <w:lang w:val="de-DE"/>
        </w:rPr>
        <w:t xml:space="preserve">durch </w:t>
      </w:r>
      <w:r w:rsidR="00F23DE2" w:rsidRPr="00C52BDF">
        <w:rPr>
          <w:lang w:val="de-DE"/>
        </w:rPr>
        <w:t xml:space="preserve">die Aufnahme von </w:t>
      </w:r>
      <w:r w:rsidR="00B3298B" w:rsidRPr="00C52BDF">
        <w:rPr>
          <w:lang w:val="de-DE"/>
        </w:rPr>
        <w:t>Vorschriften</w:t>
      </w:r>
      <w:r w:rsidR="00F23DE2" w:rsidRPr="00C52BDF">
        <w:rPr>
          <w:lang w:val="de-DE"/>
        </w:rPr>
        <w:t xml:space="preserve"> über den Umgang mit </w:t>
      </w:r>
      <w:r w:rsidR="00BF4971" w:rsidRPr="00C52BDF">
        <w:rPr>
          <w:lang w:val="de-DE"/>
        </w:rPr>
        <w:t>solchen</w:t>
      </w:r>
      <w:r w:rsidR="00F23DE2" w:rsidRPr="00C52BDF">
        <w:rPr>
          <w:lang w:val="de-DE"/>
        </w:rPr>
        <w:t xml:space="preserve"> vorübergehenden Abweichungen in das ADN eine harmonisierte Anwendung und Rechtssicherheit </w:t>
      </w:r>
      <w:r w:rsidR="00B3298B" w:rsidRPr="00C52BDF">
        <w:rPr>
          <w:lang w:val="de-DE"/>
        </w:rPr>
        <w:t>gewährleiste</w:t>
      </w:r>
      <w:r w:rsidR="00A0351D" w:rsidRPr="00C52BDF">
        <w:rPr>
          <w:lang w:val="de-DE"/>
        </w:rPr>
        <w:t>t</w:t>
      </w:r>
      <w:r w:rsidR="00F23DE2" w:rsidRPr="00C52BDF">
        <w:rPr>
          <w:lang w:val="de-DE"/>
        </w:rPr>
        <w:t xml:space="preserve"> würde.</w:t>
      </w:r>
    </w:p>
    <w:p w14:paraId="360D713D" w14:textId="7B80FA7C" w:rsidR="00B27959" w:rsidRPr="00BA758E" w:rsidRDefault="00B27959" w:rsidP="006E6DE9">
      <w:pPr>
        <w:pStyle w:val="SingleTxtG"/>
        <w:spacing w:line="240" w:lineRule="auto"/>
        <w:rPr>
          <w:lang w:val="de-DE"/>
        </w:rPr>
      </w:pPr>
      <w:r w:rsidRPr="00BA758E">
        <w:rPr>
          <w:lang w:val="de-DE"/>
        </w:rPr>
        <w:t>31.</w:t>
      </w:r>
      <w:r w:rsidRPr="00BA758E">
        <w:rPr>
          <w:lang w:val="de-DE"/>
        </w:rPr>
        <w:tab/>
      </w:r>
      <w:r w:rsidR="007C1577" w:rsidRPr="00C52BDF">
        <w:rPr>
          <w:lang w:val="de-DE"/>
        </w:rPr>
        <w:t>Im Anschluss an die Diskussion wurde vereinbart, dass diese Frage von der Gemeinsamen RID/ADR/ADN-Tagung bei ihrer nächsten Sitzung auf der Grundlage eines Vorschlags Deutschlands behandelt werden soll.</w:t>
      </w:r>
    </w:p>
    <w:p w14:paraId="3CBDFD70" w14:textId="5D588A6D" w:rsidR="00B27959" w:rsidRPr="001B5E14" w:rsidRDefault="00B27959" w:rsidP="006E6DE9">
      <w:pPr>
        <w:pStyle w:val="H23G"/>
        <w:spacing w:before="120"/>
        <w:rPr>
          <w:lang w:val="de-DE"/>
        </w:rPr>
      </w:pPr>
      <w:r w:rsidRPr="00BA758E">
        <w:rPr>
          <w:lang w:val="de-DE"/>
        </w:rPr>
        <w:tab/>
      </w:r>
      <w:bookmarkStart w:id="43" w:name="_Toc81410396"/>
      <w:r w:rsidRPr="001B5E14">
        <w:rPr>
          <w:lang w:val="de-DE"/>
        </w:rPr>
        <w:t>7.</w:t>
      </w:r>
      <w:r w:rsidRPr="001B5E14">
        <w:rPr>
          <w:lang w:val="de-DE"/>
        </w:rPr>
        <w:tab/>
      </w:r>
      <w:bookmarkEnd w:id="43"/>
      <w:r w:rsidR="007C1577" w:rsidRPr="00C52BDF">
        <w:rPr>
          <w:lang w:val="de-DE"/>
        </w:rPr>
        <w:t>Korrekturvorschlag zu Unterabschnitt 9.3.3.60</w:t>
      </w:r>
    </w:p>
    <w:p w14:paraId="5FB08814" w14:textId="65ACDA15" w:rsidR="00B27959" w:rsidRPr="00BA758E" w:rsidRDefault="007C1577" w:rsidP="006E6DE9">
      <w:pPr>
        <w:pStyle w:val="H23G"/>
        <w:tabs>
          <w:tab w:val="left" w:pos="1134"/>
          <w:tab w:val="left" w:pos="3402"/>
        </w:tabs>
        <w:spacing w:before="120"/>
        <w:ind w:firstLine="0"/>
        <w:rPr>
          <w:b w:val="0"/>
          <w:bCs/>
          <w:lang w:val="de-DE"/>
        </w:rPr>
      </w:pPr>
      <w:bookmarkStart w:id="44" w:name="_Toc81410397"/>
      <w:r w:rsidRPr="007C1577">
        <w:rPr>
          <w:b w:val="0"/>
          <w:bCs/>
          <w:i/>
          <w:iCs/>
          <w:lang w:val="de-DE"/>
        </w:rPr>
        <w:t>Dokument:</w:t>
      </w:r>
      <w:r w:rsidR="00B27959" w:rsidRPr="00BA758E">
        <w:rPr>
          <w:b w:val="0"/>
          <w:bCs/>
          <w:lang w:val="de-DE"/>
        </w:rPr>
        <w:tab/>
      </w:r>
      <w:bookmarkEnd w:id="44"/>
      <w:r w:rsidRPr="007C1577">
        <w:rPr>
          <w:b w:val="0"/>
          <w:bCs/>
          <w:lang w:val="de-DE"/>
        </w:rPr>
        <w:t>ECE/TRANS/WP.15/AC.2/2021/24 (ZKR)</w:t>
      </w:r>
    </w:p>
    <w:p w14:paraId="126151AB" w14:textId="6B59ED42" w:rsidR="00B27959" w:rsidRPr="00BA758E" w:rsidRDefault="00B27959" w:rsidP="006719B5">
      <w:pPr>
        <w:pStyle w:val="SingleTxtG"/>
        <w:rPr>
          <w:lang w:val="de-DE"/>
        </w:rPr>
      </w:pPr>
      <w:r w:rsidRPr="00BA758E">
        <w:rPr>
          <w:lang w:val="de-DE"/>
        </w:rPr>
        <w:t>32.</w:t>
      </w:r>
      <w:r w:rsidRPr="00BA758E">
        <w:rPr>
          <w:lang w:val="de-DE"/>
        </w:rPr>
        <w:tab/>
      </w:r>
      <w:r w:rsidR="007C1577" w:rsidRPr="006719B5">
        <w:rPr>
          <w:lang w:val="de-DE"/>
        </w:rPr>
        <w:t>Der Sicherheitsausschuss nahm die Korrekturvorschläge zur französischen und deutschen Fassung des Unterabschnitts 9.3.3.60 an (siehe Anlagen I).</w:t>
      </w:r>
    </w:p>
    <w:p w14:paraId="3A86BDE6" w14:textId="568BF995" w:rsidR="00B27959" w:rsidRPr="00BA758E" w:rsidRDefault="00B27959" w:rsidP="006719B5">
      <w:pPr>
        <w:pStyle w:val="H23G"/>
        <w:rPr>
          <w:lang w:val="de-DE"/>
        </w:rPr>
      </w:pPr>
      <w:r w:rsidRPr="00BA758E">
        <w:rPr>
          <w:lang w:val="de-DE"/>
        </w:rPr>
        <w:tab/>
      </w:r>
      <w:bookmarkStart w:id="45" w:name="_Toc81410398"/>
      <w:r w:rsidRPr="00BA758E">
        <w:rPr>
          <w:lang w:val="de-DE"/>
        </w:rPr>
        <w:t>8.</w:t>
      </w:r>
      <w:r w:rsidRPr="00BA758E">
        <w:rPr>
          <w:lang w:val="de-DE"/>
        </w:rPr>
        <w:tab/>
      </w:r>
      <w:bookmarkEnd w:id="45"/>
      <w:r w:rsidR="006719B5" w:rsidRPr="00C52BDF">
        <w:rPr>
          <w:lang w:val="de-DE"/>
        </w:rPr>
        <w:t>Vorschriften für Kofferdämme</w:t>
      </w:r>
    </w:p>
    <w:p w14:paraId="5E3003E8" w14:textId="796CE844" w:rsidR="00B27959" w:rsidRPr="00BA758E" w:rsidRDefault="006719B5" w:rsidP="006719B5">
      <w:pPr>
        <w:pStyle w:val="H23G"/>
        <w:keepNext w:val="0"/>
        <w:keepLines w:val="0"/>
        <w:tabs>
          <w:tab w:val="left" w:pos="1134"/>
          <w:tab w:val="left" w:pos="3402"/>
        </w:tabs>
        <w:ind w:firstLine="0"/>
        <w:rPr>
          <w:b w:val="0"/>
          <w:bCs/>
          <w:lang w:val="de-DE"/>
        </w:rPr>
      </w:pPr>
      <w:bookmarkStart w:id="46" w:name="_Toc81410399"/>
      <w:r w:rsidRPr="00C52BDF">
        <w:rPr>
          <w:b w:val="0"/>
          <w:bCs/>
          <w:i/>
          <w:iCs/>
          <w:lang w:val="de-DE"/>
        </w:rPr>
        <w:t>Dokument:</w:t>
      </w:r>
      <w:r w:rsidR="00B27959" w:rsidRPr="00BA758E">
        <w:rPr>
          <w:b w:val="0"/>
          <w:bCs/>
          <w:lang w:val="de-DE"/>
        </w:rPr>
        <w:tab/>
        <w:t xml:space="preserve">ECE/TRANS/WP.15/AC.2/2021/25 (EBU </w:t>
      </w:r>
      <w:r w:rsidRPr="00BA758E">
        <w:rPr>
          <w:b w:val="0"/>
          <w:bCs/>
          <w:lang w:val="de-DE"/>
        </w:rPr>
        <w:t>u</w:t>
      </w:r>
      <w:r w:rsidR="00B27959" w:rsidRPr="00BA758E">
        <w:rPr>
          <w:b w:val="0"/>
          <w:bCs/>
          <w:lang w:val="de-DE"/>
        </w:rPr>
        <w:t>nd ESO)</w:t>
      </w:r>
      <w:bookmarkEnd w:id="46"/>
    </w:p>
    <w:p w14:paraId="7312D5F0" w14:textId="293A7AFC" w:rsidR="00B27959" w:rsidRPr="00BA758E" w:rsidRDefault="00B27959" w:rsidP="00DE740E">
      <w:pPr>
        <w:pStyle w:val="SingleTxtG"/>
        <w:rPr>
          <w:lang w:val="de-DE"/>
        </w:rPr>
      </w:pPr>
      <w:r w:rsidRPr="00BA758E">
        <w:rPr>
          <w:lang w:val="de-DE"/>
        </w:rPr>
        <w:t>33.</w:t>
      </w:r>
      <w:r w:rsidRPr="00BA758E">
        <w:rPr>
          <w:lang w:val="de-DE"/>
        </w:rPr>
        <w:tab/>
      </w:r>
      <w:r w:rsidR="004611F1" w:rsidRPr="007A31DC">
        <w:rPr>
          <w:lang w:val="de-DE"/>
        </w:rPr>
        <w:t xml:space="preserve">Da die Gründe, die zu der Einschränkung </w:t>
      </w:r>
      <w:r w:rsidR="007470EF" w:rsidRPr="007A31DC">
        <w:rPr>
          <w:lang w:val="de-DE"/>
        </w:rPr>
        <w:t xml:space="preserve">der Verwendung des Kofferdamms als zusätzlichen Ballasttank </w:t>
      </w:r>
      <w:r w:rsidR="004611F1" w:rsidRPr="007A31DC">
        <w:rPr>
          <w:lang w:val="de-DE"/>
        </w:rPr>
        <w:t>i</w:t>
      </w:r>
      <w:r w:rsidR="00C52BDF" w:rsidRPr="007A31DC">
        <w:rPr>
          <w:lang w:val="de-DE"/>
        </w:rPr>
        <w:t xml:space="preserve">n älteren </w:t>
      </w:r>
      <w:r w:rsidR="004611F1" w:rsidRPr="007A31DC">
        <w:rPr>
          <w:lang w:val="de-DE"/>
        </w:rPr>
        <w:t>ADN</w:t>
      </w:r>
      <w:r w:rsidR="00C52BDF" w:rsidRPr="007A31DC">
        <w:rPr>
          <w:lang w:val="de-DE"/>
        </w:rPr>
        <w:t>-Ausgaben</w:t>
      </w:r>
      <w:r w:rsidR="004611F1" w:rsidRPr="007A31DC">
        <w:rPr>
          <w:lang w:val="de-DE"/>
        </w:rPr>
        <w:t xml:space="preserve"> geführt haben, nicht bekannt waren, </w:t>
      </w:r>
      <w:r w:rsidR="007A31DC" w:rsidRPr="007A31DC">
        <w:rPr>
          <w:lang w:val="de-DE"/>
        </w:rPr>
        <w:t>erörterte</w:t>
      </w:r>
      <w:r w:rsidR="004611F1" w:rsidRPr="007A31DC">
        <w:rPr>
          <w:lang w:val="de-DE"/>
        </w:rPr>
        <w:t xml:space="preserve"> der Sicherheitsausschuss den Vorschlag zur Verringerung des Risikos von Zwischenfällen und zog es vor, </w:t>
      </w:r>
      <w:r w:rsidR="00B23A9D">
        <w:rPr>
          <w:lang w:val="de-DE"/>
        </w:rPr>
        <w:t>die</w:t>
      </w:r>
      <w:r w:rsidR="004611F1" w:rsidRPr="007A31DC">
        <w:rPr>
          <w:lang w:val="de-DE"/>
        </w:rPr>
        <w:t xml:space="preserve"> Annahme</w:t>
      </w:r>
      <w:r w:rsidR="00B23A9D">
        <w:rPr>
          <w:lang w:val="de-DE"/>
        </w:rPr>
        <w:t xml:space="preserve"> des Vorschlags</w:t>
      </w:r>
      <w:r w:rsidR="004611F1" w:rsidRPr="007A31DC">
        <w:rPr>
          <w:lang w:val="de-DE"/>
        </w:rPr>
        <w:t xml:space="preserve"> zu </w:t>
      </w:r>
      <w:r w:rsidR="000B7EFB" w:rsidRPr="007A31DC">
        <w:rPr>
          <w:lang w:val="de-DE"/>
        </w:rPr>
        <w:t>vertagen</w:t>
      </w:r>
      <w:r w:rsidR="004611F1" w:rsidRPr="007A31DC">
        <w:rPr>
          <w:lang w:val="de-DE"/>
        </w:rPr>
        <w:t>.</w:t>
      </w:r>
      <w:r w:rsidRPr="00BA758E">
        <w:rPr>
          <w:lang w:val="de-DE"/>
        </w:rPr>
        <w:t xml:space="preserve"> </w:t>
      </w:r>
      <w:r w:rsidR="000B7EFB" w:rsidRPr="007A31DC">
        <w:rPr>
          <w:lang w:val="de-DE"/>
        </w:rPr>
        <w:t xml:space="preserve">Es wurde festgestellt, dass das Durchfahren niedriger Brücken in einigen Fällen durch andere technische oder administrative Maßnahmen vermieden werden könnte, z. B. durch den Einsatz neuer Technologien und </w:t>
      </w:r>
      <w:r w:rsidR="008B7A37" w:rsidRPr="007A31DC">
        <w:rPr>
          <w:lang w:val="de-DE"/>
        </w:rPr>
        <w:t>ingenieur</w:t>
      </w:r>
      <w:r w:rsidR="000B7EFB" w:rsidRPr="007A31DC">
        <w:rPr>
          <w:lang w:val="de-DE"/>
        </w:rPr>
        <w:t>technischer Lösungen oder eine bessere Routenplanung der Schiffe und bauliche Lösungen für Brücken.</w:t>
      </w:r>
      <w:r w:rsidRPr="00BA758E">
        <w:rPr>
          <w:lang w:val="de-DE"/>
        </w:rPr>
        <w:t xml:space="preserve"> </w:t>
      </w:r>
      <w:r w:rsidR="008B7A37" w:rsidRPr="00DE740E">
        <w:rPr>
          <w:lang w:val="de-DE"/>
        </w:rPr>
        <w:t>Ferner wurde angemerkt, dass ein trockener Kofferdamm die Dichtigkeitskontrollen des Schiffes erleichter</w:t>
      </w:r>
      <w:r w:rsidR="007A31DC" w:rsidRPr="00DE740E">
        <w:rPr>
          <w:lang w:val="de-DE"/>
        </w:rPr>
        <w:t>e</w:t>
      </w:r>
      <w:r w:rsidR="008B7A37" w:rsidRPr="00DE740E">
        <w:rPr>
          <w:lang w:val="de-DE"/>
        </w:rPr>
        <w:t xml:space="preserve"> und das Verbot der Verwendung des Kofferdamms als Ballasttank für </w:t>
      </w:r>
      <w:r w:rsidR="00DE740E" w:rsidRPr="00DE740E">
        <w:rPr>
          <w:lang w:val="de-DE"/>
        </w:rPr>
        <w:t xml:space="preserve">nach </w:t>
      </w:r>
      <w:r w:rsidR="002A5796" w:rsidRPr="00DE740E">
        <w:rPr>
          <w:lang w:val="de-DE"/>
        </w:rPr>
        <w:t xml:space="preserve">dem Jahr 2000 gebaute </w:t>
      </w:r>
      <w:r w:rsidR="008B7A37" w:rsidRPr="00DE740E">
        <w:rPr>
          <w:lang w:val="de-DE"/>
        </w:rPr>
        <w:t>Schiffe g</w:t>
      </w:r>
      <w:r w:rsidR="007A31DC" w:rsidRPr="00DE740E">
        <w:rPr>
          <w:lang w:val="de-DE"/>
        </w:rPr>
        <w:t>e</w:t>
      </w:r>
      <w:r w:rsidR="008B7A37" w:rsidRPr="00DE740E">
        <w:rPr>
          <w:lang w:val="de-DE"/>
        </w:rPr>
        <w:t>lt</w:t>
      </w:r>
      <w:r w:rsidR="007A31DC" w:rsidRPr="00DE740E">
        <w:rPr>
          <w:lang w:val="de-DE"/>
        </w:rPr>
        <w:t>e</w:t>
      </w:r>
      <w:r w:rsidR="008B7A37" w:rsidRPr="00DE740E">
        <w:rPr>
          <w:lang w:val="de-DE"/>
        </w:rPr>
        <w:t>.</w:t>
      </w:r>
    </w:p>
    <w:p w14:paraId="34A63F4A" w14:textId="67DB3BE9" w:rsidR="00B27959" w:rsidRPr="00BA758E" w:rsidRDefault="00B27959" w:rsidP="00DE740E">
      <w:pPr>
        <w:pStyle w:val="SingleTxtG"/>
        <w:rPr>
          <w:lang w:val="de-DE"/>
        </w:rPr>
      </w:pPr>
      <w:r w:rsidRPr="00BA758E">
        <w:rPr>
          <w:lang w:val="de-DE"/>
        </w:rPr>
        <w:t>34.</w:t>
      </w:r>
      <w:r w:rsidRPr="00BA758E">
        <w:rPr>
          <w:lang w:val="de-DE"/>
        </w:rPr>
        <w:tab/>
      </w:r>
      <w:r w:rsidR="003E518F" w:rsidRPr="00DE740E">
        <w:rPr>
          <w:lang w:val="de-DE"/>
        </w:rPr>
        <w:t>Es wurde vereinbart, die Überlegungen zur Nutzung von Sicherheitseinrichtungen für betriebliche Zwecke in allgemeinerer Form wieder aufzunehmen.</w:t>
      </w:r>
      <w:r w:rsidRPr="00BA758E">
        <w:rPr>
          <w:lang w:val="de-DE"/>
        </w:rPr>
        <w:t xml:space="preserve"> </w:t>
      </w:r>
      <w:r w:rsidR="00235AA7" w:rsidRPr="00DE740E">
        <w:rPr>
          <w:lang w:val="de-DE"/>
        </w:rPr>
        <w:t xml:space="preserve">Der Vertreter der EBU erklärte sich bereit, Nachforschungen zu diesem Thema anzustellen und für die nächste Sitzung einen aktualisierten Vorschlag </w:t>
      </w:r>
      <w:r w:rsidR="00DE740E" w:rsidRPr="00DE740E">
        <w:rPr>
          <w:lang w:val="de-DE"/>
        </w:rPr>
        <w:t>zu unterbreiten</w:t>
      </w:r>
      <w:r w:rsidR="00235AA7" w:rsidRPr="00DE740E">
        <w:rPr>
          <w:lang w:val="de-DE"/>
        </w:rPr>
        <w:t>.</w:t>
      </w:r>
    </w:p>
    <w:p w14:paraId="0CCA3AA0" w14:textId="006109C5" w:rsidR="00B27959" w:rsidRPr="00BA758E" w:rsidRDefault="00B27959" w:rsidP="006E6DE9">
      <w:pPr>
        <w:pStyle w:val="H23G"/>
        <w:spacing w:before="120"/>
        <w:rPr>
          <w:lang w:val="de-DE"/>
        </w:rPr>
      </w:pPr>
      <w:r w:rsidRPr="00BA758E">
        <w:rPr>
          <w:lang w:val="de-DE"/>
        </w:rPr>
        <w:tab/>
      </w:r>
      <w:bookmarkStart w:id="47" w:name="_Toc81410400"/>
      <w:r w:rsidRPr="00BA758E">
        <w:rPr>
          <w:lang w:val="de-DE"/>
        </w:rPr>
        <w:t>9.</w:t>
      </w:r>
      <w:r w:rsidRPr="00BA758E">
        <w:rPr>
          <w:lang w:val="de-DE"/>
        </w:rPr>
        <w:tab/>
      </w:r>
      <w:bookmarkEnd w:id="47"/>
      <w:r w:rsidR="00726B19" w:rsidRPr="00726B19">
        <w:rPr>
          <w:lang w:val="de-DE"/>
        </w:rPr>
        <w:t>Instruktion für die Lade- und Löschraten</w:t>
      </w:r>
    </w:p>
    <w:p w14:paraId="4537B39D" w14:textId="106037B6" w:rsidR="00B27959" w:rsidRPr="00BA758E" w:rsidRDefault="00726B19" w:rsidP="006E6DE9">
      <w:pPr>
        <w:pStyle w:val="H23G"/>
        <w:tabs>
          <w:tab w:val="left" w:pos="3402"/>
        </w:tabs>
        <w:spacing w:before="120" w:after="0"/>
        <w:ind w:left="3402" w:hanging="2268"/>
        <w:rPr>
          <w:b w:val="0"/>
          <w:bCs/>
          <w:lang w:val="de-DE"/>
        </w:rPr>
      </w:pPr>
      <w:bookmarkStart w:id="48" w:name="_Toc81410401"/>
      <w:r w:rsidRPr="00726B19">
        <w:rPr>
          <w:b w:val="0"/>
          <w:bCs/>
          <w:i/>
          <w:iCs/>
          <w:lang w:val="de-DE"/>
        </w:rPr>
        <w:t>Dokument:</w:t>
      </w:r>
      <w:r w:rsidR="00B27959" w:rsidRPr="00BA758E">
        <w:rPr>
          <w:b w:val="0"/>
          <w:bCs/>
          <w:lang w:val="de-DE"/>
        </w:rPr>
        <w:tab/>
      </w:r>
      <w:bookmarkEnd w:id="48"/>
      <w:r w:rsidRPr="00726B19">
        <w:rPr>
          <w:b w:val="0"/>
          <w:bCs/>
          <w:lang w:val="de-DE"/>
        </w:rPr>
        <w:t>ECE/TRANS/WP.15/AC.2/2021/26 (Niederlande)</w:t>
      </w:r>
    </w:p>
    <w:p w14:paraId="04F25D50" w14:textId="05FE11FD" w:rsidR="00B27959" w:rsidRPr="00BA758E" w:rsidRDefault="00726B19" w:rsidP="00726B19">
      <w:pPr>
        <w:pStyle w:val="H23G"/>
        <w:tabs>
          <w:tab w:val="left" w:pos="3402"/>
        </w:tabs>
        <w:spacing w:before="0"/>
        <w:ind w:left="3402" w:hanging="2268"/>
        <w:rPr>
          <w:b w:val="0"/>
          <w:bCs/>
          <w:lang w:val="de-DE"/>
        </w:rPr>
      </w:pPr>
      <w:bookmarkStart w:id="49" w:name="_Toc81410402"/>
      <w:r w:rsidRPr="00726B19">
        <w:rPr>
          <w:b w:val="0"/>
          <w:bCs/>
          <w:i/>
          <w:iCs/>
          <w:lang w:val="de-DE"/>
        </w:rPr>
        <w:t>Informelles Dokument:</w:t>
      </w:r>
      <w:r w:rsidR="00B27959" w:rsidRPr="00BA758E">
        <w:rPr>
          <w:b w:val="0"/>
          <w:bCs/>
          <w:lang w:val="de-DE"/>
        </w:rPr>
        <w:tab/>
      </w:r>
      <w:bookmarkEnd w:id="49"/>
      <w:r w:rsidRPr="00726B19">
        <w:rPr>
          <w:b w:val="0"/>
          <w:bCs/>
          <w:lang w:val="de-DE"/>
        </w:rPr>
        <w:t>INF.2 (Niederlande)</w:t>
      </w:r>
    </w:p>
    <w:p w14:paraId="60F28048" w14:textId="70E433E2" w:rsidR="00B27959" w:rsidRPr="00BA758E" w:rsidRDefault="00B27959" w:rsidP="006E6DE9">
      <w:pPr>
        <w:pStyle w:val="SingleTxtG"/>
        <w:spacing w:line="240" w:lineRule="auto"/>
        <w:rPr>
          <w:lang w:val="de-DE"/>
        </w:rPr>
      </w:pPr>
      <w:r w:rsidRPr="00BA758E">
        <w:rPr>
          <w:lang w:val="de-DE"/>
        </w:rPr>
        <w:t>35.</w:t>
      </w:r>
      <w:r w:rsidRPr="00BA758E">
        <w:rPr>
          <w:lang w:val="de-DE"/>
        </w:rPr>
        <w:tab/>
      </w:r>
      <w:r w:rsidR="00726B19" w:rsidRPr="009B7CFB">
        <w:rPr>
          <w:lang w:val="de-DE"/>
        </w:rPr>
        <w:t xml:space="preserve">Der Sicherheitsausschuss nahm gewisse Bedenken hinsichtlich der Verwendung des Begriffs </w:t>
      </w:r>
      <w:r w:rsidR="00787426" w:rsidRPr="009B7CFB">
        <w:rPr>
          <w:lang w:val="de-DE"/>
        </w:rPr>
        <w:t>„</w:t>
      </w:r>
      <w:r w:rsidR="00726B19" w:rsidRPr="009B7CFB">
        <w:rPr>
          <w:lang w:val="de-DE"/>
        </w:rPr>
        <w:t>Dampfdichte</w:t>
      </w:r>
      <w:r w:rsidR="00787426" w:rsidRPr="009B7CFB">
        <w:rPr>
          <w:lang w:val="de-DE"/>
        </w:rPr>
        <w:t>“</w:t>
      </w:r>
      <w:r w:rsidR="00726B19" w:rsidRPr="009B7CFB">
        <w:rPr>
          <w:lang w:val="de-DE"/>
        </w:rPr>
        <w:t xml:space="preserve"> in den vorgeschlagenen Änderungen, der Verfügbarkeit solcher Daten und der Notwendigkeit</w:t>
      </w:r>
      <w:r w:rsidR="00787426" w:rsidRPr="009B7CFB">
        <w:rPr>
          <w:lang w:val="de-DE"/>
        </w:rPr>
        <w:t xml:space="preserve"> zur Klärung d</w:t>
      </w:r>
      <w:r w:rsidR="00726B19" w:rsidRPr="009B7CFB">
        <w:rPr>
          <w:lang w:val="de-DE"/>
        </w:rPr>
        <w:t>e</w:t>
      </w:r>
      <w:r w:rsidR="00787426" w:rsidRPr="009B7CFB">
        <w:rPr>
          <w:lang w:val="de-DE"/>
        </w:rPr>
        <w:t>r</w:t>
      </w:r>
      <w:r w:rsidR="00726B19" w:rsidRPr="009B7CFB">
        <w:rPr>
          <w:lang w:val="de-DE"/>
        </w:rPr>
        <w:t xml:space="preserve"> Zuständigkeiten zur Kenntnis.</w:t>
      </w:r>
      <w:r w:rsidRPr="00BA758E">
        <w:rPr>
          <w:lang w:val="de-DE"/>
        </w:rPr>
        <w:t xml:space="preserve"> </w:t>
      </w:r>
      <w:r w:rsidR="00787426" w:rsidRPr="009B7CFB">
        <w:rPr>
          <w:lang w:val="de-DE"/>
        </w:rPr>
        <w:t>Der Vertreter der Niederlande bestätigte</w:t>
      </w:r>
      <w:r w:rsidR="005F25CA" w:rsidRPr="009B7CFB">
        <w:rPr>
          <w:lang w:val="de-DE"/>
        </w:rPr>
        <w:t xml:space="preserve"> die Verfügbarkeit </w:t>
      </w:r>
      <w:r w:rsidR="00787426" w:rsidRPr="009B7CFB">
        <w:rPr>
          <w:lang w:val="de-DE"/>
        </w:rPr>
        <w:t>solche</w:t>
      </w:r>
      <w:r w:rsidR="005F25CA" w:rsidRPr="009B7CFB">
        <w:rPr>
          <w:lang w:val="de-DE"/>
        </w:rPr>
        <w:t>r</w:t>
      </w:r>
      <w:r w:rsidR="00787426" w:rsidRPr="009B7CFB">
        <w:rPr>
          <w:lang w:val="de-DE"/>
        </w:rPr>
        <w:t xml:space="preserve"> Daten in der Industrie und </w:t>
      </w:r>
      <w:r w:rsidR="005F25CA" w:rsidRPr="009B7CFB">
        <w:rPr>
          <w:lang w:val="de-DE"/>
        </w:rPr>
        <w:t xml:space="preserve">erklärte, </w:t>
      </w:r>
      <w:r w:rsidR="00787426" w:rsidRPr="009B7CFB">
        <w:rPr>
          <w:lang w:val="de-DE"/>
        </w:rPr>
        <w:t xml:space="preserve">dass die Anwendbarkeit auf nationaler Ebene bereits als bewährte Praxis </w:t>
      </w:r>
      <w:r w:rsidR="009B7CFB" w:rsidRPr="009B7CFB">
        <w:rPr>
          <w:lang w:val="de-DE"/>
        </w:rPr>
        <w:t>erprobt</w:t>
      </w:r>
      <w:r w:rsidR="00787426" w:rsidRPr="009B7CFB">
        <w:rPr>
          <w:lang w:val="de-DE"/>
        </w:rPr>
        <w:t xml:space="preserve"> sei.</w:t>
      </w:r>
      <w:r w:rsidRPr="00BA758E">
        <w:rPr>
          <w:lang w:val="de-DE"/>
        </w:rPr>
        <w:t xml:space="preserve"> </w:t>
      </w:r>
      <w:r w:rsidR="005F25CA" w:rsidRPr="009B7CFB">
        <w:rPr>
          <w:lang w:val="de-DE"/>
        </w:rPr>
        <w:t>Es bestand Einigkeit darüber, dass das Dokument ECE/TRANS/WP.15/AC.2/2021/26 eine gute Diskussionsgrundlage sei, die jedoch weiterentwickelt werden sollte, um die geäußerten Bedenken zu zerstreuen.</w:t>
      </w:r>
      <w:r w:rsidRPr="00BA758E">
        <w:rPr>
          <w:lang w:val="de-DE"/>
        </w:rPr>
        <w:t xml:space="preserve"> </w:t>
      </w:r>
      <w:r w:rsidR="005F25CA" w:rsidRPr="009B7CFB">
        <w:rPr>
          <w:lang w:val="de-DE"/>
        </w:rPr>
        <w:t xml:space="preserve">Der Vertreter </w:t>
      </w:r>
      <w:r w:rsidR="00A011B7" w:rsidRPr="009B7CFB">
        <w:rPr>
          <w:lang w:val="de-DE"/>
        </w:rPr>
        <w:t>des</w:t>
      </w:r>
      <w:r w:rsidR="005F25CA" w:rsidRPr="009B7CFB">
        <w:rPr>
          <w:lang w:val="de-DE"/>
        </w:rPr>
        <w:t xml:space="preserve"> Cefic vertrat die Ansicht, dass anstelle der Dampfdichte für die Berechnung der </w:t>
      </w:r>
      <w:r w:rsidR="00E50223" w:rsidRPr="009B7CFB">
        <w:rPr>
          <w:lang w:val="de-DE"/>
        </w:rPr>
        <w:t>L</w:t>
      </w:r>
      <w:r w:rsidR="005F25CA" w:rsidRPr="009B7CFB">
        <w:rPr>
          <w:lang w:val="de-DE"/>
        </w:rPr>
        <w:t>ad</w:t>
      </w:r>
      <w:r w:rsidR="00E50223" w:rsidRPr="009B7CFB">
        <w:rPr>
          <w:lang w:val="de-DE"/>
        </w:rPr>
        <w:t>e</w:t>
      </w:r>
      <w:r w:rsidR="005F25CA" w:rsidRPr="009B7CFB">
        <w:rPr>
          <w:lang w:val="de-DE"/>
        </w:rPr>
        <w:t>raten der leicht verfügbare Dampfdruck verwendet werden könnte, und sprach sich daher für eine erneute Diskussion über die Berechnungsmethode aus.</w:t>
      </w:r>
    </w:p>
    <w:p w14:paraId="5230292A" w14:textId="632C8291" w:rsidR="00B27959" w:rsidRPr="00BA758E" w:rsidRDefault="00B27959" w:rsidP="006E6DE9">
      <w:pPr>
        <w:pStyle w:val="SingleTxtG"/>
        <w:spacing w:line="240" w:lineRule="auto"/>
        <w:rPr>
          <w:lang w:val="de-DE"/>
        </w:rPr>
      </w:pPr>
      <w:r w:rsidRPr="00BA758E">
        <w:rPr>
          <w:lang w:val="de-DE"/>
        </w:rPr>
        <w:t>36.</w:t>
      </w:r>
      <w:r w:rsidRPr="00BA758E">
        <w:rPr>
          <w:lang w:val="de-DE"/>
        </w:rPr>
        <w:tab/>
      </w:r>
      <w:r w:rsidR="00207FFD" w:rsidRPr="009B7CFB">
        <w:rPr>
          <w:lang w:val="de-DE"/>
        </w:rPr>
        <w:t xml:space="preserve">Der Sicherheitsausschuss beschloss, eine informelle Arbeitsgruppe für </w:t>
      </w:r>
      <w:r w:rsidR="00445F1C" w:rsidRPr="009B7CFB">
        <w:rPr>
          <w:lang w:val="de-DE"/>
        </w:rPr>
        <w:t>die Instruktion für die Lade- und Löschraten</w:t>
      </w:r>
      <w:r w:rsidR="00207FFD" w:rsidRPr="009B7CFB">
        <w:rPr>
          <w:lang w:val="de-DE"/>
        </w:rPr>
        <w:t xml:space="preserve"> einzusetzen</w:t>
      </w:r>
      <w:r w:rsidR="00445F1C" w:rsidRPr="009B7CFB">
        <w:rPr>
          <w:lang w:val="de-DE"/>
        </w:rPr>
        <w:t>,</w:t>
      </w:r>
      <w:r w:rsidRPr="00BA758E">
        <w:rPr>
          <w:lang w:val="de-DE"/>
        </w:rPr>
        <w:t xml:space="preserve"> </w:t>
      </w:r>
      <w:r w:rsidR="00445F1C" w:rsidRPr="009B7CFB">
        <w:rPr>
          <w:lang w:val="de-DE"/>
        </w:rPr>
        <w:t>und erörterte bereits eine erste Reihe von Punkten für den Entwurf der Aufgabenstellung.</w:t>
      </w:r>
      <w:r w:rsidRPr="00BA758E">
        <w:rPr>
          <w:lang w:val="de-DE"/>
        </w:rPr>
        <w:t xml:space="preserve"> </w:t>
      </w:r>
      <w:r w:rsidR="00445F1C" w:rsidRPr="00677579">
        <w:rPr>
          <w:lang w:val="de-DE"/>
        </w:rPr>
        <w:t>Der Vertreter der Niederlande erklärte sich bereit, diesen Entwurf weiter</w:t>
      </w:r>
      <w:r w:rsidR="009B7CFB" w:rsidRPr="00677579">
        <w:rPr>
          <w:lang w:val="de-DE"/>
        </w:rPr>
        <w:t xml:space="preserve"> aus</w:t>
      </w:r>
      <w:r w:rsidR="00445F1C" w:rsidRPr="00677579">
        <w:rPr>
          <w:lang w:val="de-DE"/>
        </w:rPr>
        <w:t>zu</w:t>
      </w:r>
      <w:r w:rsidR="009B7CFB" w:rsidRPr="00677579">
        <w:rPr>
          <w:lang w:val="de-DE"/>
        </w:rPr>
        <w:t>arbeite</w:t>
      </w:r>
      <w:r w:rsidR="00445F1C" w:rsidRPr="00677579">
        <w:rPr>
          <w:lang w:val="de-DE"/>
        </w:rPr>
        <w:t xml:space="preserve">n, und lud alle interessierten Delegierten ein, ihm eine E-Mail zu schicken, um ihr Interesse an einer Teilnahme an den </w:t>
      </w:r>
      <w:r w:rsidR="0087587F" w:rsidRPr="00677579">
        <w:rPr>
          <w:lang w:val="de-DE"/>
        </w:rPr>
        <w:t>Tätigkeiten</w:t>
      </w:r>
      <w:r w:rsidR="00445F1C" w:rsidRPr="00677579">
        <w:rPr>
          <w:lang w:val="de-DE"/>
        </w:rPr>
        <w:t xml:space="preserve"> der neuen Arbeitsgruppe zu bekunden.</w:t>
      </w:r>
      <w:r w:rsidRPr="00BA758E">
        <w:rPr>
          <w:lang w:val="de-DE"/>
        </w:rPr>
        <w:t xml:space="preserve"> </w:t>
      </w:r>
      <w:r w:rsidR="0087587F" w:rsidRPr="00677579">
        <w:rPr>
          <w:lang w:val="de-DE"/>
        </w:rPr>
        <w:t>Der Sicherheitsausschuss kam überein, auf seiner nächsten Sitzung den endgültigen Vorschlag für die Aufgabenstellung der informellen Arbeitsgruppe zu prüfen.</w:t>
      </w:r>
    </w:p>
    <w:p w14:paraId="1CA81663" w14:textId="3C1D2ED4" w:rsidR="00B27959" w:rsidRPr="00BA758E" w:rsidRDefault="00B27959" w:rsidP="006E6DE9">
      <w:pPr>
        <w:pStyle w:val="H23G"/>
        <w:spacing w:before="120"/>
        <w:rPr>
          <w:lang w:val="de-DE"/>
        </w:rPr>
      </w:pPr>
      <w:r w:rsidRPr="00BA758E">
        <w:rPr>
          <w:lang w:val="de-DE"/>
        </w:rPr>
        <w:tab/>
      </w:r>
      <w:bookmarkStart w:id="50" w:name="_Toc81410403"/>
      <w:r w:rsidRPr="00BA758E">
        <w:rPr>
          <w:lang w:val="de-DE"/>
        </w:rPr>
        <w:t>10.</w:t>
      </w:r>
      <w:r w:rsidRPr="00BA758E">
        <w:rPr>
          <w:lang w:val="de-DE"/>
        </w:rPr>
        <w:tab/>
      </w:r>
      <w:bookmarkEnd w:id="50"/>
      <w:r w:rsidR="0087587F" w:rsidRPr="0087587F">
        <w:rPr>
          <w:lang w:val="de-DE"/>
        </w:rPr>
        <w:t>3.2.3.3 Schema B</w:t>
      </w:r>
    </w:p>
    <w:p w14:paraId="776F9D8B" w14:textId="2875BCF3" w:rsidR="00B27959" w:rsidRPr="00BA758E" w:rsidRDefault="0087587F" w:rsidP="006E6DE9">
      <w:pPr>
        <w:pStyle w:val="H23G"/>
        <w:tabs>
          <w:tab w:val="left" w:pos="1134"/>
          <w:tab w:val="left" w:pos="3402"/>
        </w:tabs>
        <w:spacing w:before="120"/>
        <w:ind w:firstLine="0"/>
        <w:rPr>
          <w:b w:val="0"/>
          <w:bCs/>
          <w:lang w:val="de-DE"/>
        </w:rPr>
      </w:pPr>
      <w:bookmarkStart w:id="51" w:name="_Toc81410404"/>
      <w:r w:rsidRPr="0087587F">
        <w:rPr>
          <w:b w:val="0"/>
          <w:bCs/>
          <w:i/>
          <w:iCs/>
          <w:lang w:val="de-DE"/>
        </w:rPr>
        <w:t>Dokument:</w:t>
      </w:r>
      <w:r w:rsidR="00B27959" w:rsidRPr="00BA758E">
        <w:rPr>
          <w:b w:val="0"/>
          <w:bCs/>
          <w:lang w:val="de-DE"/>
        </w:rPr>
        <w:tab/>
      </w:r>
      <w:bookmarkEnd w:id="51"/>
      <w:r w:rsidRPr="0087587F">
        <w:rPr>
          <w:b w:val="0"/>
          <w:bCs/>
          <w:lang w:val="de-DE"/>
        </w:rPr>
        <w:t>ECE/TRANS/WP.15/AC.2/2021/28 (Niederlande)</w:t>
      </w:r>
    </w:p>
    <w:p w14:paraId="0FFBC593" w14:textId="3AE7DEA6" w:rsidR="00B27959" w:rsidRPr="00BA758E" w:rsidRDefault="00B27959" w:rsidP="00DA1A39">
      <w:pPr>
        <w:pStyle w:val="SingleTxtG"/>
        <w:rPr>
          <w:lang w:val="de-DE"/>
        </w:rPr>
      </w:pPr>
      <w:r w:rsidRPr="00BA758E">
        <w:rPr>
          <w:lang w:val="de-DE"/>
        </w:rPr>
        <w:t>37.</w:t>
      </w:r>
      <w:r w:rsidRPr="00BA758E">
        <w:rPr>
          <w:lang w:val="de-DE"/>
        </w:rPr>
        <w:tab/>
      </w:r>
      <w:r w:rsidR="0087587F" w:rsidRPr="00DA1A39">
        <w:rPr>
          <w:lang w:val="de-DE"/>
        </w:rPr>
        <w:t xml:space="preserve">Der Sicherheitsausschuss begrüßte und verabschiedete den Vorschlag zur Verbesserung der Lesbarkeit von Schema B in </w:t>
      </w:r>
      <w:r w:rsidR="00DA1A39" w:rsidRPr="00DA1A39">
        <w:rPr>
          <w:lang w:val="de-DE"/>
        </w:rPr>
        <w:t xml:space="preserve">Unterabschnitt </w:t>
      </w:r>
      <w:r w:rsidR="0087587F" w:rsidRPr="00DA1A39">
        <w:rPr>
          <w:lang w:val="de-DE"/>
        </w:rPr>
        <w:t>3.2.3.3 ADN (siehe An</w:t>
      </w:r>
      <w:r w:rsidR="00DA1A39" w:rsidRPr="00DA1A39">
        <w:rPr>
          <w:lang w:val="de-DE"/>
        </w:rPr>
        <w:t>l</w:t>
      </w:r>
      <w:r w:rsidR="0087587F" w:rsidRPr="00DA1A39">
        <w:rPr>
          <w:lang w:val="de-DE"/>
        </w:rPr>
        <w:t>ag</w:t>
      </w:r>
      <w:r w:rsidR="00DA1A39" w:rsidRPr="00DA1A39">
        <w:rPr>
          <w:lang w:val="de-DE"/>
        </w:rPr>
        <w:t>e</w:t>
      </w:r>
      <w:r w:rsidR="0087587F" w:rsidRPr="00DA1A39">
        <w:rPr>
          <w:lang w:val="de-DE"/>
        </w:rPr>
        <w:t xml:space="preserve"> I).</w:t>
      </w:r>
    </w:p>
    <w:p w14:paraId="48D7576B" w14:textId="1FC11ADC" w:rsidR="00B27959" w:rsidRPr="00BA758E" w:rsidRDefault="00B27959" w:rsidP="00DA1A39">
      <w:pPr>
        <w:pStyle w:val="H23G"/>
        <w:rPr>
          <w:lang w:val="de-DE"/>
        </w:rPr>
      </w:pPr>
      <w:r w:rsidRPr="00BA758E">
        <w:rPr>
          <w:lang w:val="de-DE"/>
        </w:rPr>
        <w:tab/>
      </w:r>
      <w:bookmarkStart w:id="52" w:name="_Toc81410405"/>
      <w:r w:rsidRPr="00BA758E">
        <w:rPr>
          <w:lang w:val="de-DE"/>
        </w:rPr>
        <w:t>11.</w:t>
      </w:r>
      <w:r w:rsidRPr="00BA758E">
        <w:rPr>
          <w:lang w:val="de-DE"/>
        </w:rPr>
        <w:tab/>
      </w:r>
      <w:bookmarkEnd w:id="52"/>
      <w:r w:rsidR="00DA1A39" w:rsidRPr="00DA1A39">
        <w:rPr>
          <w:lang w:val="de-DE"/>
        </w:rPr>
        <w:t>Bauwerkstoffe</w:t>
      </w:r>
    </w:p>
    <w:p w14:paraId="0841747F" w14:textId="1D41FE58" w:rsidR="00B27959" w:rsidRPr="00BA758E" w:rsidRDefault="00DA1A39" w:rsidP="006E6DE9">
      <w:pPr>
        <w:pStyle w:val="H23G"/>
        <w:tabs>
          <w:tab w:val="left" w:pos="1134"/>
          <w:tab w:val="left" w:pos="3402"/>
        </w:tabs>
        <w:spacing w:before="120"/>
        <w:ind w:firstLine="0"/>
        <w:rPr>
          <w:b w:val="0"/>
          <w:bCs/>
          <w:lang w:val="de-DE"/>
        </w:rPr>
      </w:pPr>
      <w:bookmarkStart w:id="53" w:name="_Toc81410406"/>
      <w:r w:rsidRPr="00DA1A39">
        <w:rPr>
          <w:b w:val="0"/>
          <w:bCs/>
          <w:i/>
          <w:iCs/>
          <w:lang w:val="de-DE"/>
        </w:rPr>
        <w:t>Dokument:</w:t>
      </w:r>
      <w:r w:rsidR="00B27959" w:rsidRPr="00BA758E">
        <w:rPr>
          <w:b w:val="0"/>
          <w:bCs/>
          <w:lang w:val="de-DE"/>
        </w:rPr>
        <w:tab/>
        <w:t xml:space="preserve">ECE/TRANS/WP.15/AC.2/2021/30 (EBU </w:t>
      </w:r>
      <w:r w:rsidRPr="00BA758E">
        <w:rPr>
          <w:b w:val="0"/>
          <w:bCs/>
          <w:lang w:val="de-DE"/>
        </w:rPr>
        <w:t>u</w:t>
      </w:r>
      <w:r w:rsidR="00B27959" w:rsidRPr="00BA758E">
        <w:rPr>
          <w:b w:val="0"/>
          <w:bCs/>
          <w:lang w:val="de-DE"/>
        </w:rPr>
        <w:t>nd ESO)</w:t>
      </w:r>
      <w:bookmarkEnd w:id="53"/>
    </w:p>
    <w:p w14:paraId="521EF0B2" w14:textId="15141145" w:rsidR="00B27959" w:rsidRPr="00BA758E" w:rsidRDefault="00B27959" w:rsidP="00677579">
      <w:pPr>
        <w:pStyle w:val="SingleTxtG"/>
        <w:rPr>
          <w:lang w:val="de-DE"/>
        </w:rPr>
      </w:pPr>
      <w:r w:rsidRPr="00BA758E">
        <w:rPr>
          <w:lang w:val="de-DE"/>
        </w:rPr>
        <w:t>38.</w:t>
      </w:r>
      <w:r w:rsidRPr="00BA758E">
        <w:rPr>
          <w:lang w:val="de-DE"/>
        </w:rPr>
        <w:tab/>
      </w:r>
      <w:r w:rsidR="00520B09" w:rsidRPr="00677579">
        <w:rPr>
          <w:lang w:val="de-DE"/>
        </w:rPr>
        <w:t xml:space="preserve">Das Dokument fand allgemeine Zustimmung, </w:t>
      </w:r>
      <w:r w:rsidR="00DD4006" w:rsidRPr="00677579">
        <w:rPr>
          <w:lang w:val="de-DE"/>
        </w:rPr>
        <w:t>allerdings waren</w:t>
      </w:r>
      <w:r w:rsidR="00520B09" w:rsidRPr="00677579">
        <w:rPr>
          <w:lang w:val="de-DE"/>
        </w:rPr>
        <w:t xml:space="preserve"> einige Klarstellungen in Bezug auf die vorgeschlagene Tabelle mit </w:t>
      </w:r>
      <w:r w:rsidR="00502930" w:rsidRPr="00677579">
        <w:rPr>
          <w:lang w:val="de-DE"/>
        </w:rPr>
        <w:t>den</w:t>
      </w:r>
      <w:r w:rsidR="00520B09" w:rsidRPr="00677579">
        <w:rPr>
          <w:lang w:val="de-DE"/>
        </w:rPr>
        <w:t xml:space="preserve"> Werkstoffe</w:t>
      </w:r>
      <w:r w:rsidR="00502930" w:rsidRPr="00677579">
        <w:rPr>
          <w:lang w:val="de-DE"/>
        </w:rPr>
        <w:t>n</w:t>
      </w:r>
      <w:r w:rsidR="00520B09" w:rsidRPr="00677579">
        <w:rPr>
          <w:lang w:val="de-DE"/>
        </w:rPr>
        <w:t>, die Nummerierung der Absätze und ein</w:t>
      </w:r>
      <w:r w:rsidR="00F10058" w:rsidRPr="00677579">
        <w:rPr>
          <w:lang w:val="de-DE"/>
        </w:rPr>
        <w:t>en</w:t>
      </w:r>
      <w:r w:rsidR="00520B09" w:rsidRPr="00677579">
        <w:rPr>
          <w:lang w:val="de-DE"/>
        </w:rPr>
        <w:t xml:space="preserve"> Verweis i</w:t>
      </w:r>
      <w:r w:rsidR="00163638" w:rsidRPr="00677579">
        <w:rPr>
          <w:lang w:val="de-DE"/>
        </w:rPr>
        <w:t>m</w:t>
      </w:r>
      <w:r w:rsidR="00520B09" w:rsidRPr="00677579">
        <w:rPr>
          <w:lang w:val="de-DE"/>
        </w:rPr>
        <w:t xml:space="preserve"> Eintrag für fotooptische Kopien erforderlich.</w:t>
      </w:r>
      <w:r w:rsidRPr="00BA758E">
        <w:rPr>
          <w:lang w:val="de-DE"/>
        </w:rPr>
        <w:t xml:space="preserve"> </w:t>
      </w:r>
      <w:r w:rsidR="00700A9A" w:rsidRPr="00677579">
        <w:rPr>
          <w:lang w:val="de-DE"/>
        </w:rPr>
        <w:t xml:space="preserve">Nach der Diskussion nahm der Sicherheitsausschuss </w:t>
      </w:r>
      <w:r w:rsidR="008A051E" w:rsidRPr="00677579">
        <w:rPr>
          <w:lang w:val="de-DE"/>
        </w:rPr>
        <w:t>den Vorschlag</w:t>
      </w:r>
      <w:r w:rsidR="00700A9A" w:rsidRPr="00677579">
        <w:rPr>
          <w:lang w:val="de-DE"/>
        </w:rPr>
        <w:t xml:space="preserve"> in der geänderten Fassung an (siehe Anlage I).</w:t>
      </w:r>
      <w:r w:rsidRPr="00BA758E">
        <w:rPr>
          <w:lang w:val="de-DE"/>
        </w:rPr>
        <w:t xml:space="preserve"> </w:t>
      </w:r>
    </w:p>
    <w:p w14:paraId="0804BE39" w14:textId="4847FFE2" w:rsidR="00B27959" w:rsidRPr="00BA758E" w:rsidRDefault="00B27959" w:rsidP="006E6DE9">
      <w:pPr>
        <w:pStyle w:val="H23G"/>
        <w:spacing w:before="120"/>
        <w:rPr>
          <w:lang w:val="de-DE"/>
        </w:rPr>
      </w:pPr>
      <w:r w:rsidRPr="00BA758E">
        <w:rPr>
          <w:lang w:val="de-DE"/>
        </w:rPr>
        <w:tab/>
      </w:r>
      <w:bookmarkStart w:id="54" w:name="_Toc81410407"/>
      <w:r w:rsidRPr="00BA758E">
        <w:rPr>
          <w:lang w:val="de-DE"/>
        </w:rPr>
        <w:t>12.</w:t>
      </w:r>
      <w:r w:rsidRPr="00BA758E">
        <w:rPr>
          <w:lang w:val="de-DE"/>
        </w:rPr>
        <w:tab/>
      </w:r>
      <w:bookmarkEnd w:id="54"/>
      <w:r w:rsidR="008A051E" w:rsidRPr="008A051E">
        <w:rPr>
          <w:lang w:val="de-DE"/>
        </w:rPr>
        <w:t>Harmonisierung der in 8.1.2.2 f) und 8.1.2.3 s) des ADN 2021 verwendeten Terminologie</w:t>
      </w:r>
    </w:p>
    <w:p w14:paraId="39025737" w14:textId="2F416EED" w:rsidR="00B27959" w:rsidRPr="00BA758E" w:rsidRDefault="008A051E" w:rsidP="006E6DE9">
      <w:pPr>
        <w:pStyle w:val="H23G"/>
        <w:tabs>
          <w:tab w:val="left" w:pos="1134"/>
          <w:tab w:val="left" w:pos="3402"/>
        </w:tabs>
        <w:spacing w:before="120"/>
        <w:ind w:firstLine="0"/>
        <w:rPr>
          <w:b w:val="0"/>
          <w:bCs/>
          <w:lang w:val="de-DE"/>
        </w:rPr>
      </w:pPr>
      <w:bookmarkStart w:id="55" w:name="_Toc81410408"/>
      <w:r w:rsidRPr="008A051E">
        <w:rPr>
          <w:b w:val="0"/>
          <w:bCs/>
          <w:i/>
          <w:iCs/>
          <w:lang w:val="de-DE"/>
        </w:rPr>
        <w:t>Dokument:</w:t>
      </w:r>
      <w:r w:rsidR="00B27959" w:rsidRPr="00BA758E">
        <w:rPr>
          <w:b w:val="0"/>
          <w:bCs/>
          <w:lang w:val="de-DE"/>
        </w:rPr>
        <w:tab/>
      </w:r>
      <w:bookmarkEnd w:id="55"/>
      <w:r w:rsidRPr="008A051E">
        <w:rPr>
          <w:b w:val="0"/>
          <w:bCs/>
          <w:lang w:val="de-DE"/>
        </w:rPr>
        <w:t>ECE/TRANS/WP.15/AC.2/2021/31 (ZKR)</w:t>
      </w:r>
    </w:p>
    <w:p w14:paraId="29D8AFE6" w14:textId="036DDB7F" w:rsidR="00B27959" w:rsidRPr="00BA758E" w:rsidRDefault="00B27959" w:rsidP="00795502">
      <w:pPr>
        <w:pStyle w:val="SingleTxtG"/>
        <w:rPr>
          <w:lang w:val="de-DE"/>
        </w:rPr>
      </w:pPr>
      <w:r w:rsidRPr="00BA758E">
        <w:rPr>
          <w:lang w:val="de-DE"/>
        </w:rPr>
        <w:t>39.</w:t>
      </w:r>
      <w:r w:rsidRPr="00BA758E">
        <w:rPr>
          <w:lang w:val="de-DE"/>
        </w:rPr>
        <w:tab/>
      </w:r>
      <w:r w:rsidR="008A051E" w:rsidRPr="00795502">
        <w:rPr>
          <w:lang w:val="de-DE"/>
        </w:rPr>
        <w:t xml:space="preserve">Auf den Antrag der ZKR, die verschiedenen Sprachfassungen der Unterabschnitte 8.1.2.2 und 8.1.2.3 zu harmonisieren, sprach sich der Vertreter Deutschlands dafür aus, in einem ersten Schritt zu prüfen, ob der </w:t>
      </w:r>
      <w:r w:rsidR="00392363" w:rsidRPr="00795502">
        <w:rPr>
          <w:lang w:val="de-DE"/>
        </w:rPr>
        <w:t xml:space="preserve">deutsche </w:t>
      </w:r>
      <w:r w:rsidR="008A051E" w:rsidRPr="00795502">
        <w:rPr>
          <w:lang w:val="de-DE"/>
        </w:rPr>
        <w:t xml:space="preserve">Wortlaut des Unterabschnitts 8.1.2.3 </w:t>
      </w:r>
      <w:r w:rsidR="00392363" w:rsidRPr="00795502">
        <w:rPr>
          <w:lang w:val="de-DE"/>
        </w:rPr>
        <w:t>Buchstabe</w:t>
      </w:r>
      <w:r w:rsidR="0024347E" w:rsidRPr="00795502">
        <w:rPr>
          <w:lang w:val="de-DE"/>
        </w:rPr>
        <w:t> </w:t>
      </w:r>
      <w:r w:rsidR="008A051E" w:rsidRPr="00795502">
        <w:rPr>
          <w:lang w:val="de-DE"/>
        </w:rPr>
        <w:t>s der richtige sein könnte.</w:t>
      </w:r>
      <w:r w:rsidRPr="00BA758E">
        <w:rPr>
          <w:lang w:val="de-DE"/>
        </w:rPr>
        <w:t xml:space="preserve"> </w:t>
      </w:r>
      <w:r w:rsidR="007D02B7" w:rsidRPr="00795502">
        <w:rPr>
          <w:lang w:val="de-DE"/>
        </w:rPr>
        <w:t xml:space="preserve">Der Sicherheitsausschuss vertagte die Diskussion über den Antrag daher auf seine nächste Sitzung </w:t>
      </w:r>
      <w:r w:rsidR="001D3885" w:rsidRPr="00795502">
        <w:rPr>
          <w:lang w:val="de-DE"/>
        </w:rPr>
        <w:t>und bat um die Vor</w:t>
      </w:r>
      <w:r w:rsidR="007D02B7" w:rsidRPr="00795502">
        <w:rPr>
          <w:lang w:val="de-DE"/>
        </w:rPr>
        <w:t>lage eines aktualisierten Dokuments.</w:t>
      </w:r>
    </w:p>
    <w:p w14:paraId="78E0D900" w14:textId="5DE1493F" w:rsidR="00B27959" w:rsidRPr="00BA758E" w:rsidRDefault="00B27959" w:rsidP="006E6DE9">
      <w:pPr>
        <w:pStyle w:val="H23G"/>
        <w:spacing w:before="120"/>
        <w:rPr>
          <w:lang w:val="de-DE"/>
        </w:rPr>
      </w:pPr>
      <w:r w:rsidRPr="00BA758E">
        <w:rPr>
          <w:lang w:val="de-DE"/>
        </w:rPr>
        <w:tab/>
      </w:r>
      <w:bookmarkStart w:id="56" w:name="_Toc81410409"/>
      <w:r w:rsidRPr="00BA758E">
        <w:rPr>
          <w:lang w:val="de-DE"/>
        </w:rPr>
        <w:t>13.</w:t>
      </w:r>
      <w:r w:rsidRPr="00BA758E">
        <w:rPr>
          <w:lang w:val="de-DE"/>
        </w:rPr>
        <w:tab/>
      </w:r>
      <w:bookmarkEnd w:id="56"/>
      <w:r w:rsidR="001D3885" w:rsidRPr="001D3885">
        <w:rPr>
          <w:lang w:val="de-DE"/>
        </w:rPr>
        <w:t>Harmonisierung der in 1.9.3 c) des ADN 2021 verwendeten Terminologie</w:t>
      </w:r>
    </w:p>
    <w:p w14:paraId="64F1DC05" w14:textId="625914DF" w:rsidR="00B27959" w:rsidRPr="00BA758E" w:rsidRDefault="001D3885" w:rsidP="006E6DE9">
      <w:pPr>
        <w:pStyle w:val="H23G"/>
        <w:tabs>
          <w:tab w:val="left" w:pos="1134"/>
          <w:tab w:val="left" w:pos="3402"/>
        </w:tabs>
        <w:spacing w:before="120"/>
        <w:ind w:firstLine="0"/>
        <w:rPr>
          <w:b w:val="0"/>
          <w:bCs/>
          <w:i/>
          <w:iCs/>
          <w:lang w:val="de-DE"/>
        </w:rPr>
      </w:pPr>
      <w:bookmarkStart w:id="57" w:name="_Toc81410410"/>
      <w:r w:rsidRPr="001D3885">
        <w:rPr>
          <w:b w:val="0"/>
          <w:bCs/>
          <w:i/>
          <w:iCs/>
          <w:lang w:val="de-DE"/>
        </w:rPr>
        <w:t>Informelles Dokument:</w:t>
      </w:r>
      <w:r w:rsidR="00B27959" w:rsidRPr="00BA758E">
        <w:rPr>
          <w:b w:val="0"/>
          <w:bCs/>
          <w:lang w:val="de-DE"/>
        </w:rPr>
        <w:tab/>
      </w:r>
      <w:bookmarkEnd w:id="57"/>
      <w:r w:rsidRPr="001D3885">
        <w:rPr>
          <w:b w:val="0"/>
          <w:bCs/>
          <w:lang w:val="de-DE"/>
        </w:rPr>
        <w:t>INF.4 (ZKR)</w:t>
      </w:r>
    </w:p>
    <w:p w14:paraId="2D9291F2" w14:textId="44103F1B" w:rsidR="00B27959" w:rsidRPr="00BA758E" w:rsidRDefault="00B27959" w:rsidP="00795502">
      <w:pPr>
        <w:pStyle w:val="SingleTxtG"/>
        <w:rPr>
          <w:lang w:val="de-DE"/>
        </w:rPr>
      </w:pPr>
      <w:r w:rsidRPr="00BA758E">
        <w:rPr>
          <w:lang w:val="de-DE"/>
        </w:rPr>
        <w:t>40.</w:t>
      </w:r>
      <w:r w:rsidRPr="00BA758E">
        <w:rPr>
          <w:lang w:val="de-DE"/>
        </w:rPr>
        <w:tab/>
      </w:r>
      <w:r w:rsidR="001D3885" w:rsidRPr="00795502">
        <w:rPr>
          <w:lang w:val="de-DE"/>
        </w:rPr>
        <w:t>Unter Verweis auf seine Entscheidung zu ECE/TRANS/WP.15/AC.2/2021/31 vertagt</w:t>
      </w:r>
      <w:r w:rsidR="009E3711" w:rsidRPr="00795502">
        <w:rPr>
          <w:lang w:val="de-DE"/>
        </w:rPr>
        <w:t>e</w:t>
      </w:r>
      <w:r w:rsidR="001D3885" w:rsidRPr="00795502">
        <w:rPr>
          <w:lang w:val="de-DE"/>
        </w:rPr>
        <w:t xml:space="preserve"> der Sicherheitsausschuss auch die Diskussion über das informelle Dokument INF.4 auf seine nächste Sitzung.</w:t>
      </w:r>
    </w:p>
    <w:p w14:paraId="6AF5BA7E" w14:textId="605DB310" w:rsidR="00B27959" w:rsidRPr="00BA758E" w:rsidRDefault="00B27959" w:rsidP="006E6DE9">
      <w:pPr>
        <w:pStyle w:val="H23G"/>
        <w:spacing w:before="120"/>
        <w:rPr>
          <w:lang w:val="de-DE"/>
        </w:rPr>
      </w:pPr>
      <w:r w:rsidRPr="00BA758E">
        <w:rPr>
          <w:lang w:val="de-DE"/>
        </w:rPr>
        <w:tab/>
      </w:r>
      <w:bookmarkStart w:id="58" w:name="_Toc81410411"/>
      <w:r w:rsidRPr="00BA758E">
        <w:rPr>
          <w:lang w:val="de-DE"/>
        </w:rPr>
        <w:t>14.</w:t>
      </w:r>
      <w:r w:rsidRPr="00BA758E">
        <w:rPr>
          <w:lang w:val="de-DE"/>
        </w:rPr>
        <w:tab/>
      </w:r>
      <w:bookmarkEnd w:id="58"/>
      <w:r w:rsidR="009E3711" w:rsidRPr="009E3711">
        <w:rPr>
          <w:lang w:val="de-DE"/>
        </w:rPr>
        <w:t>Verwendung einer einheitlichen Terminologie für Leckstabilitätsrechnungen in 9.3.x.15.2</w:t>
      </w:r>
    </w:p>
    <w:p w14:paraId="70005BD9" w14:textId="44C34633" w:rsidR="00B27959" w:rsidRPr="001B5E14" w:rsidRDefault="009E3711" w:rsidP="006E6DE9">
      <w:pPr>
        <w:pStyle w:val="H23G"/>
        <w:tabs>
          <w:tab w:val="left" w:pos="1134"/>
          <w:tab w:val="left" w:pos="3402"/>
        </w:tabs>
        <w:spacing w:before="120"/>
        <w:ind w:firstLine="0"/>
        <w:rPr>
          <w:b w:val="0"/>
          <w:bCs/>
          <w:lang w:val="de-DE"/>
        </w:rPr>
      </w:pPr>
      <w:bookmarkStart w:id="59" w:name="_Toc81410412"/>
      <w:r w:rsidRPr="009E3711">
        <w:rPr>
          <w:b w:val="0"/>
          <w:bCs/>
          <w:i/>
          <w:iCs/>
          <w:lang w:val="de-DE"/>
        </w:rPr>
        <w:t>Informelles Dokument:</w:t>
      </w:r>
      <w:r w:rsidR="00B27959" w:rsidRPr="001B5E14">
        <w:rPr>
          <w:b w:val="0"/>
          <w:bCs/>
          <w:lang w:val="de-DE"/>
        </w:rPr>
        <w:tab/>
      </w:r>
      <w:bookmarkEnd w:id="59"/>
      <w:r w:rsidRPr="009E3711">
        <w:rPr>
          <w:b w:val="0"/>
          <w:bCs/>
          <w:lang w:val="de-DE"/>
        </w:rPr>
        <w:t>INF.8 (ZKR)</w:t>
      </w:r>
    </w:p>
    <w:p w14:paraId="58D07935" w14:textId="5CF349D3" w:rsidR="00B27959" w:rsidRPr="00BA758E" w:rsidRDefault="00B27959" w:rsidP="009E3711">
      <w:pPr>
        <w:pStyle w:val="SingleTxtG"/>
        <w:rPr>
          <w:lang w:val="de-DE"/>
        </w:rPr>
      </w:pPr>
      <w:r w:rsidRPr="00BA758E">
        <w:rPr>
          <w:lang w:val="de-DE"/>
        </w:rPr>
        <w:t>41.</w:t>
      </w:r>
      <w:r w:rsidRPr="00BA758E">
        <w:rPr>
          <w:lang w:val="de-DE"/>
        </w:rPr>
        <w:tab/>
      </w:r>
      <w:r w:rsidR="009E3711" w:rsidRPr="009E3711">
        <w:rPr>
          <w:lang w:val="de-DE"/>
        </w:rPr>
        <w:t>Der Sicherheitsausschuss nahm den Korrekturvorschlag zu den Absätzen 9.3.1.15.2, 9.3.2.15.2 und 9.3.3.15.2 an (siehe Anlage II).</w:t>
      </w:r>
    </w:p>
    <w:p w14:paraId="50C6DD50" w14:textId="2439EE5A" w:rsidR="00B27959" w:rsidRPr="00BA758E" w:rsidRDefault="00B27959" w:rsidP="006E6DE9">
      <w:pPr>
        <w:pStyle w:val="H23G"/>
        <w:spacing w:before="120"/>
        <w:rPr>
          <w:lang w:val="de-DE"/>
        </w:rPr>
      </w:pPr>
      <w:r w:rsidRPr="00BA758E">
        <w:rPr>
          <w:lang w:val="de-DE"/>
        </w:rPr>
        <w:tab/>
      </w:r>
      <w:bookmarkStart w:id="60" w:name="_Toc81410413"/>
      <w:r w:rsidRPr="00BA758E">
        <w:rPr>
          <w:lang w:val="de-DE"/>
        </w:rPr>
        <w:t>15.</w:t>
      </w:r>
      <w:r w:rsidRPr="00BA758E">
        <w:rPr>
          <w:lang w:val="de-DE"/>
        </w:rPr>
        <w:tab/>
      </w:r>
      <w:bookmarkEnd w:id="60"/>
      <w:r w:rsidR="009E3711" w:rsidRPr="009E3711">
        <w:rPr>
          <w:lang w:val="de-DE"/>
        </w:rPr>
        <w:t>Verwendung einer einheitlichen Terminologie für Leckstabilitätsrechnungen in 9.3.x.14.2 a) und b)</w:t>
      </w:r>
    </w:p>
    <w:p w14:paraId="782537F3" w14:textId="49B59C9E" w:rsidR="00B27959" w:rsidRPr="00BA758E" w:rsidRDefault="009E3711" w:rsidP="006E6DE9">
      <w:pPr>
        <w:pStyle w:val="H23G"/>
        <w:tabs>
          <w:tab w:val="left" w:pos="1134"/>
          <w:tab w:val="left" w:pos="3402"/>
        </w:tabs>
        <w:spacing w:before="120"/>
        <w:ind w:firstLine="0"/>
        <w:rPr>
          <w:b w:val="0"/>
          <w:bCs/>
          <w:lang w:val="de-DE"/>
        </w:rPr>
      </w:pPr>
      <w:bookmarkStart w:id="61" w:name="_Toc81410414"/>
      <w:r w:rsidRPr="009E3711">
        <w:rPr>
          <w:b w:val="0"/>
          <w:bCs/>
          <w:i/>
          <w:iCs/>
          <w:lang w:val="de-DE"/>
        </w:rPr>
        <w:t>Informelles Dokument:</w:t>
      </w:r>
      <w:r w:rsidR="00B27959" w:rsidRPr="00BA758E">
        <w:rPr>
          <w:b w:val="0"/>
          <w:bCs/>
          <w:lang w:val="de-DE"/>
        </w:rPr>
        <w:tab/>
      </w:r>
      <w:bookmarkEnd w:id="61"/>
      <w:r w:rsidRPr="009E3711">
        <w:rPr>
          <w:b w:val="0"/>
          <w:bCs/>
          <w:lang w:val="de-DE"/>
        </w:rPr>
        <w:t>INF.18 (Empfohlene Klassifikationsgesellschaften)</w:t>
      </w:r>
    </w:p>
    <w:p w14:paraId="46E06913" w14:textId="3E3C1966" w:rsidR="00B27959" w:rsidRPr="00BA758E" w:rsidRDefault="00B27959" w:rsidP="009E3711">
      <w:pPr>
        <w:pStyle w:val="SingleTxtG"/>
        <w:rPr>
          <w:lang w:val="de-DE"/>
        </w:rPr>
      </w:pPr>
      <w:r w:rsidRPr="00BA758E">
        <w:rPr>
          <w:lang w:val="de-DE"/>
        </w:rPr>
        <w:t>42.</w:t>
      </w:r>
      <w:r w:rsidRPr="00BA758E">
        <w:rPr>
          <w:lang w:val="de-DE"/>
        </w:rPr>
        <w:tab/>
      </w:r>
      <w:r w:rsidR="009E3711" w:rsidRPr="009E3711">
        <w:rPr>
          <w:lang w:val="de-DE"/>
        </w:rPr>
        <w:t>Der Sicherheitsausschuss nahm den Korrekturvorschlag zu den Absätzen 9.3.1.14.2, 9.3.2.14.2 und 9.3.3.14.2 Buchstaben a und b an (siehe Anlage II).</w:t>
      </w:r>
    </w:p>
    <w:p w14:paraId="2A2BEB39" w14:textId="0188BB5B" w:rsidR="00B27959" w:rsidRPr="00BA758E" w:rsidRDefault="00B27959" w:rsidP="006E6DE9">
      <w:pPr>
        <w:pStyle w:val="H23G"/>
        <w:spacing w:before="120"/>
        <w:rPr>
          <w:lang w:val="de-DE"/>
        </w:rPr>
      </w:pPr>
      <w:r w:rsidRPr="00BA758E">
        <w:rPr>
          <w:lang w:val="de-DE"/>
        </w:rPr>
        <w:tab/>
      </w:r>
      <w:bookmarkStart w:id="62" w:name="_Toc81410415"/>
      <w:r w:rsidRPr="00BA758E">
        <w:rPr>
          <w:lang w:val="de-DE"/>
        </w:rPr>
        <w:t>16.</w:t>
      </w:r>
      <w:r w:rsidRPr="00BA758E">
        <w:rPr>
          <w:lang w:val="de-DE"/>
        </w:rPr>
        <w:tab/>
      </w:r>
      <w:bookmarkEnd w:id="62"/>
      <w:r w:rsidR="009E3711" w:rsidRPr="009E3711">
        <w:rPr>
          <w:lang w:val="de-DE"/>
        </w:rPr>
        <w:t>Tabelle C – UN-Nr. 1202, zweite Eintragung zu GASÖL</w:t>
      </w:r>
    </w:p>
    <w:p w14:paraId="71EBC411" w14:textId="4400085D" w:rsidR="00B27959" w:rsidRPr="00BA758E" w:rsidRDefault="009E3711" w:rsidP="006E6DE9">
      <w:pPr>
        <w:pStyle w:val="H23G"/>
        <w:tabs>
          <w:tab w:val="left" w:pos="1134"/>
          <w:tab w:val="left" w:pos="3402"/>
        </w:tabs>
        <w:spacing w:before="120"/>
        <w:ind w:firstLine="0"/>
        <w:rPr>
          <w:b w:val="0"/>
          <w:bCs/>
          <w:lang w:val="de-DE"/>
        </w:rPr>
      </w:pPr>
      <w:bookmarkStart w:id="63" w:name="_Toc81410416"/>
      <w:r w:rsidRPr="009E3711">
        <w:rPr>
          <w:b w:val="0"/>
          <w:bCs/>
          <w:i/>
          <w:iCs/>
          <w:lang w:val="de-DE"/>
        </w:rPr>
        <w:t>Informelles Dokument:</w:t>
      </w:r>
      <w:r w:rsidR="00B27959" w:rsidRPr="00BA758E">
        <w:rPr>
          <w:b w:val="0"/>
          <w:bCs/>
          <w:lang w:val="de-DE"/>
        </w:rPr>
        <w:tab/>
        <w:t>INF.10 (FuelsEurope)</w:t>
      </w:r>
      <w:bookmarkEnd w:id="63"/>
    </w:p>
    <w:p w14:paraId="7CCDC29F" w14:textId="04A03046" w:rsidR="00B27959" w:rsidRPr="00940A9C" w:rsidRDefault="00B27959" w:rsidP="00795502">
      <w:pPr>
        <w:pStyle w:val="SingleTxtG"/>
        <w:rPr>
          <w:lang w:val="de-DE"/>
        </w:rPr>
      </w:pPr>
      <w:r w:rsidRPr="00BA758E">
        <w:rPr>
          <w:lang w:val="de-DE"/>
        </w:rPr>
        <w:t>43.</w:t>
      </w:r>
      <w:r w:rsidRPr="00BA758E">
        <w:rPr>
          <w:lang w:val="de-DE"/>
        </w:rPr>
        <w:tab/>
      </w:r>
      <w:r w:rsidR="00DF1B79" w:rsidRPr="00795502">
        <w:rPr>
          <w:lang w:val="de-DE"/>
        </w:rPr>
        <w:t xml:space="preserve">Der Sicherheitsausschuss nahm die Korrekturvorschläge </w:t>
      </w:r>
      <w:r w:rsidR="00BD4EF4" w:rsidRPr="00795502">
        <w:rPr>
          <w:lang w:val="de-DE"/>
        </w:rPr>
        <w:t>zur</w:t>
      </w:r>
      <w:r w:rsidR="00DF1B79" w:rsidRPr="00795502">
        <w:rPr>
          <w:lang w:val="de-DE"/>
        </w:rPr>
        <w:t xml:space="preserve"> </w:t>
      </w:r>
      <w:r w:rsidR="000D6EC6" w:rsidRPr="00795502">
        <w:rPr>
          <w:lang w:val="de-DE"/>
        </w:rPr>
        <w:t>offizielle</w:t>
      </w:r>
      <w:r w:rsidR="00BD4EF4" w:rsidRPr="00795502">
        <w:rPr>
          <w:lang w:val="de-DE"/>
        </w:rPr>
        <w:t>n</w:t>
      </w:r>
      <w:r w:rsidR="00DF1B79" w:rsidRPr="00795502">
        <w:rPr>
          <w:lang w:val="de-DE"/>
        </w:rPr>
        <w:t xml:space="preserve"> Be</w:t>
      </w:r>
      <w:r w:rsidR="000D6EC6" w:rsidRPr="00795502">
        <w:rPr>
          <w:lang w:val="de-DE"/>
        </w:rPr>
        <w:t>ne</w:t>
      </w:r>
      <w:r w:rsidR="00DF1B79" w:rsidRPr="00795502">
        <w:rPr>
          <w:lang w:val="de-DE"/>
        </w:rPr>
        <w:t>n</w:t>
      </w:r>
      <w:r w:rsidR="000D6EC6" w:rsidRPr="00795502">
        <w:rPr>
          <w:lang w:val="de-DE"/>
        </w:rPr>
        <w:t>n</w:t>
      </w:r>
      <w:r w:rsidR="00DF1B79" w:rsidRPr="00795502">
        <w:rPr>
          <w:lang w:val="de-DE"/>
        </w:rPr>
        <w:t xml:space="preserve">ung </w:t>
      </w:r>
      <w:r w:rsidR="003E5F32" w:rsidRPr="00795502">
        <w:rPr>
          <w:lang w:val="de-DE"/>
        </w:rPr>
        <w:t xml:space="preserve">für die Beförderung </w:t>
      </w:r>
      <w:r w:rsidR="00B20A49" w:rsidRPr="00795502">
        <w:rPr>
          <w:lang w:val="de-DE"/>
        </w:rPr>
        <w:t xml:space="preserve">von </w:t>
      </w:r>
      <w:r w:rsidR="00DF1B79" w:rsidRPr="00795502">
        <w:rPr>
          <w:lang w:val="de-DE"/>
        </w:rPr>
        <w:t>UN-Nr</w:t>
      </w:r>
      <w:r w:rsidR="00827AC4" w:rsidRPr="00795502">
        <w:rPr>
          <w:lang w:val="de-DE"/>
        </w:rPr>
        <w:t>.</w:t>
      </w:r>
      <w:r w:rsidR="00DF1B79" w:rsidRPr="00795502">
        <w:rPr>
          <w:lang w:val="de-DE"/>
        </w:rPr>
        <w:t xml:space="preserve"> 1202, </w:t>
      </w:r>
      <w:r w:rsidR="00B20A49" w:rsidRPr="00795502">
        <w:rPr>
          <w:lang w:val="de-DE"/>
        </w:rPr>
        <w:t xml:space="preserve">zweite Eintragung, </w:t>
      </w:r>
      <w:r w:rsidR="005B4F58" w:rsidRPr="00795502">
        <w:rPr>
          <w:lang w:val="de-DE"/>
        </w:rPr>
        <w:t xml:space="preserve">in </w:t>
      </w:r>
      <w:r w:rsidR="00827AC4" w:rsidRPr="00795502">
        <w:rPr>
          <w:lang w:val="de-DE"/>
        </w:rPr>
        <w:t xml:space="preserve">Tabelle C </w:t>
      </w:r>
      <w:r w:rsidR="00DF1B79" w:rsidRPr="00795502">
        <w:rPr>
          <w:lang w:val="de-DE"/>
        </w:rPr>
        <w:t xml:space="preserve">Spalte (2) </w:t>
      </w:r>
      <w:r w:rsidR="00B20A49" w:rsidRPr="00795502">
        <w:rPr>
          <w:lang w:val="de-DE"/>
        </w:rPr>
        <w:t xml:space="preserve">an </w:t>
      </w:r>
      <w:r w:rsidR="00DF1B79" w:rsidRPr="00795502">
        <w:rPr>
          <w:lang w:val="de-DE"/>
        </w:rPr>
        <w:t>(siehe An</w:t>
      </w:r>
      <w:r w:rsidR="00736130" w:rsidRPr="00795502">
        <w:rPr>
          <w:lang w:val="de-DE"/>
        </w:rPr>
        <w:t>l</w:t>
      </w:r>
      <w:r w:rsidR="00DF1B79" w:rsidRPr="00795502">
        <w:rPr>
          <w:lang w:val="de-DE"/>
        </w:rPr>
        <w:t>ag</w:t>
      </w:r>
      <w:r w:rsidR="00736130" w:rsidRPr="00795502">
        <w:rPr>
          <w:lang w:val="de-DE"/>
        </w:rPr>
        <w:t>e</w:t>
      </w:r>
      <w:r w:rsidR="00DF1B79" w:rsidRPr="00795502">
        <w:rPr>
          <w:lang w:val="de-DE"/>
        </w:rPr>
        <w:t xml:space="preserve"> II).</w:t>
      </w:r>
    </w:p>
    <w:p w14:paraId="7CB0571A" w14:textId="183F7DF9" w:rsidR="00B27959" w:rsidRPr="001B5E14" w:rsidRDefault="00B27959" w:rsidP="006E6DE9">
      <w:pPr>
        <w:pStyle w:val="H23G"/>
        <w:spacing w:before="120"/>
        <w:rPr>
          <w:lang w:val="de-DE"/>
        </w:rPr>
      </w:pPr>
      <w:r w:rsidRPr="00940A9C">
        <w:rPr>
          <w:lang w:val="de-DE"/>
        </w:rPr>
        <w:tab/>
      </w:r>
      <w:bookmarkStart w:id="64" w:name="_Toc81410417"/>
      <w:r w:rsidRPr="00BA758E">
        <w:rPr>
          <w:lang w:val="de-DE"/>
        </w:rPr>
        <w:t>17.</w:t>
      </w:r>
      <w:r w:rsidRPr="00BA758E">
        <w:rPr>
          <w:lang w:val="de-DE"/>
        </w:rPr>
        <w:tab/>
      </w:r>
      <w:bookmarkEnd w:id="64"/>
      <w:r w:rsidR="00827AC4" w:rsidRPr="00827AC4">
        <w:rPr>
          <w:lang w:val="de-DE"/>
        </w:rPr>
        <w:t>Vorschlag zur Korrektur zweier Eintragungen für UN-Nr. 3295 in Tabelle C</w:t>
      </w:r>
    </w:p>
    <w:p w14:paraId="140A7EB4" w14:textId="29C40F04" w:rsidR="00B27959" w:rsidRPr="00BA758E" w:rsidRDefault="00827AC4" w:rsidP="006E6DE9">
      <w:pPr>
        <w:pStyle w:val="H23G"/>
        <w:tabs>
          <w:tab w:val="left" w:pos="1134"/>
          <w:tab w:val="left" w:pos="3402"/>
        </w:tabs>
        <w:spacing w:before="120"/>
        <w:ind w:firstLine="0"/>
        <w:rPr>
          <w:b w:val="0"/>
          <w:bCs/>
          <w:lang w:val="de-DE"/>
        </w:rPr>
      </w:pPr>
      <w:bookmarkStart w:id="65" w:name="_Toc81410418"/>
      <w:r w:rsidRPr="00827AC4">
        <w:rPr>
          <w:b w:val="0"/>
          <w:bCs/>
          <w:i/>
          <w:iCs/>
          <w:lang w:val="de-DE"/>
        </w:rPr>
        <w:t>Informelles Dokument:</w:t>
      </w:r>
      <w:r w:rsidR="00B27959" w:rsidRPr="00BA758E">
        <w:rPr>
          <w:b w:val="0"/>
          <w:bCs/>
          <w:lang w:val="de-DE"/>
        </w:rPr>
        <w:tab/>
        <w:t>INF.11 (FuelsEurope)</w:t>
      </w:r>
      <w:bookmarkEnd w:id="65"/>
    </w:p>
    <w:p w14:paraId="71AB7569" w14:textId="72BC3B9D" w:rsidR="00B27959" w:rsidRPr="001B5E14" w:rsidRDefault="00B27959" w:rsidP="00343878">
      <w:pPr>
        <w:pStyle w:val="SingleTxtG"/>
        <w:rPr>
          <w:lang w:val="de-DE"/>
        </w:rPr>
      </w:pPr>
      <w:r w:rsidRPr="00BA758E">
        <w:rPr>
          <w:lang w:val="de-DE"/>
        </w:rPr>
        <w:t>44.</w:t>
      </w:r>
      <w:r w:rsidRPr="00BA758E">
        <w:rPr>
          <w:lang w:val="de-DE"/>
        </w:rPr>
        <w:tab/>
      </w:r>
      <w:r w:rsidR="000B6E98" w:rsidRPr="00343878">
        <w:rPr>
          <w:lang w:val="de-DE"/>
        </w:rPr>
        <w:t xml:space="preserve">Der Sicherheitsausschuss nahm die Korrekturvorschläge </w:t>
      </w:r>
      <w:r w:rsidR="00795502">
        <w:rPr>
          <w:lang w:val="de-DE"/>
        </w:rPr>
        <w:t>zur</w:t>
      </w:r>
      <w:r w:rsidR="000B6E98" w:rsidRPr="00343878">
        <w:rPr>
          <w:lang w:val="de-DE"/>
        </w:rPr>
        <w:t xml:space="preserve"> englische</w:t>
      </w:r>
      <w:r w:rsidR="00795502">
        <w:rPr>
          <w:lang w:val="de-DE"/>
        </w:rPr>
        <w:t>n</w:t>
      </w:r>
      <w:r w:rsidR="000B6E98" w:rsidRPr="00343878">
        <w:rPr>
          <w:lang w:val="de-DE"/>
        </w:rPr>
        <w:t xml:space="preserve"> Fassung von Tabelle C, UN-Nr. 3295, Spalte (5) an (siehe Anlage II).</w:t>
      </w:r>
    </w:p>
    <w:p w14:paraId="59C43BEC" w14:textId="75345A1D" w:rsidR="00B27959" w:rsidRPr="00BA758E" w:rsidRDefault="00B27959" w:rsidP="00343878">
      <w:pPr>
        <w:pStyle w:val="H23G"/>
        <w:rPr>
          <w:lang w:val="de-DE"/>
        </w:rPr>
      </w:pPr>
      <w:r w:rsidRPr="001B5E14">
        <w:rPr>
          <w:lang w:val="de-DE"/>
        </w:rPr>
        <w:tab/>
      </w:r>
      <w:bookmarkStart w:id="66" w:name="_Toc81410419"/>
      <w:r w:rsidRPr="00BA758E">
        <w:rPr>
          <w:lang w:val="de-DE"/>
        </w:rPr>
        <w:t>18.</w:t>
      </w:r>
      <w:r w:rsidRPr="00BA758E">
        <w:rPr>
          <w:lang w:val="de-DE"/>
        </w:rPr>
        <w:tab/>
      </w:r>
      <w:bookmarkEnd w:id="66"/>
      <w:r w:rsidR="00343878" w:rsidRPr="00343878">
        <w:rPr>
          <w:lang w:val="de-DE"/>
        </w:rPr>
        <w:t>Antrag auf Zusammenführung zweier Eintragungen für UN 1202 zu einer Eintragung</w:t>
      </w:r>
    </w:p>
    <w:p w14:paraId="583BB376" w14:textId="1C570C99" w:rsidR="00B27959" w:rsidRPr="00BA758E" w:rsidRDefault="00343878" w:rsidP="00343878">
      <w:pPr>
        <w:pStyle w:val="H23G"/>
        <w:tabs>
          <w:tab w:val="left" w:pos="1134"/>
          <w:tab w:val="left" w:pos="3402"/>
        </w:tabs>
        <w:ind w:firstLine="0"/>
        <w:rPr>
          <w:b w:val="0"/>
          <w:bCs/>
          <w:lang w:val="de-DE"/>
        </w:rPr>
      </w:pPr>
      <w:bookmarkStart w:id="67" w:name="_Toc81410420"/>
      <w:r w:rsidRPr="00343878">
        <w:rPr>
          <w:b w:val="0"/>
          <w:bCs/>
          <w:i/>
          <w:iCs/>
          <w:lang w:val="de-DE"/>
        </w:rPr>
        <w:t>Informelles Dokument:</w:t>
      </w:r>
      <w:r w:rsidR="00B27959" w:rsidRPr="00BA758E">
        <w:rPr>
          <w:b w:val="0"/>
          <w:bCs/>
          <w:lang w:val="de-DE"/>
        </w:rPr>
        <w:tab/>
        <w:t>INF.12 (FuelsEurope)</w:t>
      </w:r>
      <w:bookmarkEnd w:id="67"/>
    </w:p>
    <w:p w14:paraId="056090D6" w14:textId="7576919F" w:rsidR="00B27959" w:rsidRPr="00BA758E" w:rsidRDefault="00B27959" w:rsidP="004B2417">
      <w:pPr>
        <w:pStyle w:val="SingleTxtG"/>
        <w:rPr>
          <w:lang w:val="de-DE"/>
        </w:rPr>
      </w:pPr>
      <w:r w:rsidRPr="00BA758E">
        <w:rPr>
          <w:lang w:val="de-DE"/>
        </w:rPr>
        <w:t>45.</w:t>
      </w:r>
      <w:r w:rsidRPr="00BA758E">
        <w:rPr>
          <w:lang w:val="de-DE"/>
        </w:rPr>
        <w:tab/>
      </w:r>
      <w:r w:rsidR="00C963A2" w:rsidRPr="004B2417">
        <w:rPr>
          <w:lang w:val="de-DE"/>
        </w:rPr>
        <w:t xml:space="preserve">Einige Delegierte äußerten Bedenken, die beiden Eintragungen </w:t>
      </w:r>
      <w:r w:rsidR="00CF2B5A" w:rsidRPr="004B2417">
        <w:rPr>
          <w:lang w:val="de-DE"/>
        </w:rPr>
        <w:t>für</w:t>
      </w:r>
      <w:r w:rsidR="00C963A2" w:rsidRPr="004B2417">
        <w:rPr>
          <w:lang w:val="de-DE"/>
        </w:rPr>
        <w:t xml:space="preserve"> UN-Nr</w:t>
      </w:r>
      <w:r w:rsidR="00CF2B5A" w:rsidRPr="004B2417">
        <w:rPr>
          <w:lang w:val="de-DE"/>
        </w:rPr>
        <w:t>.</w:t>
      </w:r>
      <w:r w:rsidR="00C963A2" w:rsidRPr="004B2417">
        <w:rPr>
          <w:lang w:val="de-DE"/>
        </w:rPr>
        <w:t xml:space="preserve"> 1202 zusammenzuführen, da </w:t>
      </w:r>
      <w:r w:rsidR="00DD4F55" w:rsidRPr="004B2417">
        <w:rPr>
          <w:lang w:val="de-DE"/>
        </w:rPr>
        <w:t xml:space="preserve">die Existenz </w:t>
      </w:r>
      <w:r w:rsidR="009A5855" w:rsidRPr="004B2417">
        <w:rPr>
          <w:lang w:val="de-DE"/>
        </w:rPr>
        <w:t>zweier</w:t>
      </w:r>
      <w:r w:rsidR="00DD4F55" w:rsidRPr="004B2417">
        <w:rPr>
          <w:lang w:val="de-DE"/>
        </w:rPr>
        <w:t xml:space="preserve"> Eintragungen </w:t>
      </w:r>
      <w:r w:rsidR="009A5855" w:rsidRPr="004B2417">
        <w:rPr>
          <w:lang w:val="de-DE"/>
        </w:rPr>
        <w:t>angesichts</w:t>
      </w:r>
      <w:r w:rsidR="00DD4F55" w:rsidRPr="004B2417">
        <w:rPr>
          <w:lang w:val="de-DE"/>
        </w:rPr>
        <w:t xml:space="preserve"> der unterschiedlichen Werte der relativen Dichte </w:t>
      </w:r>
      <w:r w:rsidR="009A5855" w:rsidRPr="004B2417">
        <w:rPr>
          <w:lang w:val="de-DE"/>
        </w:rPr>
        <w:t>durchaus gerechtfertigt</w:t>
      </w:r>
      <w:r w:rsidR="00DD4F55" w:rsidRPr="004B2417">
        <w:rPr>
          <w:lang w:val="de-DE"/>
        </w:rPr>
        <w:t xml:space="preserve"> sei</w:t>
      </w:r>
      <w:r w:rsidR="00C963A2" w:rsidRPr="004B2417">
        <w:rPr>
          <w:lang w:val="de-DE"/>
        </w:rPr>
        <w:t>.</w:t>
      </w:r>
      <w:r w:rsidRPr="00940A9C">
        <w:rPr>
          <w:lang w:val="de-DE"/>
        </w:rPr>
        <w:t xml:space="preserve"> </w:t>
      </w:r>
      <w:r w:rsidR="009A5855" w:rsidRPr="004B2417">
        <w:rPr>
          <w:lang w:val="de-DE"/>
        </w:rPr>
        <w:t>Eine Änderung würde sich auch auf die entsprechenden Eintr</w:t>
      </w:r>
      <w:r w:rsidR="00CF2D8B" w:rsidRPr="004B2417">
        <w:rPr>
          <w:lang w:val="de-DE"/>
        </w:rPr>
        <w:t>a</w:t>
      </w:r>
      <w:r w:rsidR="009A5855" w:rsidRPr="004B2417">
        <w:rPr>
          <w:lang w:val="de-DE"/>
        </w:rPr>
        <w:t>g</w:t>
      </w:r>
      <w:r w:rsidR="00CF2D8B" w:rsidRPr="004B2417">
        <w:rPr>
          <w:lang w:val="de-DE"/>
        </w:rPr>
        <w:t>ung</w:t>
      </w:r>
      <w:r w:rsidR="009A5855" w:rsidRPr="004B2417">
        <w:rPr>
          <w:lang w:val="de-DE"/>
        </w:rPr>
        <w:t>e</w:t>
      </w:r>
      <w:r w:rsidR="00CF2D8B" w:rsidRPr="004B2417">
        <w:rPr>
          <w:lang w:val="de-DE"/>
        </w:rPr>
        <w:t>n</w:t>
      </w:r>
      <w:r w:rsidR="009A5855" w:rsidRPr="004B2417">
        <w:rPr>
          <w:lang w:val="de-DE"/>
        </w:rPr>
        <w:t xml:space="preserve"> in Tabelle A des RID/ADR/ADN auswirken.</w:t>
      </w:r>
      <w:r w:rsidRPr="00BA758E">
        <w:rPr>
          <w:lang w:val="de-DE"/>
        </w:rPr>
        <w:t xml:space="preserve"> </w:t>
      </w:r>
      <w:r w:rsidR="00F22790" w:rsidRPr="004B2417">
        <w:rPr>
          <w:lang w:val="de-DE"/>
        </w:rPr>
        <w:t>Daher wurde empfohlen, den Rat der Gemeinsamen RID/ADR/ADN-Tagung einzuholen.</w:t>
      </w:r>
      <w:r w:rsidRPr="00BA758E">
        <w:rPr>
          <w:lang w:val="de-DE"/>
        </w:rPr>
        <w:t xml:space="preserve"> </w:t>
      </w:r>
      <w:r w:rsidR="00F22790" w:rsidRPr="004B2417">
        <w:rPr>
          <w:lang w:val="de-DE"/>
        </w:rPr>
        <w:t>Der Vertreter von FuelsEurope erklärte sich bereit, der Gemeinsamen RID/ADR/ADN-Tagung bei der nächsten Sitzung im September ein aktualisiertes Dokument zur Beratung vorzulegen.</w:t>
      </w:r>
    </w:p>
    <w:p w14:paraId="64A1027C" w14:textId="5F266B34" w:rsidR="00B27959" w:rsidRPr="00BA758E" w:rsidRDefault="00B27959" w:rsidP="00A84438">
      <w:pPr>
        <w:pStyle w:val="H23G"/>
        <w:rPr>
          <w:lang w:val="de-DE"/>
        </w:rPr>
      </w:pPr>
      <w:r w:rsidRPr="00BA758E">
        <w:rPr>
          <w:lang w:val="de-DE"/>
        </w:rPr>
        <w:tab/>
      </w:r>
      <w:bookmarkStart w:id="68" w:name="_Toc81410421"/>
      <w:r w:rsidRPr="00BA758E">
        <w:rPr>
          <w:lang w:val="de-DE"/>
        </w:rPr>
        <w:t>19.</w:t>
      </w:r>
      <w:r w:rsidRPr="00BA758E">
        <w:rPr>
          <w:lang w:val="de-DE"/>
        </w:rPr>
        <w:tab/>
      </w:r>
      <w:bookmarkEnd w:id="68"/>
      <w:r w:rsidR="00A84438" w:rsidRPr="00A84438">
        <w:rPr>
          <w:lang w:val="de-DE"/>
        </w:rPr>
        <w:t>UN-Nr. 1972 – Antrag auf Korrektur einer Unstimmigkeit in Tabelle C, Spalte (2)</w:t>
      </w:r>
    </w:p>
    <w:p w14:paraId="0FE9375A" w14:textId="3706E678" w:rsidR="00B27959" w:rsidRPr="00BA758E" w:rsidRDefault="00A84438" w:rsidP="00A84438">
      <w:pPr>
        <w:pStyle w:val="H23G"/>
        <w:tabs>
          <w:tab w:val="left" w:pos="1134"/>
          <w:tab w:val="left" w:pos="3402"/>
        </w:tabs>
        <w:ind w:firstLine="0"/>
        <w:rPr>
          <w:b w:val="0"/>
          <w:bCs/>
          <w:lang w:val="de-DE"/>
        </w:rPr>
      </w:pPr>
      <w:bookmarkStart w:id="69" w:name="_Toc81410422"/>
      <w:r w:rsidRPr="00A84438">
        <w:rPr>
          <w:b w:val="0"/>
          <w:bCs/>
          <w:i/>
          <w:iCs/>
          <w:lang w:val="de-DE"/>
        </w:rPr>
        <w:t>Informelles Dokument:</w:t>
      </w:r>
      <w:r w:rsidR="00B27959" w:rsidRPr="00BA758E">
        <w:rPr>
          <w:b w:val="0"/>
          <w:bCs/>
          <w:lang w:val="de-DE"/>
        </w:rPr>
        <w:tab/>
        <w:t>INF.13 (FuelsEurope)</w:t>
      </w:r>
      <w:bookmarkEnd w:id="69"/>
    </w:p>
    <w:p w14:paraId="00FD252E" w14:textId="0F7956B3" w:rsidR="00B27959" w:rsidRPr="00BA758E" w:rsidRDefault="00B27959" w:rsidP="005A3801">
      <w:pPr>
        <w:pStyle w:val="SingleTxtG"/>
        <w:rPr>
          <w:lang w:val="de-DE"/>
        </w:rPr>
      </w:pPr>
      <w:r w:rsidRPr="00BA758E">
        <w:rPr>
          <w:lang w:val="de-DE"/>
        </w:rPr>
        <w:t>46.</w:t>
      </w:r>
      <w:r w:rsidRPr="00BA758E">
        <w:rPr>
          <w:lang w:val="de-DE"/>
        </w:rPr>
        <w:tab/>
      </w:r>
      <w:r w:rsidR="00A84438" w:rsidRPr="005A3801">
        <w:rPr>
          <w:lang w:val="de-DE"/>
        </w:rPr>
        <w:t xml:space="preserve">Was die Korrektur der Auslassung </w:t>
      </w:r>
      <w:r w:rsidR="005A3801">
        <w:rPr>
          <w:lang w:val="de-DE"/>
        </w:rPr>
        <w:t>des Wortes</w:t>
      </w:r>
      <w:r w:rsidR="00A84438" w:rsidRPr="005A3801">
        <w:rPr>
          <w:lang w:val="de-DE"/>
        </w:rPr>
        <w:t xml:space="preserve"> </w:t>
      </w:r>
      <w:r w:rsidR="0050039C" w:rsidRPr="005A3801">
        <w:rPr>
          <w:lang w:val="de-DE"/>
        </w:rPr>
        <w:t>„</w:t>
      </w:r>
      <w:r w:rsidR="00FE0A57" w:rsidRPr="005A3801">
        <w:rPr>
          <w:lang w:val="de-DE"/>
        </w:rPr>
        <w:t>FLÜSSIG</w:t>
      </w:r>
      <w:r w:rsidR="0050039C" w:rsidRPr="005A3801">
        <w:rPr>
          <w:lang w:val="de-DE"/>
        </w:rPr>
        <w:t>“</w:t>
      </w:r>
      <w:r w:rsidR="00A84438" w:rsidRPr="005A3801">
        <w:rPr>
          <w:lang w:val="de-DE"/>
        </w:rPr>
        <w:t xml:space="preserve"> betrifft, hielt der Sicherheitsausschuss die Annahme des Vorschlags für verfrüht und zog es vor, in einem ersten Schritt die informelle Arbeitsgruppe </w:t>
      </w:r>
      <w:r w:rsidR="001B7373" w:rsidRPr="005A3801">
        <w:rPr>
          <w:lang w:val="de-DE"/>
        </w:rPr>
        <w:t>„</w:t>
      </w:r>
      <w:r w:rsidR="00A84438" w:rsidRPr="005A3801">
        <w:rPr>
          <w:lang w:val="de-DE"/>
        </w:rPr>
        <w:t>Stoffe</w:t>
      </w:r>
      <w:r w:rsidR="001B7373" w:rsidRPr="005A3801">
        <w:rPr>
          <w:lang w:val="de-DE"/>
        </w:rPr>
        <w:t>“</w:t>
      </w:r>
      <w:r w:rsidR="00A84438" w:rsidRPr="005A3801">
        <w:rPr>
          <w:lang w:val="de-DE"/>
        </w:rPr>
        <w:t xml:space="preserve"> zu konsultieren, um mögliche Gründe für </w:t>
      </w:r>
      <w:r w:rsidR="002C3BD3" w:rsidRPr="005A3801">
        <w:rPr>
          <w:lang w:val="de-DE"/>
        </w:rPr>
        <w:t>das Fehlen dieses Wortes</w:t>
      </w:r>
      <w:r w:rsidR="00A84438" w:rsidRPr="005A3801">
        <w:rPr>
          <w:lang w:val="de-DE"/>
        </w:rPr>
        <w:t xml:space="preserve"> zu prüfen.</w:t>
      </w:r>
    </w:p>
    <w:p w14:paraId="0A881302" w14:textId="3BB7D3D0" w:rsidR="00B27959" w:rsidRPr="00BA758E" w:rsidRDefault="00B27959" w:rsidP="005A3801">
      <w:pPr>
        <w:pStyle w:val="SingleTxtG"/>
        <w:rPr>
          <w:lang w:val="de-DE"/>
        </w:rPr>
      </w:pPr>
      <w:r w:rsidRPr="00BA758E">
        <w:rPr>
          <w:lang w:val="de-DE"/>
        </w:rPr>
        <w:t>47.</w:t>
      </w:r>
      <w:r w:rsidRPr="00BA758E">
        <w:rPr>
          <w:lang w:val="de-DE"/>
        </w:rPr>
        <w:tab/>
      </w:r>
      <w:r w:rsidR="00896044" w:rsidRPr="005A3801">
        <w:rPr>
          <w:lang w:val="de-DE"/>
        </w:rPr>
        <w:t xml:space="preserve">Der Sicherheitsausschuss nahm </w:t>
      </w:r>
      <w:r w:rsidR="005A3801" w:rsidRPr="005A3801">
        <w:rPr>
          <w:lang w:val="de-DE"/>
        </w:rPr>
        <w:t>lediglich</w:t>
      </w:r>
      <w:r w:rsidR="00D3608D" w:rsidRPr="005A3801">
        <w:rPr>
          <w:lang w:val="de-DE"/>
        </w:rPr>
        <w:t xml:space="preserve"> den Korrekturvorschlag </w:t>
      </w:r>
      <w:r w:rsidR="005A3801" w:rsidRPr="005A3801">
        <w:rPr>
          <w:lang w:val="de-DE"/>
        </w:rPr>
        <w:t>zur</w:t>
      </w:r>
      <w:r w:rsidR="00D3608D" w:rsidRPr="005A3801">
        <w:rPr>
          <w:lang w:val="de-DE"/>
        </w:rPr>
        <w:t xml:space="preserve"> deutsche</w:t>
      </w:r>
      <w:r w:rsidR="005A3801" w:rsidRPr="005A3801">
        <w:rPr>
          <w:lang w:val="de-DE"/>
        </w:rPr>
        <w:t>n</w:t>
      </w:r>
      <w:r w:rsidR="00D3608D" w:rsidRPr="005A3801">
        <w:rPr>
          <w:lang w:val="de-DE"/>
        </w:rPr>
        <w:t xml:space="preserve"> Sprachfassung in Absatz 9 an</w:t>
      </w:r>
      <w:r w:rsidR="00896044" w:rsidRPr="005A3801">
        <w:rPr>
          <w:lang w:val="de-DE"/>
        </w:rPr>
        <w:t>.</w:t>
      </w:r>
    </w:p>
    <w:p w14:paraId="214DD72C" w14:textId="068424AB" w:rsidR="00B27959" w:rsidRPr="00BA758E" w:rsidRDefault="00B27959" w:rsidP="00652444">
      <w:pPr>
        <w:pStyle w:val="H23G"/>
        <w:rPr>
          <w:lang w:val="de-DE"/>
        </w:rPr>
      </w:pPr>
      <w:r w:rsidRPr="00BA758E">
        <w:rPr>
          <w:lang w:val="de-DE"/>
        </w:rPr>
        <w:tab/>
      </w:r>
      <w:bookmarkStart w:id="70" w:name="_Toc81410423"/>
      <w:r w:rsidRPr="00BA758E">
        <w:rPr>
          <w:lang w:val="de-DE"/>
        </w:rPr>
        <w:t>20.</w:t>
      </w:r>
      <w:r w:rsidRPr="00BA758E">
        <w:rPr>
          <w:lang w:val="de-DE"/>
        </w:rPr>
        <w:tab/>
      </w:r>
      <w:bookmarkEnd w:id="70"/>
      <w:r w:rsidR="00D3608D" w:rsidRPr="00652444">
        <w:rPr>
          <w:lang w:val="de-DE"/>
        </w:rPr>
        <w:t>Kleine Unstimmigkeit bezüglich des zulässigen Aufstellungsorts von Koch- und Kühlgeräten zwischen ADN 7.2.3.41.2 und 9.3.x.41.2</w:t>
      </w:r>
    </w:p>
    <w:p w14:paraId="42446EBD" w14:textId="031A4B04" w:rsidR="00B27959" w:rsidRPr="00BA758E" w:rsidRDefault="00652444" w:rsidP="00652444">
      <w:pPr>
        <w:pStyle w:val="H23G"/>
        <w:tabs>
          <w:tab w:val="left" w:pos="1134"/>
          <w:tab w:val="left" w:pos="3402"/>
        </w:tabs>
        <w:ind w:firstLine="0"/>
        <w:rPr>
          <w:b w:val="0"/>
          <w:bCs/>
          <w:lang w:val="de-DE"/>
        </w:rPr>
      </w:pPr>
      <w:bookmarkStart w:id="71" w:name="_Toc81410424"/>
      <w:r w:rsidRPr="00652444">
        <w:rPr>
          <w:b w:val="0"/>
          <w:bCs/>
          <w:i/>
          <w:iCs/>
          <w:lang w:val="de-DE"/>
        </w:rPr>
        <w:t>Informelles Dokument:</w:t>
      </w:r>
      <w:r w:rsidR="00B27959" w:rsidRPr="00BA758E">
        <w:rPr>
          <w:b w:val="0"/>
          <w:bCs/>
          <w:lang w:val="de-DE"/>
        </w:rPr>
        <w:tab/>
        <w:t xml:space="preserve">INF.15 (EBU </w:t>
      </w:r>
      <w:r w:rsidRPr="00BA758E">
        <w:rPr>
          <w:b w:val="0"/>
          <w:bCs/>
          <w:lang w:val="de-DE"/>
        </w:rPr>
        <w:t>u</w:t>
      </w:r>
      <w:r w:rsidR="00B27959" w:rsidRPr="00BA758E">
        <w:rPr>
          <w:b w:val="0"/>
          <w:bCs/>
          <w:lang w:val="de-DE"/>
        </w:rPr>
        <w:t>nd ESO)</w:t>
      </w:r>
      <w:bookmarkEnd w:id="71"/>
    </w:p>
    <w:p w14:paraId="5659303F" w14:textId="20507EF4" w:rsidR="00B27959" w:rsidRPr="00BA758E" w:rsidRDefault="00B27959" w:rsidP="003A726F">
      <w:pPr>
        <w:pStyle w:val="SingleTxtG"/>
        <w:rPr>
          <w:lang w:val="de-DE"/>
        </w:rPr>
      </w:pPr>
      <w:r w:rsidRPr="00BA758E">
        <w:rPr>
          <w:lang w:val="de-DE"/>
        </w:rPr>
        <w:t>48.</w:t>
      </w:r>
      <w:r w:rsidRPr="00BA758E">
        <w:rPr>
          <w:lang w:val="de-DE"/>
        </w:rPr>
        <w:tab/>
      </w:r>
      <w:r w:rsidR="005D0978" w:rsidRPr="00C06744">
        <w:rPr>
          <w:lang w:val="de-DE"/>
        </w:rPr>
        <w:t xml:space="preserve">Einige Vertreter </w:t>
      </w:r>
      <w:r w:rsidR="007B523E" w:rsidRPr="00C06744">
        <w:rPr>
          <w:lang w:val="de-DE"/>
        </w:rPr>
        <w:t xml:space="preserve">waren der </w:t>
      </w:r>
      <w:r w:rsidR="005A3801" w:rsidRPr="00C06744">
        <w:rPr>
          <w:lang w:val="de-DE"/>
        </w:rPr>
        <w:t>Meinung</w:t>
      </w:r>
      <w:r w:rsidR="005D0978" w:rsidRPr="00C06744">
        <w:rPr>
          <w:lang w:val="de-DE"/>
        </w:rPr>
        <w:t xml:space="preserve">, dass die Abweichung in den Vorschriften bereits in der ADNR-Ausgabe von 1995 bestanden habe und </w:t>
      </w:r>
      <w:r w:rsidR="00C06744">
        <w:rPr>
          <w:lang w:val="de-DE"/>
        </w:rPr>
        <w:t>berechtigt</w:t>
      </w:r>
      <w:r w:rsidR="005D0978" w:rsidRPr="00C06744">
        <w:rPr>
          <w:lang w:val="de-DE"/>
        </w:rPr>
        <w:t xml:space="preserve"> gewesen sei.</w:t>
      </w:r>
      <w:r w:rsidRPr="00BA758E">
        <w:rPr>
          <w:lang w:val="de-DE"/>
        </w:rPr>
        <w:t xml:space="preserve"> </w:t>
      </w:r>
      <w:r w:rsidR="00A72975" w:rsidRPr="003A726F">
        <w:rPr>
          <w:lang w:val="de-DE"/>
        </w:rPr>
        <w:t xml:space="preserve">Es wurde empfohlen, den entsprechenden </w:t>
      </w:r>
      <w:r w:rsidR="0058274D" w:rsidRPr="003A726F">
        <w:rPr>
          <w:lang w:val="de-DE"/>
        </w:rPr>
        <w:t>Wortlaut</w:t>
      </w:r>
      <w:r w:rsidR="00A72975" w:rsidRPr="003A726F">
        <w:rPr>
          <w:lang w:val="de-DE"/>
        </w:rPr>
        <w:t xml:space="preserve"> auch in den anderen Amtssprachen des ADN zu überprüfen.</w:t>
      </w:r>
      <w:r w:rsidRPr="00BA758E">
        <w:rPr>
          <w:lang w:val="de-DE"/>
        </w:rPr>
        <w:t xml:space="preserve"> </w:t>
      </w:r>
      <w:r w:rsidR="0058274D" w:rsidRPr="003A726F">
        <w:rPr>
          <w:lang w:val="de-DE"/>
        </w:rPr>
        <w:t xml:space="preserve">Der Vertreter </w:t>
      </w:r>
      <w:r w:rsidR="006816D6" w:rsidRPr="003A726F">
        <w:rPr>
          <w:lang w:val="de-DE"/>
        </w:rPr>
        <w:t>von</w:t>
      </w:r>
      <w:r w:rsidR="0058274D" w:rsidRPr="003A726F">
        <w:rPr>
          <w:lang w:val="de-DE"/>
        </w:rPr>
        <w:t xml:space="preserve"> EBU/ESO erklärte sich bereit, Nachforschungen anzustellen und </w:t>
      </w:r>
      <w:r w:rsidR="00BD535E" w:rsidRPr="003A726F">
        <w:rPr>
          <w:lang w:val="de-DE"/>
        </w:rPr>
        <w:t>für die nächste Sitzung im Januar 2022 ein offizielles Dokument zur Prüfung vorzubereiten</w:t>
      </w:r>
      <w:r w:rsidR="0058274D" w:rsidRPr="003A726F">
        <w:rPr>
          <w:lang w:val="de-DE"/>
        </w:rPr>
        <w:t>.</w:t>
      </w:r>
    </w:p>
    <w:p w14:paraId="579A1E52" w14:textId="1C2ADCD9" w:rsidR="003064DA" w:rsidRPr="00BA758E" w:rsidRDefault="003064DA" w:rsidP="00BD535E">
      <w:pPr>
        <w:pStyle w:val="H23G"/>
        <w:rPr>
          <w:lang w:val="de-DE"/>
        </w:rPr>
      </w:pPr>
      <w:r w:rsidRPr="00BA758E">
        <w:rPr>
          <w:lang w:val="de-DE"/>
        </w:rPr>
        <w:tab/>
      </w:r>
      <w:bookmarkStart w:id="72" w:name="_Toc81410425"/>
      <w:r w:rsidRPr="00BA758E">
        <w:rPr>
          <w:lang w:val="de-DE"/>
        </w:rPr>
        <w:t>21.</w:t>
      </w:r>
      <w:r w:rsidRPr="00BA758E">
        <w:rPr>
          <w:lang w:val="de-DE"/>
        </w:rPr>
        <w:tab/>
      </w:r>
      <w:bookmarkEnd w:id="72"/>
      <w:r w:rsidR="00BD535E" w:rsidRPr="00BD535E">
        <w:rPr>
          <w:lang w:val="de-DE"/>
        </w:rPr>
        <w:t>Zulassungszeugnis für Trockengüterschiffe</w:t>
      </w:r>
    </w:p>
    <w:p w14:paraId="4E8A23ED" w14:textId="21336AE1" w:rsidR="003064DA" w:rsidRPr="00BA758E" w:rsidRDefault="00BD535E" w:rsidP="00BD535E">
      <w:pPr>
        <w:pStyle w:val="H23G"/>
        <w:tabs>
          <w:tab w:val="left" w:pos="3402"/>
        </w:tabs>
        <w:ind w:left="3402" w:hanging="2268"/>
        <w:rPr>
          <w:b w:val="0"/>
          <w:bCs/>
          <w:lang w:val="de-DE"/>
        </w:rPr>
      </w:pPr>
      <w:bookmarkStart w:id="73" w:name="_Toc81410426"/>
      <w:r w:rsidRPr="00BD535E">
        <w:rPr>
          <w:b w:val="0"/>
          <w:bCs/>
          <w:i/>
          <w:iCs/>
          <w:lang w:val="de-DE"/>
        </w:rPr>
        <w:t>Dokument:</w:t>
      </w:r>
      <w:r w:rsidR="003064DA" w:rsidRPr="00BA758E">
        <w:rPr>
          <w:b w:val="0"/>
          <w:bCs/>
          <w:lang w:val="de-DE"/>
        </w:rPr>
        <w:tab/>
      </w:r>
      <w:bookmarkEnd w:id="73"/>
      <w:r w:rsidRPr="00BD535E">
        <w:rPr>
          <w:b w:val="0"/>
          <w:bCs/>
          <w:lang w:val="de-DE"/>
        </w:rPr>
        <w:t>ECE/TRANS/WP.15/AC.2/2021/27 (Belgien und die Niederlande)</w:t>
      </w:r>
    </w:p>
    <w:p w14:paraId="249129C5" w14:textId="35183C3A" w:rsidR="003064DA" w:rsidRPr="00BA758E" w:rsidRDefault="00BD535E" w:rsidP="00BD535E">
      <w:pPr>
        <w:pStyle w:val="H23G"/>
        <w:tabs>
          <w:tab w:val="left" w:pos="3402"/>
        </w:tabs>
        <w:spacing w:before="120"/>
        <w:ind w:left="3402" w:hanging="2268"/>
        <w:rPr>
          <w:b w:val="0"/>
          <w:bCs/>
          <w:lang w:val="de-DE"/>
        </w:rPr>
      </w:pPr>
      <w:bookmarkStart w:id="74" w:name="_Toc81410427"/>
      <w:r w:rsidRPr="00BD535E">
        <w:rPr>
          <w:b w:val="0"/>
          <w:bCs/>
          <w:i/>
          <w:iCs/>
          <w:lang w:val="de-DE"/>
        </w:rPr>
        <w:t>Informelles Dokument:</w:t>
      </w:r>
      <w:r w:rsidR="003064DA" w:rsidRPr="00BA758E">
        <w:rPr>
          <w:b w:val="0"/>
          <w:bCs/>
          <w:lang w:val="de-DE"/>
        </w:rPr>
        <w:tab/>
      </w:r>
      <w:bookmarkEnd w:id="74"/>
      <w:r w:rsidRPr="00BD535E">
        <w:rPr>
          <w:b w:val="0"/>
          <w:bCs/>
          <w:lang w:val="de-DE"/>
        </w:rPr>
        <w:t>INF.20 (Niederlande)</w:t>
      </w:r>
    </w:p>
    <w:p w14:paraId="6FFC28E7" w14:textId="1CD093DD" w:rsidR="003064DA" w:rsidRPr="00BA758E" w:rsidRDefault="003064DA" w:rsidP="003A726F">
      <w:pPr>
        <w:pStyle w:val="SingleTxtG"/>
        <w:rPr>
          <w:lang w:val="de-DE"/>
        </w:rPr>
      </w:pPr>
      <w:r w:rsidRPr="00BA758E">
        <w:rPr>
          <w:lang w:val="de-DE"/>
        </w:rPr>
        <w:t>49.</w:t>
      </w:r>
      <w:r w:rsidRPr="00BA758E">
        <w:rPr>
          <w:lang w:val="de-DE"/>
        </w:rPr>
        <w:tab/>
      </w:r>
      <w:r w:rsidR="00FD625D" w:rsidRPr="003A726F">
        <w:rPr>
          <w:lang w:val="de-DE"/>
        </w:rPr>
        <w:t xml:space="preserve">Der Sicherheitsausschuss </w:t>
      </w:r>
      <w:r w:rsidR="00187429" w:rsidRPr="003A726F">
        <w:rPr>
          <w:lang w:val="de-DE"/>
        </w:rPr>
        <w:t>prüfte</w:t>
      </w:r>
      <w:r w:rsidR="00FD625D" w:rsidRPr="003A726F">
        <w:rPr>
          <w:lang w:val="de-DE"/>
        </w:rPr>
        <w:t xml:space="preserve"> </w:t>
      </w:r>
      <w:r w:rsidR="00187429" w:rsidRPr="003A726F">
        <w:rPr>
          <w:lang w:val="de-DE"/>
        </w:rPr>
        <w:t>das</w:t>
      </w:r>
      <w:r w:rsidR="00FD625D" w:rsidRPr="003A726F">
        <w:rPr>
          <w:lang w:val="de-DE"/>
        </w:rPr>
        <w:t xml:space="preserve"> Dokument ECE/TRANS/WP.15/AC.2/2021/27, in dem </w:t>
      </w:r>
      <w:r w:rsidR="00C937C6" w:rsidRPr="003A726F">
        <w:rPr>
          <w:lang w:val="de-DE"/>
        </w:rPr>
        <w:t xml:space="preserve">insbesondere für die in Absatz 7.1.2.19.1 genannten Schiffe </w:t>
      </w:r>
      <w:r w:rsidR="00EE0697" w:rsidRPr="003A726F">
        <w:rPr>
          <w:lang w:val="de-DE"/>
        </w:rPr>
        <w:t>eine Präzisierung</w:t>
      </w:r>
      <w:r w:rsidR="00FD625D" w:rsidRPr="003A726F">
        <w:rPr>
          <w:lang w:val="de-DE"/>
        </w:rPr>
        <w:t xml:space="preserve"> d</w:t>
      </w:r>
      <w:r w:rsidR="00EE0697" w:rsidRPr="003A726F">
        <w:rPr>
          <w:lang w:val="de-DE"/>
        </w:rPr>
        <w:t>e</w:t>
      </w:r>
      <w:r w:rsidR="00FD625D" w:rsidRPr="003A726F">
        <w:rPr>
          <w:lang w:val="de-DE"/>
        </w:rPr>
        <w:t xml:space="preserve">s </w:t>
      </w:r>
      <w:r w:rsidR="00D97440" w:rsidRPr="003A726F">
        <w:rPr>
          <w:lang w:val="de-DE"/>
        </w:rPr>
        <w:t>Zulassungsz</w:t>
      </w:r>
      <w:r w:rsidR="00FD625D" w:rsidRPr="003A726F">
        <w:rPr>
          <w:lang w:val="de-DE"/>
        </w:rPr>
        <w:t>eugnis</w:t>
      </w:r>
      <w:r w:rsidR="00EE0697" w:rsidRPr="003A726F">
        <w:rPr>
          <w:lang w:val="de-DE"/>
        </w:rPr>
        <w:t>ses</w:t>
      </w:r>
      <w:r w:rsidR="00FD625D" w:rsidRPr="003A726F">
        <w:rPr>
          <w:lang w:val="de-DE"/>
        </w:rPr>
        <w:t xml:space="preserve"> für Trocken</w:t>
      </w:r>
      <w:r w:rsidR="00F92209">
        <w:rPr>
          <w:lang w:val="de-DE"/>
        </w:rPr>
        <w:t>güter</w:t>
      </w:r>
      <w:r w:rsidR="00FD625D" w:rsidRPr="003A726F">
        <w:rPr>
          <w:lang w:val="de-DE"/>
        </w:rPr>
        <w:t xml:space="preserve">schiffe </w:t>
      </w:r>
      <w:r w:rsidR="00EE0697" w:rsidRPr="003A726F">
        <w:rPr>
          <w:lang w:val="de-DE"/>
        </w:rPr>
        <w:t>vorgeschlagen wird</w:t>
      </w:r>
      <w:r w:rsidR="00FD625D" w:rsidRPr="003A726F">
        <w:rPr>
          <w:lang w:val="de-DE"/>
        </w:rPr>
        <w:t>.</w:t>
      </w:r>
      <w:r w:rsidRPr="00BA758E">
        <w:rPr>
          <w:lang w:val="de-DE"/>
        </w:rPr>
        <w:t xml:space="preserve"> </w:t>
      </w:r>
      <w:r w:rsidR="007C3754" w:rsidRPr="003A726F">
        <w:rPr>
          <w:lang w:val="de-DE"/>
        </w:rPr>
        <w:t xml:space="preserve">Nach der Diskussion </w:t>
      </w:r>
      <w:r w:rsidR="001C4659" w:rsidRPr="003A726F">
        <w:rPr>
          <w:lang w:val="de-DE"/>
        </w:rPr>
        <w:t>nahm</w:t>
      </w:r>
      <w:r w:rsidR="007C3754" w:rsidRPr="003A726F">
        <w:rPr>
          <w:lang w:val="de-DE"/>
        </w:rPr>
        <w:t xml:space="preserve"> der Sicherheitsausschuss </w:t>
      </w:r>
      <w:r w:rsidR="001C4659" w:rsidRPr="003A726F">
        <w:rPr>
          <w:lang w:val="de-DE"/>
        </w:rPr>
        <w:t>die Änderungsvorschläge des informellen Dokuments INF.20</w:t>
      </w:r>
      <w:r w:rsidR="007C3754" w:rsidRPr="003A726F">
        <w:rPr>
          <w:lang w:val="de-DE"/>
        </w:rPr>
        <w:t xml:space="preserve"> an, einschließlich der Option 2 für Punkt 8 des Zulassungszeugnisses (siehe Anlage I).</w:t>
      </w:r>
    </w:p>
    <w:p w14:paraId="37BA2AEB" w14:textId="7AD9A13D" w:rsidR="003064DA" w:rsidRPr="00BA758E" w:rsidRDefault="003064DA" w:rsidP="006E6DE9">
      <w:pPr>
        <w:pStyle w:val="HChG"/>
        <w:spacing w:before="240"/>
        <w:rPr>
          <w:i/>
          <w:lang w:val="de-DE"/>
        </w:rPr>
      </w:pPr>
      <w:r w:rsidRPr="00BA758E">
        <w:rPr>
          <w:lang w:val="de-DE"/>
        </w:rPr>
        <w:tab/>
      </w:r>
      <w:bookmarkStart w:id="75" w:name="_Toc81410428"/>
      <w:r w:rsidR="00D77240" w:rsidRPr="00D77240">
        <w:rPr>
          <w:lang w:val="de-DE"/>
        </w:rPr>
        <w:t>VII.</w:t>
      </w:r>
      <w:r w:rsidRPr="00BA758E">
        <w:rPr>
          <w:lang w:val="de-DE"/>
        </w:rPr>
        <w:tab/>
      </w:r>
      <w:bookmarkEnd w:id="75"/>
      <w:r w:rsidR="00D77240" w:rsidRPr="00D77240">
        <w:rPr>
          <w:lang w:val="de-DE"/>
        </w:rPr>
        <w:t>Berichte informeller Arbeitsgruppen (TOP 5)</w:t>
      </w:r>
    </w:p>
    <w:p w14:paraId="7C0D3CBA" w14:textId="7E392760" w:rsidR="003064DA" w:rsidRPr="00BA758E" w:rsidRDefault="003064DA" w:rsidP="00D77240">
      <w:pPr>
        <w:pStyle w:val="H1G"/>
        <w:rPr>
          <w:lang w:val="de-DE"/>
        </w:rPr>
      </w:pPr>
      <w:r w:rsidRPr="00BA758E">
        <w:rPr>
          <w:lang w:val="de-DE"/>
        </w:rPr>
        <w:tab/>
      </w:r>
      <w:bookmarkStart w:id="76" w:name="_Toc81410429"/>
      <w:r w:rsidR="00D77240" w:rsidRPr="00D77240">
        <w:rPr>
          <w:lang w:val="de-DE"/>
        </w:rPr>
        <w:t>A.</w:t>
      </w:r>
      <w:r w:rsidRPr="00BA758E">
        <w:rPr>
          <w:lang w:val="de-DE"/>
        </w:rPr>
        <w:tab/>
      </w:r>
      <w:bookmarkEnd w:id="76"/>
      <w:r w:rsidR="00D77240" w:rsidRPr="00D77240">
        <w:rPr>
          <w:lang w:val="de-DE"/>
        </w:rPr>
        <w:t>Bericht über die einundzwanzigste Sitzung der Gruppe der Empfohlenen ADN-Klassifikationsgesellschaften</w:t>
      </w:r>
    </w:p>
    <w:p w14:paraId="22DFB717" w14:textId="21E75F27" w:rsidR="003064DA" w:rsidRPr="00BA758E" w:rsidRDefault="00D77240" w:rsidP="00D77240">
      <w:pPr>
        <w:pStyle w:val="H23G"/>
        <w:tabs>
          <w:tab w:val="left" w:pos="3402"/>
        </w:tabs>
        <w:spacing w:before="120"/>
        <w:ind w:left="3402" w:hanging="2268"/>
        <w:rPr>
          <w:b w:val="0"/>
          <w:bCs/>
          <w:lang w:val="de-DE"/>
        </w:rPr>
      </w:pPr>
      <w:bookmarkStart w:id="77" w:name="_Toc81410430"/>
      <w:r w:rsidRPr="00D77240">
        <w:rPr>
          <w:b w:val="0"/>
          <w:bCs/>
          <w:i/>
          <w:iCs/>
          <w:lang w:val="de-DE"/>
        </w:rPr>
        <w:t>Dokument:</w:t>
      </w:r>
      <w:r w:rsidR="003064DA" w:rsidRPr="00BA758E">
        <w:rPr>
          <w:b w:val="0"/>
          <w:bCs/>
          <w:lang w:val="de-DE"/>
        </w:rPr>
        <w:tab/>
      </w:r>
      <w:bookmarkEnd w:id="77"/>
      <w:r w:rsidRPr="00D77240">
        <w:rPr>
          <w:b w:val="0"/>
          <w:bCs/>
          <w:lang w:val="de-DE"/>
        </w:rPr>
        <w:t>ECE/TRANS/WP.15/AC.2/2021/18 (Empfohlene ADN-Klassifikationsgesellschaften)</w:t>
      </w:r>
    </w:p>
    <w:p w14:paraId="7B7FA938" w14:textId="3E8EF647" w:rsidR="003064DA" w:rsidRPr="00BA758E" w:rsidRDefault="00D77240" w:rsidP="00D77240">
      <w:pPr>
        <w:pStyle w:val="H23G"/>
        <w:tabs>
          <w:tab w:val="left" w:pos="3402"/>
        </w:tabs>
        <w:spacing w:before="120"/>
        <w:ind w:left="3402" w:hanging="2268"/>
        <w:rPr>
          <w:b w:val="0"/>
          <w:bCs/>
          <w:lang w:val="de-DE"/>
        </w:rPr>
      </w:pPr>
      <w:bookmarkStart w:id="78" w:name="_Toc81410431"/>
      <w:r w:rsidRPr="00D77240">
        <w:rPr>
          <w:b w:val="0"/>
          <w:bCs/>
          <w:i/>
          <w:iCs/>
          <w:lang w:val="de-DE"/>
        </w:rPr>
        <w:t>Informelles Dokument:</w:t>
      </w:r>
      <w:r w:rsidR="003064DA" w:rsidRPr="00BA758E">
        <w:rPr>
          <w:b w:val="0"/>
          <w:bCs/>
          <w:lang w:val="de-DE"/>
        </w:rPr>
        <w:tab/>
      </w:r>
      <w:bookmarkEnd w:id="78"/>
      <w:r w:rsidRPr="00D77240">
        <w:rPr>
          <w:b w:val="0"/>
          <w:bCs/>
          <w:lang w:val="de-DE"/>
        </w:rPr>
        <w:t>INF.16 (Deutschland)</w:t>
      </w:r>
    </w:p>
    <w:p w14:paraId="6B8BCE90" w14:textId="1FFC6B59" w:rsidR="003064DA" w:rsidRPr="00BA758E" w:rsidRDefault="003064DA" w:rsidP="00DA499E">
      <w:pPr>
        <w:pStyle w:val="SingleTxtG"/>
        <w:rPr>
          <w:lang w:val="de-DE"/>
        </w:rPr>
      </w:pPr>
      <w:r w:rsidRPr="00BA758E">
        <w:rPr>
          <w:lang w:val="de-DE"/>
        </w:rPr>
        <w:t>50.</w:t>
      </w:r>
      <w:r w:rsidRPr="00BA758E">
        <w:rPr>
          <w:lang w:val="de-DE"/>
        </w:rPr>
        <w:tab/>
      </w:r>
      <w:r w:rsidR="00D77240" w:rsidRPr="00DA499E">
        <w:rPr>
          <w:lang w:val="de-DE"/>
        </w:rPr>
        <w:t xml:space="preserve">Der Sicherheitsausschuss begrüßte den Bericht über die einundzwanzigste Sitzung der Gruppe der </w:t>
      </w:r>
      <w:r w:rsidR="003A726F" w:rsidRPr="00DA499E">
        <w:rPr>
          <w:lang w:val="de-DE"/>
        </w:rPr>
        <w:t>E</w:t>
      </w:r>
      <w:r w:rsidR="00D77240" w:rsidRPr="00DA499E">
        <w:rPr>
          <w:lang w:val="de-DE"/>
        </w:rPr>
        <w:t>mpfohlenen ADN-Klassifikationsgesellschaften (ECE/TRANS/WP.15/AC.2/2021/18) und nahm insbesondere zu den folgenden Punkten des Berichts Stellung:</w:t>
      </w:r>
    </w:p>
    <w:p w14:paraId="6D806904" w14:textId="0935F71C" w:rsidR="003064DA" w:rsidRPr="001B5E14" w:rsidRDefault="003064DA" w:rsidP="003D0275">
      <w:pPr>
        <w:pStyle w:val="SingleTxtG"/>
        <w:tabs>
          <w:tab w:val="left" w:pos="1418"/>
        </w:tabs>
        <w:spacing w:line="240" w:lineRule="auto"/>
        <w:ind w:left="2268" w:hanging="1134"/>
        <w:rPr>
          <w:lang w:val="de-DE"/>
        </w:rPr>
      </w:pPr>
      <w:r w:rsidRPr="00BA758E">
        <w:rPr>
          <w:lang w:val="de-DE"/>
        </w:rPr>
        <w:tab/>
      </w:r>
      <w:r w:rsidR="00BC2C3D" w:rsidRPr="00BC2C3D">
        <w:rPr>
          <w:lang w:val="de-DE"/>
        </w:rPr>
        <w:t>II.</w:t>
      </w:r>
      <w:r w:rsidR="00DA499E">
        <w:rPr>
          <w:lang w:val="de-DE"/>
        </w:rPr>
        <w:t xml:space="preserve"> </w:t>
      </w:r>
      <w:r w:rsidR="00BC2C3D" w:rsidRPr="00BC2C3D">
        <w:rPr>
          <w:lang w:val="de-DE"/>
        </w:rPr>
        <w:t>b)</w:t>
      </w:r>
      <w:r w:rsidRPr="00BA758E">
        <w:rPr>
          <w:lang w:val="de-DE"/>
        </w:rPr>
        <w:tab/>
      </w:r>
      <w:r w:rsidR="00AA61AB">
        <w:rPr>
          <w:lang w:val="de-DE"/>
        </w:rPr>
        <w:t>ersuchte</w:t>
      </w:r>
      <w:r w:rsidR="008038F1" w:rsidRPr="00B675B1">
        <w:rPr>
          <w:lang w:val="de-DE"/>
        </w:rPr>
        <w:t xml:space="preserve"> die </w:t>
      </w:r>
      <w:r w:rsidR="00CC3AF3" w:rsidRPr="00B675B1">
        <w:rPr>
          <w:lang w:val="de-DE"/>
        </w:rPr>
        <w:t>Autoren des Projekts</w:t>
      </w:r>
      <w:r w:rsidR="008038F1" w:rsidRPr="00B675B1">
        <w:rPr>
          <w:lang w:val="de-DE"/>
        </w:rPr>
        <w:t xml:space="preserve"> nachdrücklich </w:t>
      </w:r>
      <w:r w:rsidR="00A12970" w:rsidRPr="00B675B1">
        <w:rPr>
          <w:lang w:val="de-DE"/>
        </w:rPr>
        <w:t>um Vorlage</w:t>
      </w:r>
      <w:r w:rsidR="008038F1" w:rsidRPr="00B675B1">
        <w:rPr>
          <w:lang w:val="de-DE"/>
        </w:rPr>
        <w:t xml:space="preserve"> ihre</w:t>
      </w:r>
      <w:r w:rsidR="00A12970" w:rsidRPr="00B675B1">
        <w:rPr>
          <w:lang w:val="de-DE"/>
        </w:rPr>
        <w:t>s</w:t>
      </w:r>
      <w:r w:rsidR="008038F1" w:rsidRPr="00B675B1">
        <w:rPr>
          <w:lang w:val="de-DE"/>
        </w:rPr>
        <w:t xml:space="preserve"> Vorschlag</w:t>
      </w:r>
      <w:r w:rsidR="00A12970" w:rsidRPr="00B675B1">
        <w:rPr>
          <w:lang w:val="de-DE"/>
        </w:rPr>
        <w:t>s</w:t>
      </w:r>
      <w:r w:rsidR="008038F1" w:rsidRPr="00B675B1">
        <w:rPr>
          <w:lang w:val="de-DE"/>
        </w:rPr>
        <w:t xml:space="preserve"> als offizielles Dokument</w:t>
      </w:r>
      <w:r w:rsidR="00EA3D50">
        <w:rPr>
          <w:lang w:val="de-DE"/>
        </w:rPr>
        <w:t xml:space="preserve"> beim Sicherheitsausschuss</w:t>
      </w:r>
      <w:r w:rsidR="008038F1" w:rsidRPr="00B675B1">
        <w:rPr>
          <w:lang w:val="de-DE"/>
        </w:rPr>
        <w:t xml:space="preserve">, um die Übersetzung in alle Amtssprachen zu gewährleisten, und </w:t>
      </w:r>
      <w:r w:rsidR="00B675B1" w:rsidRPr="00B675B1">
        <w:rPr>
          <w:lang w:val="de-DE"/>
        </w:rPr>
        <w:t>wies darauf hin</w:t>
      </w:r>
      <w:r w:rsidR="008038F1" w:rsidRPr="00B675B1">
        <w:rPr>
          <w:lang w:val="de-DE"/>
        </w:rPr>
        <w:t>, dass die Frist für die Vorlage offizieller Dokumente für die Sitzung im Januar 2022 am 29. Oktober 2021 endet;</w:t>
      </w:r>
    </w:p>
    <w:p w14:paraId="72499E49" w14:textId="03AC0AD4" w:rsidR="003064DA" w:rsidRPr="00BA758E" w:rsidRDefault="003064DA" w:rsidP="003D0275">
      <w:pPr>
        <w:pStyle w:val="SingleTxtG"/>
        <w:tabs>
          <w:tab w:val="left" w:pos="1418"/>
        </w:tabs>
        <w:spacing w:line="240" w:lineRule="auto"/>
        <w:ind w:left="2268" w:hanging="1134"/>
        <w:rPr>
          <w:lang w:val="de-DE"/>
        </w:rPr>
      </w:pPr>
      <w:r w:rsidRPr="001B5E14">
        <w:rPr>
          <w:lang w:val="de-DE"/>
        </w:rPr>
        <w:tab/>
      </w:r>
      <w:r w:rsidR="00B675B1" w:rsidRPr="00B675B1">
        <w:rPr>
          <w:lang w:val="de-DE"/>
        </w:rPr>
        <w:t>II.</w:t>
      </w:r>
      <w:r w:rsidR="00DA499E">
        <w:rPr>
          <w:lang w:val="de-DE"/>
        </w:rPr>
        <w:t xml:space="preserve"> </w:t>
      </w:r>
      <w:r w:rsidR="00B675B1" w:rsidRPr="00B675B1">
        <w:rPr>
          <w:lang w:val="de-DE"/>
        </w:rPr>
        <w:t>h)</w:t>
      </w:r>
      <w:r w:rsidRPr="00BA758E">
        <w:rPr>
          <w:lang w:val="de-DE"/>
        </w:rPr>
        <w:tab/>
      </w:r>
      <w:r w:rsidR="00B675B1" w:rsidRPr="00CB2E27">
        <w:rPr>
          <w:lang w:val="de-DE"/>
        </w:rPr>
        <w:t xml:space="preserve">forderte die </w:t>
      </w:r>
      <w:r w:rsidR="00575E90" w:rsidRPr="00CB2E27">
        <w:rPr>
          <w:lang w:val="de-DE"/>
        </w:rPr>
        <w:t>E</w:t>
      </w:r>
      <w:r w:rsidR="00B675B1" w:rsidRPr="00CB2E27">
        <w:rPr>
          <w:lang w:val="de-DE"/>
        </w:rPr>
        <w:t xml:space="preserve">mpfohlenen ADN-Klassifikationsgesellschaften </w:t>
      </w:r>
      <w:r w:rsidR="00FC10E8">
        <w:rPr>
          <w:lang w:val="de-DE"/>
        </w:rPr>
        <w:t>auf, dem Sicherheitsausschuss</w:t>
      </w:r>
      <w:r w:rsidR="00B675B1" w:rsidRPr="00CB2E27">
        <w:rPr>
          <w:lang w:val="de-DE"/>
        </w:rPr>
        <w:t xml:space="preserve"> Antworten auf die bereits auf der dreiundzwanzigsten und vierundzwanzigsten </w:t>
      </w:r>
      <w:r w:rsidR="00A92B9F" w:rsidRPr="00CB2E27">
        <w:rPr>
          <w:lang w:val="de-DE"/>
        </w:rPr>
        <w:t>Sitzung</w:t>
      </w:r>
      <w:r w:rsidR="00B675B1" w:rsidRPr="00CB2E27">
        <w:rPr>
          <w:lang w:val="de-DE"/>
        </w:rPr>
        <w:t xml:space="preserve"> des ADN-Verwaltungsausschusses aufgeworfenen Fragen</w:t>
      </w:r>
      <w:r w:rsidR="00A92B9F" w:rsidRPr="00CB2E27">
        <w:rPr>
          <w:rStyle w:val="FootnoteReference"/>
          <w:lang w:val="de-DE"/>
        </w:rPr>
        <w:footnoteReference w:id="3"/>
      </w:r>
      <w:r w:rsidR="00B675B1" w:rsidRPr="00CB2E27">
        <w:rPr>
          <w:lang w:val="de-DE"/>
        </w:rPr>
        <w:t xml:space="preserve"> </w:t>
      </w:r>
      <w:r w:rsidR="00FC10E8">
        <w:rPr>
          <w:lang w:val="de-DE"/>
        </w:rPr>
        <w:t>zu unterbreiten</w:t>
      </w:r>
      <w:r w:rsidR="00B675B1" w:rsidRPr="00CB2E27">
        <w:rPr>
          <w:lang w:val="de-DE"/>
        </w:rPr>
        <w:t xml:space="preserve"> (u.</w:t>
      </w:r>
      <w:r w:rsidR="00A92B9F" w:rsidRPr="00CB2E27">
        <w:rPr>
          <w:lang w:val="de-DE"/>
        </w:rPr>
        <w:t> </w:t>
      </w:r>
      <w:r w:rsidR="00B675B1" w:rsidRPr="00CB2E27">
        <w:rPr>
          <w:lang w:val="de-DE"/>
        </w:rPr>
        <w:t xml:space="preserve">a. Gleichwertigkeit </w:t>
      </w:r>
      <w:r w:rsidR="00934854" w:rsidRPr="00CB2E27">
        <w:rPr>
          <w:lang w:val="de-DE"/>
        </w:rPr>
        <w:t>der</w:t>
      </w:r>
      <w:r w:rsidR="00B675B1" w:rsidRPr="00CB2E27">
        <w:rPr>
          <w:lang w:val="de-DE"/>
        </w:rPr>
        <w:t xml:space="preserve"> nach ISO 9001 und </w:t>
      </w:r>
      <w:r w:rsidR="00934854" w:rsidRPr="00CB2E27">
        <w:rPr>
          <w:lang w:val="de-DE"/>
        </w:rPr>
        <w:t xml:space="preserve">der </w:t>
      </w:r>
      <w:r w:rsidR="00B675B1" w:rsidRPr="00CB2E27">
        <w:rPr>
          <w:lang w:val="de-DE"/>
        </w:rPr>
        <w:t xml:space="preserve">nach ISO/IEC 17020 ausgestellten </w:t>
      </w:r>
      <w:r w:rsidR="00934854" w:rsidRPr="00AA61AB">
        <w:rPr>
          <w:lang w:val="de-DE"/>
        </w:rPr>
        <w:t>Zertifikate</w:t>
      </w:r>
      <w:r w:rsidR="00B675B1" w:rsidRPr="00CB2E27">
        <w:rPr>
          <w:lang w:val="de-DE"/>
        </w:rPr>
        <w:t xml:space="preserve">, Überarbeitung von Kapitel 1.15 ADN, um klarzustellen, wie die Informationen über die Einhaltung der </w:t>
      </w:r>
      <w:r w:rsidR="007F79C1" w:rsidRPr="00CB2E27">
        <w:rPr>
          <w:lang w:val="de-DE"/>
        </w:rPr>
        <w:t>Anforderungen</w:t>
      </w:r>
      <w:r w:rsidR="00B675B1" w:rsidRPr="00CB2E27">
        <w:rPr>
          <w:lang w:val="de-DE"/>
        </w:rPr>
        <w:t xml:space="preserve"> in Zukunft dargestellt werden </w:t>
      </w:r>
      <w:r w:rsidR="004E27F4" w:rsidRPr="00CB2E27">
        <w:rPr>
          <w:lang w:val="de-DE"/>
        </w:rPr>
        <w:t>sollen</w:t>
      </w:r>
      <w:r w:rsidR="00B675B1" w:rsidRPr="00CB2E27">
        <w:rPr>
          <w:lang w:val="de-DE"/>
        </w:rPr>
        <w:t xml:space="preserve">, und um mögliche Probleme mit den Anforderungen, insbesondere </w:t>
      </w:r>
      <w:r w:rsidR="004E27F4" w:rsidRPr="00CB2E27">
        <w:rPr>
          <w:lang w:val="de-DE"/>
        </w:rPr>
        <w:t xml:space="preserve">in </w:t>
      </w:r>
      <w:r w:rsidR="0064318F" w:rsidRPr="00CB2E27">
        <w:rPr>
          <w:lang w:val="de-DE"/>
        </w:rPr>
        <w:t xml:space="preserve">Unterabschnitt </w:t>
      </w:r>
      <w:r w:rsidR="00B675B1" w:rsidRPr="00CB2E27">
        <w:rPr>
          <w:lang w:val="de-DE"/>
        </w:rPr>
        <w:t xml:space="preserve">1.15.3.8 ADN, zu </w:t>
      </w:r>
      <w:r w:rsidR="004E27F4" w:rsidRPr="00CB2E27">
        <w:rPr>
          <w:lang w:val="de-DE"/>
        </w:rPr>
        <w:t>identifizieren</w:t>
      </w:r>
      <w:r w:rsidR="00B675B1" w:rsidRPr="00CB2E27">
        <w:rPr>
          <w:lang w:val="de-DE"/>
        </w:rPr>
        <w:t>);</w:t>
      </w:r>
    </w:p>
    <w:p w14:paraId="0D4A3CA6" w14:textId="799C27B6" w:rsidR="003064DA" w:rsidRPr="00BA758E" w:rsidRDefault="003064DA" w:rsidP="003D0275">
      <w:pPr>
        <w:pStyle w:val="SingleTxtG"/>
        <w:tabs>
          <w:tab w:val="left" w:pos="1418"/>
        </w:tabs>
        <w:spacing w:line="240" w:lineRule="auto"/>
        <w:ind w:left="2268" w:hanging="1134"/>
        <w:rPr>
          <w:lang w:val="de-DE"/>
        </w:rPr>
      </w:pPr>
      <w:r w:rsidRPr="00BA758E">
        <w:rPr>
          <w:lang w:val="de-DE"/>
        </w:rPr>
        <w:tab/>
      </w:r>
      <w:r w:rsidR="00240436" w:rsidRPr="00240436">
        <w:rPr>
          <w:lang w:val="de-DE"/>
        </w:rPr>
        <w:t>III.</w:t>
      </w:r>
      <w:r w:rsidR="00DA499E">
        <w:rPr>
          <w:lang w:val="de-DE"/>
        </w:rPr>
        <w:t xml:space="preserve"> </w:t>
      </w:r>
      <w:r w:rsidR="00240436" w:rsidRPr="00240436">
        <w:rPr>
          <w:lang w:val="de-DE"/>
        </w:rPr>
        <w:t>a)</w:t>
      </w:r>
      <w:r w:rsidRPr="00BA758E">
        <w:rPr>
          <w:lang w:val="de-DE"/>
        </w:rPr>
        <w:tab/>
      </w:r>
      <w:r w:rsidR="008A0108" w:rsidRPr="005148A1">
        <w:rPr>
          <w:lang w:val="de-DE"/>
        </w:rPr>
        <w:t>Nach der Vor</w:t>
      </w:r>
      <w:r w:rsidR="00A90657">
        <w:rPr>
          <w:lang w:val="de-DE"/>
        </w:rPr>
        <w:t>lage</w:t>
      </w:r>
      <w:r w:rsidR="008A0108" w:rsidRPr="005148A1">
        <w:rPr>
          <w:lang w:val="de-DE"/>
        </w:rPr>
        <w:t xml:space="preserve"> des informellen Dokuments INF.16 bestätigte der </w:t>
      </w:r>
      <w:r w:rsidR="00566DE0">
        <w:rPr>
          <w:lang w:val="de-DE"/>
        </w:rPr>
        <w:t>Sicherheitsa</w:t>
      </w:r>
      <w:r w:rsidR="008A0108" w:rsidRPr="005148A1">
        <w:rPr>
          <w:lang w:val="de-DE"/>
        </w:rPr>
        <w:t xml:space="preserve">usschuss, dass das ADN </w:t>
      </w:r>
      <w:r w:rsidR="00B06AC2" w:rsidRPr="005148A1">
        <w:rPr>
          <w:lang w:val="de-DE"/>
        </w:rPr>
        <w:t xml:space="preserve">derzeit </w:t>
      </w:r>
      <w:r w:rsidR="008A0108" w:rsidRPr="005148A1">
        <w:rPr>
          <w:lang w:val="de-DE"/>
        </w:rPr>
        <w:t xml:space="preserve">nur Übergangsbestimmungen für die Temperaturklasse und die Explosionsgruppe </w:t>
      </w:r>
      <w:r w:rsidR="00B06AC2" w:rsidRPr="005148A1">
        <w:rPr>
          <w:lang w:val="de-DE"/>
        </w:rPr>
        <w:t>der</w:t>
      </w:r>
      <w:r w:rsidR="008A0108" w:rsidRPr="005148A1">
        <w:rPr>
          <w:lang w:val="de-DE"/>
        </w:rPr>
        <w:t xml:space="preserve"> nicht</w:t>
      </w:r>
      <w:r w:rsidR="00B06AC2" w:rsidRPr="005148A1">
        <w:rPr>
          <w:lang w:val="de-DE"/>
        </w:rPr>
        <w:t>-</w:t>
      </w:r>
      <w:r w:rsidR="008A0108" w:rsidRPr="005148A1">
        <w:rPr>
          <w:lang w:val="de-DE"/>
        </w:rPr>
        <w:t xml:space="preserve">elektrischen Anlagen und Geräte </w:t>
      </w:r>
      <w:r w:rsidR="008A0108" w:rsidRPr="008B6740">
        <w:rPr>
          <w:lang w:val="de-DE"/>
        </w:rPr>
        <w:t>vorseh</w:t>
      </w:r>
      <w:r w:rsidR="008B6740">
        <w:rPr>
          <w:lang w:val="de-DE"/>
        </w:rPr>
        <w:t>e</w:t>
      </w:r>
      <w:r w:rsidR="008A0108" w:rsidRPr="008B6740">
        <w:rPr>
          <w:lang w:val="de-DE"/>
        </w:rPr>
        <w:t>, nicht aber für de</w:t>
      </w:r>
      <w:r w:rsidR="00264296" w:rsidRPr="008B6740">
        <w:rPr>
          <w:lang w:val="de-DE"/>
        </w:rPr>
        <w:t>re</w:t>
      </w:r>
      <w:r w:rsidR="008A0108" w:rsidRPr="008B6740">
        <w:rPr>
          <w:lang w:val="de-DE"/>
        </w:rPr>
        <w:t xml:space="preserve">n </w:t>
      </w:r>
      <w:r w:rsidR="00D053A2" w:rsidRPr="008B6740">
        <w:rPr>
          <w:lang w:val="de-DE"/>
        </w:rPr>
        <w:t>Verwend</w:t>
      </w:r>
      <w:r w:rsidR="00264296" w:rsidRPr="008B6740">
        <w:rPr>
          <w:lang w:val="de-DE"/>
        </w:rPr>
        <w:t>u</w:t>
      </w:r>
      <w:r w:rsidR="00D053A2" w:rsidRPr="008B6740">
        <w:rPr>
          <w:lang w:val="de-DE"/>
        </w:rPr>
        <w:t>n</w:t>
      </w:r>
      <w:r w:rsidR="00264296" w:rsidRPr="008B6740">
        <w:rPr>
          <w:lang w:val="de-DE"/>
        </w:rPr>
        <w:t>gso</w:t>
      </w:r>
      <w:r w:rsidR="008A0108" w:rsidRPr="008B6740">
        <w:rPr>
          <w:lang w:val="de-DE"/>
        </w:rPr>
        <w:t>rt</w:t>
      </w:r>
      <w:r w:rsidR="008A0108" w:rsidRPr="005148A1">
        <w:rPr>
          <w:lang w:val="de-DE"/>
        </w:rPr>
        <w:t>;</w:t>
      </w:r>
    </w:p>
    <w:p w14:paraId="740575F5" w14:textId="6561C2AE" w:rsidR="003064DA" w:rsidRPr="00BA758E" w:rsidRDefault="003064DA" w:rsidP="003D0275">
      <w:pPr>
        <w:pStyle w:val="SingleTxtG"/>
        <w:tabs>
          <w:tab w:val="left" w:pos="1418"/>
        </w:tabs>
        <w:spacing w:line="240" w:lineRule="auto"/>
        <w:ind w:left="2268" w:hanging="1134"/>
        <w:rPr>
          <w:lang w:val="de-DE"/>
        </w:rPr>
      </w:pPr>
      <w:r w:rsidRPr="00BA758E">
        <w:rPr>
          <w:lang w:val="de-DE"/>
        </w:rPr>
        <w:tab/>
      </w:r>
      <w:r w:rsidR="005148A1" w:rsidRPr="005148A1">
        <w:rPr>
          <w:lang w:val="de-DE"/>
        </w:rPr>
        <w:t>III.</w:t>
      </w:r>
      <w:r w:rsidR="00DA499E">
        <w:rPr>
          <w:lang w:val="de-DE"/>
        </w:rPr>
        <w:t xml:space="preserve"> </w:t>
      </w:r>
      <w:r w:rsidR="005148A1" w:rsidRPr="005148A1">
        <w:rPr>
          <w:lang w:val="de-DE"/>
        </w:rPr>
        <w:t>b)</w:t>
      </w:r>
      <w:r w:rsidRPr="00BA758E">
        <w:rPr>
          <w:lang w:val="de-DE"/>
        </w:rPr>
        <w:tab/>
      </w:r>
      <w:r w:rsidR="005148A1" w:rsidRPr="00826FE1">
        <w:rPr>
          <w:lang w:val="de-DE"/>
        </w:rPr>
        <w:t xml:space="preserve">ersuchte die Empfohlenen ADN-Klassifikationsgesellschaften, für die Sitzung im Januar 2022 </w:t>
      </w:r>
      <w:r w:rsidR="002F1F6C" w:rsidRPr="00826FE1">
        <w:rPr>
          <w:lang w:val="de-DE"/>
        </w:rPr>
        <w:t xml:space="preserve">ein Arbeitsdokument mit </w:t>
      </w:r>
      <w:r w:rsidR="005148A1" w:rsidRPr="00826FE1">
        <w:rPr>
          <w:lang w:val="de-DE"/>
        </w:rPr>
        <w:t>alle</w:t>
      </w:r>
      <w:r w:rsidR="002F1F6C" w:rsidRPr="00826FE1">
        <w:rPr>
          <w:lang w:val="de-DE"/>
        </w:rPr>
        <w:t>n</w:t>
      </w:r>
      <w:r w:rsidR="005148A1" w:rsidRPr="00826FE1">
        <w:rPr>
          <w:lang w:val="de-DE"/>
        </w:rPr>
        <w:t xml:space="preserve"> zur Klärung des </w:t>
      </w:r>
      <w:r w:rsidR="00826FE1" w:rsidRPr="00826FE1">
        <w:rPr>
          <w:lang w:val="de-DE"/>
        </w:rPr>
        <w:t>ADN-Texts</w:t>
      </w:r>
      <w:r w:rsidR="005148A1" w:rsidRPr="00826FE1">
        <w:rPr>
          <w:lang w:val="de-DE"/>
        </w:rPr>
        <w:t xml:space="preserve"> erforderlichen Änderungen vorzulegen;</w:t>
      </w:r>
    </w:p>
    <w:p w14:paraId="108B270D" w14:textId="727679A1" w:rsidR="003064DA" w:rsidRPr="00BA758E" w:rsidRDefault="003064DA" w:rsidP="003D0275">
      <w:pPr>
        <w:pStyle w:val="SingleTxtG"/>
        <w:tabs>
          <w:tab w:val="left" w:pos="1418"/>
        </w:tabs>
        <w:spacing w:line="240" w:lineRule="auto"/>
        <w:ind w:left="2268" w:hanging="1134"/>
        <w:rPr>
          <w:lang w:val="de-DE"/>
        </w:rPr>
      </w:pPr>
      <w:r w:rsidRPr="00BA758E">
        <w:rPr>
          <w:lang w:val="de-DE"/>
        </w:rPr>
        <w:tab/>
      </w:r>
      <w:r w:rsidR="00826FE1" w:rsidRPr="00826FE1">
        <w:rPr>
          <w:lang w:val="de-DE"/>
        </w:rPr>
        <w:t>III.</w:t>
      </w:r>
      <w:r w:rsidR="00DA499E">
        <w:rPr>
          <w:lang w:val="de-DE"/>
        </w:rPr>
        <w:t xml:space="preserve"> </w:t>
      </w:r>
      <w:r w:rsidR="00826FE1" w:rsidRPr="00826FE1">
        <w:rPr>
          <w:lang w:val="de-DE"/>
        </w:rPr>
        <w:t>e)</w:t>
      </w:r>
      <w:r w:rsidRPr="00BA758E">
        <w:rPr>
          <w:lang w:val="de-DE"/>
        </w:rPr>
        <w:tab/>
      </w:r>
      <w:r w:rsidR="001A2F6F" w:rsidRPr="00184200">
        <w:rPr>
          <w:lang w:val="de-DE"/>
        </w:rPr>
        <w:t xml:space="preserve">bat die Mitglieder der </w:t>
      </w:r>
      <w:r w:rsidR="006E7568" w:rsidRPr="00184200">
        <w:rPr>
          <w:lang w:val="de-DE"/>
        </w:rPr>
        <w:t>E</w:t>
      </w:r>
      <w:r w:rsidR="001A2F6F" w:rsidRPr="00184200">
        <w:rPr>
          <w:lang w:val="de-DE"/>
        </w:rPr>
        <w:t xml:space="preserve">mpfohlenen ADN-Klassifikationsgesellschaften </w:t>
      </w:r>
      <w:r w:rsidR="00641320" w:rsidRPr="00184200">
        <w:rPr>
          <w:lang w:val="de-DE"/>
        </w:rPr>
        <w:t xml:space="preserve">um </w:t>
      </w:r>
      <w:r w:rsidR="00184200" w:rsidRPr="00184200">
        <w:rPr>
          <w:lang w:val="de-DE"/>
        </w:rPr>
        <w:t xml:space="preserve">eine </w:t>
      </w:r>
      <w:r w:rsidR="00641320" w:rsidRPr="00184200">
        <w:rPr>
          <w:lang w:val="de-DE"/>
        </w:rPr>
        <w:t>Analyse der Notwendigkeit</w:t>
      </w:r>
      <w:r w:rsidR="00D05694" w:rsidRPr="00184200">
        <w:rPr>
          <w:lang w:val="de-DE"/>
        </w:rPr>
        <w:t xml:space="preserve"> zur Entwicklung weiterer spezifischer Sicherheitsanforderungen für Schiffe, die gefährliche Güter befördern, </w:t>
      </w:r>
      <w:r w:rsidR="00641320" w:rsidRPr="00184200">
        <w:rPr>
          <w:lang w:val="de-DE"/>
        </w:rPr>
        <w:t xml:space="preserve">zusätzlich zu den allgemeinen </w:t>
      </w:r>
      <w:r w:rsidR="001A2F6F" w:rsidRPr="00184200">
        <w:rPr>
          <w:lang w:val="de-DE"/>
        </w:rPr>
        <w:t xml:space="preserve">Anforderungen </w:t>
      </w:r>
      <w:r w:rsidR="006E7568" w:rsidRPr="00184200">
        <w:rPr>
          <w:lang w:val="de-DE"/>
        </w:rPr>
        <w:t>des</w:t>
      </w:r>
      <w:r w:rsidR="001A2F6F" w:rsidRPr="00184200">
        <w:rPr>
          <w:lang w:val="de-DE"/>
        </w:rPr>
        <w:t xml:space="preserve"> ES-TRIN</w:t>
      </w:r>
      <w:r w:rsidR="00D05694" w:rsidRPr="00184200">
        <w:rPr>
          <w:lang w:val="de-DE"/>
        </w:rPr>
        <w:t>,</w:t>
      </w:r>
      <w:r w:rsidR="001A2F6F" w:rsidRPr="00184200">
        <w:rPr>
          <w:lang w:val="de-DE"/>
        </w:rPr>
        <w:t xml:space="preserve"> und u</w:t>
      </w:r>
      <w:r w:rsidR="00D05694" w:rsidRPr="00184200">
        <w:rPr>
          <w:lang w:val="de-DE"/>
        </w:rPr>
        <w:t>m</w:t>
      </w:r>
      <w:r w:rsidR="001A2F6F" w:rsidRPr="00184200">
        <w:rPr>
          <w:lang w:val="de-DE"/>
        </w:rPr>
        <w:t xml:space="preserve"> </w:t>
      </w:r>
      <w:r w:rsidR="00D05694" w:rsidRPr="00184200">
        <w:rPr>
          <w:lang w:val="de-DE"/>
        </w:rPr>
        <w:t>Feststellung</w:t>
      </w:r>
      <w:r w:rsidR="001A2F6F" w:rsidRPr="00184200">
        <w:rPr>
          <w:lang w:val="de-DE"/>
        </w:rPr>
        <w:t>, ob zwischen den beförderten gefährlichen Gütern und den verwendeten</w:t>
      </w:r>
      <w:r w:rsidR="006E7568" w:rsidRPr="00184200">
        <w:rPr>
          <w:lang w:val="de-DE"/>
        </w:rPr>
        <w:t xml:space="preserve"> Energiespeicher-/Energieerzeugungseinheiten </w:t>
      </w:r>
      <w:r w:rsidR="00807B02" w:rsidRPr="00184200">
        <w:rPr>
          <w:lang w:val="de-DE"/>
        </w:rPr>
        <w:t xml:space="preserve">gefährliche Wechselwirkungen </w:t>
      </w:r>
      <w:r w:rsidR="006E7568" w:rsidRPr="00184200">
        <w:rPr>
          <w:lang w:val="de-DE"/>
        </w:rPr>
        <w:t>auftreten könnten;</w:t>
      </w:r>
    </w:p>
    <w:p w14:paraId="4565D8B1" w14:textId="46250F52" w:rsidR="003064DA" w:rsidRPr="00940A9C" w:rsidRDefault="003064DA" w:rsidP="003D0275">
      <w:pPr>
        <w:pStyle w:val="SingleTxtG"/>
        <w:tabs>
          <w:tab w:val="left" w:pos="1418"/>
        </w:tabs>
        <w:spacing w:line="240" w:lineRule="auto"/>
        <w:ind w:left="2268" w:hanging="1134"/>
        <w:rPr>
          <w:lang w:val="de-DE"/>
        </w:rPr>
      </w:pPr>
      <w:r w:rsidRPr="00BA758E">
        <w:rPr>
          <w:lang w:val="de-DE"/>
        </w:rPr>
        <w:tab/>
      </w:r>
      <w:r w:rsidR="00106404" w:rsidRPr="00C82228">
        <w:rPr>
          <w:lang w:val="de-DE"/>
        </w:rPr>
        <w:t>V.</w:t>
      </w:r>
      <w:r w:rsidR="00DA499E">
        <w:rPr>
          <w:lang w:val="de-DE"/>
        </w:rPr>
        <w:t xml:space="preserve"> </w:t>
      </w:r>
      <w:r w:rsidR="00106404" w:rsidRPr="00C82228">
        <w:rPr>
          <w:lang w:val="de-DE"/>
        </w:rPr>
        <w:t>a)</w:t>
      </w:r>
      <w:r w:rsidRPr="00BA758E">
        <w:rPr>
          <w:lang w:val="de-DE"/>
        </w:rPr>
        <w:tab/>
      </w:r>
      <w:r w:rsidR="00086F3C" w:rsidRPr="00A37853">
        <w:rPr>
          <w:lang w:val="de-DE"/>
        </w:rPr>
        <w:t>bestätigt</w:t>
      </w:r>
      <w:r w:rsidR="00996A64" w:rsidRPr="00A37853">
        <w:rPr>
          <w:lang w:val="de-DE"/>
        </w:rPr>
        <w:t>e</w:t>
      </w:r>
      <w:r w:rsidR="00086F3C" w:rsidRPr="00A37853">
        <w:rPr>
          <w:lang w:val="de-DE"/>
        </w:rPr>
        <w:t xml:space="preserve">, dass Stoffe, die derzeit </w:t>
      </w:r>
      <w:r w:rsidR="006951E9" w:rsidRPr="00A37853">
        <w:rPr>
          <w:lang w:val="de-DE"/>
        </w:rPr>
        <w:t>der</w:t>
      </w:r>
      <w:r w:rsidR="00086F3C" w:rsidRPr="00A37853">
        <w:rPr>
          <w:lang w:val="de-DE"/>
        </w:rPr>
        <w:t xml:space="preserve"> UN</w:t>
      </w:r>
      <w:r w:rsidR="00466D1B" w:rsidRPr="00A37853">
        <w:rPr>
          <w:lang w:val="de-DE"/>
        </w:rPr>
        <w:t>-Nr.</w:t>
      </w:r>
      <w:r w:rsidR="00086F3C" w:rsidRPr="00A37853">
        <w:rPr>
          <w:lang w:val="de-DE"/>
        </w:rPr>
        <w:t xml:space="preserve"> 3082 UMWELTGEFÄHRDENDER STOFF, FLÜSSIG, N.A.G. (BILGE</w:t>
      </w:r>
      <w:r w:rsidR="008B1601" w:rsidRPr="00A37853">
        <w:rPr>
          <w:lang w:val="de-DE"/>
        </w:rPr>
        <w:t>N</w:t>
      </w:r>
      <w:r w:rsidR="00086F3C" w:rsidRPr="00A37853">
        <w:rPr>
          <w:lang w:val="de-DE"/>
        </w:rPr>
        <w:t>WA</w:t>
      </w:r>
      <w:r w:rsidR="008B1601" w:rsidRPr="00A37853">
        <w:rPr>
          <w:lang w:val="de-DE"/>
        </w:rPr>
        <w:t>SS</w:t>
      </w:r>
      <w:r w:rsidR="00086F3C" w:rsidRPr="00A37853">
        <w:rPr>
          <w:lang w:val="de-DE"/>
        </w:rPr>
        <w:t>ER, FRE</w:t>
      </w:r>
      <w:r w:rsidR="008B1601" w:rsidRPr="00A37853">
        <w:rPr>
          <w:lang w:val="de-DE"/>
        </w:rPr>
        <w:t>I</w:t>
      </w:r>
      <w:r w:rsidR="00086F3C" w:rsidRPr="00A37853">
        <w:rPr>
          <w:lang w:val="de-DE"/>
        </w:rPr>
        <w:t xml:space="preserve"> </w:t>
      </w:r>
      <w:r w:rsidR="008B1601" w:rsidRPr="00A37853">
        <w:rPr>
          <w:lang w:val="de-DE"/>
        </w:rPr>
        <w:t>V</w:t>
      </w:r>
      <w:r w:rsidR="00086F3C" w:rsidRPr="00A37853">
        <w:rPr>
          <w:lang w:val="de-DE"/>
        </w:rPr>
        <w:t>O</w:t>
      </w:r>
      <w:r w:rsidR="008B1601" w:rsidRPr="00A37853">
        <w:rPr>
          <w:lang w:val="de-DE"/>
        </w:rPr>
        <w:t>N</w:t>
      </w:r>
      <w:r w:rsidR="00086F3C" w:rsidRPr="00A37853">
        <w:rPr>
          <w:lang w:val="de-DE"/>
        </w:rPr>
        <w:t xml:space="preserve"> </w:t>
      </w:r>
      <w:r w:rsidR="008B1601" w:rsidRPr="00A37853">
        <w:rPr>
          <w:lang w:val="de-DE"/>
        </w:rPr>
        <w:t>ÖL</w:t>
      </w:r>
      <w:r w:rsidR="00086F3C" w:rsidRPr="00A37853">
        <w:rPr>
          <w:lang w:val="de-DE"/>
        </w:rPr>
        <w:t>S</w:t>
      </w:r>
      <w:r w:rsidR="008B1601" w:rsidRPr="00A37853">
        <w:rPr>
          <w:lang w:val="de-DE"/>
        </w:rPr>
        <w:t>CH</w:t>
      </w:r>
      <w:r w:rsidR="00086F3C" w:rsidRPr="00A37853">
        <w:rPr>
          <w:lang w:val="de-DE"/>
        </w:rPr>
        <w:t>L</w:t>
      </w:r>
      <w:r w:rsidR="008B1601" w:rsidRPr="00A37853">
        <w:rPr>
          <w:lang w:val="de-DE"/>
        </w:rPr>
        <w:t>AMM</w:t>
      </w:r>
      <w:r w:rsidR="00086F3C" w:rsidRPr="00A37853">
        <w:rPr>
          <w:lang w:val="de-DE"/>
        </w:rPr>
        <w:t xml:space="preserve">), </w:t>
      </w:r>
      <w:r w:rsidR="006951E9" w:rsidRPr="00A37853">
        <w:rPr>
          <w:lang w:val="de-DE"/>
        </w:rPr>
        <w:t xml:space="preserve">der </w:t>
      </w:r>
      <w:r w:rsidR="00086F3C" w:rsidRPr="00A37853">
        <w:rPr>
          <w:lang w:val="de-DE"/>
        </w:rPr>
        <w:t>UN</w:t>
      </w:r>
      <w:r w:rsidR="002038BC" w:rsidRPr="00A37853">
        <w:rPr>
          <w:lang w:val="de-DE"/>
        </w:rPr>
        <w:t>-Nr.</w:t>
      </w:r>
      <w:r w:rsidR="00086F3C" w:rsidRPr="00A37853">
        <w:rPr>
          <w:lang w:val="de-DE"/>
        </w:rPr>
        <w:t xml:space="preserve"> 3082 UMWELTGEFÄHRDENDER STOFF, FLÜSSIG, N.A.G. (</w:t>
      </w:r>
      <w:r w:rsidR="007D45B2" w:rsidRPr="00A37853">
        <w:rPr>
          <w:lang w:val="de-DE"/>
        </w:rPr>
        <w:t>BILGEN</w:t>
      </w:r>
      <w:r w:rsidR="00086F3C" w:rsidRPr="00A37853">
        <w:rPr>
          <w:lang w:val="de-DE"/>
        </w:rPr>
        <w:t xml:space="preserve">WASSER, ENTHÄLT </w:t>
      </w:r>
      <w:r w:rsidR="007D45B2" w:rsidRPr="00A37853">
        <w:rPr>
          <w:lang w:val="de-DE"/>
        </w:rPr>
        <w:t>ÖL</w:t>
      </w:r>
      <w:r w:rsidR="00086F3C" w:rsidRPr="00A37853">
        <w:rPr>
          <w:lang w:val="de-DE"/>
        </w:rPr>
        <w:t xml:space="preserve">SCHLAMM) oder </w:t>
      </w:r>
      <w:r w:rsidR="006951E9" w:rsidRPr="00A37853">
        <w:rPr>
          <w:lang w:val="de-DE"/>
        </w:rPr>
        <w:t xml:space="preserve">der </w:t>
      </w:r>
      <w:r w:rsidR="00086F3C" w:rsidRPr="00A37853">
        <w:rPr>
          <w:lang w:val="de-DE"/>
        </w:rPr>
        <w:t>UN</w:t>
      </w:r>
      <w:r w:rsidR="002038BC" w:rsidRPr="00A37853">
        <w:rPr>
          <w:lang w:val="de-DE"/>
        </w:rPr>
        <w:t>-Nr.</w:t>
      </w:r>
      <w:r w:rsidR="00086F3C" w:rsidRPr="00A37853">
        <w:rPr>
          <w:lang w:val="de-DE"/>
        </w:rPr>
        <w:t xml:space="preserve"> 3082 UMWELTGEFÄHRDENDER STOFF, FLÜSSIG, N.A.G. (ÖLSCHLAMM) </w:t>
      </w:r>
      <w:r w:rsidR="006951E9" w:rsidRPr="00A37853">
        <w:rPr>
          <w:lang w:val="de-DE"/>
        </w:rPr>
        <w:t>zugeordnet sind</w:t>
      </w:r>
      <w:r w:rsidR="00124DBC" w:rsidRPr="00A37853">
        <w:rPr>
          <w:lang w:val="de-DE"/>
        </w:rPr>
        <w:t xml:space="preserve"> und</w:t>
      </w:r>
      <w:r w:rsidR="006951E9" w:rsidRPr="00A37853">
        <w:rPr>
          <w:lang w:val="de-DE"/>
        </w:rPr>
        <w:t xml:space="preserve"> zur Beförderung in</w:t>
      </w:r>
      <w:r w:rsidR="00086F3C" w:rsidRPr="00A37853">
        <w:rPr>
          <w:lang w:val="de-DE"/>
        </w:rPr>
        <w:t xml:space="preserve"> ein</w:t>
      </w:r>
      <w:r w:rsidR="006951E9" w:rsidRPr="00A37853">
        <w:rPr>
          <w:lang w:val="de-DE"/>
        </w:rPr>
        <w:t>em</w:t>
      </w:r>
      <w:r w:rsidR="00086F3C" w:rsidRPr="00A37853">
        <w:rPr>
          <w:lang w:val="de-DE"/>
        </w:rPr>
        <w:t xml:space="preserve"> bestimmte</w:t>
      </w:r>
      <w:r w:rsidR="006951E9" w:rsidRPr="00A37853">
        <w:rPr>
          <w:lang w:val="de-DE"/>
        </w:rPr>
        <w:t>n</w:t>
      </w:r>
      <w:r w:rsidR="00086F3C" w:rsidRPr="00A37853">
        <w:rPr>
          <w:lang w:val="de-DE"/>
        </w:rPr>
        <w:t xml:space="preserve"> Schiff für den Zeitraum vor dem 31.12.2008 zugelassen waren, </w:t>
      </w:r>
      <w:r w:rsidR="006951E9" w:rsidRPr="00A37853">
        <w:rPr>
          <w:lang w:val="de-DE"/>
        </w:rPr>
        <w:t xml:space="preserve">entsprechend ihrem UN-Eintrag </w:t>
      </w:r>
      <w:r w:rsidR="00086F3C" w:rsidRPr="00A37853">
        <w:rPr>
          <w:lang w:val="de-DE"/>
        </w:rPr>
        <w:t xml:space="preserve">in die </w:t>
      </w:r>
      <w:r w:rsidR="00917B5F" w:rsidRPr="00A37853">
        <w:rPr>
          <w:lang w:val="de-DE"/>
        </w:rPr>
        <w:t>Schiffsstoffl</w:t>
      </w:r>
      <w:r w:rsidR="00086F3C" w:rsidRPr="00A37853">
        <w:rPr>
          <w:lang w:val="de-DE"/>
        </w:rPr>
        <w:t xml:space="preserve">iste </w:t>
      </w:r>
      <w:r w:rsidR="006951E9" w:rsidRPr="00A37853">
        <w:rPr>
          <w:lang w:val="de-DE"/>
        </w:rPr>
        <w:t>eingetragen</w:t>
      </w:r>
      <w:r w:rsidR="00086F3C" w:rsidRPr="00A37853">
        <w:rPr>
          <w:lang w:val="de-DE"/>
        </w:rPr>
        <w:t xml:space="preserve"> werden</w:t>
      </w:r>
      <w:r w:rsidR="00F35219" w:rsidRPr="00A37853">
        <w:rPr>
          <w:lang w:val="de-DE"/>
        </w:rPr>
        <w:t xml:space="preserve"> können</w:t>
      </w:r>
      <w:r w:rsidR="00086F3C" w:rsidRPr="00A37853">
        <w:rPr>
          <w:lang w:val="de-DE"/>
        </w:rPr>
        <w:t>.</w:t>
      </w:r>
    </w:p>
    <w:p w14:paraId="6F36D644" w14:textId="639A1FE4" w:rsidR="003064DA" w:rsidRPr="00BA758E" w:rsidRDefault="003064DA" w:rsidP="003D0275">
      <w:pPr>
        <w:pStyle w:val="SingleTxtG"/>
        <w:spacing w:line="240" w:lineRule="auto"/>
        <w:rPr>
          <w:b/>
          <w:lang w:val="de-DE"/>
        </w:rPr>
      </w:pPr>
      <w:r w:rsidRPr="00BA758E">
        <w:rPr>
          <w:lang w:val="de-DE"/>
        </w:rPr>
        <w:t>51.</w:t>
      </w:r>
      <w:r w:rsidRPr="00BA758E">
        <w:rPr>
          <w:lang w:val="de-DE"/>
        </w:rPr>
        <w:tab/>
      </w:r>
      <w:r w:rsidR="0095716F" w:rsidRPr="001C4AA2">
        <w:rPr>
          <w:lang w:val="de-DE"/>
        </w:rPr>
        <w:t>Im Hinblick auf</w:t>
      </w:r>
      <w:r w:rsidR="00804F5D" w:rsidRPr="001C4AA2">
        <w:rPr>
          <w:lang w:val="de-DE"/>
        </w:rPr>
        <w:t xml:space="preserve"> d</w:t>
      </w:r>
      <w:r w:rsidR="0095716F" w:rsidRPr="001C4AA2">
        <w:rPr>
          <w:lang w:val="de-DE"/>
        </w:rPr>
        <w:t>as</w:t>
      </w:r>
      <w:r w:rsidR="00804F5D" w:rsidRPr="001C4AA2">
        <w:rPr>
          <w:lang w:val="de-DE"/>
        </w:rPr>
        <w:t xml:space="preserve"> informelle Dokument INF.16 ersuchte der Sicherheitsausschuss die Gruppe der </w:t>
      </w:r>
      <w:r w:rsidR="00C01427" w:rsidRPr="001C4AA2">
        <w:rPr>
          <w:lang w:val="de-DE"/>
        </w:rPr>
        <w:t>E</w:t>
      </w:r>
      <w:r w:rsidR="00804F5D" w:rsidRPr="001C4AA2">
        <w:rPr>
          <w:lang w:val="de-DE"/>
        </w:rPr>
        <w:t>mpfohlenen ADN-Klassifikationsgesellschaften, den Anwendungsbereich der bestehenden Übergangs</w:t>
      </w:r>
      <w:r w:rsidR="0010196C" w:rsidRPr="001C4AA2">
        <w:rPr>
          <w:lang w:val="de-DE"/>
        </w:rPr>
        <w:t>bestimmung</w:t>
      </w:r>
      <w:r w:rsidR="00804F5D" w:rsidRPr="001C4AA2">
        <w:rPr>
          <w:lang w:val="de-DE"/>
        </w:rPr>
        <w:t xml:space="preserve"> für nicht</w:t>
      </w:r>
      <w:r w:rsidR="00B45580" w:rsidRPr="001C4AA2">
        <w:rPr>
          <w:lang w:val="de-DE"/>
        </w:rPr>
        <w:t>-</w:t>
      </w:r>
      <w:r w:rsidR="00804F5D" w:rsidRPr="001C4AA2">
        <w:rPr>
          <w:lang w:val="de-DE"/>
        </w:rPr>
        <w:t xml:space="preserve">elektrische Anlagen und </w:t>
      </w:r>
      <w:r w:rsidR="00B45580" w:rsidRPr="001C4AA2">
        <w:rPr>
          <w:lang w:val="de-DE"/>
        </w:rPr>
        <w:t>Geräte</w:t>
      </w:r>
      <w:r w:rsidR="00804F5D" w:rsidRPr="001C4AA2">
        <w:rPr>
          <w:lang w:val="de-DE"/>
        </w:rPr>
        <w:t xml:space="preserve"> weiter zu klären, und beschloss ferner, eine umfassende Liste </w:t>
      </w:r>
      <w:r w:rsidR="00B45580" w:rsidRPr="001C4AA2">
        <w:rPr>
          <w:lang w:val="de-DE"/>
        </w:rPr>
        <w:t>der</w:t>
      </w:r>
      <w:r w:rsidR="00804F5D" w:rsidRPr="001C4AA2">
        <w:rPr>
          <w:lang w:val="de-DE"/>
        </w:rPr>
        <w:t xml:space="preserve"> </w:t>
      </w:r>
      <w:r w:rsidR="00B45580" w:rsidRPr="001C4AA2">
        <w:rPr>
          <w:lang w:val="de-DE"/>
        </w:rPr>
        <w:t>Geräte</w:t>
      </w:r>
      <w:r w:rsidR="00804F5D" w:rsidRPr="001C4AA2">
        <w:rPr>
          <w:lang w:val="de-DE"/>
        </w:rPr>
        <w:t xml:space="preserve"> zu erstellen.</w:t>
      </w:r>
    </w:p>
    <w:p w14:paraId="25C6D1FC" w14:textId="631E2550" w:rsidR="003064DA" w:rsidRPr="00BA758E" w:rsidRDefault="003064DA" w:rsidP="006E6DE9">
      <w:pPr>
        <w:pStyle w:val="H1G"/>
        <w:spacing w:before="240" w:after="120"/>
        <w:rPr>
          <w:lang w:val="de-DE"/>
        </w:rPr>
      </w:pPr>
      <w:r w:rsidRPr="00BA758E">
        <w:rPr>
          <w:lang w:val="de-DE"/>
        </w:rPr>
        <w:tab/>
      </w:r>
      <w:bookmarkStart w:id="79" w:name="_Toc81410432"/>
      <w:r w:rsidR="00E36F5F" w:rsidRPr="001C4AA2">
        <w:rPr>
          <w:lang w:val="de-DE"/>
        </w:rPr>
        <w:t>B.</w:t>
      </w:r>
      <w:r w:rsidRPr="00BA758E">
        <w:rPr>
          <w:lang w:val="de-DE"/>
        </w:rPr>
        <w:tab/>
      </w:r>
      <w:bookmarkEnd w:id="79"/>
      <w:r w:rsidR="00E36F5F" w:rsidRPr="00E36F5F">
        <w:rPr>
          <w:lang w:val="de-DE"/>
        </w:rPr>
        <w:t>Bericht über die dritte Sitzung der informellen Arbeitsgruppe „Load</w:t>
      </w:r>
      <w:r w:rsidR="002C1AC8">
        <w:rPr>
          <w:lang w:val="de-DE"/>
        </w:rPr>
        <w:t>ing</w:t>
      </w:r>
      <w:r w:rsidR="00E36F5F" w:rsidRPr="00E36F5F">
        <w:rPr>
          <w:lang w:val="de-DE"/>
        </w:rPr>
        <w:t>-on-Top in Binnenschiffen“</w:t>
      </w:r>
    </w:p>
    <w:p w14:paraId="57727DF2" w14:textId="207F1435" w:rsidR="003064DA" w:rsidRPr="00BA758E" w:rsidRDefault="00E36F5F" w:rsidP="006E6DE9">
      <w:pPr>
        <w:pStyle w:val="H23G"/>
        <w:tabs>
          <w:tab w:val="left" w:pos="1134"/>
          <w:tab w:val="left" w:pos="3402"/>
        </w:tabs>
        <w:spacing w:before="120"/>
        <w:ind w:firstLine="0"/>
        <w:rPr>
          <w:b w:val="0"/>
          <w:bCs/>
          <w:lang w:val="de-DE"/>
        </w:rPr>
      </w:pPr>
      <w:bookmarkStart w:id="80" w:name="_Toc81410433"/>
      <w:r w:rsidRPr="00E36F5F">
        <w:rPr>
          <w:b w:val="0"/>
          <w:bCs/>
          <w:i/>
          <w:iCs/>
          <w:lang w:val="de-DE"/>
        </w:rPr>
        <w:t>Dokument:</w:t>
      </w:r>
      <w:r w:rsidR="003064DA" w:rsidRPr="00BA758E">
        <w:rPr>
          <w:b w:val="0"/>
          <w:bCs/>
          <w:lang w:val="de-DE"/>
        </w:rPr>
        <w:tab/>
      </w:r>
      <w:bookmarkEnd w:id="80"/>
      <w:r w:rsidRPr="00E36F5F">
        <w:rPr>
          <w:b w:val="0"/>
          <w:bCs/>
          <w:lang w:val="de-DE"/>
        </w:rPr>
        <w:t>ECE/TRANS/WP.15/AC.2/2021/29 (Niederlande)</w:t>
      </w:r>
    </w:p>
    <w:p w14:paraId="5E569F1A" w14:textId="488D316D" w:rsidR="003064DA" w:rsidRPr="001B5E14" w:rsidRDefault="003064DA" w:rsidP="003D0275">
      <w:pPr>
        <w:pStyle w:val="SingleTxtG"/>
        <w:spacing w:line="240" w:lineRule="auto"/>
        <w:rPr>
          <w:lang w:val="de-DE"/>
        </w:rPr>
      </w:pPr>
      <w:r w:rsidRPr="00BA758E">
        <w:rPr>
          <w:lang w:val="de-DE"/>
        </w:rPr>
        <w:t>52.</w:t>
      </w:r>
      <w:r w:rsidRPr="00BA758E">
        <w:rPr>
          <w:lang w:val="de-DE"/>
        </w:rPr>
        <w:tab/>
      </w:r>
      <w:r w:rsidR="00E36F5F" w:rsidRPr="001C4AA2">
        <w:rPr>
          <w:lang w:val="de-DE"/>
        </w:rPr>
        <w:t>Der Vertreter der niederländischen Delegation berichtet</w:t>
      </w:r>
      <w:r w:rsidR="00907DCD" w:rsidRPr="001C4AA2">
        <w:rPr>
          <w:lang w:val="de-DE"/>
        </w:rPr>
        <w:t>e</w:t>
      </w:r>
      <w:r w:rsidR="00E36F5F" w:rsidRPr="001C4AA2">
        <w:rPr>
          <w:lang w:val="de-DE"/>
        </w:rPr>
        <w:t xml:space="preserve"> über das Ergebnis der Sitzung, die am 22. und 23. April 2021 </w:t>
      </w:r>
      <w:r w:rsidR="00907DCD" w:rsidRPr="001C4AA2">
        <w:rPr>
          <w:lang w:val="de-DE"/>
        </w:rPr>
        <w:t>online</w:t>
      </w:r>
      <w:r w:rsidR="00E36F5F" w:rsidRPr="001C4AA2">
        <w:rPr>
          <w:lang w:val="de-DE"/>
        </w:rPr>
        <w:t xml:space="preserve"> stattf</w:t>
      </w:r>
      <w:r w:rsidR="00907DCD" w:rsidRPr="001C4AA2">
        <w:rPr>
          <w:lang w:val="de-DE"/>
        </w:rPr>
        <w:t>a</w:t>
      </w:r>
      <w:r w:rsidR="00E36F5F" w:rsidRPr="001C4AA2">
        <w:rPr>
          <w:lang w:val="de-DE"/>
        </w:rPr>
        <w:t>nd.</w:t>
      </w:r>
    </w:p>
    <w:p w14:paraId="3C22A1C1" w14:textId="520262E0" w:rsidR="003064DA" w:rsidRPr="00BA758E" w:rsidRDefault="003064DA" w:rsidP="003D0275">
      <w:pPr>
        <w:pStyle w:val="SingleTxtG"/>
        <w:spacing w:line="240" w:lineRule="auto"/>
        <w:rPr>
          <w:lang w:val="de-DE"/>
        </w:rPr>
      </w:pPr>
      <w:r w:rsidRPr="00BA758E">
        <w:rPr>
          <w:lang w:val="de-DE"/>
        </w:rPr>
        <w:t>53.</w:t>
      </w:r>
      <w:r w:rsidRPr="00BA758E">
        <w:rPr>
          <w:lang w:val="de-DE"/>
        </w:rPr>
        <w:tab/>
      </w:r>
      <w:r w:rsidR="00946219" w:rsidRPr="00124DFF">
        <w:rPr>
          <w:lang w:val="de-DE"/>
        </w:rPr>
        <w:t xml:space="preserve">In Bezug auf den Fall 3 a) begrüßte der Sicherheitsausschuss die vorgeschlagenen Grundsätze für das </w:t>
      </w:r>
      <w:r w:rsidR="00205BD7" w:rsidRPr="00124DFF">
        <w:rPr>
          <w:lang w:val="de-DE"/>
        </w:rPr>
        <w:t>Loading-on-Top gleicher</w:t>
      </w:r>
      <w:r w:rsidR="00946219" w:rsidRPr="00124DFF">
        <w:rPr>
          <w:lang w:val="de-DE"/>
        </w:rPr>
        <w:t xml:space="preserve"> Ladung, d.</w:t>
      </w:r>
      <w:r w:rsidR="000944F3" w:rsidRPr="00124DFF">
        <w:rPr>
          <w:lang w:val="de-DE"/>
        </w:rPr>
        <w:t> </w:t>
      </w:r>
      <w:r w:rsidR="00946219" w:rsidRPr="00124DFF">
        <w:rPr>
          <w:lang w:val="de-DE"/>
        </w:rPr>
        <w:t xml:space="preserve">h. das </w:t>
      </w:r>
      <w:r w:rsidR="00091DDC" w:rsidRPr="00124DFF">
        <w:rPr>
          <w:lang w:val="de-DE"/>
        </w:rPr>
        <w:t>L</w:t>
      </w:r>
      <w:r w:rsidR="00946219" w:rsidRPr="00124DFF">
        <w:rPr>
          <w:lang w:val="de-DE"/>
        </w:rPr>
        <w:t>aden gefährliche</w:t>
      </w:r>
      <w:r w:rsidR="00D514C6" w:rsidRPr="00124DFF">
        <w:rPr>
          <w:lang w:val="de-DE"/>
        </w:rPr>
        <w:t>r</w:t>
      </w:r>
      <w:r w:rsidR="00946219" w:rsidRPr="00124DFF">
        <w:rPr>
          <w:lang w:val="de-DE"/>
        </w:rPr>
        <w:t xml:space="preserve"> G</w:t>
      </w:r>
      <w:r w:rsidR="00D514C6" w:rsidRPr="00124DFF">
        <w:rPr>
          <w:lang w:val="de-DE"/>
        </w:rPr>
        <w:t>ü</w:t>
      </w:r>
      <w:r w:rsidR="00946219" w:rsidRPr="00124DFF">
        <w:rPr>
          <w:lang w:val="de-DE"/>
        </w:rPr>
        <w:t>te</w:t>
      </w:r>
      <w:r w:rsidR="00D514C6" w:rsidRPr="00124DFF">
        <w:rPr>
          <w:lang w:val="de-DE"/>
        </w:rPr>
        <w:t>r</w:t>
      </w:r>
      <w:r w:rsidR="00946219" w:rsidRPr="00124DFF">
        <w:rPr>
          <w:lang w:val="de-DE"/>
        </w:rPr>
        <w:t xml:space="preserve"> auf gefährliche G</w:t>
      </w:r>
      <w:r w:rsidR="00D514C6" w:rsidRPr="00124DFF">
        <w:rPr>
          <w:lang w:val="de-DE"/>
        </w:rPr>
        <w:t>ü</w:t>
      </w:r>
      <w:r w:rsidR="00946219" w:rsidRPr="00124DFF">
        <w:rPr>
          <w:lang w:val="de-DE"/>
        </w:rPr>
        <w:t>t</w:t>
      </w:r>
      <w:r w:rsidR="00D514C6" w:rsidRPr="00124DFF">
        <w:rPr>
          <w:lang w:val="de-DE"/>
        </w:rPr>
        <w:t>er</w:t>
      </w:r>
      <w:r w:rsidR="00946219" w:rsidRPr="00124DFF">
        <w:rPr>
          <w:lang w:val="de-DE"/>
        </w:rPr>
        <w:t xml:space="preserve"> mit </w:t>
      </w:r>
      <w:r w:rsidR="00091DDC" w:rsidRPr="00124DFF">
        <w:rPr>
          <w:lang w:val="de-DE"/>
        </w:rPr>
        <w:t>gleicher</w:t>
      </w:r>
      <w:r w:rsidR="00946219" w:rsidRPr="00124DFF">
        <w:rPr>
          <w:lang w:val="de-DE"/>
        </w:rPr>
        <w:t xml:space="preserve"> UN-N</w:t>
      </w:r>
      <w:r w:rsidR="00091DDC" w:rsidRPr="00124DFF">
        <w:rPr>
          <w:lang w:val="de-DE"/>
        </w:rPr>
        <w:t>umme</w:t>
      </w:r>
      <w:r w:rsidR="00946219" w:rsidRPr="00124DFF">
        <w:rPr>
          <w:lang w:val="de-DE"/>
        </w:rPr>
        <w:t xml:space="preserve">r und </w:t>
      </w:r>
      <w:r w:rsidR="00091DDC" w:rsidRPr="00124DFF">
        <w:rPr>
          <w:lang w:val="de-DE"/>
        </w:rPr>
        <w:t>gleicher</w:t>
      </w:r>
      <w:r w:rsidR="00946219" w:rsidRPr="00124DFF">
        <w:rPr>
          <w:lang w:val="de-DE"/>
        </w:rPr>
        <w:t xml:space="preserve"> Eintragung in Tabelle C.</w:t>
      </w:r>
      <w:r w:rsidRPr="00BA758E">
        <w:rPr>
          <w:lang w:val="de-DE"/>
        </w:rPr>
        <w:t xml:space="preserve"> </w:t>
      </w:r>
      <w:r w:rsidR="00BB4ABC" w:rsidRPr="002A2E69">
        <w:rPr>
          <w:lang w:val="de-DE"/>
        </w:rPr>
        <w:t xml:space="preserve">Dennoch wurde </w:t>
      </w:r>
      <w:r w:rsidR="00124DFF" w:rsidRPr="002A2E69">
        <w:rPr>
          <w:lang w:val="de-DE"/>
        </w:rPr>
        <w:t xml:space="preserve">in diesem Fall </w:t>
      </w:r>
      <w:r w:rsidR="00BB4ABC" w:rsidRPr="002A2E69">
        <w:rPr>
          <w:lang w:val="de-DE"/>
        </w:rPr>
        <w:t>allgemein</w:t>
      </w:r>
      <w:r w:rsidR="00124DFF" w:rsidRPr="002A2E69">
        <w:rPr>
          <w:lang w:val="de-DE"/>
        </w:rPr>
        <w:t xml:space="preserve"> zur</w:t>
      </w:r>
      <w:r w:rsidR="00BB4ABC" w:rsidRPr="002A2E69">
        <w:rPr>
          <w:lang w:val="de-DE"/>
        </w:rPr>
        <w:t xml:space="preserve"> Vorsicht </w:t>
      </w:r>
      <w:r w:rsidR="00124DFF" w:rsidRPr="002A2E69">
        <w:rPr>
          <w:lang w:val="de-DE"/>
        </w:rPr>
        <w:t>gemahnt</w:t>
      </w:r>
      <w:r w:rsidR="00BB4ABC" w:rsidRPr="002A2E69">
        <w:rPr>
          <w:lang w:val="de-DE"/>
        </w:rPr>
        <w:t>, da es auch bei Stoffen mit gleicher UN-Nummer zu gefährlichen Reaktionen kommen k</w:t>
      </w:r>
      <w:r w:rsidR="002A2E69" w:rsidRPr="002A2E69">
        <w:rPr>
          <w:lang w:val="de-DE"/>
        </w:rPr>
        <w:t>ö</w:t>
      </w:r>
      <w:r w:rsidR="00BB4ABC" w:rsidRPr="002A2E69">
        <w:rPr>
          <w:lang w:val="de-DE"/>
        </w:rPr>
        <w:t>nn</w:t>
      </w:r>
      <w:r w:rsidR="002A2E69" w:rsidRPr="002A2E69">
        <w:rPr>
          <w:lang w:val="de-DE"/>
        </w:rPr>
        <w:t>e</w:t>
      </w:r>
      <w:r w:rsidR="00BB4ABC" w:rsidRPr="002A2E69">
        <w:rPr>
          <w:lang w:val="de-DE"/>
        </w:rPr>
        <w:t>.</w:t>
      </w:r>
      <w:r w:rsidRPr="00BA758E">
        <w:rPr>
          <w:lang w:val="de-DE"/>
        </w:rPr>
        <w:t xml:space="preserve">  </w:t>
      </w:r>
      <w:r w:rsidR="00BB4ABC" w:rsidRPr="00AE5C61">
        <w:rPr>
          <w:lang w:val="de-DE"/>
        </w:rPr>
        <w:t xml:space="preserve">Es wurde vorgeschlagen, dass die informelle Arbeitsgruppe </w:t>
      </w:r>
      <w:r w:rsidR="00BF1306" w:rsidRPr="00AE5C61">
        <w:rPr>
          <w:lang w:val="de-DE"/>
        </w:rPr>
        <w:t>„</w:t>
      </w:r>
      <w:r w:rsidR="00BB4ABC" w:rsidRPr="00AE5C61">
        <w:rPr>
          <w:lang w:val="de-DE"/>
        </w:rPr>
        <w:t>Stoffe</w:t>
      </w:r>
      <w:r w:rsidR="00BF1306" w:rsidRPr="00AE5C61">
        <w:rPr>
          <w:lang w:val="de-DE"/>
        </w:rPr>
        <w:t>“</w:t>
      </w:r>
      <w:r w:rsidR="00BB4ABC" w:rsidRPr="00AE5C61">
        <w:rPr>
          <w:lang w:val="de-DE"/>
        </w:rPr>
        <w:t xml:space="preserve"> Tabelle C auswerten sollte, um eine so genannte </w:t>
      </w:r>
      <w:r w:rsidR="00D36FC1" w:rsidRPr="00AE5C61">
        <w:rPr>
          <w:lang w:val="de-DE"/>
        </w:rPr>
        <w:t>„</w:t>
      </w:r>
      <w:r w:rsidR="00BB4ABC" w:rsidRPr="00AE5C61">
        <w:rPr>
          <w:lang w:val="de-DE"/>
        </w:rPr>
        <w:t>Positivliste</w:t>
      </w:r>
      <w:r w:rsidR="00D36FC1" w:rsidRPr="00AE5C61">
        <w:rPr>
          <w:lang w:val="de-DE"/>
        </w:rPr>
        <w:t>“</w:t>
      </w:r>
      <w:r w:rsidR="00BB4ABC" w:rsidRPr="00AE5C61">
        <w:rPr>
          <w:lang w:val="de-DE"/>
        </w:rPr>
        <w:t xml:space="preserve"> mit Stoffen zu erstellen, die grundsätzlich für das </w:t>
      </w:r>
      <w:r w:rsidR="00367C30" w:rsidRPr="00AE5C61">
        <w:rPr>
          <w:lang w:val="de-DE"/>
        </w:rPr>
        <w:t>Loading-on-Top</w:t>
      </w:r>
      <w:r w:rsidR="00BB4ABC" w:rsidRPr="00AE5C61">
        <w:rPr>
          <w:lang w:val="de-DE"/>
        </w:rPr>
        <w:t xml:space="preserve"> zugelassen werden könnten (erforderlichenfalls nach entsprechenden Tests)</w:t>
      </w:r>
      <w:r w:rsidR="00BD2286" w:rsidRPr="00AE5C61">
        <w:rPr>
          <w:lang w:val="de-DE"/>
        </w:rPr>
        <w:t>;</w:t>
      </w:r>
      <w:r w:rsidR="00367C30" w:rsidRPr="00AE5C61">
        <w:rPr>
          <w:lang w:val="de-DE"/>
        </w:rPr>
        <w:t xml:space="preserve"> </w:t>
      </w:r>
      <w:r w:rsidR="00BD2286" w:rsidRPr="00AE5C61">
        <w:rPr>
          <w:lang w:val="de-DE"/>
        </w:rPr>
        <w:t>diese</w:t>
      </w:r>
      <w:r w:rsidR="00367C30" w:rsidRPr="00AE5C61">
        <w:rPr>
          <w:lang w:val="de-DE"/>
        </w:rPr>
        <w:t xml:space="preserve"> Liste könnte</w:t>
      </w:r>
      <w:r w:rsidR="00BB4ABC" w:rsidRPr="00AE5C61">
        <w:rPr>
          <w:lang w:val="de-DE"/>
        </w:rPr>
        <w:t xml:space="preserve"> in Zukunft erweitert werden.</w:t>
      </w:r>
    </w:p>
    <w:p w14:paraId="17A445E1" w14:textId="3435B511" w:rsidR="003064DA" w:rsidRPr="00BA758E" w:rsidRDefault="003064DA" w:rsidP="003D0275">
      <w:pPr>
        <w:pStyle w:val="SingleTxtG"/>
        <w:spacing w:line="240" w:lineRule="auto"/>
        <w:rPr>
          <w:lang w:val="de-DE"/>
        </w:rPr>
      </w:pPr>
      <w:r w:rsidRPr="00BA758E">
        <w:rPr>
          <w:lang w:val="de-DE"/>
        </w:rPr>
        <w:t>54.</w:t>
      </w:r>
      <w:r w:rsidRPr="00BA758E">
        <w:rPr>
          <w:lang w:val="de-DE"/>
        </w:rPr>
        <w:tab/>
      </w:r>
      <w:r w:rsidR="005120AC" w:rsidRPr="00F83B90">
        <w:rPr>
          <w:lang w:val="de-DE"/>
        </w:rPr>
        <w:t xml:space="preserve">Zum Fall 3 b) wurde vorgeschlagen, dass die informelle Arbeitsgruppe „Loading-on-Top in Binnenschiffen“ ihre Arbeit fortsetzen sollte, um das geeignete Rechtsinstrument zu finden, auf </w:t>
      </w:r>
      <w:r w:rsidR="00AE5C61" w:rsidRPr="00757324">
        <w:rPr>
          <w:lang w:val="de-DE"/>
        </w:rPr>
        <w:t>welches</w:t>
      </w:r>
      <w:r w:rsidR="005120AC" w:rsidRPr="00757324">
        <w:rPr>
          <w:lang w:val="de-DE"/>
        </w:rPr>
        <w:t xml:space="preserve"> das ADN verweisen könnte, um Loading-on-Top-Prozesse zu </w:t>
      </w:r>
      <w:r w:rsidR="005120AC" w:rsidRPr="00940A9C">
        <w:rPr>
          <w:lang w:val="de-DE"/>
        </w:rPr>
        <w:t>erleichtern.</w:t>
      </w:r>
      <w:r w:rsidRPr="00940A9C">
        <w:rPr>
          <w:lang w:val="de-DE"/>
        </w:rPr>
        <w:t xml:space="preserve"> </w:t>
      </w:r>
      <w:r w:rsidR="00990C91" w:rsidRPr="00940A9C">
        <w:rPr>
          <w:lang w:val="de-DE"/>
        </w:rPr>
        <w:t>Der Vertreter Belgiens bat die informelle Arbeitsgruppe „Loading-on-Top“, auch Fälle zu untersuchen, in denen</w:t>
      </w:r>
      <w:r w:rsidR="00990C91" w:rsidRPr="00F83B90">
        <w:rPr>
          <w:lang w:val="de-DE"/>
        </w:rPr>
        <w:t xml:space="preserve"> der Ladung während des Transports Inhibitoren, Additive und Farbstoffe zugesetzt werden.</w:t>
      </w:r>
      <w:r w:rsidRPr="00BA758E">
        <w:rPr>
          <w:lang w:val="de-DE"/>
        </w:rPr>
        <w:t xml:space="preserve"> </w:t>
      </w:r>
    </w:p>
    <w:p w14:paraId="14197746" w14:textId="7FA33845" w:rsidR="003064DA" w:rsidRPr="00BA758E" w:rsidRDefault="003064DA" w:rsidP="003D0275">
      <w:pPr>
        <w:pStyle w:val="SingleTxtG"/>
        <w:spacing w:line="240" w:lineRule="auto"/>
        <w:rPr>
          <w:lang w:val="de-DE"/>
        </w:rPr>
      </w:pPr>
      <w:r w:rsidRPr="00BA758E">
        <w:rPr>
          <w:lang w:val="de-DE"/>
        </w:rPr>
        <w:t>55.</w:t>
      </w:r>
      <w:r w:rsidRPr="00BA758E">
        <w:rPr>
          <w:lang w:val="de-DE"/>
        </w:rPr>
        <w:tab/>
      </w:r>
      <w:r w:rsidR="00381990" w:rsidRPr="00F83B90">
        <w:rPr>
          <w:lang w:val="de-DE"/>
        </w:rPr>
        <w:t>In Bezug auf den Fall 3 c) waren die Meinungen geteilt, ob die Arbeiten bezüglich des Ladens gefährliche</w:t>
      </w:r>
      <w:r w:rsidR="00EB119D" w:rsidRPr="00F83B90">
        <w:rPr>
          <w:lang w:val="de-DE"/>
        </w:rPr>
        <w:t>r</w:t>
      </w:r>
      <w:r w:rsidR="00381990" w:rsidRPr="00F83B90">
        <w:rPr>
          <w:lang w:val="de-DE"/>
        </w:rPr>
        <w:t xml:space="preserve"> G</w:t>
      </w:r>
      <w:r w:rsidR="00EB119D" w:rsidRPr="00F83B90">
        <w:rPr>
          <w:lang w:val="de-DE"/>
        </w:rPr>
        <w:t>ü</w:t>
      </w:r>
      <w:r w:rsidR="00381990" w:rsidRPr="00F83B90">
        <w:rPr>
          <w:lang w:val="de-DE"/>
        </w:rPr>
        <w:t>te</w:t>
      </w:r>
      <w:r w:rsidR="00EB119D" w:rsidRPr="00F83B90">
        <w:rPr>
          <w:lang w:val="de-DE"/>
        </w:rPr>
        <w:t>r</w:t>
      </w:r>
      <w:r w:rsidR="00381990" w:rsidRPr="00F83B90">
        <w:rPr>
          <w:lang w:val="de-DE"/>
        </w:rPr>
        <w:t xml:space="preserve"> auf andere gefährliche G</w:t>
      </w:r>
      <w:r w:rsidR="00EB119D" w:rsidRPr="00F83B90">
        <w:rPr>
          <w:lang w:val="de-DE"/>
        </w:rPr>
        <w:t>ü</w:t>
      </w:r>
      <w:r w:rsidR="00381990" w:rsidRPr="00F83B90">
        <w:rPr>
          <w:lang w:val="de-DE"/>
        </w:rPr>
        <w:t>t</w:t>
      </w:r>
      <w:r w:rsidR="00EB119D" w:rsidRPr="00F83B90">
        <w:rPr>
          <w:lang w:val="de-DE"/>
        </w:rPr>
        <w:t>er</w:t>
      </w:r>
      <w:r w:rsidR="00381990" w:rsidRPr="00F83B90">
        <w:rPr>
          <w:lang w:val="de-DE"/>
        </w:rPr>
        <w:t xml:space="preserve"> fortgesetzt werden sollen.</w:t>
      </w:r>
      <w:r w:rsidRPr="00BA758E">
        <w:rPr>
          <w:lang w:val="de-DE"/>
        </w:rPr>
        <w:t xml:space="preserve"> </w:t>
      </w:r>
      <w:r w:rsidR="00DE74F2" w:rsidRPr="00F83B90">
        <w:rPr>
          <w:lang w:val="de-DE"/>
        </w:rPr>
        <w:t xml:space="preserve">Der Vertreter von FuelsEurope </w:t>
      </w:r>
      <w:r w:rsidR="00A82C6F" w:rsidRPr="00F83B90">
        <w:rPr>
          <w:lang w:val="de-DE"/>
        </w:rPr>
        <w:t>bot</w:t>
      </w:r>
      <w:r w:rsidR="00DE74F2" w:rsidRPr="00F83B90">
        <w:rPr>
          <w:lang w:val="de-DE"/>
        </w:rPr>
        <w:t xml:space="preserve"> seine Hilfe bei der Arbeit an den Fällen 3</w:t>
      </w:r>
      <w:r w:rsidR="001F6D3E" w:rsidRPr="00F83B90">
        <w:rPr>
          <w:lang w:val="de-DE"/>
        </w:rPr>
        <w:t xml:space="preserve"> </w:t>
      </w:r>
      <w:r w:rsidR="00DE74F2" w:rsidRPr="00F83B90">
        <w:rPr>
          <w:lang w:val="de-DE"/>
        </w:rPr>
        <w:t>a) und 3</w:t>
      </w:r>
      <w:r w:rsidR="001F6D3E" w:rsidRPr="00F83B90">
        <w:rPr>
          <w:lang w:val="de-DE"/>
        </w:rPr>
        <w:t xml:space="preserve"> </w:t>
      </w:r>
      <w:r w:rsidR="00DE74F2" w:rsidRPr="00F83B90">
        <w:rPr>
          <w:lang w:val="de-DE"/>
        </w:rPr>
        <w:t xml:space="preserve">b) an, </w:t>
      </w:r>
      <w:r w:rsidR="00A82C6F" w:rsidRPr="00F83B90">
        <w:rPr>
          <w:lang w:val="de-DE"/>
        </w:rPr>
        <w:t>wollte</w:t>
      </w:r>
      <w:r w:rsidR="00EB119D" w:rsidRPr="00F83B90">
        <w:rPr>
          <w:lang w:val="de-DE"/>
        </w:rPr>
        <w:t xml:space="preserve"> sich</w:t>
      </w:r>
      <w:r w:rsidR="00DE74F2" w:rsidRPr="00F83B90">
        <w:rPr>
          <w:lang w:val="de-DE"/>
        </w:rPr>
        <w:t xml:space="preserve"> aber </w:t>
      </w:r>
      <w:r w:rsidR="00EB119D" w:rsidRPr="00F83B90">
        <w:rPr>
          <w:lang w:val="de-DE"/>
        </w:rPr>
        <w:t>nicht</w:t>
      </w:r>
      <w:r w:rsidR="00DE74F2" w:rsidRPr="00F83B90">
        <w:rPr>
          <w:lang w:val="de-DE"/>
        </w:rPr>
        <w:t xml:space="preserve"> weiter </w:t>
      </w:r>
      <w:r w:rsidR="00EB119D" w:rsidRPr="00F83B90">
        <w:rPr>
          <w:lang w:val="de-DE"/>
        </w:rPr>
        <w:t>mit dem</w:t>
      </w:r>
      <w:r w:rsidR="00DE74F2" w:rsidRPr="00F83B90">
        <w:rPr>
          <w:lang w:val="de-DE"/>
        </w:rPr>
        <w:t xml:space="preserve"> Fall 3</w:t>
      </w:r>
      <w:r w:rsidR="001F6D3E" w:rsidRPr="00F83B90">
        <w:rPr>
          <w:lang w:val="de-DE"/>
        </w:rPr>
        <w:t xml:space="preserve"> </w:t>
      </w:r>
      <w:r w:rsidR="00DE74F2" w:rsidRPr="00F83B90">
        <w:rPr>
          <w:lang w:val="de-DE"/>
        </w:rPr>
        <w:t xml:space="preserve">c) </w:t>
      </w:r>
      <w:r w:rsidR="00EB119D" w:rsidRPr="00F83B90">
        <w:rPr>
          <w:lang w:val="de-DE"/>
        </w:rPr>
        <w:t>befassen</w:t>
      </w:r>
      <w:r w:rsidR="00DE74F2" w:rsidRPr="00F83B90">
        <w:rPr>
          <w:lang w:val="de-DE"/>
        </w:rPr>
        <w:t>.</w:t>
      </w:r>
      <w:r w:rsidRPr="00BA758E">
        <w:rPr>
          <w:lang w:val="de-DE"/>
        </w:rPr>
        <w:t xml:space="preserve"> </w:t>
      </w:r>
    </w:p>
    <w:p w14:paraId="30016430" w14:textId="4A80CA8D" w:rsidR="003064DA" w:rsidRPr="00BA758E" w:rsidRDefault="003064DA" w:rsidP="003D0275">
      <w:pPr>
        <w:pStyle w:val="SingleTxtG"/>
        <w:spacing w:line="240" w:lineRule="auto"/>
        <w:rPr>
          <w:lang w:val="de-DE"/>
        </w:rPr>
      </w:pPr>
      <w:r w:rsidRPr="00BA758E">
        <w:rPr>
          <w:lang w:val="de-DE"/>
        </w:rPr>
        <w:t>56.</w:t>
      </w:r>
      <w:r w:rsidRPr="00BA758E">
        <w:rPr>
          <w:lang w:val="de-DE"/>
        </w:rPr>
        <w:tab/>
      </w:r>
      <w:r w:rsidR="00C94B44" w:rsidRPr="00F83B90">
        <w:rPr>
          <w:lang w:val="de-DE"/>
        </w:rPr>
        <w:t>Insgesamt waren die Meinungen zur Frage einer etwaigen gesetzlichen Regelung des Loading-on-Top im ADN geteilt.</w:t>
      </w:r>
      <w:r w:rsidRPr="00BA758E">
        <w:rPr>
          <w:lang w:val="de-DE"/>
        </w:rPr>
        <w:t xml:space="preserve"> </w:t>
      </w:r>
      <w:r w:rsidR="008153C7" w:rsidRPr="005172D5">
        <w:rPr>
          <w:lang w:val="de-DE"/>
        </w:rPr>
        <w:t xml:space="preserve">Einige Vertreter </w:t>
      </w:r>
      <w:r w:rsidR="00114795" w:rsidRPr="005172D5">
        <w:rPr>
          <w:lang w:val="de-DE"/>
        </w:rPr>
        <w:t>waren</w:t>
      </w:r>
      <w:r w:rsidR="008153C7" w:rsidRPr="005172D5">
        <w:rPr>
          <w:lang w:val="de-DE"/>
        </w:rPr>
        <w:t xml:space="preserve"> de</w:t>
      </w:r>
      <w:r w:rsidR="00114795" w:rsidRPr="005172D5">
        <w:rPr>
          <w:lang w:val="de-DE"/>
        </w:rPr>
        <w:t>r</w:t>
      </w:r>
      <w:r w:rsidR="008153C7" w:rsidRPr="005172D5">
        <w:rPr>
          <w:lang w:val="de-DE"/>
        </w:rPr>
        <w:t xml:space="preserve"> Ansicht, dass das Schiff während des Beladens </w:t>
      </w:r>
      <w:r w:rsidR="00C03537" w:rsidRPr="005172D5">
        <w:rPr>
          <w:lang w:val="de-DE"/>
        </w:rPr>
        <w:t>still</w:t>
      </w:r>
      <w:r w:rsidR="008153C7" w:rsidRPr="005172D5">
        <w:rPr>
          <w:lang w:val="de-DE"/>
        </w:rPr>
        <w:t>liegt und nicht klar ist, ob das Verfahren als Teil des Transport</w:t>
      </w:r>
      <w:r w:rsidR="00E007D8" w:rsidRPr="005172D5">
        <w:rPr>
          <w:lang w:val="de-DE"/>
        </w:rPr>
        <w:t>prozesse</w:t>
      </w:r>
      <w:r w:rsidR="008153C7" w:rsidRPr="005172D5">
        <w:rPr>
          <w:lang w:val="de-DE"/>
        </w:rPr>
        <w:t>s betrachtet werden kann.</w:t>
      </w:r>
      <w:r w:rsidRPr="00BA758E">
        <w:rPr>
          <w:lang w:val="de-DE"/>
        </w:rPr>
        <w:t xml:space="preserve"> </w:t>
      </w:r>
      <w:r w:rsidR="00820F95">
        <w:rPr>
          <w:lang w:val="de-DE"/>
        </w:rPr>
        <w:t>Es</w:t>
      </w:r>
      <w:r w:rsidR="00E007D8" w:rsidRPr="003820B0">
        <w:rPr>
          <w:lang w:val="de-DE"/>
        </w:rPr>
        <w:t xml:space="preserve"> bedürfe </w:t>
      </w:r>
      <w:r w:rsidR="00820F95">
        <w:rPr>
          <w:lang w:val="de-DE"/>
        </w:rPr>
        <w:t>auch</w:t>
      </w:r>
      <w:r w:rsidR="00E007D8" w:rsidRPr="003820B0">
        <w:rPr>
          <w:lang w:val="de-DE"/>
        </w:rPr>
        <w:t xml:space="preserve"> eingehender Sachkenntnis des Ausschusses</w:t>
      </w:r>
      <w:r w:rsidR="003820B0" w:rsidRPr="003820B0">
        <w:rPr>
          <w:lang w:val="de-DE"/>
        </w:rPr>
        <w:t>,</w:t>
      </w:r>
      <w:r w:rsidR="00E007D8" w:rsidRPr="003820B0">
        <w:rPr>
          <w:lang w:val="de-DE"/>
        </w:rPr>
        <w:t xml:space="preserve"> und in Zukunft </w:t>
      </w:r>
      <w:r w:rsidR="008F4302" w:rsidRPr="003820B0">
        <w:rPr>
          <w:lang w:val="de-DE"/>
        </w:rPr>
        <w:t xml:space="preserve">sei mit </w:t>
      </w:r>
      <w:r w:rsidR="00E007D8" w:rsidRPr="003820B0">
        <w:rPr>
          <w:lang w:val="de-DE"/>
        </w:rPr>
        <w:t>weitere</w:t>
      </w:r>
      <w:r w:rsidR="008F4302" w:rsidRPr="003820B0">
        <w:rPr>
          <w:lang w:val="de-DE"/>
        </w:rPr>
        <w:t>n</w:t>
      </w:r>
      <w:r w:rsidR="00E007D8" w:rsidRPr="003820B0">
        <w:rPr>
          <w:lang w:val="de-DE"/>
        </w:rPr>
        <w:t xml:space="preserve"> Risiken für die Beförderung gefährlicher Güter</w:t>
      </w:r>
      <w:r w:rsidR="008F4302" w:rsidRPr="003820B0">
        <w:rPr>
          <w:lang w:val="de-DE"/>
        </w:rPr>
        <w:t xml:space="preserve"> zu rechnen</w:t>
      </w:r>
      <w:r w:rsidR="00E007D8" w:rsidRPr="003820B0">
        <w:rPr>
          <w:lang w:val="de-DE"/>
        </w:rPr>
        <w:t>.</w:t>
      </w:r>
      <w:r w:rsidRPr="00BA758E">
        <w:rPr>
          <w:lang w:val="de-DE"/>
        </w:rPr>
        <w:t xml:space="preserve"> </w:t>
      </w:r>
      <w:r w:rsidR="009B3FF5" w:rsidRPr="00820F95">
        <w:rPr>
          <w:lang w:val="de-DE"/>
        </w:rPr>
        <w:t xml:space="preserve">Andere </w:t>
      </w:r>
      <w:r w:rsidR="003820B0" w:rsidRPr="00820F95">
        <w:rPr>
          <w:lang w:val="de-DE"/>
        </w:rPr>
        <w:t xml:space="preserve">Vertreter </w:t>
      </w:r>
      <w:r w:rsidR="009B3FF5" w:rsidRPr="00820F95">
        <w:rPr>
          <w:lang w:val="de-DE"/>
        </w:rPr>
        <w:t xml:space="preserve">schlugen vor, die Aufnahme </w:t>
      </w:r>
      <w:r w:rsidR="00915B47" w:rsidRPr="00820F95">
        <w:rPr>
          <w:lang w:val="de-DE"/>
        </w:rPr>
        <w:t>von</w:t>
      </w:r>
      <w:r w:rsidR="009B3FF5" w:rsidRPr="00820F95">
        <w:rPr>
          <w:lang w:val="de-DE"/>
        </w:rPr>
        <w:t xml:space="preserve"> Bestimmungen, die auf bestehende Leitlinien und Normen für den Seeverkehr und auf andere nationale oder internationale Rechtsinstrumente zu diesem Thema verweisen, auf ein Mindestmaß zu reduzieren.</w:t>
      </w:r>
    </w:p>
    <w:p w14:paraId="406D6246" w14:textId="4DF528F2" w:rsidR="003064DA" w:rsidRPr="00BA758E" w:rsidRDefault="003064DA" w:rsidP="003D0275">
      <w:pPr>
        <w:pStyle w:val="SingleTxtG"/>
        <w:spacing w:line="240" w:lineRule="auto"/>
        <w:rPr>
          <w:lang w:val="de-DE"/>
        </w:rPr>
      </w:pPr>
      <w:r w:rsidRPr="00BA758E">
        <w:rPr>
          <w:lang w:val="de-DE"/>
        </w:rPr>
        <w:t>57.</w:t>
      </w:r>
      <w:r w:rsidRPr="00BA758E">
        <w:rPr>
          <w:lang w:val="de-DE"/>
        </w:rPr>
        <w:tab/>
      </w:r>
      <w:r w:rsidR="003B1859" w:rsidRPr="00820F95">
        <w:rPr>
          <w:lang w:val="de-DE"/>
        </w:rPr>
        <w:t xml:space="preserve">Als Kompromisslösung wurde vorgeschlagen, die </w:t>
      </w:r>
      <w:r w:rsidR="00817016" w:rsidRPr="00820F95">
        <w:rPr>
          <w:lang w:val="de-DE"/>
        </w:rPr>
        <w:t>„</w:t>
      </w:r>
      <w:r w:rsidR="003B1859" w:rsidRPr="00820F95">
        <w:rPr>
          <w:lang w:val="de-DE"/>
        </w:rPr>
        <w:t>Positivliste</w:t>
      </w:r>
      <w:r w:rsidR="00817016" w:rsidRPr="00820F95">
        <w:rPr>
          <w:lang w:val="de-DE"/>
        </w:rPr>
        <w:t>“</w:t>
      </w:r>
      <w:r w:rsidR="003B1859" w:rsidRPr="00820F95">
        <w:rPr>
          <w:lang w:val="de-DE"/>
        </w:rPr>
        <w:t xml:space="preserve"> der Stoffe, die an Bord geladen werden können, in die S</w:t>
      </w:r>
      <w:r w:rsidR="000638CE" w:rsidRPr="00820F95">
        <w:rPr>
          <w:lang w:val="de-DE"/>
        </w:rPr>
        <w:t>chiff</w:t>
      </w:r>
      <w:r w:rsidR="00820F95" w:rsidRPr="00820F95">
        <w:rPr>
          <w:lang w:val="de-DE"/>
        </w:rPr>
        <w:t>s</w:t>
      </w:r>
      <w:r w:rsidR="000638CE" w:rsidRPr="00820F95">
        <w:rPr>
          <w:lang w:val="de-DE"/>
        </w:rPr>
        <w:t>s</w:t>
      </w:r>
      <w:r w:rsidR="003B1859" w:rsidRPr="00820F95">
        <w:rPr>
          <w:lang w:val="de-DE"/>
        </w:rPr>
        <w:t xml:space="preserve">toffliste aufzunehmen, </w:t>
      </w:r>
      <w:r w:rsidR="001F5071" w:rsidRPr="00820F95">
        <w:rPr>
          <w:lang w:val="de-DE"/>
        </w:rPr>
        <w:t>die</w:t>
      </w:r>
      <w:r w:rsidR="003B1859" w:rsidRPr="00820F95">
        <w:rPr>
          <w:lang w:val="de-DE"/>
        </w:rPr>
        <w:t xml:space="preserve"> alle </w:t>
      </w:r>
      <w:r w:rsidR="001F5071" w:rsidRPr="00820F95">
        <w:rPr>
          <w:lang w:val="de-DE"/>
        </w:rPr>
        <w:t>einschlägigen</w:t>
      </w:r>
      <w:r w:rsidR="003B1859" w:rsidRPr="00820F95">
        <w:rPr>
          <w:lang w:val="de-DE"/>
        </w:rPr>
        <w:t xml:space="preserve"> Bedingungen für den </w:t>
      </w:r>
      <w:r w:rsidR="00070DC5" w:rsidRPr="00820F95">
        <w:rPr>
          <w:lang w:val="de-DE"/>
        </w:rPr>
        <w:t>B</w:t>
      </w:r>
      <w:r w:rsidR="000638CE" w:rsidRPr="00820F95">
        <w:rPr>
          <w:lang w:val="de-DE"/>
        </w:rPr>
        <w:t>el</w:t>
      </w:r>
      <w:r w:rsidR="003B1859" w:rsidRPr="00820F95">
        <w:rPr>
          <w:lang w:val="de-DE"/>
        </w:rPr>
        <w:t>ad</w:t>
      </w:r>
      <w:r w:rsidR="000638CE" w:rsidRPr="00820F95">
        <w:rPr>
          <w:lang w:val="de-DE"/>
        </w:rPr>
        <w:t>ungs</w:t>
      </w:r>
      <w:r w:rsidR="003B1859" w:rsidRPr="00820F95">
        <w:rPr>
          <w:lang w:val="de-DE"/>
        </w:rPr>
        <w:t xml:space="preserve">vorgang klar </w:t>
      </w:r>
      <w:r w:rsidR="001F5071" w:rsidRPr="00820F95">
        <w:rPr>
          <w:lang w:val="de-DE"/>
        </w:rPr>
        <w:t>benennt</w:t>
      </w:r>
      <w:r w:rsidR="003B1859" w:rsidRPr="00820F95">
        <w:rPr>
          <w:lang w:val="de-DE"/>
        </w:rPr>
        <w:t>.</w:t>
      </w:r>
    </w:p>
    <w:p w14:paraId="3F5FF34B" w14:textId="54D791D1" w:rsidR="003064DA" w:rsidRPr="00BA758E" w:rsidRDefault="003064DA" w:rsidP="003D0275">
      <w:pPr>
        <w:pStyle w:val="SingleTxtG"/>
        <w:spacing w:line="240" w:lineRule="auto"/>
        <w:rPr>
          <w:lang w:val="de-DE"/>
        </w:rPr>
      </w:pPr>
      <w:r w:rsidRPr="00BA758E">
        <w:rPr>
          <w:lang w:val="de-DE"/>
        </w:rPr>
        <w:t>58.</w:t>
      </w:r>
      <w:r w:rsidRPr="00BA758E">
        <w:rPr>
          <w:lang w:val="de-DE"/>
        </w:rPr>
        <w:tab/>
      </w:r>
      <w:r w:rsidR="00AD0A33" w:rsidRPr="00820F95">
        <w:rPr>
          <w:lang w:val="de-DE"/>
        </w:rPr>
        <w:t>Der Vertreter der Niederlande kündigte an, weitere Sitzungen organisieren und dem Sicherheitsausschuss auf dessen nächster Sitzung Bericht erstatten zu wollen, um ihm die Entscheidung darüber zu erleichtern, ob die Arbeiten zu diesem Thema fortgesetzt werden sollen.</w:t>
      </w:r>
    </w:p>
    <w:p w14:paraId="5F05523F" w14:textId="547D5585" w:rsidR="003064DA" w:rsidRPr="00940A9C" w:rsidRDefault="003064DA" w:rsidP="006E6DE9">
      <w:pPr>
        <w:pStyle w:val="HChG"/>
        <w:spacing w:before="240" w:after="120"/>
        <w:rPr>
          <w:lang w:val="de-DE"/>
        </w:rPr>
      </w:pPr>
      <w:r w:rsidRPr="00BA758E">
        <w:rPr>
          <w:lang w:val="de-DE"/>
        </w:rPr>
        <w:tab/>
      </w:r>
      <w:bookmarkStart w:id="81" w:name="_Toc81410434"/>
      <w:r w:rsidR="000E3595" w:rsidRPr="00820F95">
        <w:rPr>
          <w:lang w:val="de-DE"/>
        </w:rPr>
        <w:t>VIII.</w:t>
      </w:r>
      <w:r w:rsidRPr="00940A9C">
        <w:rPr>
          <w:lang w:val="de-DE"/>
        </w:rPr>
        <w:tab/>
      </w:r>
      <w:bookmarkEnd w:id="81"/>
      <w:r w:rsidR="000E3595" w:rsidRPr="000E3595">
        <w:rPr>
          <w:lang w:val="de-DE"/>
        </w:rPr>
        <w:t>Arbeitsprogramm und Sitzungsplan (TOP 6)</w:t>
      </w:r>
    </w:p>
    <w:p w14:paraId="6A311818" w14:textId="6D2473A5" w:rsidR="003064DA" w:rsidRPr="001B5E14" w:rsidRDefault="003064DA" w:rsidP="006109C7">
      <w:pPr>
        <w:pStyle w:val="SingleTxtG"/>
        <w:rPr>
          <w:lang w:val="de-DE"/>
        </w:rPr>
      </w:pPr>
      <w:r w:rsidRPr="00BA758E">
        <w:rPr>
          <w:lang w:val="de-DE"/>
        </w:rPr>
        <w:t>59.</w:t>
      </w:r>
      <w:r w:rsidRPr="00BA758E">
        <w:rPr>
          <w:lang w:val="de-DE"/>
        </w:rPr>
        <w:tab/>
      </w:r>
      <w:r w:rsidR="000E3595" w:rsidRPr="006109C7">
        <w:rPr>
          <w:lang w:val="de-DE"/>
        </w:rPr>
        <w:t xml:space="preserve">Der Sicherheitsausschuss nahm zur Kenntnis, dass seine neununddreißigste Sitzung </w:t>
      </w:r>
      <w:r w:rsidR="00FE4AEF" w:rsidRPr="006109C7">
        <w:rPr>
          <w:lang w:val="de-DE"/>
        </w:rPr>
        <w:t xml:space="preserve">voraussichtlich </w:t>
      </w:r>
      <w:r w:rsidR="000E3595" w:rsidRPr="006109C7">
        <w:rPr>
          <w:lang w:val="de-DE"/>
        </w:rPr>
        <w:t>vom 24.</w:t>
      </w:r>
      <w:r w:rsidR="00FE4AEF" w:rsidRPr="006109C7">
        <w:rPr>
          <w:lang w:val="de-DE"/>
        </w:rPr>
        <w:t> </w:t>
      </w:r>
      <w:r w:rsidR="000E3595" w:rsidRPr="006109C7">
        <w:rPr>
          <w:lang w:val="de-DE"/>
        </w:rPr>
        <w:t>bis 28. Januar 2022 in Genf stattfinde</w:t>
      </w:r>
      <w:r w:rsidR="00FE4AEF" w:rsidRPr="006109C7">
        <w:rPr>
          <w:lang w:val="de-DE"/>
        </w:rPr>
        <w:t>t</w:t>
      </w:r>
      <w:r w:rsidR="000E3595" w:rsidRPr="006109C7">
        <w:rPr>
          <w:lang w:val="de-DE"/>
        </w:rPr>
        <w:t xml:space="preserve"> und dass die siebenundzwanzigste Sitzung des ADN-Verwaltungsausschusses für den 28. Januar 2022 (von 12.00</w:t>
      </w:r>
      <w:r w:rsidR="005619CF" w:rsidRPr="006109C7">
        <w:rPr>
          <w:lang w:val="de-DE"/>
        </w:rPr>
        <w:t xml:space="preserve"> Uhr</w:t>
      </w:r>
      <w:r w:rsidR="000E3595" w:rsidRPr="006109C7">
        <w:rPr>
          <w:lang w:val="de-DE"/>
        </w:rPr>
        <w:t xml:space="preserve"> bis 13.00 Uhr) angesetzt ist.</w:t>
      </w:r>
      <w:r w:rsidRPr="001B5E14">
        <w:rPr>
          <w:lang w:val="de-DE"/>
        </w:rPr>
        <w:t xml:space="preserve"> </w:t>
      </w:r>
      <w:r w:rsidR="005619CF" w:rsidRPr="006109C7">
        <w:rPr>
          <w:lang w:val="de-DE"/>
        </w:rPr>
        <w:t>Letzter Termin für die Einreichung von Dokumenten für diese Sitzungen ist der 29. Oktober 2021.</w:t>
      </w:r>
    </w:p>
    <w:p w14:paraId="78764F6B" w14:textId="4748F6AC" w:rsidR="003064DA" w:rsidRPr="00BA758E" w:rsidRDefault="003064DA" w:rsidP="006E6DE9">
      <w:pPr>
        <w:pStyle w:val="HChG"/>
        <w:spacing w:before="240" w:after="120"/>
        <w:rPr>
          <w:i/>
          <w:lang w:val="de-DE"/>
        </w:rPr>
      </w:pPr>
      <w:r w:rsidRPr="001B5E14">
        <w:rPr>
          <w:lang w:val="de-DE"/>
        </w:rPr>
        <w:tab/>
      </w:r>
      <w:bookmarkStart w:id="82" w:name="_Toc81410435"/>
      <w:r w:rsidR="005619CF" w:rsidRPr="005619CF">
        <w:rPr>
          <w:lang w:val="de-DE"/>
        </w:rPr>
        <w:t>IX.</w:t>
      </w:r>
      <w:r w:rsidRPr="00BA758E">
        <w:rPr>
          <w:lang w:val="de-DE"/>
        </w:rPr>
        <w:tab/>
      </w:r>
      <w:bookmarkEnd w:id="82"/>
      <w:r w:rsidR="005619CF" w:rsidRPr="005619CF">
        <w:rPr>
          <w:lang w:val="de-DE"/>
        </w:rPr>
        <w:t>Verschiedenes (TOP 7)</w:t>
      </w:r>
    </w:p>
    <w:p w14:paraId="6DD1C1FE" w14:textId="0C520FC5" w:rsidR="003064DA" w:rsidRPr="00BA758E" w:rsidRDefault="003064DA" w:rsidP="006E6DE9">
      <w:pPr>
        <w:pStyle w:val="H1G"/>
        <w:spacing w:before="240" w:after="120"/>
        <w:rPr>
          <w:lang w:val="de-DE"/>
        </w:rPr>
      </w:pPr>
      <w:r w:rsidRPr="00BA758E">
        <w:rPr>
          <w:lang w:val="de-DE"/>
        </w:rPr>
        <w:tab/>
      </w:r>
      <w:bookmarkStart w:id="83" w:name="_Toc81410436"/>
      <w:r w:rsidR="005619CF" w:rsidRPr="005619CF">
        <w:rPr>
          <w:lang w:val="de-DE"/>
        </w:rPr>
        <w:t>A.</w:t>
      </w:r>
      <w:r w:rsidRPr="00BA758E">
        <w:rPr>
          <w:lang w:val="de-DE"/>
        </w:rPr>
        <w:tab/>
      </w:r>
      <w:bookmarkEnd w:id="83"/>
      <w:r w:rsidR="005619CF" w:rsidRPr="005619CF">
        <w:rPr>
          <w:lang w:val="de-DE"/>
        </w:rPr>
        <w:t>Geschäftsordnung für den ADN-Sicherheitsausschuss</w:t>
      </w:r>
    </w:p>
    <w:p w14:paraId="230C0C82" w14:textId="17F050DF" w:rsidR="003064DA" w:rsidRPr="00BA758E" w:rsidRDefault="005619CF" w:rsidP="0016173F">
      <w:pPr>
        <w:pStyle w:val="H23G"/>
        <w:tabs>
          <w:tab w:val="left" w:pos="1134"/>
          <w:tab w:val="left" w:pos="3402"/>
        </w:tabs>
        <w:ind w:firstLine="0"/>
        <w:rPr>
          <w:b w:val="0"/>
          <w:bCs/>
          <w:lang w:val="de-DE"/>
        </w:rPr>
      </w:pPr>
      <w:bookmarkStart w:id="84" w:name="_Toc81410437"/>
      <w:r w:rsidRPr="005619CF">
        <w:rPr>
          <w:b w:val="0"/>
          <w:bCs/>
          <w:i/>
          <w:iCs/>
          <w:lang w:val="de-DE"/>
        </w:rPr>
        <w:t>Informelles Dokument:</w:t>
      </w:r>
      <w:r w:rsidR="003064DA" w:rsidRPr="00BA758E">
        <w:rPr>
          <w:b w:val="0"/>
          <w:bCs/>
          <w:lang w:val="de-DE"/>
        </w:rPr>
        <w:tab/>
      </w:r>
      <w:bookmarkEnd w:id="84"/>
      <w:r w:rsidRPr="0016173F">
        <w:rPr>
          <w:b w:val="0"/>
          <w:bCs/>
          <w:lang w:val="de-DE"/>
        </w:rPr>
        <w:t>INF.7 (Österreich, Deutschland und Niederlande)</w:t>
      </w:r>
    </w:p>
    <w:p w14:paraId="2048ABF9" w14:textId="20071B97" w:rsidR="003064DA" w:rsidRPr="00BA758E" w:rsidRDefault="003064DA" w:rsidP="006109C7">
      <w:pPr>
        <w:pStyle w:val="SingleTxtG"/>
        <w:rPr>
          <w:lang w:val="de-DE"/>
        </w:rPr>
      </w:pPr>
      <w:r w:rsidRPr="00BA758E">
        <w:rPr>
          <w:lang w:val="de-DE"/>
        </w:rPr>
        <w:t>60.</w:t>
      </w:r>
      <w:r w:rsidRPr="00BA758E">
        <w:rPr>
          <w:lang w:val="de-DE"/>
        </w:rPr>
        <w:tab/>
      </w:r>
      <w:r w:rsidR="00801887" w:rsidRPr="006109C7">
        <w:rPr>
          <w:lang w:val="de-DE"/>
        </w:rPr>
        <w:t>Der Sicherheitsausschuss prüfte den Entwurf der Geschäftsordnung für den ADN-Sicherheitsausschuss im informellen Dokument INF.7.</w:t>
      </w:r>
      <w:r w:rsidRPr="00BA758E">
        <w:rPr>
          <w:lang w:val="de-DE"/>
        </w:rPr>
        <w:t xml:space="preserve"> </w:t>
      </w:r>
      <w:r w:rsidR="00801887" w:rsidRPr="006109C7">
        <w:rPr>
          <w:lang w:val="de-DE"/>
        </w:rPr>
        <w:t xml:space="preserve">Es wurde vereinbart, die Beratungen auf der nächsten Sitzung anhand eines offiziellen Dokuments der </w:t>
      </w:r>
      <w:r w:rsidR="00CD6FE6" w:rsidRPr="006109C7">
        <w:rPr>
          <w:lang w:val="de-DE"/>
        </w:rPr>
        <w:t>Verfasser</w:t>
      </w:r>
      <w:r w:rsidR="00801887" w:rsidRPr="006109C7">
        <w:rPr>
          <w:lang w:val="de-DE"/>
        </w:rPr>
        <w:t xml:space="preserve">, das </w:t>
      </w:r>
      <w:r w:rsidR="00152C0F" w:rsidRPr="006109C7">
        <w:rPr>
          <w:lang w:val="de-DE"/>
        </w:rPr>
        <w:t>die</w:t>
      </w:r>
      <w:r w:rsidR="00801887" w:rsidRPr="006109C7">
        <w:rPr>
          <w:lang w:val="de-DE"/>
        </w:rPr>
        <w:t xml:space="preserve"> eingegangenen Kommentare berücksichtigt, wieder aufzunehmen.</w:t>
      </w:r>
    </w:p>
    <w:p w14:paraId="1EFA33A5" w14:textId="407F9351" w:rsidR="003064DA" w:rsidRPr="00BA758E" w:rsidRDefault="003064DA" w:rsidP="006109C7">
      <w:pPr>
        <w:pStyle w:val="SingleTxtG"/>
        <w:rPr>
          <w:lang w:val="de-DE"/>
        </w:rPr>
      </w:pPr>
      <w:r w:rsidRPr="00BA758E">
        <w:rPr>
          <w:lang w:val="de-DE"/>
        </w:rPr>
        <w:t>61.</w:t>
      </w:r>
      <w:r w:rsidRPr="00BA758E">
        <w:rPr>
          <w:lang w:val="de-DE"/>
        </w:rPr>
        <w:tab/>
      </w:r>
      <w:r w:rsidR="00152C0F" w:rsidRPr="006109C7">
        <w:rPr>
          <w:lang w:val="de-DE"/>
        </w:rPr>
        <w:t xml:space="preserve">Das Sekretariat wurde gebeten, den Status der Gruppe der </w:t>
      </w:r>
      <w:r w:rsidR="00C94FA1" w:rsidRPr="006109C7">
        <w:rPr>
          <w:lang w:val="de-DE"/>
        </w:rPr>
        <w:t>E</w:t>
      </w:r>
      <w:r w:rsidR="00152C0F" w:rsidRPr="006109C7">
        <w:rPr>
          <w:lang w:val="de-DE"/>
        </w:rPr>
        <w:t>mpfohlenen ADN-Klassifikationsgesellschaften im Sicherheitsausschuss zu klären.</w:t>
      </w:r>
    </w:p>
    <w:p w14:paraId="7F9BFFA7" w14:textId="6B5A3DB8" w:rsidR="003064DA" w:rsidRPr="00BA758E" w:rsidRDefault="003064DA" w:rsidP="006109C7">
      <w:pPr>
        <w:pStyle w:val="H1G"/>
        <w:rPr>
          <w:lang w:val="de-DE"/>
        </w:rPr>
      </w:pPr>
      <w:r w:rsidRPr="00BA758E">
        <w:rPr>
          <w:lang w:val="de-DE"/>
        </w:rPr>
        <w:tab/>
      </w:r>
      <w:bookmarkStart w:id="85" w:name="_Toc81410438"/>
      <w:r w:rsidR="00C94FA1" w:rsidRPr="006109C7">
        <w:rPr>
          <w:lang w:val="de-DE"/>
        </w:rPr>
        <w:t>B.</w:t>
      </w:r>
      <w:r w:rsidRPr="00BA758E">
        <w:rPr>
          <w:lang w:val="de-DE"/>
        </w:rPr>
        <w:tab/>
      </w:r>
      <w:bookmarkEnd w:id="85"/>
      <w:r w:rsidR="00C94FA1" w:rsidRPr="00C94FA1">
        <w:rPr>
          <w:lang w:val="de-DE"/>
        </w:rPr>
        <w:t>Informationen über Finanzierungsmöglichkeiten für die Ökologisierung der Beförderung gefährlicher Güter</w:t>
      </w:r>
    </w:p>
    <w:p w14:paraId="1EABAB25" w14:textId="4B488C59" w:rsidR="003064DA" w:rsidRPr="00BA758E" w:rsidRDefault="00C94FA1" w:rsidP="00C94FA1">
      <w:pPr>
        <w:pStyle w:val="H23G"/>
        <w:tabs>
          <w:tab w:val="left" w:pos="1134"/>
          <w:tab w:val="left" w:pos="3402"/>
        </w:tabs>
        <w:ind w:firstLine="0"/>
        <w:rPr>
          <w:b w:val="0"/>
          <w:bCs/>
          <w:lang w:val="de-DE"/>
        </w:rPr>
      </w:pPr>
      <w:bookmarkStart w:id="86" w:name="_Toc81410439"/>
      <w:r w:rsidRPr="00C94FA1">
        <w:rPr>
          <w:b w:val="0"/>
          <w:bCs/>
          <w:i/>
          <w:iCs/>
          <w:lang w:val="de-DE"/>
        </w:rPr>
        <w:t>Informelles Dokument:</w:t>
      </w:r>
      <w:r w:rsidR="003064DA" w:rsidRPr="00BA758E">
        <w:rPr>
          <w:b w:val="0"/>
          <w:bCs/>
          <w:lang w:val="de-DE"/>
        </w:rPr>
        <w:tab/>
      </w:r>
      <w:bookmarkEnd w:id="86"/>
      <w:r w:rsidRPr="00C94FA1">
        <w:rPr>
          <w:b w:val="0"/>
          <w:bCs/>
          <w:lang w:val="de-DE"/>
        </w:rPr>
        <w:t>INF.19 (Europäische Kommission)</w:t>
      </w:r>
    </w:p>
    <w:p w14:paraId="3AD17F7C" w14:textId="1613B295" w:rsidR="003064DA" w:rsidRPr="00BA758E" w:rsidRDefault="003064DA" w:rsidP="006109C7">
      <w:pPr>
        <w:pStyle w:val="SingleTxtG"/>
        <w:rPr>
          <w:lang w:val="de-DE"/>
        </w:rPr>
      </w:pPr>
      <w:r w:rsidRPr="00BA758E">
        <w:rPr>
          <w:lang w:val="de-DE"/>
        </w:rPr>
        <w:t>62.</w:t>
      </w:r>
      <w:r w:rsidRPr="00BA758E">
        <w:rPr>
          <w:lang w:val="de-DE"/>
        </w:rPr>
        <w:tab/>
      </w:r>
      <w:r w:rsidR="0039061C" w:rsidRPr="006109C7">
        <w:rPr>
          <w:lang w:val="de-DE"/>
        </w:rPr>
        <w:t xml:space="preserve">Der Sicherheitsausschuss nahm das informelle Dokument INF.19 über Finanzierungsmöglichkeiten </w:t>
      </w:r>
      <w:r w:rsidR="00F427EC" w:rsidRPr="006109C7">
        <w:rPr>
          <w:lang w:val="de-DE"/>
        </w:rPr>
        <w:t xml:space="preserve">bei </w:t>
      </w:r>
      <w:r w:rsidR="0039061C" w:rsidRPr="006109C7">
        <w:rPr>
          <w:lang w:val="de-DE"/>
        </w:rPr>
        <w:t>der Europäischen Kommission zur Ökologisierung de</w:t>
      </w:r>
      <w:r w:rsidR="00F427EC" w:rsidRPr="006109C7">
        <w:rPr>
          <w:lang w:val="de-DE"/>
        </w:rPr>
        <w:t>r</w:t>
      </w:r>
      <w:r w:rsidR="0039061C" w:rsidRPr="006109C7">
        <w:rPr>
          <w:lang w:val="de-DE"/>
        </w:rPr>
        <w:t xml:space="preserve"> </w:t>
      </w:r>
      <w:r w:rsidR="00F427EC" w:rsidRPr="006109C7">
        <w:rPr>
          <w:lang w:val="de-DE"/>
        </w:rPr>
        <w:t>Beförderung gefährlicher Güter</w:t>
      </w:r>
      <w:r w:rsidR="0039061C" w:rsidRPr="006109C7">
        <w:rPr>
          <w:lang w:val="de-DE"/>
        </w:rPr>
        <w:t xml:space="preserve"> zur Kenntnis, das detaillierte Informationen über das </w:t>
      </w:r>
      <w:r w:rsidR="00F427EC" w:rsidRPr="006109C7">
        <w:rPr>
          <w:lang w:val="de-DE"/>
        </w:rPr>
        <w:t>Teilp</w:t>
      </w:r>
      <w:r w:rsidR="0039061C" w:rsidRPr="006109C7">
        <w:rPr>
          <w:lang w:val="de-DE"/>
        </w:rPr>
        <w:t xml:space="preserve">rogramm Umwelt </w:t>
      </w:r>
      <w:r w:rsidR="00F427EC" w:rsidRPr="006109C7">
        <w:rPr>
          <w:lang w:val="de-DE"/>
        </w:rPr>
        <w:t xml:space="preserve">des LIFE-Programms </w:t>
      </w:r>
      <w:r w:rsidR="0039061C" w:rsidRPr="006109C7">
        <w:rPr>
          <w:lang w:val="de-DE"/>
        </w:rPr>
        <w:t>enthält.</w:t>
      </w:r>
      <w:r w:rsidRPr="00BA758E">
        <w:rPr>
          <w:lang w:val="de-DE"/>
        </w:rPr>
        <w:t xml:space="preserve"> </w:t>
      </w:r>
      <w:r w:rsidR="00F427EC" w:rsidRPr="006109C7">
        <w:rPr>
          <w:lang w:val="de-DE"/>
        </w:rPr>
        <w:t xml:space="preserve">Es wurde klargestellt, dass aus diesem Programm auch Aktivitäten außerhalb der Europäischen Union, sogar in überseeischen Ländern und Gebieten, finanziert werden können, </w:t>
      </w:r>
      <w:r w:rsidR="009F7D81" w:rsidRPr="006109C7">
        <w:rPr>
          <w:lang w:val="de-DE"/>
        </w:rPr>
        <w:t>sofern</w:t>
      </w:r>
      <w:r w:rsidR="00F427EC" w:rsidRPr="006109C7">
        <w:rPr>
          <w:lang w:val="de-DE"/>
        </w:rPr>
        <w:t xml:space="preserve"> der Projektträger seinen Sitz in der Europäischen Union hat.</w:t>
      </w:r>
    </w:p>
    <w:p w14:paraId="1214981C" w14:textId="425BFA3A" w:rsidR="003064DA" w:rsidRPr="00BA758E" w:rsidRDefault="003064DA" w:rsidP="00460622">
      <w:pPr>
        <w:pStyle w:val="H1G"/>
        <w:rPr>
          <w:lang w:val="de-DE"/>
        </w:rPr>
      </w:pPr>
      <w:r w:rsidRPr="00BA758E">
        <w:rPr>
          <w:lang w:val="de-DE"/>
        </w:rPr>
        <w:tab/>
      </w:r>
      <w:bookmarkStart w:id="87" w:name="_Toc81410440"/>
      <w:r w:rsidR="00460622" w:rsidRPr="00460622">
        <w:rPr>
          <w:lang w:val="de-DE"/>
        </w:rPr>
        <w:t>C.</w:t>
      </w:r>
      <w:r w:rsidRPr="00BA758E">
        <w:rPr>
          <w:lang w:val="de-DE"/>
        </w:rPr>
        <w:tab/>
      </w:r>
      <w:bookmarkEnd w:id="87"/>
      <w:r w:rsidR="00460622" w:rsidRPr="00460622">
        <w:rPr>
          <w:lang w:val="de-DE"/>
        </w:rPr>
        <w:t>Transport Community</w:t>
      </w:r>
    </w:p>
    <w:p w14:paraId="3B1C1867" w14:textId="5AF00470" w:rsidR="003064DA" w:rsidRPr="00BA758E" w:rsidRDefault="003064DA" w:rsidP="00C41A91">
      <w:pPr>
        <w:pStyle w:val="SingleTxtG"/>
        <w:keepNext/>
        <w:keepLines/>
        <w:rPr>
          <w:lang w:val="de-DE"/>
        </w:rPr>
      </w:pPr>
      <w:r w:rsidRPr="00BA758E">
        <w:rPr>
          <w:lang w:val="de-DE"/>
        </w:rPr>
        <w:t>63.</w:t>
      </w:r>
      <w:r w:rsidRPr="00BA758E">
        <w:rPr>
          <w:lang w:val="de-DE"/>
        </w:rPr>
        <w:tab/>
      </w:r>
      <w:r w:rsidR="0090422D" w:rsidRPr="006109C7">
        <w:rPr>
          <w:lang w:val="de-DE"/>
        </w:rPr>
        <w:t xml:space="preserve">Die Vertreterin </w:t>
      </w:r>
      <w:r w:rsidR="00AB607D" w:rsidRPr="006109C7">
        <w:rPr>
          <w:lang w:val="de-DE"/>
        </w:rPr>
        <w:t>von</w:t>
      </w:r>
      <w:r w:rsidR="0090422D" w:rsidRPr="006109C7">
        <w:rPr>
          <w:lang w:val="de-DE"/>
        </w:rPr>
        <w:t xml:space="preserve"> Transport Community stellte </w:t>
      </w:r>
      <w:r w:rsidR="00AB607D" w:rsidRPr="006109C7">
        <w:rPr>
          <w:lang w:val="de-DE"/>
        </w:rPr>
        <w:t>ihre</w:t>
      </w:r>
      <w:r w:rsidR="0090422D" w:rsidRPr="006109C7">
        <w:rPr>
          <w:lang w:val="de-DE"/>
        </w:rPr>
        <w:t xml:space="preserve"> internationale Regierungsorganisation im Bereich Mobilität und Verkehr vor (https://www.transport-community.org/).</w:t>
      </w:r>
      <w:r w:rsidRPr="00BA758E">
        <w:rPr>
          <w:lang w:val="de-DE"/>
        </w:rPr>
        <w:t xml:space="preserve"> </w:t>
      </w:r>
      <w:r w:rsidR="00AB607D" w:rsidRPr="006109C7">
        <w:rPr>
          <w:lang w:val="de-DE"/>
        </w:rPr>
        <w:t>Diese wurde 2019 durch einen Vertrag zwischen der Europäischen Union und sechs südosteuropäischen Parteien gegründet, um deren Integration zu erleichtern.</w:t>
      </w:r>
      <w:r w:rsidRPr="00BA758E">
        <w:rPr>
          <w:lang w:val="de-DE"/>
        </w:rPr>
        <w:t xml:space="preserve"> </w:t>
      </w:r>
      <w:r w:rsidR="00AB607D" w:rsidRPr="006109C7">
        <w:rPr>
          <w:lang w:val="de-DE"/>
        </w:rPr>
        <w:t>Sie entwickelt Richtlinien für Aktivitäten wie die Beförderung gefährlicher Güter und hat einen entsprechenden technischen Ausschuss einge</w:t>
      </w:r>
      <w:r w:rsidR="00AF1ED3" w:rsidRPr="006109C7">
        <w:rPr>
          <w:lang w:val="de-DE"/>
        </w:rPr>
        <w:t>setz</w:t>
      </w:r>
      <w:r w:rsidR="00AB607D" w:rsidRPr="006109C7">
        <w:rPr>
          <w:lang w:val="de-DE"/>
        </w:rPr>
        <w:t xml:space="preserve">t, dessen Mitglieder auch im Sicherheitsausschuss mitarbeiten </w:t>
      </w:r>
      <w:r w:rsidR="007D3332" w:rsidRPr="006109C7">
        <w:rPr>
          <w:lang w:val="de-DE"/>
        </w:rPr>
        <w:t>möchten</w:t>
      </w:r>
      <w:r w:rsidR="00AB607D" w:rsidRPr="006109C7">
        <w:rPr>
          <w:lang w:val="de-DE"/>
        </w:rPr>
        <w:t>.</w:t>
      </w:r>
      <w:r w:rsidRPr="00BA758E">
        <w:rPr>
          <w:lang w:val="de-DE"/>
        </w:rPr>
        <w:t xml:space="preserve"> </w:t>
      </w:r>
      <w:r w:rsidR="007D3332" w:rsidRPr="00C41A91">
        <w:rPr>
          <w:lang w:val="de-DE"/>
        </w:rPr>
        <w:t xml:space="preserve">Der Sicherheitsausschuss begrüßte </w:t>
      </w:r>
      <w:r w:rsidR="00C41A91" w:rsidRPr="00C41A91">
        <w:rPr>
          <w:lang w:val="de-DE"/>
        </w:rPr>
        <w:t>eine</w:t>
      </w:r>
      <w:r w:rsidR="006109C7" w:rsidRPr="00C41A91">
        <w:rPr>
          <w:lang w:val="de-DE"/>
        </w:rPr>
        <w:t xml:space="preserve"> künftige Teilnahme</w:t>
      </w:r>
      <w:r w:rsidR="007D3332" w:rsidRPr="00C41A91">
        <w:rPr>
          <w:lang w:val="de-DE"/>
        </w:rPr>
        <w:t xml:space="preserve"> an </w:t>
      </w:r>
      <w:r w:rsidR="006109C7" w:rsidRPr="00C41A91">
        <w:rPr>
          <w:lang w:val="de-DE"/>
        </w:rPr>
        <w:t>sein</w:t>
      </w:r>
      <w:r w:rsidR="007D3332" w:rsidRPr="00C41A91">
        <w:rPr>
          <w:lang w:val="de-DE"/>
        </w:rPr>
        <w:t>en Sitzungen und die entsprechenden Beiträge.</w:t>
      </w:r>
    </w:p>
    <w:p w14:paraId="3FE10408" w14:textId="784EB71A" w:rsidR="003064DA" w:rsidRPr="00BA758E" w:rsidRDefault="003064DA" w:rsidP="00294BDE">
      <w:pPr>
        <w:pStyle w:val="HChG"/>
        <w:rPr>
          <w:i/>
          <w:lang w:val="de-DE"/>
        </w:rPr>
      </w:pPr>
      <w:r w:rsidRPr="00BA758E">
        <w:rPr>
          <w:lang w:val="de-DE"/>
        </w:rPr>
        <w:tab/>
      </w:r>
      <w:bookmarkStart w:id="88" w:name="_Toc81410441"/>
      <w:r w:rsidR="00294BDE" w:rsidRPr="00294BDE">
        <w:rPr>
          <w:lang w:val="de-DE"/>
        </w:rPr>
        <w:t>X.</w:t>
      </w:r>
      <w:r w:rsidRPr="00BA758E">
        <w:rPr>
          <w:lang w:val="de-DE"/>
        </w:rPr>
        <w:tab/>
      </w:r>
      <w:bookmarkEnd w:id="88"/>
      <w:r w:rsidR="00294BDE" w:rsidRPr="00294BDE">
        <w:rPr>
          <w:lang w:val="de-DE"/>
        </w:rPr>
        <w:t>Genehmigung des Sitzungsprotokolls (TOP 8)</w:t>
      </w:r>
    </w:p>
    <w:p w14:paraId="36646DDD" w14:textId="0A304018" w:rsidR="003064DA" w:rsidRPr="00BA758E" w:rsidRDefault="003064DA" w:rsidP="00E451D7">
      <w:pPr>
        <w:pStyle w:val="SingleTxtG"/>
        <w:rPr>
          <w:lang w:val="de-DE"/>
        </w:rPr>
      </w:pPr>
      <w:r w:rsidRPr="00BA758E">
        <w:rPr>
          <w:lang w:val="de-DE"/>
        </w:rPr>
        <w:t>64.</w:t>
      </w:r>
      <w:r w:rsidRPr="00BA758E">
        <w:rPr>
          <w:lang w:val="de-DE"/>
        </w:rPr>
        <w:tab/>
      </w:r>
      <w:r w:rsidR="00294BDE" w:rsidRPr="00E451D7">
        <w:rPr>
          <w:lang w:val="de-DE"/>
        </w:rPr>
        <w:t xml:space="preserve">Der Sicherheitsausschuss genehmigte das Protokoll seiner achtunddreißigsten Sitzung und dessen Anlagen auf der Grundlage </w:t>
      </w:r>
      <w:r w:rsidR="005C1A9E" w:rsidRPr="00E451D7">
        <w:rPr>
          <w:lang w:val="de-DE"/>
        </w:rPr>
        <w:t>des vom</w:t>
      </w:r>
      <w:r w:rsidR="00294BDE" w:rsidRPr="00E451D7">
        <w:rPr>
          <w:lang w:val="de-DE"/>
        </w:rPr>
        <w:t xml:space="preserve"> Sekretariat</w:t>
      </w:r>
      <w:r w:rsidR="005C1A9E" w:rsidRPr="00E451D7">
        <w:rPr>
          <w:lang w:val="de-DE"/>
        </w:rPr>
        <w:t xml:space="preserve"> er</w:t>
      </w:r>
      <w:r w:rsidR="00294BDE" w:rsidRPr="00E451D7">
        <w:rPr>
          <w:lang w:val="de-DE"/>
        </w:rPr>
        <w:t>s</w:t>
      </w:r>
      <w:r w:rsidR="005C1A9E" w:rsidRPr="00E451D7">
        <w:rPr>
          <w:lang w:val="de-DE"/>
        </w:rPr>
        <w:t>tellten E</w:t>
      </w:r>
      <w:r w:rsidR="00294BDE" w:rsidRPr="00E451D7">
        <w:rPr>
          <w:lang w:val="de-DE"/>
        </w:rPr>
        <w:t>ntwurf</w:t>
      </w:r>
      <w:r w:rsidR="005C1A9E" w:rsidRPr="00E451D7">
        <w:rPr>
          <w:lang w:val="de-DE"/>
        </w:rPr>
        <w:t>e</w:t>
      </w:r>
      <w:r w:rsidR="00294BDE" w:rsidRPr="00E451D7">
        <w:rPr>
          <w:lang w:val="de-DE"/>
        </w:rPr>
        <w:t>s.</w:t>
      </w:r>
    </w:p>
    <w:p w14:paraId="481B7A1C" w14:textId="77777777" w:rsidR="003F0DF0" w:rsidRDefault="003F0DF0" w:rsidP="003064DA">
      <w:pPr>
        <w:pStyle w:val="SingleTxtG"/>
        <w:rPr>
          <w:lang w:val="de-DE"/>
        </w:rPr>
      </w:pPr>
    </w:p>
    <w:p w14:paraId="7A36C0B3" w14:textId="264BE1A0" w:rsidR="00940A9C" w:rsidRPr="00BA758E" w:rsidRDefault="00940A9C" w:rsidP="003064DA">
      <w:pPr>
        <w:pStyle w:val="SingleTxtG"/>
        <w:rPr>
          <w:lang w:val="de-DE"/>
        </w:rPr>
        <w:sectPr w:rsidR="00940A9C" w:rsidRPr="00BA758E" w:rsidSect="00EC4EC9">
          <w:headerReference w:type="even" r:id="rId12"/>
          <w:headerReference w:type="default" r:id="rId13"/>
          <w:footerReference w:type="even" r:id="rId14"/>
          <w:footerReference w:type="default" r:id="rId15"/>
          <w:endnotePr>
            <w:numFmt w:val="decimal"/>
          </w:endnotePr>
          <w:pgSz w:w="11907" w:h="16840" w:code="9"/>
          <w:pgMar w:top="1134" w:right="1134" w:bottom="1134" w:left="1134" w:header="851" w:footer="567" w:gutter="0"/>
          <w:cols w:space="720"/>
          <w:titlePg/>
          <w:docGrid w:linePitch="272"/>
        </w:sectPr>
      </w:pPr>
    </w:p>
    <w:p w14:paraId="74B1C8B1" w14:textId="77777777" w:rsidR="00940A9C" w:rsidRPr="00940A9C" w:rsidRDefault="00940A9C" w:rsidP="00940A9C">
      <w:pPr>
        <w:keepNext/>
        <w:keepLines/>
        <w:tabs>
          <w:tab w:val="right" w:pos="851"/>
        </w:tabs>
        <w:spacing w:before="360" w:after="240" w:line="300" w:lineRule="exact"/>
        <w:ind w:left="1134" w:right="1134" w:hanging="1134"/>
        <w:rPr>
          <w:b/>
          <w:sz w:val="28"/>
          <w:lang w:val="de-DE"/>
        </w:rPr>
      </w:pPr>
      <w:r w:rsidRPr="001B5E14">
        <w:rPr>
          <w:b/>
          <w:sz w:val="28"/>
          <w:lang w:val="de-DE"/>
        </w:rPr>
        <w:tab/>
      </w:r>
      <w:r w:rsidRPr="00940A9C">
        <w:rPr>
          <w:b/>
          <w:sz w:val="28"/>
          <w:lang w:val="de-DE"/>
        </w:rPr>
        <w:t>Anlage I</w:t>
      </w:r>
    </w:p>
    <w:p w14:paraId="636D1CBE" w14:textId="77777777" w:rsidR="00940A9C" w:rsidRPr="00940A9C" w:rsidRDefault="00940A9C" w:rsidP="00940A9C">
      <w:pPr>
        <w:jc w:val="right"/>
        <w:rPr>
          <w:lang w:val="de-DE"/>
        </w:rPr>
      </w:pPr>
      <w:r w:rsidRPr="00940A9C">
        <w:rPr>
          <w:bCs/>
          <w:lang w:val="de-DE"/>
        </w:rPr>
        <w:t>[Original: Englisch und Französisch]</w:t>
      </w:r>
    </w:p>
    <w:p w14:paraId="6BF49B55" w14:textId="77777777" w:rsidR="00940A9C" w:rsidRPr="00940A9C" w:rsidRDefault="00940A9C" w:rsidP="00940A9C">
      <w:pPr>
        <w:keepNext/>
        <w:keepLines/>
        <w:tabs>
          <w:tab w:val="right" w:pos="851"/>
        </w:tabs>
        <w:spacing w:before="240" w:after="240" w:line="360" w:lineRule="exact"/>
        <w:ind w:left="1134" w:right="1134" w:hanging="1134"/>
        <w:rPr>
          <w:b/>
          <w:sz w:val="34"/>
          <w:lang w:val="de-DE"/>
        </w:rPr>
      </w:pPr>
      <w:r w:rsidRPr="00940A9C">
        <w:rPr>
          <w:b/>
          <w:sz w:val="34"/>
          <w:lang w:val="de-DE"/>
        </w:rPr>
        <w:tab/>
      </w:r>
      <w:r w:rsidRPr="00940A9C">
        <w:rPr>
          <w:b/>
          <w:sz w:val="34"/>
          <w:lang w:val="de-DE"/>
        </w:rPr>
        <w:tab/>
        <w:t>Änderungsvorschläge zu der dem ADN beigefügten Verordnung, die am 1. Januar 2023 in Kraft treten sollen</w:t>
      </w:r>
    </w:p>
    <w:p w14:paraId="21F804D1" w14:textId="77777777" w:rsidR="00940A9C" w:rsidRPr="00940A9C" w:rsidRDefault="00940A9C" w:rsidP="00940A9C">
      <w:pPr>
        <w:keepNext/>
        <w:keepLines/>
        <w:tabs>
          <w:tab w:val="right" w:pos="851"/>
        </w:tabs>
        <w:spacing w:before="240" w:after="120" w:line="240" w:lineRule="exact"/>
        <w:ind w:left="1134" w:right="1134" w:hanging="1134"/>
        <w:rPr>
          <w:b/>
          <w:lang w:val="de-DE"/>
        </w:rPr>
      </w:pPr>
      <w:r w:rsidRPr="00940A9C">
        <w:rPr>
          <w:b/>
          <w:lang w:val="de-DE"/>
        </w:rPr>
        <w:tab/>
      </w:r>
      <w:r w:rsidRPr="00940A9C">
        <w:rPr>
          <w:b/>
          <w:lang w:val="de-DE"/>
        </w:rPr>
        <w:tab/>
      </w:r>
      <w:r w:rsidRPr="00940A9C">
        <w:rPr>
          <w:b/>
          <w:lang w:val="de-DE"/>
        </w:rPr>
        <w:tab/>
        <w:t>Kapitel 1.6</w:t>
      </w:r>
    </w:p>
    <w:p w14:paraId="42DD7FFF" w14:textId="77777777" w:rsidR="00940A9C" w:rsidRPr="00940A9C" w:rsidRDefault="00940A9C" w:rsidP="00940A9C">
      <w:pPr>
        <w:spacing w:after="120"/>
        <w:ind w:left="1134"/>
        <w:jc w:val="both"/>
        <w:rPr>
          <w:color w:val="000000"/>
          <w:lang w:val="de-DE"/>
        </w:rPr>
      </w:pPr>
      <w:r w:rsidRPr="00940A9C">
        <w:rPr>
          <w:lang w:val="de-DE"/>
        </w:rPr>
        <w:t>1.6.7.2.1.1</w:t>
      </w:r>
      <w:r w:rsidRPr="00940A9C">
        <w:rPr>
          <w:lang w:val="de-DE"/>
        </w:rPr>
        <w:tab/>
        <w:t>Folgende neue Übergangsvorschrift hinzufügen: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599"/>
        <w:gridCol w:w="4526"/>
      </w:tblGrid>
      <w:tr w:rsidR="00940A9C" w:rsidRPr="00940A9C" w14:paraId="77B5FD20" w14:textId="77777777" w:rsidTr="006F3945">
        <w:tc>
          <w:tcPr>
            <w:tcW w:w="1086" w:type="dxa"/>
            <w:shd w:val="clear" w:color="auto" w:fill="auto"/>
          </w:tcPr>
          <w:p w14:paraId="46842AB6" w14:textId="77777777" w:rsidR="00940A9C" w:rsidRPr="00940A9C" w:rsidRDefault="00940A9C" w:rsidP="00940A9C">
            <w:pPr>
              <w:spacing w:after="240"/>
              <w:jc w:val="both"/>
              <w:rPr>
                <w:bCs/>
                <w:color w:val="000000"/>
                <w:lang w:val="de-DE"/>
              </w:rPr>
            </w:pPr>
            <w:r w:rsidRPr="00940A9C">
              <w:rPr>
                <w:bCs/>
                <w:color w:val="000000"/>
                <w:lang w:val="de-DE"/>
              </w:rPr>
              <w:t>8.6.1.1</w:t>
            </w:r>
          </w:p>
        </w:tc>
        <w:tc>
          <w:tcPr>
            <w:tcW w:w="2599" w:type="dxa"/>
            <w:shd w:val="clear" w:color="auto" w:fill="auto"/>
          </w:tcPr>
          <w:p w14:paraId="5767501F" w14:textId="77777777" w:rsidR="00940A9C" w:rsidRPr="00940A9C" w:rsidRDefault="00940A9C" w:rsidP="00940A9C">
            <w:pPr>
              <w:spacing w:after="240"/>
              <w:jc w:val="both"/>
              <w:rPr>
                <w:bCs/>
                <w:color w:val="000000"/>
                <w:lang w:val="de-DE"/>
              </w:rPr>
            </w:pPr>
            <w:r w:rsidRPr="00940A9C">
              <w:rPr>
                <w:bCs/>
                <w:color w:val="000000"/>
                <w:lang w:val="de-DE"/>
              </w:rPr>
              <w:t>Änderung Zulassungszeugnis, Nummer 4 und 8</w:t>
            </w:r>
          </w:p>
        </w:tc>
        <w:tc>
          <w:tcPr>
            <w:tcW w:w="4526" w:type="dxa"/>
            <w:shd w:val="clear" w:color="auto" w:fill="auto"/>
          </w:tcPr>
          <w:p w14:paraId="3179A475" w14:textId="77777777" w:rsidR="00940A9C" w:rsidRPr="00940A9C" w:rsidRDefault="00940A9C" w:rsidP="00940A9C">
            <w:pPr>
              <w:rPr>
                <w:bCs/>
                <w:color w:val="000000"/>
                <w:lang w:val="de-DE"/>
              </w:rPr>
            </w:pPr>
            <w:r w:rsidRPr="00940A9C">
              <w:rPr>
                <w:bCs/>
                <w:color w:val="000000"/>
                <w:lang w:val="de-DE"/>
              </w:rPr>
              <w:t>N.E.U. ab 1. Januar 2023</w:t>
            </w:r>
          </w:p>
          <w:p w14:paraId="22A6E543" w14:textId="4DAD04AB" w:rsidR="00940A9C" w:rsidRPr="00940A9C" w:rsidRDefault="00940A9C" w:rsidP="00940A9C">
            <w:pPr>
              <w:spacing w:after="240"/>
              <w:rPr>
                <w:bCs/>
                <w:color w:val="000000"/>
                <w:lang w:val="de-DE"/>
              </w:rPr>
            </w:pPr>
            <w:r w:rsidRPr="00940A9C">
              <w:rPr>
                <w:bCs/>
                <w:color w:val="000000"/>
                <w:lang w:val="de-DE"/>
              </w:rPr>
              <w:t>Erneuerung des Zulassungszeugnisses nach dem 31.</w:t>
            </w:r>
            <w:r w:rsidR="00DE17A4" w:rsidRPr="00DE17A4">
              <w:rPr>
                <w:rFonts w:eastAsia="SimSun"/>
                <w:lang w:val="de-DE" w:eastAsia="zh-CN"/>
              </w:rPr>
              <w:t> </w:t>
            </w:r>
            <w:r w:rsidRPr="00940A9C">
              <w:rPr>
                <w:bCs/>
                <w:color w:val="000000"/>
                <w:lang w:val="de-DE"/>
              </w:rPr>
              <w:t>Dezember 2022</w:t>
            </w:r>
          </w:p>
        </w:tc>
      </w:tr>
    </w:tbl>
    <w:p w14:paraId="1BBCA0E6" w14:textId="77777777" w:rsidR="00940A9C" w:rsidRPr="00940A9C" w:rsidRDefault="00940A9C" w:rsidP="00940A9C">
      <w:pPr>
        <w:tabs>
          <w:tab w:val="left" w:pos="1985"/>
          <w:tab w:val="left" w:pos="2127"/>
        </w:tabs>
        <w:spacing w:before="120" w:after="120"/>
        <w:ind w:left="1134" w:right="1134"/>
        <w:jc w:val="both"/>
        <w:rPr>
          <w:lang w:val="de-DE"/>
        </w:rPr>
      </w:pPr>
      <w:r w:rsidRPr="00940A9C">
        <w:rPr>
          <w:i/>
          <w:lang w:val="de-DE"/>
        </w:rPr>
        <w:t>(Referenzdokument: ECE/TRANS/WP.15/AC.2/2021/27, wie durch informelles Dokument INF.20 geändert)</w:t>
      </w:r>
    </w:p>
    <w:p w14:paraId="2E755D2A" w14:textId="77777777" w:rsidR="00940A9C" w:rsidRPr="00940A9C" w:rsidRDefault="00940A9C" w:rsidP="00940A9C">
      <w:pPr>
        <w:tabs>
          <w:tab w:val="left" w:pos="1985"/>
          <w:tab w:val="left" w:pos="2127"/>
        </w:tabs>
        <w:spacing w:after="120"/>
        <w:ind w:left="1134" w:right="1134"/>
        <w:jc w:val="both"/>
        <w:rPr>
          <w:lang w:val="de-DE"/>
        </w:rPr>
      </w:pPr>
      <w:r w:rsidRPr="00940A9C">
        <w:rPr>
          <w:lang w:val="de-DE"/>
        </w:rPr>
        <w:t>1.6.7.2.2.2</w:t>
      </w:r>
      <w:r w:rsidRPr="00940A9C">
        <w:rPr>
          <w:lang w:val="de-DE"/>
        </w:rPr>
        <w:tab/>
      </w:r>
      <w:r w:rsidRPr="00940A9C">
        <w:rPr>
          <w:lang w:val="de-DE"/>
        </w:rPr>
        <w:tab/>
        <w:t>Die Übergangsvorschrift für 9.3.1.0.3 d), 9.3.2.0.3 d) und 9.3.3.0.3 d) „Materialien in Wohnungen und Steuerhaus schwer entflammbar“ in 9.3.1.0.6, 9.3.2.0.6 und 9.3.3.0.6 umnummerieren.</w:t>
      </w:r>
    </w:p>
    <w:p w14:paraId="6783E447" w14:textId="77777777" w:rsidR="00940A9C" w:rsidRPr="00940A9C" w:rsidRDefault="00940A9C" w:rsidP="00940A9C">
      <w:pPr>
        <w:tabs>
          <w:tab w:val="left" w:pos="1985"/>
          <w:tab w:val="left" w:pos="2127"/>
        </w:tabs>
        <w:spacing w:after="120"/>
        <w:ind w:left="1134" w:right="1134"/>
        <w:jc w:val="both"/>
        <w:rPr>
          <w:lang w:val="de-DE"/>
        </w:rPr>
      </w:pPr>
      <w:r w:rsidRPr="00940A9C">
        <w:rPr>
          <w:i/>
          <w:lang w:val="de-DE"/>
        </w:rPr>
        <w:t>(Referenzdokument: ECE/TRANS/WP.15/AC.2/2021/30, Folgeänderung)</w:t>
      </w:r>
    </w:p>
    <w:p w14:paraId="49D977B2" w14:textId="77777777" w:rsidR="00940A9C" w:rsidRPr="00940A9C" w:rsidRDefault="00940A9C" w:rsidP="00940A9C">
      <w:pPr>
        <w:tabs>
          <w:tab w:val="left" w:pos="1985"/>
          <w:tab w:val="left" w:pos="2127"/>
        </w:tabs>
        <w:spacing w:after="120"/>
        <w:ind w:left="1134" w:right="1134"/>
        <w:jc w:val="both"/>
        <w:rPr>
          <w:lang w:val="de-DE"/>
        </w:rPr>
      </w:pPr>
      <w:r w:rsidRPr="00940A9C">
        <w:rPr>
          <w:lang w:val="de-DE"/>
        </w:rPr>
        <w:t>1.6.8.1</w:t>
      </w:r>
      <w:r w:rsidRPr="00940A9C">
        <w:rPr>
          <w:lang w:val="de-DE"/>
        </w:rPr>
        <w:tab/>
        <w:t>erhält folgenden Wortlaut: „1.6.8.1</w:t>
      </w:r>
      <w:r w:rsidRPr="00940A9C">
        <w:rPr>
          <w:lang w:val="de-DE"/>
        </w:rPr>
        <w:tab/>
        <w:t>(gestrichen)“.</w:t>
      </w:r>
    </w:p>
    <w:p w14:paraId="36D1C3D4" w14:textId="77777777" w:rsidR="00940A9C" w:rsidRPr="00940A9C" w:rsidRDefault="00940A9C" w:rsidP="00940A9C">
      <w:pPr>
        <w:spacing w:after="120"/>
        <w:ind w:left="1134" w:right="1134"/>
        <w:jc w:val="both"/>
        <w:rPr>
          <w:i/>
          <w:lang w:val="de-DE"/>
        </w:rPr>
      </w:pPr>
      <w:r w:rsidRPr="00940A9C">
        <w:rPr>
          <w:i/>
          <w:lang w:val="de-DE"/>
        </w:rPr>
        <w:t>(Referenzdokument: ECE/TRANS/WP.15/AC.2/2021/21)</w:t>
      </w:r>
    </w:p>
    <w:p w14:paraId="28525F87" w14:textId="77777777" w:rsidR="00940A9C" w:rsidRPr="00940A9C" w:rsidRDefault="00940A9C" w:rsidP="00940A9C">
      <w:pPr>
        <w:keepNext/>
        <w:keepLines/>
        <w:tabs>
          <w:tab w:val="right" w:pos="851"/>
        </w:tabs>
        <w:spacing w:before="240" w:after="120" w:line="240" w:lineRule="exact"/>
        <w:ind w:left="1134" w:right="1134" w:hanging="1134"/>
        <w:rPr>
          <w:b/>
          <w:lang w:val="de-DE"/>
        </w:rPr>
      </w:pPr>
      <w:r w:rsidRPr="00940A9C">
        <w:rPr>
          <w:b/>
          <w:lang w:val="de-DE"/>
        </w:rPr>
        <w:tab/>
      </w:r>
      <w:r w:rsidRPr="00940A9C">
        <w:rPr>
          <w:b/>
          <w:lang w:val="de-DE"/>
        </w:rPr>
        <w:tab/>
      </w:r>
      <w:r w:rsidRPr="00940A9C">
        <w:rPr>
          <w:b/>
          <w:lang w:val="de-DE"/>
        </w:rPr>
        <w:tab/>
        <w:t>Kapitel 3.2, Tabelle A</w:t>
      </w:r>
    </w:p>
    <w:p w14:paraId="7B278AC4" w14:textId="77777777" w:rsidR="00940A9C" w:rsidRPr="00940A9C" w:rsidRDefault="00940A9C" w:rsidP="00940A9C">
      <w:pPr>
        <w:spacing w:after="120"/>
        <w:ind w:left="1134" w:right="1134"/>
        <w:jc w:val="both"/>
        <w:rPr>
          <w:lang w:val="de-DE"/>
        </w:rPr>
      </w:pPr>
      <w:r w:rsidRPr="00940A9C">
        <w:rPr>
          <w:lang w:val="de-DE"/>
        </w:rPr>
        <w:t>Bei den UN-Nrn. 2381, 3483, 3543, 3544, 3545, 3546, 3547 und 3548, in Spalte (6) einfügen: „802“.</w:t>
      </w:r>
    </w:p>
    <w:p w14:paraId="37038168" w14:textId="77777777" w:rsidR="00940A9C" w:rsidRPr="00940A9C" w:rsidRDefault="00940A9C" w:rsidP="00940A9C">
      <w:pPr>
        <w:spacing w:after="120"/>
        <w:ind w:left="1134" w:right="1134"/>
        <w:jc w:val="both"/>
        <w:rPr>
          <w:lang w:val="de-DE"/>
        </w:rPr>
      </w:pPr>
      <w:r w:rsidRPr="00940A9C">
        <w:rPr>
          <w:i/>
          <w:lang w:val="de-DE"/>
        </w:rPr>
        <w:t>(Referenzdokument: ECE/TRANS/WP.15/AC.2/2021/19)</w:t>
      </w:r>
    </w:p>
    <w:p w14:paraId="1C884488" w14:textId="77777777" w:rsidR="00940A9C" w:rsidRPr="00940A9C" w:rsidRDefault="00940A9C" w:rsidP="00940A9C">
      <w:pPr>
        <w:spacing w:after="120"/>
        <w:ind w:left="1134" w:right="1134"/>
        <w:jc w:val="both"/>
        <w:rPr>
          <w:lang w:val="de-DE"/>
        </w:rPr>
      </w:pPr>
      <w:r w:rsidRPr="00940A9C">
        <w:rPr>
          <w:lang w:val="de-DE"/>
        </w:rPr>
        <w:t>Bei der UN-Nr. 3440, alle Eintragungen, in Spalte (6) einfügen: „563“.</w:t>
      </w:r>
    </w:p>
    <w:p w14:paraId="32B9CF67" w14:textId="77777777" w:rsidR="00940A9C" w:rsidRPr="00940A9C" w:rsidRDefault="00940A9C" w:rsidP="00940A9C">
      <w:pPr>
        <w:spacing w:after="120"/>
        <w:ind w:left="1134" w:right="1134"/>
        <w:jc w:val="both"/>
        <w:rPr>
          <w:lang w:val="de-DE"/>
        </w:rPr>
      </w:pPr>
      <w:r w:rsidRPr="00940A9C">
        <w:rPr>
          <w:i/>
          <w:lang w:val="de-DE"/>
        </w:rPr>
        <w:t>(Referenzdokument: ECE/TRANS/WP.15/AC.2/2021/19)</w:t>
      </w:r>
    </w:p>
    <w:p w14:paraId="1D566C86" w14:textId="77777777" w:rsidR="00940A9C" w:rsidRPr="00940A9C" w:rsidRDefault="00940A9C" w:rsidP="00940A9C">
      <w:pPr>
        <w:spacing w:after="120"/>
        <w:ind w:left="1134" w:right="1134"/>
        <w:jc w:val="both"/>
        <w:rPr>
          <w:lang w:val="de-DE"/>
        </w:rPr>
      </w:pPr>
      <w:bookmarkStart w:id="89" w:name="_Hlk84843273"/>
      <w:r w:rsidRPr="00940A9C">
        <w:rPr>
          <w:lang w:val="de-DE"/>
        </w:rPr>
        <w:t xml:space="preserve">Bei der UN-Nr. </w:t>
      </w:r>
      <w:bookmarkEnd w:id="89"/>
      <w:r w:rsidRPr="00940A9C">
        <w:rPr>
          <w:lang w:val="de-DE"/>
        </w:rPr>
        <w:t>3494, alle Eintragungen, in Spalte (6) streichen: „649“.</w:t>
      </w:r>
    </w:p>
    <w:p w14:paraId="178E1CCF" w14:textId="77777777" w:rsidR="00940A9C" w:rsidRPr="00940A9C" w:rsidRDefault="00940A9C" w:rsidP="00940A9C">
      <w:pPr>
        <w:spacing w:after="120"/>
        <w:ind w:left="1134" w:right="1134"/>
        <w:jc w:val="both"/>
        <w:rPr>
          <w:lang w:val="de-DE"/>
        </w:rPr>
      </w:pPr>
      <w:r w:rsidRPr="00940A9C">
        <w:rPr>
          <w:i/>
          <w:lang w:val="de-DE"/>
        </w:rPr>
        <w:t>(Referenzdokument: ECE/TRANS/WP.15/AC.2/2021/19)</w:t>
      </w:r>
    </w:p>
    <w:p w14:paraId="41F3F9A8" w14:textId="77777777" w:rsidR="00940A9C" w:rsidRPr="00940A9C" w:rsidRDefault="00940A9C" w:rsidP="00940A9C">
      <w:pPr>
        <w:spacing w:after="120"/>
        <w:ind w:left="1134" w:right="1134"/>
        <w:jc w:val="both"/>
        <w:rPr>
          <w:lang w:val="de-DE"/>
        </w:rPr>
      </w:pPr>
      <w:bookmarkStart w:id="90" w:name="_Hlk84843359"/>
      <w:r w:rsidRPr="00940A9C">
        <w:rPr>
          <w:lang w:val="de-DE"/>
        </w:rPr>
        <w:t xml:space="preserve">Bei den UN-Nrn. </w:t>
      </w:r>
      <w:bookmarkEnd w:id="90"/>
      <w:r w:rsidRPr="00940A9C">
        <w:rPr>
          <w:lang w:val="de-DE"/>
        </w:rPr>
        <w:t>3537, 3539, 3540, 3541 und 3542, in Spalte (6) streichen: „649“.</w:t>
      </w:r>
    </w:p>
    <w:p w14:paraId="47BD6E4F" w14:textId="77777777" w:rsidR="00940A9C" w:rsidRPr="00940A9C" w:rsidRDefault="00940A9C" w:rsidP="00940A9C">
      <w:pPr>
        <w:spacing w:after="120"/>
        <w:ind w:left="1134" w:right="1134"/>
        <w:jc w:val="both"/>
        <w:rPr>
          <w:lang w:val="de-DE"/>
        </w:rPr>
      </w:pPr>
      <w:r w:rsidRPr="00940A9C">
        <w:rPr>
          <w:i/>
          <w:lang w:val="de-DE"/>
        </w:rPr>
        <w:t>(Referenzdokument: ECE/TRANS/WP.15/AC.2/2021/19)</w:t>
      </w:r>
    </w:p>
    <w:p w14:paraId="493DA317" w14:textId="77777777" w:rsidR="00940A9C" w:rsidRPr="00940A9C" w:rsidRDefault="00940A9C" w:rsidP="00940A9C">
      <w:pPr>
        <w:keepNext/>
        <w:keepLines/>
        <w:tabs>
          <w:tab w:val="right" w:pos="851"/>
        </w:tabs>
        <w:spacing w:before="240" w:after="120" w:line="240" w:lineRule="exact"/>
        <w:ind w:left="1134" w:right="1134" w:hanging="1134"/>
        <w:rPr>
          <w:b/>
          <w:i/>
          <w:iCs/>
          <w:lang w:val="de-DE"/>
        </w:rPr>
      </w:pPr>
      <w:r w:rsidRPr="00940A9C">
        <w:rPr>
          <w:b/>
          <w:lang w:val="de-DE"/>
        </w:rPr>
        <w:tab/>
      </w:r>
      <w:r w:rsidRPr="00940A9C">
        <w:rPr>
          <w:b/>
          <w:lang w:val="de-DE"/>
        </w:rPr>
        <w:tab/>
      </w:r>
      <w:r w:rsidRPr="00940A9C">
        <w:rPr>
          <w:b/>
          <w:lang w:val="de-DE"/>
        </w:rPr>
        <w:tab/>
        <w:t>Kapitel 3.2, Tabelle C</w:t>
      </w:r>
    </w:p>
    <w:p w14:paraId="5CA693C1" w14:textId="77777777" w:rsidR="00940A9C" w:rsidRPr="00940A9C" w:rsidRDefault="00940A9C" w:rsidP="00940A9C">
      <w:pPr>
        <w:spacing w:after="120"/>
        <w:ind w:left="1134" w:right="1134"/>
        <w:jc w:val="both"/>
        <w:rPr>
          <w:lang w:val="de-DE"/>
        </w:rPr>
      </w:pPr>
      <w:r w:rsidRPr="00940A9C">
        <w:rPr>
          <w:lang w:val="de-DE"/>
        </w:rPr>
        <w:t>Bei der Stoffnummer 9004 erhält die Spalte (5) folgenden Wortlaut: „9+S“.</w:t>
      </w:r>
    </w:p>
    <w:p w14:paraId="7D7F2A40" w14:textId="77777777" w:rsidR="00940A9C" w:rsidRPr="00940A9C" w:rsidRDefault="00940A9C" w:rsidP="00940A9C">
      <w:pPr>
        <w:spacing w:after="120"/>
        <w:ind w:left="1134" w:right="1134"/>
        <w:jc w:val="both"/>
        <w:rPr>
          <w:i/>
          <w:lang w:val="de-DE"/>
        </w:rPr>
      </w:pPr>
      <w:r w:rsidRPr="00940A9C">
        <w:rPr>
          <w:i/>
          <w:lang w:val="de-DE"/>
        </w:rPr>
        <w:t>(Referenzdokument: ECE/TRANS/WP.15/AC.2/2021/19)</w:t>
      </w:r>
    </w:p>
    <w:p w14:paraId="1284E2F9" w14:textId="77777777" w:rsidR="00940A9C" w:rsidRPr="00940A9C" w:rsidRDefault="00940A9C" w:rsidP="00940A9C">
      <w:pPr>
        <w:keepNext/>
        <w:keepLines/>
        <w:tabs>
          <w:tab w:val="right" w:pos="851"/>
        </w:tabs>
        <w:spacing w:before="240" w:after="120" w:line="240" w:lineRule="exact"/>
        <w:ind w:left="1134" w:right="1134" w:hanging="1134"/>
        <w:rPr>
          <w:b/>
          <w:lang w:val="de-DE"/>
        </w:rPr>
      </w:pPr>
      <w:r w:rsidRPr="00940A9C">
        <w:rPr>
          <w:b/>
          <w:lang w:val="de-DE"/>
        </w:rPr>
        <w:tab/>
      </w:r>
      <w:r w:rsidRPr="00940A9C">
        <w:rPr>
          <w:b/>
          <w:lang w:val="de-DE"/>
        </w:rPr>
        <w:tab/>
      </w:r>
      <w:r w:rsidRPr="00940A9C">
        <w:rPr>
          <w:b/>
          <w:lang w:val="de-DE"/>
        </w:rPr>
        <w:tab/>
        <w:t>Kapitel 3.2</w:t>
      </w:r>
    </w:p>
    <w:p w14:paraId="0F04188B" w14:textId="77777777" w:rsidR="00940A9C" w:rsidRPr="00940A9C" w:rsidRDefault="00940A9C" w:rsidP="00940A9C">
      <w:pPr>
        <w:tabs>
          <w:tab w:val="left" w:pos="1985"/>
          <w:tab w:val="left" w:pos="2127"/>
        </w:tabs>
        <w:spacing w:after="120"/>
        <w:ind w:left="1134" w:right="1134"/>
        <w:jc w:val="both"/>
        <w:rPr>
          <w:lang w:val="de-DE"/>
        </w:rPr>
      </w:pPr>
      <w:r w:rsidRPr="00940A9C">
        <w:rPr>
          <w:lang w:val="de-DE"/>
        </w:rPr>
        <w:t>3.2.3.3</w:t>
      </w:r>
      <w:r w:rsidRPr="00940A9C">
        <w:rPr>
          <w:lang w:val="de-DE"/>
        </w:rPr>
        <w:tab/>
        <w:t>Schema B erhält folgenden Wortlaut:</w:t>
      </w:r>
    </w:p>
    <w:p w14:paraId="2B2E34CF" w14:textId="77777777" w:rsidR="00940A9C" w:rsidRPr="00940A9C" w:rsidRDefault="00940A9C" w:rsidP="00940A9C">
      <w:pPr>
        <w:spacing w:after="120"/>
        <w:ind w:left="1134" w:right="1134"/>
        <w:jc w:val="both"/>
        <w:rPr>
          <w:bCs/>
          <w:szCs w:val="24"/>
          <w:lang w:val="de-DE" w:eastAsia="en-GB"/>
        </w:rPr>
      </w:pPr>
    </w:p>
    <w:p w14:paraId="26ACB866" w14:textId="77777777" w:rsidR="00940A9C" w:rsidRPr="00940A9C" w:rsidRDefault="00940A9C" w:rsidP="00940A9C">
      <w:pPr>
        <w:keepNext/>
        <w:spacing w:after="240"/>
        <w:ind w:left="1134"/>
        <w:jc w:val="center"/>
        <w:outlineLvl w:val="1"/>
        <w:rPr>
          <w:b/>
          <w:bCs/>
          <w:sz w:val="22"/>
          <w:szCs w:val="22"/>
          <w:lang w:val="de-DE"/>
        </w:rPr>
        <w:sectPr w:rsidR="00940A9C" w:rsidRPr="00940A9C" w:rsidSect="00181181">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418" w:right="1134" w:bottom="1134" w:left="1134" w:header="851" w:footer="567" w:gutter="0"/>
          <w:cols w:space="720"/>
          <w:titlePg/>
          <w:docGrid w:linePitch="272"/>
        </w:sectPr>
      </w:pPr>
    </w:p>
    <w:p w14:paraId="4B2AFAAB" w14:textId="2870D15C" w:rsidR="00940A9C" w:rsidRPr="00940A9C" w:rsidRDefault="00940A9C" w:rsidP="00940A9C">
      <w:pPr>
        <w:keepNext/>
        <w:keepLines/>
        <w:tabs>
          <w:tab w:val="right" w:pos="851"/>
        </w:tabs>
        <w:spacing w:after="120" w:line="270" w:lineRule="exact"/>
        <w:ind w:right="1134"/>
        <w:rPr>
          <w:b/>
          <w:sz w:val="24"/>
          <w:lang w:val="de-DE"/>
        </w:rPr>
      </w:pPr>
      <w:r w:rsidRPr="00940A9C">
        <w:rPr>
          <w:b/>
          <w:sz w:val="24"/>
          <w:lang w:val="de-DE"/>
        </w:rPr>
        <w:tab/>
      </w:r>
      <w:r w:rsidRPr="00940A9C">
        <w:rPr>
          <w:b/>
          <w:sz w:val="24"/>
          <w:lang w:val="de-DE"/>
        </w:rPr>
        <w:tab/>
      </w:r>
      <w:r w:rsidR="005E21E2">
        <w:rPr>
          <w:b/>
          <w:sz w:val="24"/>
          <w:lang w:val="de-DE"/>
        </w:rPr>
        <w:t>„</w:t>
      </w:r>
      <w:r w:rsidRPr="00940A9C">
        <w:rPr>
          <w:b/>
          <w:sz w:val="24"/>
          <w:lang w:val="de-DE"/>
        </w:rPr>
        <w:t>Schema B: Kriterien für die Ladetankausrüstung von N-Schiffen mit geschlossenen Ladetanks</w:t>
      </w:r>
    </w:p>
    <w:p w14:paraId="4ADF5540" w14:textId="77777777" w:rsidR="00940A9C" w:rsidRPr="00940A9C" w:rsidRDefault="00940A9C" w:rsidP="00940A9C">
      <w:pPr>
        <w:widowControl w:val="0"/>
        <w:suppressAutoHyphens w:val="0"/>
        <w:overflowPunct w:val="0"/>
        <w:autoSpaceDE w:val="0"/>
        <w:autoSpaceDN w:val="0"/>
        <w:adjustRightInd w:val="0"/>
        <w:spacing w:line="240" w:lineRule="auto"/>
        <w:ind w:left="1134"/>
        <w:jc w:val="both"/>
        <w:textAlignment w:val="baseline"/>
        <w:rPr>
          <w:lang w:val="de-DE"/>
        </w:rPr>
      </w:pPr>
      <w:r w:rsidRPr="00940A9C">
        <w:rPr>
          <w:lang w:val="de-DE"/>
        </w:rPr>
        <w:t>Feststellen, welche Stoff-/Ladetank-Eigenschaften aus den ersten sechs Spalten relevant sind. In der relevanten Spalte die anwendbare Zeile auswählen. In dieser Zeile sind dann in der siebten Spalte die sich ergebenden Anforderungen für die Ladetankausrüstung in N-Schiffen mit geschlossenen Ladetanks dargestellt. Wenn mehrere Spalten relevant sind, die oberste relevante Zeile in der siebten Spalte auswählen.</w:t>
      </w:r>
    </w:p>
    <w:p w14:paraId="74D65E00" w14:textId="77777777" w:rsidR="00940A9C" w:rsidRPr="00940A9C" w:rsidRDefault="00940A9C" w:rsidP="00940A9C">
      <w:pPr>
        <w:suppressAutoHyphens w:val="0"/>
        <w:overflowPunct w:val="0"/>
        <w:autoSpaceDE w:val="0"/>
        <w:autoSpaceDN w:val="0"/>
        <w:adjustRightInd w:val="0"/>
        <w:spacing w:line="240" w:lineRule="auto"/>
        <w:jc w:val="both"/>
        <w:textAlignment w:val="baseline"/>
        <w:rPr>
          <w:rFonts w:ascii="Arial" w:hAnsi="Arial" w:cs="Arial"/>
          <w:sz w:val="18"/>
          <w:szCs w:val="18"/>
          <w:lang w:val="de-DE"/>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560"/>
        <w:gridCol w:w="1559"/>
        <w:gridCol w:w="1555"/>
        <w:gridCol w:w="2126"/>
        <w:gridCol w:w="2552"/>
        <w:gridCol w:w="2551"/>
      </w:tblGrid>
      <w:tr w:rsidR="00940A9C" w:rsidRPr="00940A9C" w14:paraId="57DC7E29" w14:textId="77777777" w:rsidTr="006F3945">
        <w:trPr>
          <w:trHeight w:val="355"/>
        </w:trPr>
        <w:tc>
          <w:tcPr>
            <w:tcW w:w="11194" w:type="dxa"/>
            <w:gridSpan w:val="6"/>
            <w:vAlign w:val="center"/>
          </w:tcPr>
          <w:p w14:paraId="5EE11977" w14:textId="77777777" w:rsidR="00940A9C" w:rsidRPr="00940A9C" w:rsidRDefault="00940A9C" w:rsidP="00940A9C">
            <w:pPr>
              <w:jc w:val="center"/>
              <w:rPr>
                <w:b/>
                <w:bCs/>
                <w:lang w:val="de-DE"/>
              </w:rPr>
            </w:pPr>
            <w:r w:rsidRPr="00940A9C">
              <w:rPr>
                <w:b/>
                <w:bCs/>
                <w:lang w:val="de-DE"/>
              </w:rPr>
              <w:t>Stoff-/Ladetank-Eigenschaften</w:t>
            </w:r>
          </w:p>
        </w:tc>
        <w:tc>
          <w:tcPr>
            <w:tcW w:w="2551" w:type="dxa"/>
          </w:tcPr>
          <w:p w14:paraId="7C9AC09F" w14:textId="77777777" w:rsidR="00940A9C" w:rsidRPr="00940A9C" w:rsidRDefault="00940A9C" w:rsidP="00940A9C">
            <w:pPr>
              <w:jc w:val="center"/>
              <w:rPr>
                <w:b/>
                <w:bCs/>
                <w:lang w:val="de-DE"/>
              </w:rPr>
            </w:pPr>
            <w:r w:rsidRPr="00940A9C">
              <w:rPr>
                <w:b/>
                <w:bCs/>
                <w:lang w:val="de-DE"/>
              </w:rPr>
              <w:t>Sich ergebende Anforderungen</w:t>
            </w:r>
          </w:p>
        </w:tc>
      </w:tr>
      <w:tr w:rsidR="00940A9C" w:rsidRPr="00940A9C" w14:paraId="2DDE46E6" w14:textId="77777777" w:rsidTr="006F3945">
        <w:trPr>
          <w:trHeight w:val="355"/>
        </w:trPr>
        <w:tc>
          <w:tcPr>
            <w:tcW w:w="6516" w:type="dxa"/>
            <w:gridSpan w:val="4"/>
            <w:vAlign w:val="center"/>
          </w:tcPr>
          <w:p w14:paraId="40E0C209" w14:textId="77777777" w:rsidR="00940A9C" w:rsidRPr="00940A9C" w:rsidRDefault="00940A9C" w:rsidP="00940A9C">
            <w:pPr>
              <w:jc w:val="center"/>
              <w:rPr>
                <w:lang w:val="de-DE"/>
              </w:rPr>
            </w:pPr>
            <w:r w:rsidRPr="00940A9C">
              <w:rPr>
                <w:lang w:val="de-DE"/>
              </w:rPr>
              <w:t>Klasse 3, Flammpunkt &lt; 23 °C</w:t>
            </w:r>
          </w:p>
        </w:tc>
        <w:tc>
          <w:tcPr>
            <w:tcW w:w="2126" w:type="dxa"/>
            <w:vAlign w:val="center"/>
          </w:tcPr>
          <w:p w14:paraId="0980B6A1" w14:textId="77777777" w:rsidR="00940A9C" w:rsidRPr="00940A9C" w:rsidRDefault="00940A9C" w:rsidP="00940A9C">
            <w:pPr>
              <w:jc w:val="center"/>
              <w:rPr>
                <w:lang w:val="de-DE"/>
              </w:rPr>
            </w:pPr>
            <w:r w:rsidRPr="00940A9C">
              <w:rPr>
                <w:lang w:val="de-DE"/>
              </w:rPr>
              <w:t>Ätzende Stoffe</w:t>
            </w:r>
          </w:p>
        </w:tc>
        <w:tc>
          <w:tcPr>
            <w:tcW w:w="2552" w:type="dxa"/>
            <w:vAlign w:val="center"/>
          </w:tcPr>
          <w:p w14:paraId="29EAEC6C" w14:textId="77777777" w:rsidR="00940A9C" w:rsidRPr="00940A9C" w:rsidRDefault="00940A9C" w:rsidP="00940A9C">
            <w:pPr>
              <w:jc w:val="center"/>
              <w:rPr>
                <w:lang w:val="de-DE"/>
              </w:rPr>
            </w:pPr>
            <w:r w:rsidRPr="00940A9C">
              <w:rPr>
                <w:lang w:val="de-DE"/>
              </w:rPr>
              <w:t>CMR-Stoffe</w:t>
            </w:r>
          </w:p>
        </w:tc>
        <w:tc>
          <w:tcPr>
            <w:tcW w:w="2551" w:type="dxa"/>
          </w:tcPr>
          <w:p w14:paraId="347CABF9" w14:textId="77777777" w:rsidR="00940A9C" w:rsidRPr="00940A9C" w:rsidRDefault="00940A9C" w:rsidP="00940A9C">
            <w:pPr>
              <w:jc w:val="center"/>
              <w:rPr>
                <w:lang w:val="de-DE"/>
              </w:rPr>
            </w:pPr>
            <w:r w:rsidRPr="00940A9C">
              <w:rPr>
                <w:lang w:val="de-DE"/>
              </w:rPr>
              <w:t>Ladetankausrüstung</w:t>
            </w:r>
          </w:p>
        </w:tc>
      </w:tr>
      <w:tr w:rsidR="00940A9C" w:rsidRPr="00940A9C" w14:paraId="7BCA93E4" w14:textId="77777777" w:rsidTr="006F3945">
        <w:tc>
          <w:tcPr>
            <w:tcW w:w="1842" w:type="dxa"/>
            <w:vAlign w:val="center"/>
          </w:tcPr>
          <w:p w14:paraId="4352BE6B" w14:textId="77777777" w:rsidR="00940A9C" w:rsidRPr="00940A9C" w:rsidRDefault="00940A9C" w:rsidP="00940A9C">
            <w:pPr>
              <w:rPr>
                <w:lang w:val="de-DE"/>
              </w:rPr>
            </w:pPr>
            <w:r w:rsidRPr="00940A9C">
              <w:rPr>
                <w:lang w:val="de-DE"/>
              </w:rPr>
              <w:t xml:space="preserve">175 kPa </w:t>
            </w:r>
            <w:r w:rsidRPr="00940A9C">
              <w:rPr>
                <w:lang w:val="de-DE"/>
              </w:rPr>
              <w:sym w:font="Symbol" w:char="F0A3"/>
            </w:r>
            <w:r w:rsidRPr="00940A9C">
              <w:rPr>
                <w:lang w:val="de-DE"/>
              </w:rPr>
              <w:t xml:space="preserve"> P </w:t>
            </w:r>
            <w:r w:rsidRPr="00940A9C">
              <w:rPr>
                <w:vertAlign w:val="subscript"/>
                <w:lang w:val="de-DE"/>
              </w:rPr>
              <w:t>d 50</w:t>
            </w:r>
            <w:r w:rsidRPr="00940A9C">
              <w:rPr>
                <w:vertAlign w:val="subscript"/>
                <w:lang w:val="de-DE"/>
              </w:rPr>
              <w:br/>
            </w:r>
            <w:r w:rsidRPr="00940A9C">
              <w:rPr>
                <w:lang w:val="de-DE"/>
              </w:rPr>
              <w:t>&lt; 300 kPa, ohne Kühlung</w:t>
            </w:r>
          </w:p>
        </w:tc>
        <w:tc>
          <w:tcPr>
            <w:tcW w:w="1560" w:type="dxa"/>
          </w:tcPr>
          <w:p w14:paraId="585FF90B" w14:textId="77777777" w:rsidR="00940A9C" w:rsidRPr="00940A9C" w:rsidRDefault="00940A9C" w:rsidP="00940A9C">
            <w:pPr>
              <w:rPr>
                <w:lang w:val="de-DE"/>
              </w:rPr>
            </w:pPr>
          </w:p>
        </w:tc>
        <w:tc>
          <w:tcPr>
            <w:tcW w:w="1559" w:type="dxa"/>
          </w:tcPr>
          <w:p w14:paraId="74E20398" w14:textId="77777777" w:rsidR="00940A9C" w:rsidRPr="00940A9C" w:rsidRDefault="00940A9C" w:rsidP="00940A9C">
            <w:pPr>
              <w:rPr>
                <w:lang w:val="de-DE"/>
              </w:rPr>
            </w:pPr>
          </w:p>
        </w:tc>
        <w:tc>
          <w:tcPr>
            <w:tcW w:w="1555" w:type="dxa"/>
          </w:tcPr>
          <w:p w14:paraId="1DB0CDF0" w14:textId="77777777" w:rsidR="00940A9C" w:rsidRPr="00940A9C" w:rsidRDefault="00940A9C" w:rsidP="00940A9C">
            <w:pPr>
              <w:rPr>
                <w:lang w:val="de-DE"/>
              </w:rPr>
            </w:pPr>
          </w:p>
        </w:tc>
        <w:tc>
          <w:tcPr>
            <w:tcW w:w="2126" w:type="dxa"/>
          </w:tcPr>
          <w:p w14:paraId="22D9436F" w14:textId="77777777" w:rsidR="00940A9C" w:rsidRPr="00940A9C" w:rsidRDefault="00940A9C" w:rsidP="00940A9C">
            <w:pPr>
              <w:rPr>
                <w:lang w:val="de-DE"/>
              </w:rPr>
            </w:pPr>
          </w:p>
        </w:tc>
        <w:tc>
          <w:tcPr>
            <w:tcW w:w="2552" w:type="dxa"/>
          </w:tcPr>
          <w:p w14:paraId="03FCCB99" w14:textId="77777777" w:rsidR="00940A9C" w:rsidRPr="00940A9C" w:rsidRDefault="00940A9C" w:rsidP="00940A9C">
            <w:pPr>
              <w:rPr>
                <w:lang w:val="de-DE"/>
              </w:rPr>
            </w:pPr>
          </w:p>
        </w:tc>
        <w:tc>
          <w:tcPr>
            <w:tcW w:w="2551" w:type="dxa"/>
          </w:tcPr>
          <w:p w14:paraId="141B70FF" w14:textId="77777777" w:rsidR="00940A9C" w:rsidRPr="00940A9C" w:rsidRDefault="00940A9C" w:rsidP="00940A9C">
            <w:pPr>
              <w:rPr>
                <w:lang w:val="de-DE"/>
              </w:rPr>
            </w:pPr>
            <w:r w:rsidRPr="00940A9C">
              <w:rPr>
                <w:lang w:val="de-DE"/>
              </w:rPr>
              <w:t>Drucktank (400 kPa)</w:t>
            </w:r>
          </w:p>
        </w:tc>
      </w:tr>
      <w:tr w:rsidR="00940A9C" w:rsidRPr="00ED4EA8" w14:paraId="66896798" w14:textId="77777777" w:rsidTr="006F3945">
        <w:tc>
          <w:tcPr>
            <w:tcW w:w="1842" w:type="dxa"/>
          </w:tcPr>
          <w:p w14:paraId="259886F1" w14:textId="77777777" w:rsidR="00940A9C" w:rsidRPr="00940A9C" w:rsidRDefault="00940A9C" w:rsidP="00940A9C">
            <w:pPr>
              <w:rPr>
                <w:lang w:val="de-DE"/>
              </w:rPr>
            </w:pPr>
            <w:r w:rsidRPr="00940A9C">
              <w:rPr>
                <w:lang w:val="de-DE"/>
              </w:rPr>
              <w:t xml:space="preserve">175 kPa </w:t>
            </w:r>
            <w:r w:rsidRPr="00940A9C">
              <w:rPr>
                <w:lang w:val="de-DE"/>
              </w:rPr>
              <w:sym w:font="Symbol" w:char="F0A3"/>
            </w:r>
            <w:r w:rsidRPr="00940A9C">
              <w:rPr>
                <w:lang w:val="de-DE"/>
              </w:rPr>
              <w:t xml:space="preserve"> P </w:t>
            </w:r>
            <w:r w:rsidRPr="00940A9C">
              <w:rPr>
                <w:vertAlign w:val="subscript"/>
                <w:lang w:val="de-DE"/>
              </w:rPr>
              <w:t>d 50</w:t>
            </w:r>
            <w:r w:rsidRPr="00940A9C">
              <w:rPr>
                <w:vertAlign w:val="subscript"/>
                <w:lang w:val="de-DE"/>
              </w:rPr>
              <w:br/>
            </w:r>
            <w:r w:rsidRPr="00940A9C">
              <w:rPr>
                <w:lang w:val="de-DE"/>
              </w:rPr>
              <w:t>&lt; 300 kPa, mit Kühlung</w:t>
            </w:r>
          </w:p>
        </w:tc>
        <w:tc>
          <w:tcPr>
            <w:tcW w:w="1560" w:type="dxa"/>
          </w:tcPr>
          <w:p w14:paraId="677DA1CB" w14:textId="77777777" w:rsidR="00940A9C" w:rsidRPr="00940A9C" w:rsidRDefault="00940A9C" w:rsidP="00940A9C">
            <w:pPr>
              <w:rPr>
                <w:strike/>
                <w:lang w:val="de-DE"/>
              </w:rPr>
            </w:pPr>
          </w:p>
        </w:tc>
        <w:tc>
          <w:tcPr>
            <w:tcW w:w="1559" w:type="dxa"/>
          </w:tcPr>
          <w:p w14:paraId="59B4C535" w14:textId="77777777" w:rsidR="00940A9C" w:rsidRPr="00940A9C" w:rsidRDefault="00940A9C" w:rsidP="00940A9C">
            <w:pPr>
              <w:rPr>
                <w:lang w:val="de-DE"/>
              </w:rPr>
            </w:pPr>
          </w:p>
        </w:tc>
        <w:tc>
          <w:tcPr>
            <w:tcW w:w="1555" w:type="dxa"/>
          </w:tcPr>
          <w:p w14:paraId="06FE61A4" w14:textId="77777777" w:rsidR="00940A9C" w:rsidRPr="00940A9C" w:rsidRDefault="00940A9C" w:rsidP="00940A9C">
            <w:pPr>
              <w:rPr>
                <w:lang w:val="de-DE"/>
              </w:rPr>
            </w:pPr>
          </w:p>
        </w:tc>
        <w:tc>
          <w:tcPr>
            <w:tcW w:w="2126" w:type="dxa"/>
          </w:tcPr>
          <w:p w14:paraId="67F48CD2" w14:textId="77777777" w:rsidR="00940A9C" w:rsidRPr="00940A9C" w:rsidRDefault="00940A9C" w:rsidP="00940A9C">
            <w:pPr>
              <w:rPr>
                <w:lang w:val="de-DE"/>
              </w:rPr>
            </w:pPr>
          </w:p>
        </w:tc>
        <w:tc>
          <w:tcPr>
            <w:tcW w:w="2552" w:type="dxa"/>
          </w:tcPr>
          <w:p w14:paraId="2BCB2FA1" w14:textId="77777777" w:rsidR="00940A9C" w:rsidRPr="00940A9C" w:rsidRDefault="00940A9C" w:rsidP="00940A9C">
            <w:pPr>
              <w:rPr>
                <w:lang w:val="de-DE"/>
              </w:rPr>
            </w:pPr>
          </w:p>
        </w:tc>
        <w:tc>
          <w:tcPr>
            <w:tcW w:w="2551" w:type="dxa"/>
          </w:tcPr>
          <w:p w14:paraId="2CEEF713" w14:textId="77777777" w:rsidR="00940A9C" w:rsidRPr="00940A9C" w:rsidRDefault="00940A9C" w:rsidP="00940A9C">
            <w:pPr>
              <w:suppressAutoHyphens w:val="0"/>
              <w:spacing w:line="240" w:lineRule="auto"/>
              <w:rPr>
                <w:lang w:val="de-DE"/>
              </w:rPr>
            </w:pPr>
            <w:r w:rsidRPr="00940A9C">
              <w:rPr>
                <w:lang w:val="de-DE"/>
              </w:rPr>
              <w:t>Mit Öffnungsdruck Überdruck-/Hochgeschwindigkeitsventil 50 kPa (mit Kühlung (Ziffer 1 in Spalte (9)))</w:t>
            </w:r>
          </w:p>
        </w:tc>
      </w:tr>
      <w:tr w:rsidR="00940A9C" w:rsidRPr="00ED4EA8" w14:paraId="78CE79ED" w14:textId="77777777" w:rsidTr="006F3945">
        <w:tc>
          <w:tcPr>
            <w:tcW w:w="1842" w:type="dxa"/>
          </w:tcPr>
          <w:p w14:paraId="40582E4D" w14:textId="77777777" w:rsidR="00940A9C" w:rsidRPr="00940A9C" w:rsidRDefault="00940A9C" w:rsidP="00940A9C">
            <w:pPr>
              <w:rPr>
                <w:lang w:val="de-DE"/>
              </w:rPr>
            </w:pPr>
          </w:p>
        </w:tc>
        <w:tc>
          <w:tcPr>
            <w:tcW w:w="1560" w:type="dxa"/>
          </w:tcPr>
          <w:p w14:paraId="11F51206" w14:textId="77777777" w:rsidR="00940A9C" w:rsidRPr="00940A9C" w:rsidRDefault="00940A9C" w:rsidP="00940A9C">
            <w:pPr>
              <w:rPr>
                <w:lang w:val="de-DE"/>
              </w:rPr>
            </w:pPr>
            <w:r w:rsidRPr="00940A9C">
              <w:rPr>
                <w:lang w:val="de-DE"/>
              </w:rPr>
              <w:t xml:space="preserve">150 kPa ≤ P </w:t>
            </w:r>
            <w:r w:rsidRPr="00940A9C">
              <w:rPr>
                <w:vertAlign w:val="subscript"/>
                <w:lang w:val="de-DE"/>
              </w:rPr>
              <w:t xml:space="preserve">d 50 </w:t>
            </w:r>
            <w:r w:rsidRPr="00940A9C">
              <w:rPr>
                <w:vertAlign w:val="subscript"/>
                <w:lang w:val="de-DE"/>
              </w:rPr>
              <w:br/>
            </w:r>
            <w:r w:rsidRPr="00940A9C">
              <w:rPr>
                <w:lang w:val="de-DE"/>
              </w:rPr>
              <w:t>&lt; 175 kPa</w:t>
            </w:r>
          </w:p>
        </w:tc>
        <w:tc>
          <w:tcPr>
            <w:tcW w:w="1559" w:type="dxa"/>
          </w:tcPr>
          <w:p w14:paraId="01C11FB0" w14:textId="77777777" w:rsidR="00940A9C" w:rsidRPr="00940A9C" w:rsidRDefault="00940A9C" w:rsidP="00940A9C">
            <w:pPr>
              <w:rPr>
                <w:lang w:val="de-DE"/>
              </w:rPr>
            </w:pPr>
            <w:r w:rsidRPr="00940A9C">
              <w:rPr>
                <w:lang w:val="de-DE"/>
              </w:rPr>
              <w:t xml:space="preserve">110 kPa ≤ P </w:t>
            </w:r>
            <w:r w:rsidRPr="00940A9C">
              <w:rPr>
                <w:vertAlign w:val="subscript"/>
                <w:lang w:val="de-DE"/>
              </w:rPr>
              <w:t xml:space="preserve">d 50 </w:t>
            </w:r>
            <w:r w:rsidRPr="00940A9C">
              <w:rPr>
                <w:vertAlign w:val="subscript"/>
                <w:lang w:val="de-DE"/>
              </w:rPr>
              <w:br/>
            </w:r>
            <w:r w:rsidRPr="00940A9C">
              <w:rPr>
                <w:lang w:val="de-DE"/>
              </w:rPr>
              <w:t>&lt; 150 kPa, ohne Berieselung</w:t>
            </w:r>
          </w:p>
        </w:tc>
        <w:tc>
          <w:tcPr>
            <w:tcW w:w="1555" w:type="dxa"/>
          </w:tcPr>
          <w:p w14:paraId="68E95C8E" w14:textId="77777777" w:rsidR="00940A9C" w:rsidRPr="00940A9C" w:rsidRDefault="00940A9C" w:rsidP="00940A9C">
            <w:pPr>
              <w:rPr>
                <w:lang w:val="de-DE"/>
              </w:rPr>
            </w:pPr>
          </w:p>
        </w:tc>
        <w:tc>
          <w:tcPr>
            <w:tcW w:w="2126" w:type="dxa"/>
          </w:tcPr>
          <w:p w14:paraId="5B90A793" w14:textId="77777777" w:rsidR="00940A9C" w:rsidRPr="00940A9C" w:rsidRDefault="00940A9C" w:rsidP="00940A9C">
            <w:pPr>
              <w:rPr>
                <w:lang w:val="de-DE"/>
              </w:rPr>
            </w:pPr>
          </w:p>
        </w:tc>
        <w:tc>
          <w:tcPr>
            <w:tcW w:w="2552" w:type="dxa"/>
          </w:tcPr>
          <w:p w14:paraId="5779AA23" w14:textId="77777777" w:rsidR="00940A9C" w:rsidRPr="00940A9C" w:rsidRDefault="00940A9C" w:rsidP="00940A9C">
            <w:pPr>
              <w:rPr>
                <w:lang w:val="de-DE"/>
              </w:rPr>
            </w:pPr>
          </w:p>
        </w:tc>
        <w:tc>
          <w:tcPr>
            <w:tcW w:w="2551" w:type="dxa"/>
          </w:tcPr>
          <w:p w14:paraId="7180E497" w14:textId="77777777" w:rsidR="00940A9C" w:rsidRPr="00940A9C" w:rsidRDefault="00940A9C" w:rsidP="00940A9C">
            <w:pPr>
              <w:suppressAutoHyphens w:val="0"/>
              <w:spacing w:line="240" w:lineRule="auto"/>
              <w:rPr>
                <w:lang w:val="de-DE"/>
              </w:rPr>
            </w:pPr>
            <w:r w:rsidRPr="00940A9C">
              <w:rPr>
                <w:lang w:val="de-DE"/>
              </w:rPr>
              <w:t>Mit Öffnungsdruck Überdruck-/Hochgeschwindigkeitsventil 50 kPa</w:t>
            </w:r>
          </w:p>
        </w:tc>
      </w:tr>
      <w:tr w:rsidR="00940A9C" w:rsidRPr="00ED4EA8" w14:paraId="4A425FFB" w14:textId="77777777" w:rsidTr="006F3945">
        <w:tc>
          <w:tcPr>
            <w:tcW w:w="1842" w:type="dxa"/>
          </w:tcPr>
          <w:p w14:paraId="242869B8" w14:textId="77777777" w:rsidR="00940A9C" w:rsidRPr="00940A9C" w:rsidRDefault="00940A9C" w:rsidP="00940A9C">
            <w:pPr>
              <w:rPr>
                <w:lang w:val="de-DE"/>
              </w:rPr>
            </w:pPr>
          </w:p>
        </w:tc>
        <w:tc>
          <w:tcPr>
            <w:tcW w:w="1560" w:type="dxa"/>
          </w:tcPr>
          <w:p w14:paraId="3D6C6B9F" w14:textId="77777777" w:rsidR="00940A9C" w:rsidRPr="00940A9C" w:rsidRDefault="00940A9C" w:rsidP="00940A9C">
            <w:pPr>
              <w:rPr>
                <w:lang w:val="de-DE"/>
              </w:rPr>
            </w:pPr>
          </w:p>
        </w:tc>
        <w:tc>
          <w:tcPr>
            <w:tcW w:w="1559" w:type="dxa"/>
          </w:tcPr>
          <w:p w14:paraId="036979F3" w14:textId="77777777" w:rsidR="00940A9C" w:rsidRPr="00940A9C" w:rsidRDefault="00940A9C" w:rsidP="00940A9C">
            <w:pPr>
              <w:rPr>
                <w:strike/>
                <w:lang w:val="de-DE"/>
              </w:rPr>
            </w:pPr>
            <w:r w:rsidRPr="00940A9C">
              <w:rPr>
                <w:lang w:val="de-DE"/>
              </w:rPr>
              <w:t xml:space="preserve">110 kPa </w:t>
            </w:r>
            <w:r w:rsidRPr="00940A9C">
              <w:rPr>
                <w:lang w:val="de-DE"/>
              </w:rPr>
              <w:sym w:font="Symbol" w:char="F0A3"/>
            </w:r>
            <w:r w:rsidRPr="00940A9C">
              <w:rPr>
                <w:lang w:val="de-DE"/>
              </w:rPr>
              <w:t xml:space="preserve"> P </w:t>
            </w:r>
            <w:r w:rsidRPr="00940A9C">
              <w:rPr>
                <w:vertAlign w:val="subscript"/>
                <w:lang w:val="de-DE"/>
              </w:rPr>
              <w:t xml:space="preserve">d 50 </w:t>
            </w:r>
            <w:r w:rsidRPr="00940A9C">
              <w:rPr>
                <w:lang w:val="de-DE"/>
              </w:rPr>
              <w:t>&lt; 150 kPa, mit Berieselung</w:t>
            </w:r>
          </w:p>
        </w:tc>
        <w:tc>
          <w:tcPr>
            <w:tcW w:w="1555" w:type="dxa"/>
          </w:tcPr>
          <w:p w14:paraId="007801D3" w14:textId="77777777" w:rsidR="00940A9C" w:rsidRPr="00940A9C" w:rsidRDefault="00940A9C" w:rsidP="00940A9C">
            <w:pPr>
              <w:rPr>
                <w:strike/>
                <w:lang w:val="de-DE"/>
              </w:rPr>
            </w:pPr>
          </w:p>
        </w:tc>
        <w:tc>
          <w:tcPr>
            <w:tcW w:w="2126" w:type="dxa"/>
          </w:tcPr>
          <w:p w14:paraId="16EAA504" w14:textId="77777777" w:rsidR="00940A9C" w:rsidRPr="00940A9C" w:rsidRDefault="00940A9C" w:rsidP="00940A9C">
            <w:pPr>
              <w:rPr>
                <w:strike/>
                <w:lang w:val="de-DE"/>
              </w:rPr>
            </w:pPr>
          </w:p>
        </w:tc>
        <w:tc>
          <w:tcPr>
            <w:tcW w:w="2552" w:type="dxa"/>
          </w:tcPr>
          <w:p w14:paraId="42C9481F" w14:textId="77777777" w:rsidR="00940A9C" w:rsidRPr="00940A9C" w:rsidRDefault="00940A9C" w:rsidP="00940A9C">
            <w:pPr>
              <w:rPr>
                <w:lang w:val="de-DE"/>
              </w:rPr>
            </w:pPr>
            <w:r w:rsidRPr="00940A9C">
              <w:rPr>
                <w:lang w:val="de-DE"/>
              </w:rPr>
              <w:t>Tankinnenüberdruck &gt; 10 kPa (Berechnung des Dampfdrucks nach der Formel für Spalte (10), jedoch v</w:t>
            </w:r>
            <w:r w:rsidRPr="00940A9C">
              <w:rPr>
                <w:vertAlign w:val="subscript"/>
                <w:lang w:val="de-DE"/>
              </w:rPr>
              <w:t>a</w:t>
            </w:r>
            <w:r w:rsidRPr="00940A9C">
              <w:rPr>
                <w:lang w:val="de-DE"/>
              </w:rPr>
              <w:t xml:space="preserve"> = 0,03)</w:t>
            </w:r>
          </w:p>
        </w:tc>
        <w:tc>
          <w:tcPr>
            <w:tcW w:w="2551" w:type="dxa"/>
          </w:tcPr>
          <w:p w14:paraId="3EE09F0C" w14:textId="77777777" w:rsidR="00940A9C" w:rsidRPr="00940A9C" w:rsidRDefault="00940A9C" w:rsidP="00940A9C">
            <w:pPr>
              <w:suppressAutoHyphens w:val="0"/>
              <w:spacing w:line="240" w:lineRule="auto"/>
              <w:rPr>
                <w:lang w:val="de-DE"/>
              </w:rPr>
            </w:pPr>
            <w:r w:rsidRPr="00940A9C">
              <w:rPr>
                <w:lang w:val="de-DE"/>
              </w:rPr>
              <w:t>Mit Öffnungsdruck Überdruck-/Hochgeschwindigkeitsventil 10 kPa (mit Berieselung (Ziffer 3 in Spalte (9)))</w:t>
            </w:r>
          </w:p>
        </w:tc>
      </w:tr>
      <w:tr w:rsidR="00940A9C" w:rsidRPr="00ED4EA8" w14:paraId="4677122E" w14:textId="77777777" w:rsidTr="006F3945">
        <w:tc>
          <w:tcPr>
            <w:tcW w:w="1842" w:type="dxa"/>
          </w:tcPr>
          <w:p w14:paraId="6F690B1B" w14:textId="77777777" w:rsidR="00940A9C" w:rsidRPr="00940A9C" w:rsidRDefault="00940A9C" w:rsidP="00940A9C">
            <w:pPr>
              <w:rPr>
                <w:lang w:val="de-DE"/>
              </w:rPr>
            </w:pPr>
          </w:p>
        </w:tc>
        <w:tc>
          <w:tcPr>
            <w:tcW w:w="1560" w:type="dxa"/>
          </w:tcPr>
          <w:p w14:paraId="2BDBEC5E" w14:textId="77777777" w:rsidR="00940A9C" w:rsidRPr="00940A9C" w:rsidRDefault="00940A9C" w:rsidP="00940A9C">
            <w:pPr>
              <w:rPr>
                <w:lang w:val="de-DE"/>
              </w:rPr>
            </w:pPr>
          </w:p>
        </w:tc>
        <w:tc>
          <w:tcPr>
            <w:tcW w:w="1559" w:type="dxa"/>
          </w:tcPr>
          <w:p w14:paraId="2F0798CF" w14:textId="77777777" w:rsidR="00940A9C" w:rsidRPr="00940A9C" w:rsidRDefault="00940A9C" w:rsidP="00940A9C">
            <w:pPr>
              <w:rPr>
                <w:lang w:val="de-DE"/>
              </w:rPr>
            </w:pPr>
          </w:p>
        </w:tc>
        <w:tc>
          <w:tcPr>
            <w:tcW w:w="1555" w:type="dxa"/>
          </w:tcPr>
          <w:p w14:paraId="517DFBB0" w14:textId="77777777" w:rsidR="00940A9C" w:rsidRPr="00940A9C" w:rsidRDefault="00940A9C" w:rsidP="00940A9C">
            <w:pPr>
              <w:rPr>
                <w:lang w:val="de-DE"/>
              </w:rPr>
            </w:pPr>
            <w:r w:rsidRPr="00940A9C">
              <w:rPr>
                <w:lang w:val="de-DE"/>
              </w:rPr>
              <w:t xml:space="preserve">P </w:t>
            </w:r>
            <w:r w:rsidRPr="00940A9C">
              <w:rPr>
                <w:vertAlign w:val="subscript"/>
                <w:lang w:val="de-DE"/>
              </w:rPr>
              <w:t>d 50</w:t>
            </w:r>
            <w:r w:rsidRPr="00940A9C">
              <w:rPr>
                <w:lang w:val="de-DE"/>
              </w:rPr>
              <w:t xml:space="preserve"> &lt; 110 kPa</w:t>
            </w:r>
          </w:p>
        </w:tc>
        <w:tc>
          <w:tcPr>
            <w:tcW w:w="2126" w:type="dxa"/>
          </w:tcPr>
          <w:p w14:paraId="692D7B82" w14:textId="77777777" w:rsidR="00940A9C" w:rsidRPr="00940A9C" w:rsidRDefault="00940A9C" w:rsidP="00940A9C">
            <w:pPr>
              <w:rPr>
                <w:lang w:val="de-DE"/>
              </w:rPr>
            </w:pPr>
            <w:r w:rsidRPr="00940A9C">
              <w:rPr>
                <w:color w:val="000000"/>
                <w:lang w:val="de-DE"/>
              </w:rPr>
              <w:t xml:space="preserve">Verpackungsgruppe I oder II mit P </w:t>
            </w:r>
            <w:r w:rsidRPr="00940A9C">
              <w:rPr>
                <w:color w:val="000000"/>
                <w:vertAlign w:val="subscript"/>
                <w:lang w:val="de-DE"/>
              </w:rPr>
              <w:t>d 50</w:t>
            </w:r>
            <w:r w:rsidRPr="00940A9C">
              <w:rPr>
                <w:color w:val="000000"/>
                <w:lang w:val="de-DE"/>
              </w:rPr>
              <w:t xml:space="preserve"> &gt; 12,5 kPa oder mit Wasser gefährlich reagierend oder mit gelösten Gasen</w:t>
            </w:r>
            <w:r w:rsidRPr="00940A9C">
              <w:rPr>
                <w:lang w:val="de-DE"/>
              </w:rPr>
              <w:t xml:space="preserve"> </w:t>
            </w:r>
          </w:p>
        </w:tc>
        <w:tc>
          <w:tcPr>
            <w:tcW w:w="2552" w:type="dxa"/>
          </w:tcPr>
          <w:p w14:paraId="10E80BA3" w14:textId="77777777" w:rsidR="00940A9C" w:rsidRPr="00940A9C" w:rsidRDefault="00940A9C" w:rsidP="00940A9C">
            <w:pPr>
              <w:rPr>
                <w:lang w:val="de-DE"/>
              </w:rPr>
            </w:pPr>
            <w:r w:rsidRPr="00940A9C">
              <w:rPr>
                <w:lang w:val="de-DE"/>
              </w:rPr>
              <w:t>Tankinnenüberdruck ≤ 10 kPa (Berechnung des Dampfdrucks nach der Formel für Spalte (10), jedoch v</w:t>
            </w:r>
            <w:r w:rsidRPr="00940A9C">
              <w:rPr>
                <w:vertAlign w:val="subscript"/>
                <w:lang w:val="de-DE"/>
              </w:rPr>
              <w:t>a</w:t>
            </w:r>
            <w:r w:rsidRPr="00940A9C">
              <w:rPr>
                <w:lang w:val="de-DE"/>
              </w:rPr>
              <w:t xml:space="preserve"> = 0,03)</w:t>
            </w:r>
          </w:p>
        </w:tc>
        <w:tc>
          <w:tcPr>
            <w:tcW w:w="2551" w:type="dxa"/>
          </w:tcPr>
          <w:p w14:paraId="311324C9" w14:textId="77777777" w:rsidR="00940A9C" w:rsidRPr="00940A9C" w:rsidRDefault="00940A9C" w:rsidP="00940A9C">
            <w:pPr>
              <w:suppressAutoHyphens w:val="0"/>
              <w:spacing w:line="240" w:lineRule="auto"/>
              <w:rPr>
                <w:lang w:val="de-DE"/>
              </w:rPr>
            </w:pPr>
            <w:r w:rsidRPr="00940A9C">
              <w:rPr>
                <w:lang w:val="de-DE"/>
              </w:rPr>
              <w:t>Mit Öffnungsdruck Überdruck-/Hochgeschwindigkeitsventil 10 kPa</w:t>
            </w:r>
          </w:p>
        </w:tc>
      </w:tr>
    </w:tbl>
    <w:p w14:paraId="61013C69" w14:textId="77777777" w:rsidR="00940A9C" w:rsidRPr="00940A9C" w:rsidRDefault="00940A9C" w:rsidP="00940A9C">
      <w:pPr>
        <w:spacing w:after="120"/>
        <w:ind w:left="1134" w:right="1134"/>
        <w:jc w:val="both"/>
        <w:rPr>
          <w:lang w:val="de-DE"/>
        </w:rPr>
      </w:pPr>
    </w:p>
    <w:p w14:paraId="3BC205AB" w14:textId="77777777" w:rsidR="005E21E2" w:rsidRDefault="005E21E2" w:rsidP="005E21E2">
      <w:pPr>
        <w:spacing w:after="120"/>
        <w:ind w:left="1134" w:right="1134"/>
        <w:jc w:val="right"/>
        <w:rPr>
          <w:i/>
          <w:lang w:val="de-DE"/>
        </w:rPr>
      </w:pPr>
      <w:bookmarkStart w:id="99" w:name="_Hlk88638086"/>
      <w:r w:rsidRPr="00940A9C">
        <w:rPr>
          <w:lang w:val="de-DE"/>
        </w:rPr>
        <w:t>“.</w:t>
      </w:r>
      <w:r w:rsidRPr="00940A9C">
        <w:rPr>
          <w:i/>
          <w:lang w:val="de-DE"/>
        </w:rPr>
        <w:t xml:space="preserve"> </w:t>
      </w:r>
    </w:p>
    <w:bookmarkEnd w:id="99"/>
    <w:p w14:paraId="07776FD9" w14:textId="38FC2270" w:rsidR="00940A9C" w:rsidRPr="00940A9C" w:rsidRDefault="00940A9C" w:rsidP="00940A9C">
      <w:pPr>
        <w:spacing w:before="240" w:after="120"/>
        <w:ind w:left="1134" w:right="1134"/>
        <w:jc w:val="both"/>
        <w:rPr>
          <w:i/>
          <w:lang w:val="de-DE"/>
        </w:rPr>
      </w:pPr>
      <w:r w:rsidRPr="00940A9C">
        <w:rPr>
          <w:i/>
          <w:lang w:val="de-DE"/>
        </w:rPr>
        <w:t>(Referenzdokument: ECE/TRANS/WP.15/AC.2/2021/28, wie geändert)</w:t>
      </w:r>
    </w:p>
    <w:p w14:paraId="0C0A9A4C" w14:textId="77777777" w:rsidR="00940A9C" w:rsidRPr="00940A9C" w:rsidRDefault="00940A9C" w:rsidP="00940A9C">
      <w:pPr>
        <w:rPr>
          <w:lang w:val="de-DE"/>
        </w:rPr>
      </w:pPr>
    </w:p>
    <w:p w14:paraId="0DCE0D82" w14:textId="77777777" w:rsidR="00940A9C" w:rsidRPr="00940A9C" w:rsidRDefault="00940A9C" w:rsidP="00940A9C">
      <w:pPr>
        <w:rPr>
          <w:lang w:val="de-DE"/>
        </w:rPr>
        <w:sectPr w:rsidR="00940A9C" w:rsidRPr="00940A9C" w:rsidSect="00181181">
          <w:headerReference w:type="even" r:id="rId22"/>
          <w:headerReference w:type="default" r:id="rId23"/>
          <w:footerReference w:type="even" r:id="rId24"/>
          <w:footerReference w:type="default" r:id="rId25"/>
          <w:endnotePr>
            <w:numFmt w:val="decimal"/>
          </w:endnotePr>
          <w:pgSz w:w="16840" w:h="11907" w:orient="landscape" w:code="9"/>
          <w:pgMar w:top="1134" w:right="1417" w:bottom="1134" w:left="1134" w:header="567" w:footer="567" w:gutter="0"/>
          <w:cols w:space="720"/>
          <w:docGrid w:linePitch="272"/>
        </w:sectPr>
      </w:pPr>
    </w:p>
    <w:p w14:paraId="34E8FB09" w14:textId="77777777" w:rsidR="00940A9C" w:rsidRPr="00940A9C" w:rsidRDefault="00940A9C" w:rsidP="00BD3637">
      <w:pPr>
        <w:keepNext/>
        <w:keepLines/>
        <w:tabs>
          <w:tab w:val="right" w:pos="851"/>
        </w:tabs>
        <w:spacing w:after="120" w:line="240" w:lineRule="exact"/>
        <w:ind w:left="1134" w:right="1134" w:hanging="1134"/>
        <w:rPr>
          <w:b/>
          <w:lang w:val="de-DE"/>
        </w:rPr>
      </w:pPr>
      <w:r w:rsidRPr="00940A9C">
        <w:rPr>
          <w:b/>
          <w:lang w:val="de-DE"/>
        </w:rPr>
        <w:tab/>
      </w:r>
      <w:r w:rsidRPr="00940A9C">
        <w:rPr>
          <w:b/>
          <w:lang w:val="de-DE"/>
        </w:rPr>
        <w:tab/>
        <w:t>Kapitel 7.2</w:t>
      </w:r>
    </w:p>
    <w:p w14:paraId="68F354B2" w14:textId="77777777" w:rsidR="00940A9C" w:rsidRPr="00940A9C" w:rsidRDefault="00940A9C" w:rsidP="00940A9C">
      <w:pPr>
        <w:spacing w:after="120"/>
        <w:ind w:left="1134" w:right="1134"/>
        <w:jc w:val="both"/>
        <w:rPr>
          <w:lang w:val="de-DE"/>
        </w:rPr>
      </w:pPr>
      <w:r w:rsidRPr="00940A9C">
        <w:rPr>
          <w:lang w:val="de-DE"/>
        </w:rPr>
        <w:t>7.2.4.41</w:t>
      </w:r>
      <w:r w:rsidRPr="00940A9C">
        <w:rPr>
          <w:lang w:val="de-DE"/>
        </w:rPr>
        <w:tab/>
        <w:t>Im ersten Satz, nach „</w:t>
      </w:r>
      <w:r w:rsidRPr="00940A9C">
        <w:rPr>
          <w:lang w:val="de-DE" w:eastAsia="en-US"/>
        </w:rPr>
        <w:t>und das Rauchen“</w:t>
      </w:r>
      <w:r w:rsidRPr="00940A9C">
        <w:rPr>
          <w:lang w:val="de-DE"/>
        </w:rPr>
        <w:t xml:space="preserve"> einfügen: „, einschließlich elektronischer Zigaretten,“.</w:t>
      </w:r>
    </w:p>
    <w:p w14:paraId="5A0514FE" w14:textId="77777777" w:rsidR="00940A9C" w:rsidRPr="00940A9C" w:rsidRDefault="00940A9C" w:rsidP="00940A9C">
      <w:pPr>
        <w:spacing w:after="120"/>
        <w:ind w:left="1134" w:right="1134"/>
        <w:jc w:val="both"/>
        <w:rPr>
          <w:lang w:val="de-DE"/>
        </w:rPr>
      </w:pPr>
      <w:r w:rsidRPr="00940A9C">
        <w:rPr>
          <w:i/>
          <w:lang w:val="de-DE"/>
        </w:rPr>
        <w:t>(Referenzdokument: ECE/TRANS/WP.15/AC.2/2021/17)</w:t>
      </w:r>
    </w:p>
    <w:p w14:paraId="1003366F" w14:textId="77777777" w:rsidR="00940A9C" w:rsidRPr="00940A9C" w:rsidRDefault="00940A9C" w:rsidP="00940A9C">
      <w:pPr>
        <w:spacing w:after="120"/>
        <w:ind w:left="1134" w:right="1134"/>
        <w:jc w:val="both"/>
        <w:rPr>
          <w:lang w:val="de-DE"/>
        </w:rPr>
      </w:pPr>
      <w:r w:rsidRPr="00940A9C">
        <w:rPr>
          <w:lang w:val="de-DE"/>
        </w:rPr>
        <w:t>7.2.5.4.2</w:t>
      </w:r>
      <w:r w:rsidRPr="00940A9C">
        <w:rPr>
          <w:lang w:val="de-DE"/>
        </w:rPr>
        <w:tab/>
        <w:t>„nach Abschnitt 8.2.1“ ändern in: „nach Abschnitt 8.2.1.2“.</w:t>
      </w:r>
    </w:p>
    <w:p w14:paraId="664BF1DA" w14:textId="77777777" w:rsidR="00940A9C" w:rsidRPr="00940A9C" w:rsidRDefault="00940A9C" w:rsidP="00940A9C">
      <w:pPr>
        <w:spacing w:after="120"/>
        <w:ind w:left="1134" w:right="1134"/>
        <w:jc w:val="both"/>
        <w:rPr>
          <w:i/>
          <w:lang w:val="de-DE"/>
        </w:rPr>
      </w:pPr>
      <w:r w:rsidRPr="00940A9C">
        <w:rPr>
          <w:i/>
          <w:lang w:val="de-DE"/>
        </w:rPr>
        <w:t>(Referenzdokument: ECE/TRANS/WP.15/AC.2/2021/19, wie geändert)</w:t>
      </w:r>
    </w:p>
    <w:p w14:paraId="0A8A1483" w14:textId="77777777" w:rsidR="00940A9C" w:rsidRPr="00940A9C" w:rsidRDefault="00940A9C" w:rsidP="00940A9C">
      <w:pPr>
        <w:keepNext/>
        <w:keepLines/>
        <w:tabs>
          <w:tab w:val="right" w:pos="851"/>
        </w:tabs>
        <w:spacing w:before="240" w:after="120" w:line="240" w:lineRule="exact"/>
        <w:ind w:left="1134" w:right="1134" w:hanging="1134"/>
        <w:rPr>
          <w:b/>
          <w:lang w:val="de-DE"/>
        </w:rPr>
      </w:pPr>
      <w:r w:rsidRPr="00940A9C">
        <w:rPr>
          <w:b/>
          <w:lang w:val="de-DE"/>
        </w:rPr>
        <w:tab/>
      </w:r>
      <w:r w:rsidRPr="00940A9C">
        <w:rPr>
          <w:b/>
          <w:lang w:val="de-DE"/>
        </w:rPr>
        <w:tab/>
      </w:r>
      <w:r w:rsidRPr="00940A9C">
        <w:rPr>
          <w:b/>
          <w:lang w:val="de-DE"/>
        </w:rPr>
        <w:tab/>
        <w:t>Kapitel 8.2</w:t>
      </w:r>
    </w:p>
    <w:p w14:paraId="6E4190AC" w14:textId="77777777" w:rsidR="00940A9C" w:rsidRPr="00940A9C" w:rsidRDefault="00940A9C" w:rsidP="00940A9C">
      <w:pPr>
        <w:spacing w:after="120"/>
        <w:ind w:left="1134" w:right="1134"/>
        <w:jc w:val="both"/>
        <w:rPr>
          <w:lang w:val="de-DE"/>
        </w:rPr>
      </w:pPr>
      <w:r w:rsidRPr="00940A9C">
        <w:rPr>
          <w:lang w:val="de-DE"/>
        </w:rPr>
        <w:t>8.2.2.7.2.1</w:t>
      </w:r>
      <w:r w:rsidRPr="00940A9C">
        <w:rPr>
          <w:lang w:val="de-DE"/>
        </w:rPr>
        <w:tab/>
        <w:t>Der zweite Satz erhält folgenden Wortlaut: „Diese kann entweder unmittelbar nach dem Lehrgang oder innerhalb von sechs Monaten nach Lehrgangsende durchgeführt werden.“.</w:t>
      </w:r>
    </w:p>
    <w:p w14:paraId="64580155" w14:textId="77777777" w:rsidR="00940A9C" w:rsidRPr="00940A9C" w:rsidRDefault="00940A9C" w:rsidP="00940A9C">
      <w:pPr>
        <w:spacing w:after="120"/>
        <w:ind w:left="1134" w:right="1134"/>
        <w:jc w:val="both"/>
        <w:rPr>
          <w:i/>
          <w:lang w:val="de-DE"/>
        </w:rPr>
      </w:pPr>
      <w:r w:rsidRPr="00940A9C">
        <w:rPr>
          <w:i/>
          <w:lang w:val="de-DE"/>
        </w:rPr>
        <w:t>(Referenzdokument: ECE/TRANS/WP.15/AC.2/2021/21)</w:t>
      </w:r>
    </w:p>
    <w:p w14:paraId="1F37F49F" w14:textId="77777777" w:rsidR="00940A9C" w:rsidRPr="00940A9C" w:rsidRDefault="00940A9C" w:rsidP="00940A9C">
      <w:pPr>
        <w:keepNext/>
        <w:keepLines/>
        <w:tabs>
          <w:tab w:val="right" w:pos="851"/>
        </w:tabs>
        <w:spacing w:before="240" w:after="120" w:line="240" w:lineRule="exact"/>
        <w:ind w:left="1134" w:right="1134" w:hanging="1134"/>
        <w:rPr>
          <w:b/>
          <w:lang w:val="de-DE"/>
        </w:rPr>
      </w:pPr>
      <w:r w:rsidRPr="00940A9C">
        <w:rPr>
          <w:b/>
          <w:lang w:val="de-DE"/>
        </w:rPr>
        <w:tab/>
      </w:r>
      <w:r w:rsidRPr="00940A9C">
        <w:rPr>
          <w:b/>
          <w:lang w:val="de-DE"/>
        </w:rPr>
        <w:tab/>
      </w:r>
      <w:r w:rsidRPr="00940A9C">
        <w:rPr>
          <w:b/>
          <w:lang w:val="de-DE"/>
        </w:rPr>
        <w:tab/>
        <w:t>Kapitel 8.6</w:t>
      </w:r>
    </w:p>
    <w:p w14:paraId="40B029F7" w14:textId="77777777" w:rsidR="00940A9C" w:rsidRPr="00940A9C" w:rsidRDefault="00940A9C" w:rsidP="00940A9C">
      <w:pPr>
        <w:spacing w:after="120"/>
        <w:ind w:left="1134"/>
        <w:jc w:val="both"/>
        <w:rPr>
          <w:rFonts w:cs="Arial"/>
          <w:sz w:val="18"/>
          <w:lang w:val="de-DE"/>
        </w:rPr>
      </w:pPr>
      <w:r w:rsidRPr="00940A9C">
        <w:rPr>
          <w:color w:val="000000"/>
          <w:lang w:val="de-DE"/>
        </w:rPr>
        <w:t>8.6.1.1 und 8.6.1.2</w:t>
      </w:r>
      <w:r w:rsidRPr="00940A9C">
        <w:rPr>
          <w:color w:val="000000"/>
          <w:lang w:val="de-DE"/>
        </w:rPr>
        <w:tab/>
        <w:t>Punkt 4, „</w:t>
      </w:r>
      <w:r w:rsidRPr="00940A9C">
        <w:rPr>
          <w:rFonts w:cs="Arial"/>
          <w:sz w:val="18"/>
          <w:lang w:val="de-DE"/>
        </w:rPr>
        <w:t>Zusätzliche Anforderungen“ ändern in: „Anforderungen“.</w:t>
      </w:r>
    </w:p>
    <w:p w14:paraId="4146B708" w14:textId="77777777" w:rsidR="00940A9C" w:rsidRPr="00940A9C" w:rsidRDefault="00940A9C" w:rsidP="00940A9C">
      <w:pPr>
        <w:spacing w:after="120"/>
        <w:ind w:left="1134" w:right="1134"/>
        <w:jc w:val="both"/>
        <w:rPr>
          <w:i/>
          <w:lang w:val="de-DE"/>
        </w:rPr>
      </w:pPr>
      <w:r w:rsidRPr="00940A9C">
        <w:rPr>
          <w:i/>
          <w:lang w:val="de-DE"/>
        </w:rPr>
        <w:t>(Referenzdokument: informelles Dokument INF.20)</w:t>
      </w:r>
    </w:p>
    <w:p w14:paraId="50E880A0" w14:textId="4B83352C" w:rsidR="00940A9C" w:rsidRPr="00940A9C" w:rsidRDefault="00940A9C" w:rsidP="00940A9C">
      <w:pPr>
        <w:spacing w:after="120"/>
        <w:ind w:left="1134" w:right="1134"/>
        <w:jc w:val="both"/>
        <w:rPr>
          <w:iCs/>
          <w:lang w:val="de-DE"/>
        </w:rPr>
      </w:pPr>
      <w:r w:rsidRPr="00940A9C">
        <w:rPr>
          <w:iCs/>
          <w:lang w:val="de-DE"/>
        </w:rPr>
        <w:t>8.6.1.1</w:t>
      </w:r>
      <w:r w:rsidRPr="00940A9C">
        <w:rPr>
          <w:iCs/>
          <w:lang w:val="de-DE"/>
        </w:rPr>
        <w:tab/>
      </w:r>
      <w:r w:rsidRPr="00940A9C">
        <w:rPr>
          <w:iCs/>
          <w:lang w:val="de-DE"/>
        </w:rPr>
        <w:tab/>
      </w:r>
      <w:r w:rsidR="005E21E2">
        <w:rPr>
          <w:iCs/>
          <w:lang w:val="de-DE"/>
        </w:rPr>
        <w:tab/>
      </w:r>
      <w:r w:rsidRPr="00940A9C">
        <w:rPr>
          <w:iCs/>
          <w:lang w:val="de-DE"/>
        </w:rPr>
        <w:t>Punkt 8</w:t>
      </w:r>
      <w:r w:rsidR="005E21E2">
        <w:rPr>
          <w:iCs/>
          <w:lang w:val="de-DE"/>
        </w:rPr>
        <w:t xml:space="preserve">, </w:t>
      </w:r>
      <w:r w:rsidRPr="00940A9C">
        <w:rPr>
          <w:iCs/>
          <w:lang w:val="de-DE"/>
        </w:rPr>
        <w:t xml:space="preserve">Der einleitende Text erhält folgenden Wortlaut: </w:t>
      </w:r>
      <w:r w:rsidRPr="00114B63">
        <w:rPr>
          <w:iCs/>
          <w:lang w:val="de-DE"/>
        </w:rPr>
        <w:t xml:space="preserve">„Dieses Zeugnis </w:t>
      </w:r>
      <w:r w:rsidR="00CD5D81" w:rsidRPr="00114B63">
        <w:rPr>
          <w:iCs/>
          <w:lang w:val="de-DE"/>
        </w:rPr>
        <w:t xml:space="preserve">ist </w:t>
      </w:r>
      <w:r w:rsidRPr="00114B63">
        <w:rPr>
          <w:iCs/>
          <w:lang w:val="de-DE"/>
        </w:rPr>
        <w:t>ausgestellt auf der Grundlage von:“.</w:t>
      </w:r>
    </w:p>
    <w:p w14:paraId="029B6859" w14:textId="77777777" w:rsidR="00940A9C" w:rsidRPr="00940A9C" w:rsidRDefault="00940A9C" w:rsidP="00940A9C">
      <w:pPr>
        <w:spacing w:after="120"/>
        <w:ind w:left="1134" w:right="1134"/>
        <w:jc w:val="both"/>
        <w:rPr>
          <w:iCs/>
          <w:lang w:val="de-DE"/>
        </w:rPr>
      </w:pPr>
      <w:r w:rsidRPr="00940A9C">
        <w:rPr>
          <w:i/>
          <w:lang w:val="de-DE"/>
        </w:rPr>
        <w:t>(Referenzdokument: ECE/TRANS/WP.15/AC.2/2021/27, wie durch informelles Dokument INF.20 geändert)</w:t>
      </w:r>
    </w:p>
    <w:p w14:paraId="1EFED93A" w14:textId="77777777" w:rsidR="00940A9C" w:rsidRPr="00940A9C" w:rsidRDefault="00940A9C" w:rsidP="00940A9C">
      <w:pPr>
        <w:keepNext/>
        <w:keepLines/>
        <w:tabs>
          <w:tab w:val="right" w:pos="851"/>
        </w:tabs>
        <w:spacing w:before="240" w:after="120" w:line="240" w:lineRule="exact"/>
        <w:ind w:left="1134" w:right="1134" w:hanging="1134"/>
        <w:rPr>
          <w:b/>
          <w:lang w:val="de-DE"/>
        </w:rPr>
      </w:pPr>
      <w:r w:rsidRPr="00940A9C">
        <w:rPr>
          <w:b/>
          <w:lang w:val="de-DE"/>
        </w:rPr>
        <w:tab/>
      </w:r>
      <w:r w:rsidRPr="00940A9C">
        <w:rPr>
          <w:b/>
          <w:lang w:val="de-DE"/>
        </w:rPr>
        <w:tab/>
      </w:r>
      <w:r w:rsidRPr="00940A9C">
        <w:rPr>
          <w:b/>
          <w:lang w:val="de-DE"/>
        </w:rPr>
        <w:tab/>
        <w:t>Kapitel 9.3</w:t>
      </w:r>
    </w:p>
    <w:p w14:paraId="31E05712" w14:textId="74750F2D" w:rsidR="00940A9C" w:rsidRPr="00940A9C" w:rsidRDefault="00940A9C" w:rsidP="005E21E2">
      <w:pPr>
        <w:tabs>
          <w:tab w:val="left" w:pos="1843"/>
        </w:tabs>
        <w:spacing w:after="120"/>
        <w:ind w:left="1134" w:right="1134"/>
        <w:jc w:val="both"/>
        <w:rPr>
          <w:lang w:val="de-DE"/>
        </w:rPr>
      </w:pPr>
      <w:r w:rsidRPr="00940A9C">
        <w:rPr>
          <w:lang w:val="de-DE"/>
        </w:rPr>
        <w:t>9.3.1.0</w:t>
      </w:r>
      <w:r w:rsidRPr="00940A9C">
        <w:rPr>
          <w:lang w:val="de-DE"/>
        </w:rPr>
        <w:tab/>
        <w:t>Folgende Änderungen vornehmen:</w:t>
      </w:r>
    </w:p>
    <w:p w14:paraId="06792595" w14:textId="0DD92AEF" w:rsidR="00940A9C" w:rsidRPr="00114B63" w:rsidRDefault="00940A9C" w:rsidP="00940A9C">
      <w:pPr>
        <w:spacing w:after="120"/>
        <w:ind w:left="1843" w:right="1134"/>
        <w:jc w:val="both"/>
        <w:rPr>
          <w:bCs/>
          <w:lang w:val="de-DE"/>
        </w:rPr>
      </w:pPr>
      <w:r w:rsidRPr="00940A9C">
        <w:rPr>
          <w:lang w:val="de-DE"/>
        </w:rPr>
        <w:t xml:space="preserve">Den ersten Absatz von 9.3.1.0.1 a) in 9.3.1.0.1.1 </w:t>
      </w:r>
      <w:bookmarkStart w:id="101" w:name="_Hlk84847175"/>
      <w:r w:rsidRPr="00940A9C">
        <w:rPr>
          <w:lang w:val="de-DE"/>
        </w:rPr>
        <w:t>umnummerieren</w:t>
      </w:r>
      <w:bookmarkEnd w:id="101"/>
      <w:r w:rsidRPr="00940A9C">
        <w:rPr>
          <w:lang w:val="de-DE"/>
        </w:rPr>
        <w:t>. Am Ende, nach „</w:t>
      </w:r>
      <w:r w:rsidRPr="00940A9C">
        <w:rPr>
          <w:bCs/>
          <w:lang w:val="de-DE"/>
        </w:rPr>
        <w:t>gleichwertigen Metall gebaut sein“, einfügen: „,</w:t>
      </w:r>
      <w:r w:rsidRPr="00114B63">
        <w:rPr>
          <w:bCs/>
          <w:lang w:val="de-DE"/>
        </w:rPr>
        <w:t xml:space="preserve">Sonderbestimmungen der zusätzlichen Anforderungen/Bemerkungen der Spalte (20) der Tabelle C </w:t>
      </w:r>
      <w:r w:rsidRPr="00114B63">
        <w:rPr>
          <w:lang w:val="de-DE"/>
        </w:rPr>
        <w:t xml:space="preserve">des </w:t>
      </w:r>
      <w:r w:rsidR="00114B63" w:rsidRPr="00114B63">
        <w:rPr>
          <w:lang w:val="de-DE"/>
        </w:rPr>
        <w:t>Unterabschnittes 3.2.3.2</w:t>
      </w:r>
      <w:r w:rsidRPr="00114B63">
        <w:rPr>
          <w:lang w:val="de-DE"/>
        </w:rPr>
        <w:t xml:space="preserve"> </w:t>
      </w:r>
      <w:r w:rsidRPr="00114B63">
        <w:rPr>
          <w:bCs/>
          <w:lang w:val="de-DE"/>
        </w:rPr>
        <w:t>ausgenommen.“.</w:t>
      </w:r>
    </w:p>
    <w:p w14:paraId="70A38903" w14:textId="77777777" w:rsidR="00940A9C" w:rsidRPr="00114B63" w:rsidRDefault="00940A9C" w:rsidP="00940A9C">
      <w:pPr>
        <w:spacing w:after="120"/>
        <w:ind w:left="1843" w:right="1134"/>
        <w:jc w:val="both"/>
        <w:rPr>
          <w:lang w:val="de-DE"/>
        </w:rPr>
      </w:pPr>
      <w:r w:rsidRPr="00114B63">
        <w:rPr>
          <w:lang w:val="de-DE"/>
        </w:rPr>
        <w:t>Den zweiten Absatz von 9.3.1.0.1 a) in 9.3.1.0.1.2 umnummerieren.</w:t>
      </w:r>
    </w:p>
    <w:p w14:paraId="4CCC27A8" w14:textId="77777777" w:rsidR="00940A9C" w:rsidRPr="00114B63" w:rsidRDefault="00940A9C" w:rsidP="00940A9C">
      <w:pPr>
        <w:spacing w:after="120"/>
        <w:ind w:left="1843" w:right="1134"/>
        <w:jc w:val="both"/>
        <w:rPr>
          <w:lang w:val="de-DE"/>
        </w:rPr>
      </w:pPr>
      <w:r w:rsidRPr="00114B63">
        <w:rPr>
          <w:lang w:val="de-DE"/>
        </w:rPr>
        <w:t>9.3.1.0.1 b) in 9.3.1.0.2 umnummerieren.</w:t>
      </w:r>
    </w:p>
    <w:p w14:paraId="4F1A43B4" w14:textId="77777777" w:rsidR="00940A9C" w:rsidRPr="00114B63" w:rsidRDefault="00940A9C" w:rsidP="00940A9C">
      <w:pPr>
        <w:spacing w:after="120"/>
        <w:ind w:left="1843" w:right="1134"/>
        <w:jc w:val="both"/>
        <w:rPr>
          <w:lang w:val="de-DE"/>
        </w:rPr>
      </w:pPr>
      <w:r w:rsidRPr="00114B63">
        <w:rPr>
          <w:lang w:val="de-DE"/>
        </w:rPr>
        <w:t xml:space="preserve">9.3.1.0.2 in 9.3.1.0.3 umnummerieren. </w:t>
      </w:r>
      <w:bookmarkStart w:id="102" w:name="_Hlk84847472"/>
      <w:r w:rsidRPr="00114B63">
        <w:rPr>
          <w:lang w:val="de-DE"/>
        </w:rPr>
        <w:t>„Kunststoffen, oder Gummi“ ändern in: „Kunststoffen, Gummi, Glas oder Verbundwerkstoff“.</w:t>
      </w:r>
    </w:p>
    <w:bookmarkEnd w:id="102"/>
    <w:p w14:paraId="3DA42AE8" w14:textId="77777777" w:rsidR="00940A9C" w:rsidRPr="00114B63" w:rsidRDefault="00940A9C" w:rsidP="00940A9C">
      <w:pPr>
        <w:spacing w:after="120"/>
        <w:ind w:left="1843" w:right="1134"/>
        <w:jc w:val="both"/>
        <w:rPr>
          <w:lang w:val="de-DE"/>
        </w:rPr>
      </w:pPr>
      <w:r w:rsidRPr="00114B63">
        <w:rPr>
          <w:lang w:val="de-DE"/>
        </w:rPr>
        <w:t xml:space="preserve">9.3.1.0.3 in 9.3.1.0.4 umnummerieren. </w:t>
      </w:r>
      <w:bookmarkStart w:id="103" w:name="_Hlk84847502"/>
      <w:r w:rsidRPr="00114B63">
        <w:rPr>
          <w:lang w:val="de-DE"/>
        </w:rPr>
        <w:t>„Kunststoff und Gummi“ ändern in: „Kunststoffen, Gummi, Glas oder Verbundwerkstoff“.</w:t>
      </w:r>
    </w:p>
    <w:bookmarkEnd w:id="103"/>
    <w:p w14:paraId="5E0EC9F1" w14:textId="77777777" w:rsidR="00940A9C" w:rsidRPr="00114B63" w:rsidRDefault="00940A9C" w:rsidP="00940A9C">
      <w:pPr>
        <w:spacing w:after="120"/>
        <w:ind w:left="1134" w:right="1134"/>
        <w:jc w:val="both"/>
        <w:rPr>
          <w:i/>
          <w:lang w:val="de-DE"/>
        </w:rPr>
      </w:pPr>
      <w:r w:rsidRPr="00114B63">
        <w:rPr>
          <w:i/>
          <w:lang w:val="de-DE"/>
        </w:rPr>
        <w:t>(Referenzdokument: ECE/TRANS/WP.15/AC.2/2021/30, wie geändert)</w:t>
      </w:r>
    </w:p>
    <w:p w14:paraId="7865FD36" w14:textId="77777777" w:rsidR="00940A9C" w:rsidRPr="00114B63" w:rsidRDefault="00940A9C" w:rsidP="00940A9C">
      <w:pPr>
        <w:spacing w:after="120"/>
        <w:ind w:left="1134" w:right="1134"/>
        <w:jc w:val="both"/>
        <w:rPr>
          <w:lang w:val="de-DE"/>
        </w:rPr>
      </w:pPr>
      <w:r w:rsidRPr="00114B63">
        <w:rPr>
          <w:lang w:val="de-DE"/>
        </w:rPr>
        <w:t>9.3.2.0</w:t>
      </w:r>
      <w:r w:rsidRPr="00114B63">
        <w:rPr>
          <w:lang w:val="de-DE"/>
        </w:rPr>
        <w:tab/>
        <w:t xml:space="preserve"> und 9.3.3.0</w:t>
      </w:r>
      <w:r w:rsidRPr="00114B63">
        <w:rPr>
          <w:lang w:val="de-DE"/>
        </w:rPr>
        <w:tab/>
        <w:t>Folgende Änderungen vornehmen:</w:t>
      </w:r>
    </w:p>
    <w:p w14:paraId="7BAFF893" w14:textId="31B52856" w:rsidR="00940A9C" w:rsidRPr="00114B63" w:rsidRDefault="00940A9C" w:rsidP="00940A9C">
      <w:pPr>
        <w:spacing w:after="120"/>
        <w:ind w:left="1843" w:right="1134"/>
        <w:jc w:val="both"/>
        <w:rPr>
          <w:bCs/>
          <w:lang w:val="de-DE"/>
        </w:rPr>
      </w:pPr>
      <w:r w:rsidRPr="00114B63">
        <w:rPr>
          <w:lang w:val="de-DE"/>
        </w:rPr>
        <w:t>Den ersten Absatz von 9.3.2.0.1 a) und 9.3.3.0.1 a) in 9.3.2.0.1.1 bzw. 9.3.3.0.1.1 umnummerieren. Am Ende, nach „</w:t>
      </w:r>
      <w:r w:rsidRPr="00114B63">
        <w:rPr>
          <w:bCs/>
          <w:lang w:val="de-DE"/>
        </w:rPr>
        <w:t>gleichwertigen Metall gebaut sein“, einfügen: „, Sonderbe</w:t>
      </w:r>
      <w:r w:rsidRPr="00114B63">
        <w:rPr>
          <w:bCs/>
          <w:lang w:val="de-DE"/>
        </w:rPr>
        <w:softHyphen/>
        <w:t xml:space="preserve">stimmungen der zusätzlichen Anforderungen/Bemerkungen der Spalte (20) der Tabelle C </w:t>
      </w:r>
      <w:r w:rsidRPr="00114B63">
        <w:rPr>
          <w:lang w:val="de-DE"/>
        </w:rPr>
        <w:t xml:space="preserve">des </w:t>
      </w:r>
      <w:r w:rsidR="00114B63" w:rsidRPr="00114B63">
        <w:rPr>
          <w:lang w:val="de-DE"/>
        </w:rPr>
        <w:t xml:space="preserve">Unterabschnittes 3.2.3.2 </w:t>
      </w:r>
      <w:r w:rsidRPr="00114B63">
        <w:rPr>
          <w:bCs/>
          <w:lang w:val="de-DE"/>
        </w:rPr>
        <w:t>ausgenommen.“.</w:t>
      </w:r>
    </w:p>
    <w:p w14:paraId="28E01843" w14:textId="77777777" w:rsidR="00940A9C" w:rsidRPr="00114B63" w:rsidRDefault="00940A9C" w:rsidP="00940A9C">
      <w:pPr>
        <w:spacing w:after="120"/>
        <w:ind w:left="1843" w:right="1134"/>
        <w:jc w:val="both"/>
        <w:rPr>
          <w:lang w:val="de-DE"/>
        </w:rPr>
      </w:pPr>
      <w:r w:rsidRPr="00114B63">
        <w:rPr>
          <w:lang w:val="de-DE"/>
        </w:rPr>
        <w:t>Den zweiten Absatz von 9.3.2.0.1 a) und 9.3.3.0.1 a) in 9.3.2.0.1.2 bzw. 9.3.3.0.1.2, umnummerieren.</w:t>
      </w:r>
    </w:p>
    <w:p w14:paraId="380F9BBB" w14:textId="77777777" w:rsidR="00940A9C" w:rsidRPr="00940A9C" w:rsidRDefault="00940A9C" w:rsidP="00940A9C">
      <w:pPr>
        <w:spacing w:after="120"/>
        <w:ind w:left="1843" w:right="1134"/>
        <w:jc w:val="both"/>
        <w:rPr>
          <w:lang w:val="de-DE"/>
        </w:rPr>
      </w:pPr>
      <w:r w:rsidRPr="00114B63">
        <w:rPr>
          <w:lang w:val="de-DE"/>
        </w:rPr>
        <w:t>9.3.2.0.1 b) und 9.3.3.0.1 b) in 9.3.2.0.2 bzw. 9.3.3.0.2 umnummerieren.</w:t>
      </w:r>
    </w:p>
    <w:p w14:paraId="49D62329" w14:textId="77777777" w:rsidR="00940A9C" w:rsidRPr="00940A9C" w:rsidRDefault="00940A9C" w:rsidP="00940A9C">
      <w:pPr>
        <w:spacing w:after="120"/>
        <w:ind w:left="1843" w:right="1134"/>
        <w:jc w:val="both"/>
        <w:rPr>
          <w:lang w:val="de-DE"/>
        </w:rPr>
      </w:pPr>
      <w:r w:rsidRPr="00940A9C">
        <w:rPr>
          <w:lang w:val="de-DE"/>
        </w:rPr>
        <w:t>9.3.2.0.2 und 9.3.3.0.2 in 9.3.2.0.3 bzw. 9.3.3.0.3 umnummerieren. „Kunststoffen, oder Gummi“ ändern in: „Kunststoffen, Gummi, Glas oder Verbundwerkstoff“.</w:t>
      </w:r>
    </w:p>
    <w:p w14:paraId="370FA7A6" w14:textId="77777777" w:rsidR="00940A9C" w:rsidRPr="00940A9C" w:rsidRDefault="00940A9C" w:rsidP="00940A9C">
      <w:pPr>
        <w:spacing w:after="120"/>
        <w:ind w:left="1843" w:right="1134"/>
        <w:jc w:val="both"/>
        <w:rPr>
          <w:lang w:val="de-DE"/>
        </w:rPr>
      </w:pPr>
      <w:r w:rsidRPr="00940A9C">
        <w:rPr>
          <w:lang w:val="de-DE"/>
        </w:rPr>
        <w:t>9.3.2.0.3 und 9.3.3.0.3 in 9.3.2.0.4 bzw. 9.3.3.0.4 umnummerieren. „Kunststoff und Gummi“ ändern in: „Kunststoffen, Gummi, Glas oder Verbundwerkstoff“.</w:t>
      </w:r>
    </w:p>
    <w:p w14:paraId="5D5FC23A" w14:textId="0725ABAF" w:rsidR="00940A9C" w:rsidRPr="00940A9C" w:rsidRDefault="00940A9C" w:rsidP="00940A9C">
      <w:pPr>
        <w:spacing w:after="120"/>
        <w:ind w:left="1134" w:right="1134"/>
        <w:jc w:val="both"/>
        <w:rPr>
          <w:lang w:val="de-DE"/>
        </w:rPr>
      </w:pPr>
      <w:r w:rsidRPr="00940A9C">
        <w:rPr>
          <w:i/>
          <w:lang w:val="de-DE"/>
        </w:rPr>
        <w:t>(Referenzdokument: ECE/TRANS/WP.15/AC.2/2021/30, wie geändert)</w:t>
      </w:r>
    </w:p>
    <w:p w14:paraId="3DAB07C2" w14:textId="77777777" w:rsidR="00940A9C" w:rsidRPr="00940A9C" w:rsidRDefault="00940A9C" w:rsidP="00940A9C">
      <w:pPr>
        <w:tabs>
          <w:tab w:val="left" w:pos="1134"/>
          <w:tab w:val="left" w:pos="11907"/>
        </w:tabs>
        <w:spacing w:before="180"/>
        <w:rPr>
          <w:rFonts w:ascii="Arial" w:hAnsi="Arial" w:cs="Arial"/>
          <w:b/>
          <w:bCs/>
          <w:sz w:val="18"/>
          <w:szCs w:val="18"/>
          <w:lang w:val="de-DE"/>
        </w:rPr>
        <w:sectPr w:rsidR="00940A9C" w:rsidRPr="00940A9C" w:rsidSect="00181181">
          <w:headerReference w:type="even" r:id="rId26"/>
          <w:headerReference w:type="default" r:id="rId27"/>
          <w:footerReference w:type="even" r:id="rId28"/>
          <w:footerReference w:type="default" r:id="rId29"/>
          <w:headerReference w:type="first" r:id="rId30"/>
          <w:footerReference w:type="first" r:id="rId31"/>
          <w:endnotePr>
            <w:numFmt w:val="decimal"/>
          </w:endnotePr>
          <w:pgSz w:w="11907" w:h="16840" w:code="9"/>
          <w:pgMar w:top="1418" w:right="1134" w:bottom="1134" w:left="1134" w:header="851" w:footer="567" w:gutter="0"/>
          <w:cols w:space="720"/>
          <w:titlePg/>
          <w:docGrid w:linePitch="272"/>
        </w:sectPr>
      </w:pPr>
    </w:p>
    <w:p w14:paraId="3398C761" w14:textId="77777777" w:rsidR="00BD3637" w:rsidRPr="00940A9C" w:rsidRDefault="00BD3637" w:rsidP="00BD3637">
      <w:pPr>
        <w:tabs>
          <w:tab w:val="left" w:pos="1843"/>
        </w:tabs>
        <w:spacing w:after="120"/>
        <w:ind w:left="1134" w:right="1134"/>
        <w:jc w:val="both"/>
        <w:rPr>
          <w:lang w:val="de-DE"/>
        </w:rPr>
      </w:pPr>
      <w:r w:rsidRPr="00940A9C">
        <w:rPr>
          <w:lang w:val="de-DE"/>
        </w:rPr>
        <w:t>9.3.x.0</w:t>
      </w:r>
      <w:r w:rsidRPr="00940A9C">
        <w:rPr>
          <w:lang w:val="de-DE"/>
        </w:rPr>
        <w:tab/>
        <w:t>Die Tabelle unter 9.3.x.0.4 (ursprünglich 9.3.x.0.3) durch folgende Tabelle ersetzen:</w:t>
      </w:r>
    </w:p>
    <w:p w14:paraId="190624AA" w14:textId="77777777" w:rsidR="00940A9C" w:rsidRPr="00940A9C" w:rsidRDefault="00940A9C" w:rsidP="00940A9C">
      <w:pPr>
        <w:spacing w:after="120"/>
        <w:ind w:left="1134" w:right="1134"/>
        <w:jc w:val="both"/>
        <w:rPr>
          <w:lang w:val="de-DE"/>
        </w:rPr>
      </w:pPr>
    </w:p>
    <w:p w14:paraId="1BB943DC" w14:textId="77777777" w:rsidR="00940A9C" w:rsidRPr="00940A9C" w:rsidRDefault="00940A9C" w:rsidP="00940A9C">
      <w:pPr>
        <w:spacing w:after="120"/>
        <w:ind w:left="1134" w:right="1134"/>
        <w:jc w:val="both"/>
        <w:rPr>
          <w:b/>
          <w:bCs/>
          <w:sz w:val="18"/>
          <w:szCs w:val="18"/>
          <w:lang w:val="de-DE"/>
        </w:rPr>
      </w:pPr>
      <w:r w:rsidRPr="00940A9C">
        <w:rPr>
          <w:b/>
          <w:bCs/>
          <w:sz w:val="18"/>
          <w:szCs w:val="18"/>
          <w:lang w:val="de-DE"/>
        </w:rPr>
        <w:t>(X bedeutet „zugelassen“)</w:t>
      </w:r>
    </w:p>
    <w:tbl>
      <w:tblPr>
        <w:tblW w:w="126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4"/>
        <w:gridCol w:w="1133"/>
        <w:gridCol w:w="21"/>
        <w:gridCol w:w="1398"/>
        <w:gridCol w:w="1701"/>
        <w:gridCol w:w="1417"/>
        <w:gridCol w:w="1277"/>
      </w:tblGrid>
      <w:tr w:rsidR="00940A9C" w:rsidRPr="00940A9C" w14:paraId="4868AFA3" w14:textId="77777777" w:rsidTr="006F3945">
        <w:trPr>
          <w:trHeight w:val="270"/>
          <w:tblHeader/>
        </w:trPr>
        <w:tc>
          <w:tcPr>
            <w:tcW w:w="5684" w:type="dxa"/>
            <w:tcBorders>
              <w:top w:val="nil"/>
              <w:left w:val="nil"/>
            </w:tcBorders>
            <w:shd w:val="clear" w:color="auto" w:fill="auto"/>
            <w:noWrap/>
            <w:vAlign w:val="bottom"/>
            <w:hideMark/>
          </w:tcPr>
          <w:p w14:paraId="2D6D07F2" w14:textId="77777777" w:rsidR="00940A9C" w:rsidRPr="00940A9C" w:rsidRDefault="00940A9C" w:rsidP="00940A9C">
            <w:pPr>
              <w:spacing w:before="40" w:after="40"/>
              <w:contextualSpacing/>
              <w:rPr>
                <w:b/>
                <w:lang w:val="de-DE"/>
              </w:rPr>
            </w:pPr>
          </w:p>
        </w:tc>
        <w:tc>
          <w:tcPr>
            <w:tcW w:w="1154" w:type="dxa"/>
            <w:gridSpan w:val="2"/>
            <w:tcBorders>
              <w:top w:val="single" w:sz="4" w:space="0" w:color="auto"/>
            </w:tcBorders>
            <w:shd w:val="clear" w:color="auto" w:fill="auto"/>
            <w:noWrap/>
            <w:vAlign w:val="center"/>
            <w:hideMark/>
          </w:tcPr>
          <w:p w14:paraId="4AD68B28" w14:textId="77777777" w:rsidR="00940A9C" w:rsidRPr="00940A9C" w:rsidRDefault="00940A9C" w:rsidP="00940A9C">
            <w:pPr>
              <w:spacing w:before="40" w:after="40"/>
              <w:contextualSpacing/>
              <w:jc w:val="center"/>
              <w:rPr>
                <w:b/>
                <w:lang w:val="de-DE"/>
              </w:rPr>
            </w:pPr>
            <w:r w:rsidRPr="00940A9C">
              <w:rPr>
                <w:b/>
                <w:sz w:val="18"/>
                <w:szCs w:val="18"/>
                <w:lang w:val="de-DE"/>
              </w:rPr>
              <w:t>Holz</w:t>
            </w:r>
          </w:p>
        </w:tc>
        <w:tc>
          <w:tcPr>
            <w:tcW w:w="1398" w:type="dxa"/>
            <w:shd w:val="clear" w:color="auto" w:fill="auto"/>
            <w:noWrap/>
            <w:vAlign w:val="center"/>
            <w:hideMark/>
          </w:tcPr>
          <w:p w14:paraId="23A558DF" w14:textId="77777777" w:rsidR="00940A9C" w:rsidRPr="00940A9C" w:rsidRDefault="00940A9C" w:rsidP="00940A9C">
            <w:pPr>
              <w:spacing w:before="40" w:after="40"/>
              <w:contextualSpacing/>
              <w:jc w:val="center"/>
              <w:rPr>
                <w:b/>
                <w:lang w:val="de-DE"/>
              </w:rPr>
            </w:pPr>
            <w:r w:rsidRPr="00940A9C">
              <w:rPr>
                <w:b/>
                <w:sz w:val="18"/>
                <w:szCs w:val="18"/>
                <w:lang w:val="de-DE"/>
              </w:rPr>
              <w:t>Aluminium-legierungen</w:t>
            </w:r>
          </w:p>
        </w:tc>
        <w:tc>
          <w:tcPr>
            <w:tcW w:w="1701" w:type="dxa"/>
            <w:shd w:val="clear" w:color="auto" w:fill="auto"/>
            <w:noWrap/>
            <w:vAlign w:val="center"/>
            <w:hideMark/>
          </w:tcPr>
          <w:p w14:paraId="194F269A" w14:textId="77777777" w:rsidR="00940A9C" w:rsidRPr="00940A9C" w:rsidRDefault="00940A9C" w:rsidP="00940A9C">
            <w:pPr>
              <w:spacing w:before="40" w:after="40"/>
              <w:contextualSpacing/>
              <w:jc w:val="center"/>
              <w:rPr>
                <w:b/>
                <w:lang w:val="de-DE"/>
              </w:rPr>
            </w:pPr>
            <w:r w:rsidRPr="00940A9C">
              <w:rPr>
                <w:b/>
                <w:sz w:val="18"/>
                <w:szCs w:val="18"/>
                <w:lang w:val="de-DE"/>
              </w:rPr>
              <w:t>Kunststoff</w:t>
            </w:r>
            <w:r w:rsidRPr="00940A9C">
              <w:rPr>
                <w:b/>
                <w:lang w:val="de-DE"/>
              </w:rPr>
              <w:t>/ Verbundwerk-stoff</w:t>
            </w:r>
          </w:p>
        </w:tc>
        <w:tc>
          <w:tcPr>
            <w:tcW w:w="1417" w:type="dxa"/>
            <w:shd w:val="clear" w:color="auto" w:fill="auto"/>
            <w:noWrap/>
            <w:vAlign w:val="center"/>
            <w:hideMark/>
          </w:tcPr>
          <w:p w14:paraId="0C888F48" w14:textId="77777777" w:rsidR="00940A9C" w:rsidRPr="00940A9C" w:rsidRDefault="00940A9C" w:rsidP="00940A9C">
            <w:pPr>
              <w:spacing w:before="40" w:after="40"/>
              <w:contextualSpacing/>
              <w:jc w:val="center"/>
              <w:rPr>
                <w:b/>
                <w:lang w:val="de-DE"/>
              </w:rPr>
            </w:pPr>
            <w:r w:rsidRPr="00940A9C">
              <w:rPr>
                <w:b/>
                <w:sz w:val="18"/>
                <w:szCs w:val="18"/>
                <w:lang w:val="de-DE"/>
              </w:rPr>
              <w:t>Gummi</w:t>
            </w:r>
          </w:p>
        </w:tc>
        <w:tc>
          <w:tcPr>
            <w:tcW w:w="1277" w:type="dxa"/>
          </w:tcPr>
          <w:p w14:paraId="6DED6C82" w14:textId="77777777" w:rsidR="00940A9C" w:rsidRPr="00940A9C" w:rsidRDefault="00940A9C" w:rsidP="00940A9C">
            <w:pPr>
              <w:spacing w:before="40" w:after="40"/>
              <w:contextualSpacing/>
              <w:jc w:val="center"/>
              <w:rPr>
                <w:b/>
                <w:lang w:val="de-DE"/>
              </w:rPr>
            </w:pPr>
            <w:r w:rsidRPr="00940A9C">
              <w:rPr>
                <w:b/>
                <w:lang w:val="de-DE"/>
              </w:rPr>
              <w:t>Glas</w:t>
            </w:r>
          </w:p>
        </w:tc>
      </w:tr>
      <w:tr w:rsidR="00940A9C" w:rsidRPr="00940A9C" w14:paraId="56A72E19" w14:textId="77777777" w:rsidTr="006A19D4">
        <w:tc>
          <w:tcPr>
            <w:tcW w:w="5684" w:type="dxa"/>
            <w:shd w:val="clear" w:color="auto" w:fill="auto"/>
            <w:vAlign w:val="bottom"/>
          </w:tcPr>
          <w:p w14:paraId="7326D628" w14:textId="77777777" w:rsidR="00940A9C" w:rsidRPr="00940A9C" w:rsidRDefault="00940A9C" w:rsidP="00940A9C">
            <w:pPr>
              <w:spacing w:before="40" w:after="40"/>
              <w:contextualSpacing/>
              <w:rPr>
                <w:b/>
                <w:lang w:val="de-DE"/>
              </w:rPr>
            </w:pPr>
            <w:r w:rsidRPr="00940A9C">
              <w:rPr>
                <w:b/>
                <w:lang w:val="de-DE"/>
              </w:rPr>
              <w:t>Dauerhaft eingebaute Werkstoffe</w:t>
            </w:r>
          </w:p>
        </w:tc>
        <w:tc>
          <w:tcPr>
            <w:tcW w:w="1154" w:type="dxa"/>
            <w:gridSpan w:val="2"/>
            <w:shd w:val="clear" w:color="auto" w:fill="auto"/>
            <w:noWrap/>
            <w:vAlign w:val="center"/>
          </w:tcPr>
          <w:p w14:paraId="33F2A37C" w14:textId="77777777" w:rsidR="00940A9C" w:rsidRPr="00940A9C" w:rsidRDefault="00940A9C" w:rsidP="00940A9C">
            <w:pPr>
              <w:spacing w:before="40" w:after="40"/>
              <w:contextualSpacing/>
              <w:jc w:val="center"/>
              <w:rPr>
                <w:b/>
                <w:lang w:val="de-DE"/>
              </w:rPr>
            </w:pPr>
          </w:p>
        </w:tc>
        <w:tc>
          <w:tcPr>
            <w:tcW w:w="1398" w:type="dxa"/>
            <w:shd w:val="clear" w:color="auto" w:fill="auto"/>
            <w:noWrap/>
            <w:vAlign w:val="center"/>
          </w:tcPr>
          <w:p w14:paraId="7E7695B3" w14:textId="77777777" w:rsidR="00940A9C" w:rsidRPr="00940A9C" w:rsidRDefault="00940A9C" w:rsidP="00940A9C">
            <w:pPr>
              <w:spacing w:before="40" w:after="40"/>
              <w:contextualSpacing/>
              <w:jc w:val="center"/>
              <w:rPr>
                <w:b/>
                <w:lang w:val="de-DE"/>
              </w:rPr>
            </w:pPr>
          </w:p>
        </w:tc>
        <w:tc>
          <w:tcPr>
            <w:tcW w:w="1701" w:type="dxa"/>
            <w:shd w:val="clear" w:color="auto" w:fill="auto"/>
            <w:noWrap/>
            <w:vAlign w:val="center"/>
          </w:tcPr>
          <w:p w14:paraId="2659E313" w14:textId="77777777" w:rsidR="00940A9C" w:rsidRPr="00940A9C" w:rsidRDefault="00940A9C" w:rsidP="00940A9C">
            <w:pPr>
              <w:spacing w:before="40" w:after="40"/>
              <w:contextualSpacing/>
              <w:jc w:val="center"/>
              <w:rPr>
                <w:b/>
                <w:lang w:val="de-DE"/>
              </w:rPr>
            </w:pPr>
          </w:p>
        </w:tc>
        <w:tc>
          <w:tcPr>
            <w:tcW w:w="1417" w:type="dxa"/>
            <w:shd w:val="clear" w:color="auto" w:fill="auto"/>
            <w:noWrap/>
            <w:vAlign w:val="center"/>
          </w:tcPr>
          <w:p w14:paraId="61690ADF" w14:textId="77777777" w:rsidR="00940A9C" w:rsidRPr="00940A9C" w:rsidRDefault="00940A9C" w:rsidP="00940A9C">
            <w:pPr>
              <w:spacing w:before="40" w:after="40"/>
              <w:contextualSpacing/>
              <w:jc w:val="center"/>
              <w:rPr>
                <w:b/>
                <w:lang w:val="de-DE"/>
              </w:rPr>
            </w:pPr>
          </w:p>
        </w:tc>
        <w:tc>
          <w:tcPr>
            <w:tcW w:w="1277" w:type="dxa"/>
            <w:shd w:val="clear" w:color="auto" w:fill="auto"/>
          </w:tcPr>
          <w:p w14:paraId="15D2E4FB" w14:textId="77777777" w:rsidR="00940A9C" w:rsidRPr="00940A9C" w:rsidRDefault="00940A9C" w:rsidP="00940A9C">
            <w:pPr>
              <w:spacing w:before="40" w:after="40"/>
              <w:contextualSpacing/>
              <w:jc w:val="center"/>
              <w:rPr>
                <w:b/>
                <w:lang w:val="de-DE"/>
              </w:rPr>
            </w:pPr>
          </w:p>
        </w:tc>
      </w:tr>
      <w:tr w:rsidR="00940A9C" w:rsidRPr="00940A9C" w14:paraId="612D7294" w14:textId="77777777" w:rsidTr="006F3945">
        <w:tc>
          <w:tcPr>
            <w:tcW w:w="5684" w:type="dxa"/>
            <w:shd w:val="clear" w:color="auto" w:fill="auto"/>
            <w:vAlign w:val="bottom"/>
            <w:hideMark/>
          </w:tcPr>
          <w:p w14:paraId="66A068C5" w14:textId="77777777" w:rsidR="00940A9C" w:rsidRPr="00940A9C" w:rsidRDefault="00940A9C" w:rsidP="00940A9C">
            <w:pPr>
              <w:spacing w:before="40" w:after="40"/>
              <w:contextualSpacing/>
              <w:rPr>
                <w:bCs/>
                <w:lang w:val="de-DE"/>
              </w:rPr>
            </w:pPr>
            <w:r w:rsidRPr="00940A9C">
              <w:rPr>
                <w:bCs/>
                <w:lang w:val="de-DE"/>
              </w:rPr>
              <w:t xml:space="preserve">die Lagerung der vom Schiffskörper unabhängigen Tanks sowie die Lagerung von Einrichtungen und Ausrüstungen </w:t>
            </w:r>
          </w:p>
        </w:tc>
        <w:tc>
          <w:tcPr>
            <w:tcW w:w="1154" w:type="dxa"/>
            <w:gridSpan w:val="2"/>
            <w:shd w:val="clear" w:color="auto" w:fill="auto"/>
            <w:noWrap/>
            <w:vAlign w:val="center"/>
            <w:hideMark/>
          </w:tcPr>
          <w:p w14:paraId="32E038CA" w14:textId="77777777" w:rsidR="00940A9C" w:rsidRPr="00940A9C" w:rsidRDefault="00940A9C" w:rsidP="00940A9C">
            <w:pPr>
              <w:spacing w:before="40" w:after="40"/>
              <w:contextualSpacing/>
              <w:jc w:val="center"/>
              <w:rPr>
                <w:bCs/>
                <w:lang w:val="de-DE"/>
              </w:rPr>
            </w:pPr>
            <w:r w:rsidRPr="00940A9C">
              <w:rPr>
                <w:bCs/>
                <w:lang w:val="de-DE"/>
              </w:rPr>
              <w:t>X</w:t>
            </w:r>
          </w:p>
        </w:tc>
        <w:tc>
          <w:tcPr>
            <w:tcW w:w="1398" w:type="dxa"/>
            <w:shd w:val="clear" w:color="auto" w:fill="auto"/>
            <w:noWrap/>
            <w:vAlign w:val="center"/>
            <w:hideMark/>
          </w:tcPr>
          <w:p w14:paraId="5EEF7473" w14:textId="77777777" w:rsidR="00940A9C" w:rsidRPr="00940A9C" w:rsidRDefault="00940A9C" w:rsidP="00940A9C">
            <w:pPr>
              <w:spacing w:before="40" w:after="40"/>
              <w:contextualSpacing/>
              <w:jc w:val="center"/>
              <w:rPr>
                <w:bCs/>
                <w:lang w:val="de-DE"/>
              </w:rPr>
            </w:pPr>
          </w:p>
        </w:tc>
        <w:tc>
          <w:tcPr>
            <w:tcW w:w="1701" w:type="dxa"/>
            <w:shd w:val="clear" w:color="auto" w:fill="auto"/>
            <w:noWrap/>
            <w:vAlign w:val="center"/>
            <w:hideMark/>
          </w:tcPr>
          <w:p w14:paraId="23533C2A"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hideMark/>
          </w:tcPr>
          <w:p w14:paraId="4B37EFAC" w14:textId="77777777" w:rsidR="00940A9C" w:rsidRPr="00940A9C" w:rsidRDefault="00940A9C" w:rsidP="00940A9C">
            <w:pPr>
              <w:spacing w:before="40" w:after="40"/>
              <w:contextualSpacing/>
              <w:jc w:val="center"/>
              <w:rPr>
                <w:bCs/>
                <w:lang w:val="de-DE"/>
              </w:rPr>
            </w:pPr>
          </w:p>
        </w:tc>
        <w:tc>
          <w:tcPr>
            <w:tcW w:w="1277" w:type="dxa"/>
          </w:tcPr>
          <w:p w14:paraId="3BF28036" w14:textId="77777777" w:rsidR="00940A9C" w:rsidRPr="00940A9C" w:rsidRDefault="00940A9C" w:rsidP="00940A9C">
            <w:pPr>
              <w:spacing w:before="40" w:after="40"/>
              <w:contextualSpacing/>
              <w:jc w:val="center"/>
              <w:rPr>
                <w:bCs/>
                <w:lang w:val="de-DE"/>
              </w:rPr>
            </w:pPr>
          </w:p>
        </w:tc>
      </w:tr>
      <w:tr w:rsidR="00940A9C" w:rsidRPr="00940A9C" w14:paraId="12A58CA2" w14:textId="77777777" w:rsidTr="006F3945">
        <w:tc>
          <w:tcPr>
            <w:tcW w:w="5684" w:type="dxa"/>
            <w:shd w:val="clear" w:color="auto" w:fill="auto"/>
            <w:vAlign w:val="bottom"/>
            <w:hideMark/>
          </w:tcPr>
          <w:p w14:paraId="2791853D" w14:textId="77777777" w:rsidR="00940A9C" w:rsidRPr="00940A9C" w:rsidRDefault="00940A9C" w:rsidP="00940A9C">
            <w:pPr>
              <w:spacing w:before="40" w:after="40"/>
              <w:contextualSpacing/>
              <w:rPr>
                <w:bCs/>
                <w:lang w:val="de-DE"/>
              </w:rPr>
            </w:pPr>
            <w:r w:rsidRPr="00940A9C">
              <w:rPr>
                <w:bCs/>
                <w:lang w:val="de-DE"/>
              </w:rPr>
              <w:t>Masten und ähnliche Rundhölzer</w:t>
            </w:r>
          </w:p>
        </w:tc>
        <w:tc>
          <w:tcPr>
            <w:tcW w:w="1154" w:type="dxa"/>
            <w:gridSpan w:val="2"/>
            <w:shd w:val="clear" w:color="auto" w:fill="auto"/>
            <w:noWrap/>
            <w:vAlign w:val="center"/>
            <w:hideMark/>
          </w:tcPr>
          <w:p w14:paraId="14B1371A" w14:textId="77777777" w:rsidR="00940A9C" w:rsidRPr="00940A9C" w:rsidRDefault="00940A9C" w:rsidP="00940A9C">
            <w:pPr>
              <w:spacing w:before="40" w:after="40"/>
              <w:contextualSpacing/>
              <w:jc w:val="center"/>
              <w:rPr>
                <w:bCs/>
                <w:lang w:val="de-DE"/>
              </w:rPr>
            </w:pPr>
            <w:r w:rsidRPr="00940A9C">
              <w:rPr>
                <w:bCs/>
                <w:lang w:val="de-DE"/>
              </w:rPr>
              <w:t>X</w:t>
            </w:r>
          </w:p>
        </w:tc>
        <w:tc>
          <w:tcPr>
            <w:tcW w:w="1398" w:type="dxa"/>
            <w:shd w:val="clear" w:color="auto" w:fill="auto"/>
            <w:noWrap/>
            <w:vAlign w:val="center"/>
            <w:hideMark/>
          </w:tcPr>
          <w:p w14:paraId="6D9B8DED" w14:textId="77777777" w:rsidR="00940A9C" w:rsidRPr="00940A9C" w:rsidRDefault="00940A9C" w:rsidP="00940A9C">
            <w:pPr>
              <w:spacing w:before="40" w:after="40"/>
              <w:contextualSpacing/>
              <w:jc w:val="center"/>
              <w:rPr>
                <w:bCs/>
                <w:lang w:val="de-DE"/>
              </w:rPr>
            </w:pPr>
            <w:r w:rsidRPr="00940A9C">
              <w:rPr>
                <w:bCs/>
                <w:lang w:val="de-DE"/>
              </w:rPr>
              <w:t>X</w:t>
            </w:r>
          </w:p>
        </w:tc>
        <w:tc>
          <w:tcPr>
            <w:tcW w:w="1701" w:type="dxa"/>
            <w:shd w:val="clear" w:color="auto" w:fill="auto"/>
            <w:noWrap/>
            <w:vAlign w:val="center"/>
            <w:hideMark/>
          </w:tcPr>
          <w:p w14:paraId="03A0A0C2"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hideMark/>
          </w:tcPr>
          <w:p w14:paraId="4443D611" w14:textId="77777777" w:rsidR="00940A9C" w:rsidRPr="00940A9C" w:rsidRDefault="00940A9C" w:rsidP="00940A9C">
            <w:pPr>
              <w:spacing w:before="40" w:after="40"/>
              <w:contextualSpacing/>
              <w:jc w:val="center"/>
              <w:rPr>
                <w:bCs/>
                <w:lang w:val="de-DE"/>
              </w:rPr>
            </w:pPr>
          </w:p>
        </w:tc>
        <w:tc>
          <w:tcPr>
            <w:tcW w:w="1277" w:type="dxa"/>
          </w:tcPr>
          <w:p w14:paraId="79782EBA" w14:textId="77777777" w:rsidR="00940A9C" w:rsidRPr="00940A9C" w:rsidRDefault="00940A9C" w:rsidP="00940A9C">
            <w:pPr>
              <w:spacing w:before="40" w:after="40"/>
              <w:contextualSpacing/>
              <w:jc w:val="center"/>
              <w:rPr>
                <w:bCs/>
                <w:lang w:val="de-DE"/>
              </w:rPr>
            </w:pPr>
          </w:p>
        </w:tc>
      </w:tr>
      <w:tr w:rsidR="00940A9C" w:rsidRPr="00940A9C" w14:paraId="495CC80E" w14:textId="77777777" w:rsidTr="006F3945">
        <w:tc>
          <w:tcPr>
            <w:tcW w:w="5684" w:type="dxa"/>
            <w:shd w:val="clear" w:color="auto" w:fill="auto"/>
            <w:vAlign w:val="bottom"/>
            <w:hideMark/>
          </w:tcPr>
          <w:p w14:paraId="7410EE74" w14:textId="77777777" w:rsidR="00940A9C" w:rsidRPr="00940A9C" w:rsidRDefault="00940A9C" w:rsidP="00940A9C">
            <w:pPr>
              <w:spacing w:before="40" w:after="40"/>
              <w:contextualSpacing/>
              <w:rPr>
                <w:bCs/>
                <w:lang w:val="de-DE"/>
              </w:rPr>
            </w:pPr>
            <w:r w:rsidRPr="00940A9C">
              <w:rPr>
                <w:bCs/>
                <w:lang w:val="de-DE"/>
              </w:rPr>
              <w:t>Maschinenteile</w:t>
            </w:r>
          </w:p>
        </w:tc>
        <w:tc>
          <w:tcPr>
            <w:tcW w:w="1154" w:type="dxa"/>
            <w:gridSpan w:val="2"/>
            <w:shd w:val="clear" w:color="auto" w:fill="auto"/>
            <w:noWrap/>
            <w:vAlign w:val="center"/>
            <w:hideMark/>
          </w:tcPr>
          <w:p w14:paraId="4898BC8B" w14:textId="77777777" w:rsidR="00940A9C" w:rsidRPr="00940A9C" w:rsidRDefault="00940A9C" w:rsidP="00940A9C">
            <w:pPr>
              <w:spacing w:before="40" w:after="40"/>
              <w:contextualSpacing/>
              <w:jc w:val="center"/>
              <w:rPr>
                <w:bCs/>
                <w:lang w:val="de-DE"/>
              </w:rPr>
            </w:pPr>
          </w:p>
        </w:tc>
        <w:tc>
          <w:tcPr>
            <w:tcW w:w="1398" w:type="dxa"/>
            <w:shd w:val="clear" w:color="auto" w:fill="auto"/>
            <w:noWrap/>
            <w:vAlign w:val="center"/>
            <w:hideMark/>
          </w:tcPr>
          <w:p w14:paraId="2686099F" w14:textId="77777777" w:rsidR="00940A9C" w:rsidRPr="00940A9C" w:rsidRDefault="00940A9C" w:rsidP="00940A9C">
            <w:pPr>
              <w:spacing w:before="40" w:after="40"/>
              <w:contextualSpacing/>
              <w:jc w:val="center"/>
              <w:rPr>
                <w:bCs/>
                <w:lang w:val="de-DE"/>
              </w:rPr>
            </w:pPr>
            <w:r w:rsidRPr="00940A9C">
              <w:rPr>
                <w:bCs/>
                <w:lang w:val="de-DE"/>
              </w:rPr>
              <w:t>X</w:t>
            </w:r>
          </w:p>
        </w:tc>
        <w:tc>
          <w:tcPr>
            <w:tcW w:w="1701" w:type="dxa"/>
            <w:shd w:val="clear" w:color="auto" w:fill="auto"/>
            <w:noWrap/>
            <w:vAlign w:val="center"/>
            <w:hideMark/>
          </w:tcPr>
          <w:p w14:paraId="7F2BEC87"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hideMark/>
          </w:tcPr>
          <w:p w14:paraId="531DFA17" w14:textId="77777777" w:rsidR="00940A9C" w:rsidRPr="00940A9C" w:rsidRDefault="00940A9C" w:rsidP="00940A9C">
            <w:pPr>
              <w:spacing w:before="40" w:after="40"/>
              <w:contextualSpacing/>
              <w:jc w:val="center"/>
              <w:rPr>
                <w:bCs/>
                <w:lang w:val="de-DE"/>
              </w:rPr>
            </w:pPr>
          </w:p>
        </w:tc>
        <w:tc>
          <w:tcPr>
            <w:tcW w:w="1277" w:type="dxa"/>
          </w:tcPr>
          <w:p w14:paraId="401038B8" w14:textId="77777777" w:rsidR="00940A9C" w:rsidRPr="00940A9C" w:rsidRDefault="00940A9C" w:rsidP="00940A9C">
            <w:pPr>
              <w:spacing w:before="40" w:after="40"/>
              <w:contextualSpacing/>
              <w:jc w:val="center"/>
              <w:rPr>
                <w:bCs/>
                <w:lang w:val="de-DE"/>
              </w:rPr>
            </w:pPr>
          </w:p>
        </w:tc>
      </w:tr>
      <w:tr w:rsidR="00940A9C" w:rsidRPr="00940A9C" w14:paraId="12CC0682" w14:textId="77777777" w:rsidTr="006F3945">
        <w:tc>
          <w:tcPr>
            <w:tcW w:w="5684" w:type="dxa"/>
            <w:shd w:val="clear" w:color="auto" w:fill="auto"/>
            <w:vAlign w:val="bottom"/>
            <w:hideMark/>
          </w:tcPr>
          <w:p w14:paraId="0773996E" w14:textId="77777777" w:rsidR="00940A9C" w:rsidRPr="00940A9C" w:rsidRDefault="00940A9C" w:rsidP="00940A9C">
            <w:pPr>
              <w:spacing w:before="40" w:after="40"/>
              <w:contextualSpacing/>
              <w:rPr>
                <w:bCs/>
                <w:lang w:val="de-DE"/>
              </w:rPr>
            </w:pPr>
            <w:r w:rsidRPr="00940A9C">
              <w:rPr>
                <w:bCs/>
                <w:lang w:val="de-DE"/>
              </w:rPr>
              <w:t>Schutzkleider von Motoren und Pumpen</w:t>
            </w:r>
          </w:p>
        </w:tc>
        <w:tc>
          <w:tcPr>
            <w:tcW w:w="1154" w:type="dxa"/>
            <w:gridSpan w:val="2"/>
            <w:shd w:val="clear" w:color="auto" w:fill="auto"/>
            <w:noWrap/>
            <w:vAlign w:val="center"/>
            <w:hideMark/>
          </w:tcPr>
          <w:p w14:paraId="78D1CA5A" w14:textId="77777777" w:rsidR="00940A9C" w:rsidRPr="00940A9C" w:rsidRDefault="00940A9C" w:rsidP="00940A9C">
            <w:pPr>
              <w:spacing w:before="40" w:after="40"/>
              <w:contextualSpacing/>
              <w:jc w:val="center"/>
              <w:rPr>
                <w:bCs/>
                <w:lang w:val="de-DE"/>
              </w:rPr>
            </w:pPr>
          </w:p>
        </w:tc>
        <w:tc>
          <w:tcPr>
            <w:tcW w:w="1398" w:type="dxa"/>
            <w:shd w:val="clear" w:color="auto" w:fill="auto"/>
            <w:noWrap/>
            <w:vAlign w:val="center"/>
            <w:hideMark/>
          </w:tcPr>
          <w:p w14:paraId="234CE425" w14:textId="77777777" w:rsidR="00940A9C" w:rsidRPr="00940A9C" w:rsidRDefault="00940A9C" w:rsidP="00940A9C">
            <w:pPr>
              <w:spacing w:before="40" w:after="40"/>
              <w:contextualSpacing/>
              <w:jc w:val="center"/>
              <w:rPr>
                <w:bCs/>
                <w:lang w:val="de-DE"/>
              </w:rPr>
            </w:pPr>
          </w:p>
        </w:tc>
        <w:tc>
          <w:tcPr>
            <w:tcW w:w="1701" w:type="dxa"/>
            <w:shd w:val="clear" w:color="auto" w:fill="auto"/>
            <w:noWrap/>
            <w:vAlign w:val="center"/>
            <w:hideMark/>
          </w:tcPr>
          <w:p w14:paraId="57D9263F"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hideMark/>
          </w:tcPr>
          <w:p w14:paraId="409D31AD" w14:textId="77777777" w:rsidR="00940A9C" w:rsidRPr="00940A9C" w:rsidRDefault="00940A9C" w:rsidP="00940A9C">
            <w:pPr>
              <w:spacing w:before="40" w:after="40"/>
              <w:contextualSpacing/>
              <w:jc w:val="center"/>
              <w:rPr>
                <w:bCs/>
                <w:lang w:val="de-DE"/>
              </w:rPr>
            </w:pPr>
          </w:p>
        </w:tc>
        <w:tc>
          <w:tcPr>
            <w:tcW w:w="1277" w:type="dxa"/>
          </w:tcPr>
          <w:p w14:paraId="69879E2D" w14:textId="77777777" w:rsidR="00940A9C" w:rsidRPr="00940A9C" w:rsidRDefault="00940A9C" w:rsidP="00940A9C">
            <w:pPr>
              <w:spacing w:before="40" w:after="40"/>
              <w:contextualSpacing/>
              <w:jc w:val="center"/>
              <w:rPr>
                <w:bCs/>
                <w:lang w:val="de-DE"/>
              </w:rPr>
            </w:pPr>
          </w:p>
        </w:tc>
      </w:tr>
      <w:tr w:rsidR="00940A9C" w:rsidRPr="00940A9C" w14:paraId="2BE8D1CF" w14:textId="77777777" w:rsidTr="006F3945">
        <w:tc>
          <w:tcPr>
            <w:tcW w:w="5684" w:type="dxa"/>
            <w:shd w:val="clear" w:color="auto" w:fill="auto"/>
          </w:tcPr>
          <w:p w14:paraId="38225AC1" w14:textId="77777777" w:rsidR="00940A9C" w:rsidRPr="00940A9C" w:rsidRDefault="00940A9C" w:rsidP="00940A9C">
            <w:pPr>
              <w:spacing w:before="40" w:after="40"/>
              <w:contextualSpacing/>
              <w:rPr>
                <w:bCs/>
                <w:lang w:val="de-DE"/>
              </w:rPr>
            </w:pPr>
            <w:r w:rsidRPr="00940A9C">
              <w:rPr>
                <w:bCs/>
                <w:lang w:val="de-DE"/>
              </w:rPr>
              <w:t>Hinweistafeln (Zutritts- und Rauchverbot)</w:t>
            </w:r>
          </w:p>
        </w:tc>
        <w:tc>
          <w:tcPr>
            <w:tcW w:w="1154" w:type="dxa"/>
            <w:gridSpan w:val="2"/>
            <w:shd w:val="clear" w:color="auto" w:fill="auto"/>
            <w:noWrap/>
            <w:vAlign w:val="center"/>
          </w:tcPr>
          <w:p w14:paraId="19007A6D" w14:textId="77777777" w:rsidR="00940A9C" w:rsidRPr="00940A9C" w:rsidRDefault="00940A9C" w:rsidP="00940A9C">
            <w:pPr>
              <w:spacing w:before="40" w:after="40"/>
              <w:contextualSpacing/>
              <w:jc w:val="center"/>
              <w:rPr>
                <w:bCs/>
                <w:lang w:val="de-DE"/>
              </w:rPr>
            </w:pPr>
          </w:p>
        </w:tc>
        <w:tc>
          <w:tcPr>
            <w:tcW w:w="1398" w:type="dxa"/>
            <w:shd w:val="clear" w:color="auto" w:fill="auto"/>
            <w:noWrap/>
            <w:vAlign w:val="center"/>
          </w:tcPr>
          <w:p w14:paraId="4265790B" w14:textId="77777777" w:rsidR="00940A9C" w:rsidRPr="00940A9C" w:rsidRDefault="00940A9C" w:rsidP="00940A9C">
            <w:pPr>
              <w:spacing w:before="40" w:after="40"/>
              <w:contextualSpacing/>
              <w:jc w:val="center"/>
              <w:rPr>
                <w:bCs/>
                <w:lang w:val="de-DE"/>
              </w:rPr>
            </w:pPr>
            <w:r w:rsidRPr="00940A9C">
              <w:rPr>
                <w:bCs/>
                <w:lang w:val="de-DE"/>
              </w:rPr>
              <w:t>X</w:t>
            </w:r>
          </w:p>
        </w:tc>
        <w:tc>
          <w:tcPr>
            <w:tcW w:w="1701" w:type="dxa"/>
            <w:shd w:val="clear" w:color="auto" w:fill="auto"/>
            <w:noWrap/>
            <w:vAlign w:val="center"/>
          </w:tcPr>
          <w:p w14:paraId="49E185D8"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tcPr>
          <w:p w14:paraId="6BD88A0E" w14:textId="77777777" w:rsidR="00940A9C" w:rsidRPr="00940A9C" w:rsidRDefault="00940A9C" w:rsidP="00940A9C">
            <w:pPr>
              <w:spacing w:before="40" w:after="40"/>
              <w:contextualSpacing/>
              <w:jc w:val="center"/>
              <w:rPr>
                <w:bCs/>
                <w:lang w:val="de-DE"/>
              </w:rPr>
            </w:pPr>
          </w:p>
        </w:tc>
        <w:tc>
          <w:tcPr>
            <w:tcW w:w="1277" w:type="dxa"/>
          </w:tcPr>
          <w:p w14:paraId="6D352C13" w14:textId="77777777" w:rsidR="00940A9C" w:rsidRPr="00940A9C" w:rsidRDefault="00940A9C" w:rsidP="00940A9C">
            <w:pPr>
              <w:spacing w:before="40" w:after="40"/>
              <w:contextualSpacing/>
              <w:jc w:val="center"/>
              <w:rPr>
                <w:bCs/>
                <w:lang w:val="de-DE"/>
              </w:rPr>
            </w:pPr>
          </w:p>
        </w:tc>
      </w:tr>
      <w:tr w:rsidR="00940A9C" w:rsidRPr="00940A9C" w14:paraId="42B00529" w14:textId="77777777" w:rsidTr="006F3945">
        <w:tc>
          <w:tcPr>
            <w:tcW w:w="5684" w:type="dxa"/>
            <w:vMerge w:val="restart"/>
            <w:shd w:val="clear" w:color="auto" w:fill="auto"/>
            <w:hideMark/>
          </w:tcPr>
          <w:p w14:paraId="1DC5C440" w14:textId="77777777" w:rsidR="00940A9C" w:rsidRPr="00940A9C" w:rsidRDefault="00940A9C" w:rsidP="00940A9C">
            <w:pPr>
              <w:spacing w:before="40" w:after="40"/>
              <w:contextualSpacing/>
              <w:rPr>
                <w:bCs/>
                <w:lang w:val="de-DE"/>
              </w:rPr>
            </w:pPr>
            <w:r w:rsidRPr="00940A9C">
              <w:rPr>
                <w:bCs/>
                <w:lang w:val="de-DE"/>
              </w:rPr>
              <w:t>Teile der elektrischen Anlage</w:t>
            </w:r>
          </w:p>
        </w:tc>
        <w:tc>
          <w:tcPr>
            <w:tcW w:w="1154" w:type="dxa"/>
            <w:gridSpan w:val="2"/>
            <w:shd w:val="clear" w:color="auto" w:fill="auto"/>
            <w:noWrap/>
            <w:vAlign w:val="center"/>
          </w:tcPr>
          <w:p w14:paraId="47067AC1" w14:textId="77777777" w:rsidR="00940A9C" w:rsidRPr="00940A9C" w:rsidRDefault="00940A9C" w:rsidP="00940A9C">
            <w:pPr>
              <w:spacing w:before="40" w:after="40"/>
              <w:contextualSpacing/>
              <w:jc w:val="center"/>
              <w:rPr>
                <w:bCs/>
                <w:lang w:val="de-DE"/>
              </w:rPr>
            </w:pPr>
          </w:p>
        </w:tc>
        <w:tc>
          <w:tcPr>
            <w:tcW w:w="1398" w:type="dxa"/>
            <w:shd w:val="clear" w:color="auto" w:fill="auto"/>
            <w:noWrap/>
            <w:vAlign w:val="center"/>
            <w:hideMark/>
          </w:tcPr>
          <w:p w14:paraId="5EA01E18" w14:textId="77777777" w:rsidR="00940A9C" w:rsidRPr="00940A9C" w:rsidRDefault="00940A9C" w:rsidP="00940A9C">
            <w:pPr>
              <w:spacing w:before="40" w:after="40"/>
              <w:contextualSpacing/>
              <w:jc w:val="center"/>
              <w:rPr>
                <w:bCs/>
                <w:lang w:val="de-DE"/>
              </w:rPr>
            </w:pPr>
            <w:r w:rsidRPr="00940A9C">
              <w:rPr>
                <w:bCs/>
                <w:lang w:val="de-DE"/>
              </w:rPr>
              <w:t>X</w:t>
            </w:r>
          </w:p>
        </w:tc>
        <w:tc>
          <w:tcPr>
            <w:tcW w:w="1701" w:type="dxa"/>
            <w:shd w:val="clear" w:color="auto" w:fill="auto"/>
            <w:noWrap/>
            <w:vAlign w:val="center"/>
            <w:hideMark/>
          </w:tcPr>
          <w:p w14:paraId="3FAF72B5"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hideMark/>
          </w:tcPr>
          <w:p w14:paraId="48D06A7C" w14:textId="77777777" w:rsidR="00940A9C" w:rsidRPr="00940A9C" w:rsidRDefault="00940A9C" w:rsidP="00940A9C">
            <w:pPr>
              <w:spacing w:before="40" w:after="40"/>
              <w:contextualSpacing/>
              <w:jc w:val="center"/>
              <w:rPr>
                <w:bCs/>
                <w:lang w:val="de-DE"/>
              </w:rPr>
            </w:pPr>
          </w:p>
        </w:tc>
        <w:tc>
          <w:tcPr>
            <w:tcW w:w="1277" w:type="dxa"/>
          </w:tcPr>
          <w:p w14:paraId="7E9203FD" w14:textId="77777777" w:rsidR="00940A9C" w:rsidRPr="00940A9C" w:rsidRDefault="00940A9C" w:rsidP="00940A9C">
            <w:pPr>
              <w:spacing w:before="40" w:after="40"/>
              <w:contextualSpacing/>
              <w:jc w:val="center"/>
              <w:rPr>
                <w:bCs/>
                <w:lang w:val="de-DE"/>
              </w:rPr>
            </w:pPr>
          </w:p>
        </w:tc>
      </w:tr>
      <w:tr w:rsidR="00940A9C" w:rsidRPr="00ED4EA8" w14:paraId="0BC23E03" w14:textId="77777777" w:rsidTr="006F3945">
        <w:tc>
          <w:tcPr>
            <w:tcW w:w="5684" w:type="dxa"/>
            <w:vMerge/>
            <w:shd w:val="clear" w:color="auto" w:fill="auto"/>
            <w:vAlign w:val="bottom"/>
          </w:tcPr>
          <w:p w14:paraId="75C2C04C" w14:textId="77777777" w:rsidR="00940A9C" w:rsidRPr="00940A9C" w:rsidRDefault="00940A9C" w:rsidP="00940A9C">
            <w:pPr>
              <w:spacing w:before="40" w:after="40"/>
              <w:contextualSpacing/>
              <w:rPr>
                <w:bCs/>
                <w:lang w:val="de-DE"/>
              </w:rPr>
            </w:pPr>
          </w:p>
        </w:tc>
        <w:tc>
          <w:tcPr>
            <w:tcW w:w="6947" w:type="dxa"/>
            <w:gridSpan w:val="6"/>
            <w:shd w:val="clear" w:color="auto" w:fill="auto"/>
            <w:noWrap/>
            <w:vAlign w:val="center"/>
          </w:tcPr>
          <w:p w14:paraId="4B580B9C" w14:textId="77777777" w:rsidR="00940A9C" w:rsidRPr="00940A9C" w:rsidRDefault="00940A9C" w:rsidP="00940A9C">
            <w:pPr>
              <w:spacing w:before="40" w:after="40"/>
              <w:contextualSpacing/>
              <w:jc w:val="center"/>
              <w:rPr>
                <w:bCs/>
                <w:lang w:val="de-DE"/>
              </w:rPr>
            </w:pPr>
            <w:r w:rsidRPr="00940A9C">
              <w:rPr>
                <w:bCs/>
                <w:lang w:val="de-DE"/>
              </w:rPr>
              <w:t>Gemäß den geltenden technischen Normen</w:t>
            </w:r>
          </w:p>
        </w:tc>
      </w:tr>
      <w:tr w:rsidR="00940A9C" w:rsidRPr="00940A9C" w14:paraId="14CAD98B" w14:textId="77777777" w:rsidTr="006F3945">
        <w:tc>
          <w:tcPr>
            <w:tcW w:w="5684" w:type="dxa"/>
            <w:shd w:val="clear" w:color="auto" w:fill="auto"/>
            <w:vAlign w:val="bottom"/>
            <w:hideMark/>
          </w:tcPr>
          <w:p w14:paraId="35D1A081" w14:textId="77777777" w:rsidR="00940A9C" w:rsidRPr="00940A9C" w:rsidRDefault="00940A9C" w:rsidP="00940A9C">
            <w:pPr>
              <w:spacing w:before="40" w:after="40"/>
              <w:contextualSpacing/>
              <w:rPr>
                <w:bCs/>
                <w:lang w:val="de-DE"/>
              </w:rPr>
            </w:pPr>
            <w:r w:rsidRPr="00940A9C">
              <w:rPr>
                <w:bCs/>
                <w:lang w:val="de-DE"/>
              </w:rPr>
              <w:t>Teile der Lade- und Löschanlage wie z.B. Abdichtungen usw.</w:t>
            </w:r>
          </w:p>
        </w:tc>
        <w:tc>
          <w:tcPr>
            <w:tcW w:w="1154" w:type="dxa"/>
            <w:gridSpan w:val="2"/>
            <w:shd w:val="clear" w:color="auto" w:fill="auto"/>
            <w:noWrap/>
            <w:vAlign w:val="center"/>
          </w:tcPr>
          <w:p w14:paraId="46073D2B" w14:textId="77777777" w:rsidR="00940A9C" w:rsidRPr="00940A9C" w:rsidRDefault="00940A9C" w:rsidP="00940A9C">
            <w:pPr>
              <w:spacing w:before="40" w:after="40"/>
              <w:contextualSpacing/>
              <w:jc w:val="center"/>
              <w:rPr>
                <w:bCs/>
                <w:lang w:val="de-DE"/>
              </w:rPr>
            </w:pPr>
          </w:p>
        </w:tc>
        <w:tc>
          <w:tcPr>
            <w:tcW w:w="1398" w:type="dxa"/>
            <w:shd w:val="clear" w:color="auto" w:fill="auto"/>
            <w:noWrap/>
            <w:vAlign w:val="center"/>
            <w:hideMark/>
          </w:tcPr>
          <w:p w14:paraId="1EC27F54" w14:textId="77777777" w:rsidR="00940A9C" w:rsidRPr="00940A9C" w:rsidRDefault="00940A9C" w:rsidP="00940A9C">
            <w:pPr>
              <w:spacing w:before="40" w:after="40"/>
              <w:contextualSpacing/>
              <w:jc w:val="center"/>
              <w:rPr>
                <w:bCs/>
                <w:lang w:val="de-DE"/>
              </w:rPr>
            </w:pPr>
            <w:r w:rsidRPr="00940A9C">
              <w:rPr>
                <w:bCs/>
                <w:lang w:val="de-DE"/>
              </w:rPr>
              <w:t>X</w:t>
            </w:r>
          </w:p>
        </w:tc>
        <w:tc>
          <w:tcPr>
            <w:tcW w:w="1701" w:type="dxa"/>
            <w:shd w:val="clear" w:color="auto" w:fill="auto"/>
            <w:noWrap/>
            <w:vAlign w:val="center"/>
            <w:hideMark/>
          </w:tcPr>
          <w:p w14:paraId="269B71CA"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hideMark/>
          </w:tcPr>
          <w:p w14:paraId="346915AB" w14:textId="77777777" w:rsidR="00940A9C" w:rsidRPr="00940A9C" w:rsidRDefault="00940A9C" w:rsidP="00940A9C">
            <w:pPr>
              <w:spacing w:before="40" w:after="40"/>
              <w:contextualSpacing/>
              <w:jc w:val="center"/>
              <w:rPr>
                <w:bCs/>
                <w:lang w:val="de-DE"/>
              </w:rPr>
            </w:pPr>
            <w:r w:rsidRPr="00940A9C">
              <w:rPr>
                <w:bCs/>
                <w:lang w:val="de-DE"/>
              </w:rPr>
              <w:t>X</w:t>
            </w:r>
          </w:p>
        </w:tc>
        <w:tc>
          <w:tcPr>
            <w:tcW w:w="1277" w:type="dxa"/>
          </w:tcPr>
          <w:p w14:paraId="3E711F4E" w14:textId="77777777" w:rsidR="00940A9C" w:rsidRPr="00940A9C" w:rsidRDefault="00940A9C" w:rsidP="00940A9C">
            <w:pPr>
              <w:spacing w:before="40" w:after="40"/>
              <w:contextualSpacing/>
              <w:jc w:val="center"/>
              <w:rPr>
                <w:bCs/>
                <w:lang w:val="de-DE"/>
              </w:rPr>
            </w:pPr>
          </w:p>
        </w:tc>
      </w:tr>
      <w:tr w:rsidR="00940A9C" w:rsidRPr="00940A9C" w14:paraId="53CAA99C" w14:textId="77777777" w:rsidTr="006F3945">
        <w:tc>
          <w:tcPr>
            <w:tcW w:w="5684" w:type="dxa"/>
            <w:shd w:val="clear" w:color="auto" w:fill="auto"/>
            <w:vAlign w:val="bottom"/>
            <w:hideMark/>
          </w:tcPr>
          <w:p w14:paraId="450853AE" w14:textId="77777777" w:rsidR="00940A9C" w:rsidRPr="00940A9C" w:rsidRDefault="00940A9C" w:rsidP="00940A9C">
            <w:pPr>
              <w:spacing w:before="40" w:after="40"/>
              <w:contextualSpacing/>
              <w:rPr>
                <w:bCs/>
                <w:lang w:val="de-DE"/>
              </w:rPr>
            </w:pPr>
            <w:r w:rsidRPr="00940A9C">
              <w:rPr>
                <w:bCs/>
                <w:lang w:val="de-DE"/>
              </w:rPr>
              <w:t>Auflagerblöcke und Anschläge aller Art</w:t>
            </w:r>
          </w:p>
        </w:tc>
        <w:tc>
          <w:tcPr>
            <w:tcW w:w="1154" w:type="dxa"/>
            <w:gridSpan w:val="2"/>
            <w:shd w:val="clear" w:color="auto" w:fill="auto"/>
            <w:noWrap/>
            <w:vAlign w:val="center"/>
            <w:hideMark/>
          </w:tcPr>
          <w:p w14:paraId="6B7F1E2A" w14:textId="77777777" w:rsidR="00940A9C" w:rsidRPr="00940A9C" w:rsidRDefault="00940A9C" w:rsidP="00940A9C">
            <w:pPr>
              <w:spacing w:before="40" w:after="40"/>
              <w:contextualSpacing/>
              <w:jc w:val="center"/>
              <w:rPr>
                <w:bCs/>
                <w:lang w:val="de-DE"/>
              </w:rPr>
            </w:pPr>
            <w:r w:rsidRPr="00940A9C">
              <w:rPr>
                <w:bCs/>
                <w:lang w:val="de-DE"/>
              </w:rPr>
              <w:t>X</w:t>
            </w:r>
          </w:p>
        </w:tc>
        <w:tc>
          <w:tcPr>
            <w:tcW w:w="1398" w:type="dxa"/>
            <w:shd w:val="clear" w:color="auto" w:fill="auto"/>
            <w:noWrap/>
            <w:vAlign w:val="center"/>
            <w:hideMark/>
          </w:tcPr>
          <w:p w14:paraId="06B516F0" w14:textId="77777777" w:rsidR="00940A9C" w:rsidRPr="00940A9C" w:rsidRDefault="00940A9C" w:rsidP="00940A9C">
            <w:pPr>
              <w:spacing w:before="40" w:after="40"/>
              <w:contextualSpacing/>
              <w:jc w:val="center"/>
              <w:rPr>
                <w:bCs/>
                <w:lang w:val="de-DE"/>
              </w:rPr>
            </w:pPr>
          </w:p>
        </w:tc>
        <w:tc>
          <w:tcPr>
            <w:tcW w:w="1701" w:type="dxa"/>
            <w:shd w:val="clear" w:color="auto" w:fill="auto"/>
            <w:noWrap/>
            <w:vAlign w:val="center"/>
            <w:hideMark/>
          </w:tcPr>
          <w:p w14:paraId="6C3DBB65"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hideMark/>
          </w:tcPr>
          <w:p w14:paraId="174AF31A" w14:textId="77777777" w:rsidR="00940A9C" w:rsidRPr="00940A9C" w:rsidRDefault="00940A9C" w:rsidP="00940A9C">
            <w:pPr>
              <w:spacing w:before="40" w:after="40"/>
              <w:contextualSpacing/>
              <w:jc w:val="center"/>
              <w:rPr>
                <w:bCs/>
                <w:lang w:val="de-DE"/>
              </w:rPr>
            </w:pPr>
          </w:p>
        </w:tc>
        <w:tc>
          <w:tcPr>
            <w:tcW w:w="1277" w:type="dxa"/>
          </w:tcPr>
          <w:p w14:paraId="315CE504" w14:textId="77777777" w:rsidR="00940A9C" w:rsidRPr="00940A9C" w:rsidRDefault="00940A9C" w:rsidP="00940A9C">
            <w:pPr>
              <w:spacing w:before="40" w:after="40"/>
              <w:contextualSpacing/>
              <w:jc w:val="center"/>
              <w:rPr>
                <w:bCs/>
                <w:lang w:val="de-DE"/>
              </w:rPr>
            </w:pPr>
          </w:p>
        </w:tc>
      </w:tr>
      <w:tr w:rsidR="00940A9C" w:rsidRPr="00940A9C" w14:paraId="3C1BC219" w14:textId="77777777" w:rsidTr="006F3945">
        <w:tc>
          <w:tcPr>
            <w:tcW w:w="5684" w:type="dxa"/>
            <w:shd w:val="clear" w:color="auto" w:fill="auto"/>
            <w:vAlign w:val="bottom"/>
          </w:tcPr>
          <w:p w14:paraId="20D9B9BD" w14:textId="77777777" w:rsidR="00940A9C" w:rsidRPr="00940A9C" w:rsidRDefault="00940A9C" w:rsidP="00940A9C">
            <w:pPr>
              <w:spacing w:before="40" w:after="40"/>
              <w:contextualSpacing/>
              <w:rPr>
                <w:bCs/>
                <w:lang w:val="de-DE"/>
              </w:rPr>
            </w:pPr>
            <w:r w:rsidRPr="00940A9C">
              <w:rPr>
                <w:bCs/>
                <w:lang w:val="de-DE"/>
              </w:rPr>
              <w:t>Ventilatoren einschließlich der Schlauchleitungen für die Belüftung</w:t>
            </w:r>
          </w:p>
        </w:tc>
        <w:tc>
          <w:tcPr>
            <w:tcW w:w="1154" w:type="dxa"/>
            <w:gridSpan w:val="2"/>
            <w:shd w:val="clear" w:color="auto" w:fill="auto"/>
            <w:noWrap/>
            <w:vAlign w:val="center"/>
            <w:hideMark/>
          </w:tcPr>
          <w:p w14:paraId="5BB748FF" w14:textId="77777777" w:rsidR="00940A9C" w:rsidRPr="00940A9C" w:rsidRDefault="00940A9C" w:rsidP="00940A9C">
            <w:pPr>
              <w:spacing w:before="40" w:after="40"/>
              <w:contextualSpacing/>
              <w:jc w:val="center"/>
              <w:rPr>
                <w:bCs/>
                <w:lang w:val="de-DE"/>
              </w:rPr>
            </w:pPr>
          </w:p>
        </w:tc>
        <w:tc>
          <w:tcPr>
            <w:tcW w:w="1398" w:type="dxa"/>
            <w:shd w:val="clear" w:color="auto" w:fill="auto"/>
            <w:noWrap/>
            <w:vAlign w:val="center"/>
            <w:hideMark/>
          </w:tcPr>
          <w:p w14:paraId="21784777" w14:textId="77777777" w:rsidR="00940A9C" w:rsidRPr="00940A9C" w:rsidRDefault="00940A9C" w:rsidP="00940A9C">
            <w:pPr>
              <w:spacing w:before="40" w:after="40"/>
              <w:contextualSpacing/>
              <w:jc w:val="center"/>
              <w:rPr>
                <w:bCs/>
                <w:lang w:val="de-DE"/>
              </w:rPr>
            </w:pPr>
            <w:r w:rsidRPr="00940A9C">
              <w:rPr>
                <w:bCs/>
                <w:lang w:val="de-DE"/>
              </w:rPr>
              <w:t>X</w:t>
            </w:r>
          </w:p>
        </w:tc>
        <w:tc>
          <w:tcPr>
            <w:tcW w:w="1701" w:type="dxa"/>
            <w:shd w:val="clear" w:color="auto" w:fill="auto"/>
            <w:noWrap/>
            <w:vAlign w:val="center"/>
            <w:hideMark/>
          </w:tcPr>
          <w:p w14:paraId="1E5A5821"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hideMark/>
          </w:tcPr>
          <w:p w14:paraId="0AF3B0CD" w14:textId="77777777" w:rsidR="00940A9C" w:rsidRPr="00940A9C" w:rsidRDefault="00940A9C" w:rsidP="00940A9C">
            <w:pPr>
              <w:spacing w:before="40" w:after="40"/>
              <w:contextualSpacing/>
              <w:jc w:val="center"/>
              <w:rPr>
                <w:bCs/>
                <w:lang w:val="de-DE"/>
              </w:rPr>
            </w:pPr>
          </w:p>
        </w:tc>
        <w:tc>
          <w:tcPr>
            <w:tcW w:w="1277" w:type="dxa"/>
          </w:tcPr>
          <w:p w14:paraId="41D24E89" w14:textId="77777777" w:rsidR="00940A9C" w:rsidRPr="00940A9C" w:rsidRDefault="00940A9C" w:rsidP="00940A9C">
            <w:pPr>
              <w:spacing w:before="40" w:after="40"/>
              <w:contextualSpacing/>
              <w:jc w:val="center"/>
              <w:rPr>
                <w:bCs/>
                <w:lang w:val="de-DE"/>
              </w:rPr>
            </w:pPr>
          </w:p>
        </w:tc>
      </w:tr>
      <w:tr w:rsidR="00940A9C" w:rsidRPr="00940A9C" w14:paraId="2C71F270" w14:textId="77777777" w:rsidTr="006F3945">
        <w:tc>
          <w:tcPr>
            <w:tcW w:w="5684" w:type="dxa"/>
            <w:shd w:val="clear" w:color="auto" w:fill="auto"/>
            <w:vAlign w:val="bottom"/>
            <w:hideMark/>
          </w:tcPr>
          <w:p w14:paraId="0FF21B3E" w14:textId="77777777" w:rsidR="00940A9C" w:rsidRPr="00940A9C" w:rsidRDefault="00940A9C" w:rsidP="00940A9C">
            <w:pPr>
              <w:spacing w:before="40" w:after="40"/>
              <w:contextualSpacing/>
              <w:rPr>
                <w:bCs/>
                <w:lang w:val="de-DE"/>
              </w:rPr>
            </w:pPr>
            <w:r w:rsidRPr="00940A9C">
              <w:rPr>
                <w:bCs/>
                <w:lang w:val="de-DE"/>
              </w:rPr>
              <w:t>Teile der Wassersprühanlage und der Dusche und das Augen- und Gesichtsbad</w:t>
            </w:r>
          </w:p>
        </w:tc>
        <w:tc>
          <w:tcPr>
            <w:tcW w:w="1154" w:type="dxa"/>
            <w:gridSpan w:val="2"/>
            <w:shd w:val="clear" w:color="auto" w:fill="auto"/>
            <w:noWrap/>
            <w:vAlign w:val="center"/>
            <w:hideMark/>
          </w:tcPr>
          <w:p w14:paraId="560BCB0D" w14:textId="77777777" w:rsidR="00940A9C" w:rsidRPr="00940A9C" w:rsidRDefault="00940A9C" w:rsidP="00940A9C">
            <w:pPr>
              <w:spacing w:before="40" w:after="40"/>
              <w:contextualSpacing/>
              <w:jc w:val="center"/>
              <w:rPr>
                <w:bCs/>
                <w:lang w:val="de-DE"/>
              </w:rPr>
            </w:pPr>
          </w:p>
        </w:tc>
        <w:tc>
          <w:tcPr>
            <w:tcW w:w="1398" w:type="dxa"/>
            <w:shd w:val="clear" w:color="auto" w:fill="auto"/>
            <w:noWrap/>
            <w:vAlign w:val="center"/>
            <w:hideMark/>
          </w:tcPr>
          <w:p w14:paraId="1D798E09" w14:textId="77777777" w:rsidR="00940A9C" w:rsidRPr="00940A9C" w:rsidRDefault="00940A9C" w:rsidP="00940A9C">
            <w:pPr>
              <w:spacing w:before="40" w:after="40"/>
              <w:contextualSpacing/>
              <w:jc w:val="center"/>
              <w:rPr>
                <w:bCs/>
                <w:lang w:val="de-DE"/>
              </w:rPr>
            </w:pPr>
            <w:r w:rsidRPr="00940A9C">
              <w:rPr>
                <w:bCs/>
                <w:lang w:val="de-DE"/>
              </w:rPr>
              <w:t>X</w:t>
            </w:r>
          </w:p>
        </w:tc>
        <w:tc>
          <w:tcPr>
            <w:tcW w:w="1701" w:type="dxa"/>
            <w:shd w:val="clear" w:color="auto" w:fill="auto"/>
            <w:noWrap/>
            <w:vAlign w:val="center"/>
            <w:hideMark/>
          </w:tcPr>
          <w:p w14:paraId="5B4AC0B7"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hideMark/>
          </w:tcPr>
          <w:p w14:paraId="5DD01754" w14:textId="77777777" w:rsidR="00940A9C" w:rsidRPr="00940A9C" w:rsidRDefault="00940A9C" w:rsidP="00940A9C">
            <w:pPr>
              <w:spacing w:before="40" w:after="40"/>
              <w:contextualSpacing/>
              <w:jc w:val="center"/>
              <w:rPr>
                <w:bCs/>
                <w:lang w:val="de-DE"/>
              </w:rPr>
            </w:pPr>
          </w:p>
        </w:tc>
        <w:tc>
          <w:tcPr>
            <w:tcW w:w="1277" w:type="dxa"/>
          </w:tcPr>
          <w:p w14:paraId="131BCC1B" w14:textId="77777777" w:rsidR="00940A9C" w:rsidRPr="00940A9C" w:rsidRDefault="00940A9C" w:rsidP="00940A9C">
            <w:pPr>
              <w:spacing w:before="40" w:after="40"/>
              <w:contextualSpacing/>
              <w:jc w:val="center"/>
              <w:rPr>
                <w:bCs/>
                <w:lang w:val="de-DE"/>
              </w:rPr>
            </w:pPr>
          </w:p>
        </w:tc>
      </w:tr>
      <w:tr w:rsidR="00940A9C" w:rsidRPr="00940A9C" w14:paraId="14AABAD7" w14:textId="77777777" w:rsidTr="006F3945">
        <w:tc>
          <w:tcPr>
            <w:tcW w:w="5684" w:type="dxa"/>
            <w:shd w:val="clear" w:color="auto" w:fill="auto"/>
            <w:vAlign w:val="bottom"/>
            <w:hideMark/>
          </w:tcPr>
          <w:p w14:paraId="2A6E893B" w14:textId="77777777" w:rsidR="00940A9C" w:rsidRPr="00940A9C" w:rsidRDefault="00940A9C" w:rsidP="00940A9C">
            <w:pPr>
              <w:spacing w:before="40" w:after="40"/>
              <w:contextualSpacing/>
              <w:rPr>
                <w:bCs/>
                <w:lang w:val="de-DE"/>
              </w:rPr>
            </w:pPr>
            <w:r w:rsidRPr="00940A9C">
              <w:rPr>
                <w:bCs/>
                <w:lang w:val="de-DE"/>
              </w:rPr>
              <w:t>Isolierung der Ladetanks, Lade- und Löschleitungen, der Gasabfuhrleitungen und Heizungsleitungen</w:t>
            </w:r>
          </w:p>
        </w:tc>
        <w:tc>
          <w:tcPr>
            <w:tcW w:w="1154" w:type="dxa"/>
            <w:gridSpan w:val="2"/>
            <w:shd w:val="clear" w:color="auto" w:fill="auto"/>
            <w:noWrap/>
            <w:vAlign w:val="center"/>
            <w:hideMark/>
          </w:tcPr>
          <w:p w14:paraId="6D936E67" w14:textId="77777777" w:rsidR="00940A9C" w:rsidRPr="00940A9C" w:rsidRDefault="00940A9C" w:rsidP="00940A9C">
            <w:pPr>
              <w:spacing w:before="40" w:after="40"/>
              <w:contextualSpacing/>
              <w:jc w:val="center"/>
              <w:rPr>
                <w:bCs/>
                <w:lang w:val="de-DE"/>
              </w:rPr>
            </w:pPr>
          </w:p>
        </w:tc>
        <w:tc>
          <w:tcPr>
            <w:tcW w:w="1398" w:type="dxa"/>
            <w:shd w:val="clear" w:color="auto" w:fill="auto"/>
            <w:noWrap/>
            <w:vAlign w:val="center"/>
            <w:hideMark/>
          </w:tcPr>
          <w:p w14:paraId="4BFF5AAE" w14:textId="77777777" w:rsidR="00940A9C" w:rsidRPr="00940A9C" w:rsidRDefault="00940A9C" w:rsidP="00940A9C">
            <w:pPr>
              <w:spacing w:before="40" w:after="40"/>
              <w:contextualSpacing/>
              <w:jc w:val="center"/>
              <w:rPr>
                <w:bCs/>
                <w:lang w:val="de-DE"/>
              </w:rPr>
            </w:pPr>
            <w:r w:rsidRPr="00940A9C">
              <w:rPr>
                <w:bCs/>
                <w:lang w:val="de-DE"/>
              </w:rPr>
              <w:t>X</w:t>
            </w:r>
          </w:p>
        </w:tc>
        <w:tc>
          <w:tcPr>
            <w:tcW w:w="1701" w:type="dxa"/>
            <w:shd w:val="clear" w:color="auto" w:fill="auto"/>
            <w:noWrap/>
            <w:vAlign w:val="center"/>
            <w:hideMark/>
          </w:tcPr>
          <w:p w14:paraId="1E46A964"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hideMark/>
          </w:tcPr>
          <w:p w14:paraId="17DD358D" w14:textId="77777777" w:rsidR="00940A9C" w:rsidRPr="00940A9C" w:rsidRDefault="00940A9C" w:rsidP="00940A9C">
            <w:pPr>
              <w:spacing w:before="40" w:after="40"/>
              <w:contextualSpacing/>
              <w:jc w:val="center"/>
              <w:rPr>
                <w:bCs/>
                <w:lang w:val="de-DE"/>
              </w:rPr>
            </w:pPr>
            <w:r w:rsidRPr="00940A9C">
              <w:rPr>
                <w:bCs/>
                <w:lang w:val="de-DE"/>
              </w:rPr>
              <w:t>X</w:t>
            </w:r>
          </w:p>
        </w:tc>
        <w:tc>
          <w:tcPr>
            <w:tcW w:w="1277" w:type="dxa"/>
          </w:tcPr>
          <w:p w14:paraId="1C5C1BFF" w14:textId="77777777" w:rsidR="00940A9C" w:rsidRPr="00940A9C" w:rsidRDefault="00940A9C" w:rsidP="00940A9C">
            <w:pPr>
              <w:spacing w:before="40" w:after="40"/>
              <w:contextualSpacing/>
              <w:jc w:val="center"/>
              <w:rPr>
                <w:bCs/>
                <w:lang w:val="de-DE"/>
              </w:rPr>
            </w:pPr>
          </w:p>
        </w:tc>
      </w:tr>
      <w:tr w:rsidR="00940A9C" w:rsidRPr="00940A9C" w14:paraId="2CF9D905" w14:textId="77777777" w:rsidTr="006F3945">
        <w:tc>
          <w:tcPr>
            <w:tcW w:w="5684" w:type="dxa"/>
            <w:shd w:val="clear" w:color="auto" w:fill="auto"/>
            <w:vAlign w:val="bottom"/>
            <w:hideMark/>
          </w:tcPr>
          <w:p w14:paraId="74CE7C3B" w14:textId="77777777" w:rsidR="00940A9C" w:rsidRPr="00940A9C" w:rsidRDefault="00940A9C" w:rsidP="00940A9C">
            <w:pPr>
              <w:spacing w:before="40" w:after="40"/>
              <w:contextualSpacing/>
              <w:rPr>
                <w:bCs/>
                <w:lang w:val="de-DE"/>
              </w:rPr>
            </w:pPr>
            <w:r w:rsidRPr="00940A9C">
              <w:rPr>
                <w:bCs/>
                <w:lang w:val="de-DE"/>
              </w:rPr>
              <w:t>Auskleidung der Tanks und der Lade-/Löschleitungen</w:t>
            </w:r>
          </w:p>
        </w:tc>
        <w:tc>
          <w:tcPr>
            <w:tcW w:w="1154" w:type="dxa"/>
            <w:gridSpan w:val="2"/>
            <w:shd w:val="clear" w:color="auto" w:fill="auto"/>
            <w:noWrap/>
            <w:vAlign w:val="center"/>
            <w:hideMark/>
          </w:tcPr>
          <w:p w14:paraId="3080D121" w14:textId="77777777" w:rsidR="00940A9C" w:rsidRPr="00940A9C" w:rsidRDefault="00940A9C" w:rsidP="00940A9C">
            <w:pPr>
              <w:spacing w:before="40" w:after="40"/>
              <w:contextualSpacing/>
              <w:jc w:val="center"/>
              <w:rPr>
                <w:bCs/>
                <w:lang w:val="de-DE"/>
              </w:rPr>
            </w:pPr>
          </w:p>
        </w:tc>
        <w:tc>
          <w:tcPr>
            <w:tcW w:w="1398" w:type="dxa"/>
            <w:shd w:val="clear" w:color="auto" w:fill="auto"/>
            <w:noWrap/>
            <w:vAlign w:val="center"/>
            <w:hideMark/>
          </w:tcPr>
          <w:p w14:paraId="58E3B5D4" w14:textId="77777777" w:rsidR="00940A9C" w:rsidRPr="00940A9C" w:rsidRDefault="00940A9C" w:rsidP="00940A9C">
            <w:pPr>
              <w:spacing w:before="40" w:after="40"/>
              <w:contextualSpacing/>
              <w:jc w:val="center"/>
              <w:rPr>
                <w:bCs/>
                <w:lang w:val="de-DE"/>
              </w:rPr>
            </w:pPr>
            <w:r w:rsidRPr="00940A9C">
              <w:rPr>
                <w:bCs/>
                <w:lang w:val="de-DE"/>
              </w:rPr>
              <w:t>X</w:t>
            </w:r>
          </w:p>
        </w:tc>
        <w:tc>
          <w:tcPr>
            <w:tcW w:w="1701" w:type="dxa"/>
            <w:shd w:val="clear" w:color="auto" w:fill="auto"/>
            <w:noWrap/>
            <w:vAlign w:val="center"/>
            <w:hideMark/>
          </w:tcPr>
          <w:p w14:paraId="32C373DD"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hideMark/>
          </w:tcPr>
          <w:p w14:paraId="0F40A3B4" w14:textId="77777777" w:rsidR="00940A9C" w:rsidRPr="00940A9C" w:rsidRDefault="00940A9C" w:rsidP="00940A9C">
            <w:pPr>
              <w:spacing w:before="40" w:after="40"/>
              <w:contextualSpacing/>
              <w:jc w:val="center"/>
              <w:rPr>
                <w:bCs/>
                <w:lang w:val="de-DE"/>
              </w:rPr>
            </w:pPr>
            <w:r w:rsidRPr="00940A9C">
              <w:rPr>
                <w:bCs/>
                <w:lang w:val="de-DE"/>
              </w:rPr>
              <w:t>X</w:t>
            </w:r>
          </w:p>
        </w:tc>
        <w:tc>
          <w:tcPr>
            <w:tcW w:w="1277" w:type="dxa"/>
          </w:tcPr>
          <w:p w14:paraId="3DD4EFA1" w14:textId="77777777" w:rsidR="00940A9C" w:rsidRPr="00940A9C" w:rsidRDefault="00940A9C" w:rsidP="00940A9C">
            <w:pPr>
              <w:spacing w:before="40" w:after="40"/>
              <w:contextualSpacing/>
              <w:jc w:val="center"/>
              <w:rPr>
                <w:bCs/>
                <w:lang w:val="de-DE"/>
              </w:rPr>
            </w:pPr>
          </w:p>
        </w:tc>
      </w:tr>
      <w:tr w:rsidR="00940A9C" w:rsidRPr="00940A9C" w14:paraId="7C58515F" w14:textId="77777777" w:rsidTr="006F3945">
        <w:tc>
          <w:tcPr>
            <w:tcW w:w="5684" w:type="dxa"/>
            <w:shd w:val="clear" w:color="auto" w:fill="auto"/>
            <w:vAlign w:val="bottom"/>
          </w:tcPr>
          <w:p w14:paraId="08074D04" w14:textId="77777777" w:rsidR="00940A9C" w:rsidRPr="00940A9C" w:rsidRDefault="00940A9C" w:rsidP="00940A9C">
            <w:pPr>
              <w:spacing w:before="40" w:after="40"/>
              <w:contextualSpacing/>
              <w:rPr>
                <w:bCs/>
                <w:lang w:val="de-DE"/>
              </w:rPr>
            </w:pPr>
            <w:r w:rsidRPr="00940A9C">
              <w:rPr>
                <w:bCs/>
                <w:lang w:val="de-DE"/>
              </w:rPr>
              <w:t>Isolierung der Ladetanks (Tabelle C, Spalte (20), Bem. 32)</w:t>
            </w:r>
          </w:p>
        </w:tc>
        <w:tc>
          <w:tcPr>
            <w:tcW w:w="1154" w:type="dxa"/>
            <w:gridSpan w:val="2"/>
            <w:shd w:val="clear" w:color="auto" w:fill="auto"/>
            <w:noWrap/>
            <w:vAlign w:val="center"/>
          </w:tcPr>
          <w:p w14:paraId="1B224EC6" w14:textId="77777777" w:rsidR="00940A9C" w:rsidRPr="00940A9C" w:rsidRDefault="00940A9C" w:rsidP="00940A9C">
            <w:pPr>
              <w:spacing w:before="40" w:after="40"/>
              <w:contextualSpacing/>
              <w:jc w:val="center"/>
              <w:rPr>
                <w:bCs/>
                <w:lang w:val="de-DE"/>
              </w:rPr>
            </w:pPr>
          </w:p>
        </w:tc>
        <w:tc>
          <w:tcPr>
            <w:tcW w:w="1398" w:type="dxa"/>
            <w:shd w:val="clear" w:color="auto" w:fill="auto"/>
            <w:noWrap/>
            <w:vAlign w:val="center"/>
          </w:tcPr>
          <w:p w14:paraId="0E34BDE0" w14:textId="77777777" w:rsidR="00940A9C" w:rsidRPr="00940A9C" w:rsidRDefault="00940A9C" w:rsidP="00940A9C">
            <w:pPr>
              <w:spacing w:before="40" w:after="40"/>
              <w:contextualSpacing/>
              <w:jc w:val="center"/>
              <w:rPr>
                <w:bCs/>
                <w:lang w:val="de-DE"/>
              </w:rPr>
            </w:pPr>
            <w:r w:rsidRPr="00940A9C">
              <w:rPr>
                <w:bCs/>
                <w:lang w:val="de-DE"/>
              </w:rPr>
              <w:t>X</w:t>
            </w:r>
          </w:p>
        </w:tc>
        <w:tc>
          <w:tcPr>
            <w:tcW w:w="1701" w:type="dxa"/>
            <w:shd w:val="clear" w:color="auto" w:fill="auto"/>
            <w:noWrap/>
            <w:vAlign w:val="center"/>
          </w:tcPr>
          <w:p w14:paraId="1864F9D8"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tcPr>
          <w:p w14:paraId="74D1812C" w14:textId="77777777" w:rsidR="00940A9C" w:rsidRPr="00940A9C" w:rsidRDefault="00940A9C" w:rsidP="00940A9C">
            <w:pPr>
              <w:spacing w:before="40" w:after="40"/>
              <w:contextualSpacing/>
              <w:jc w:val="center"/>
              <w:rPr>
                <w:bCs/>
                <w:lang w:val="de-DE"/>
              </w:rPr>
            </w:pPr>
            <w:r w:rsidRPr="00940A9C">
              <w:rPr>
                <w:bCs/>
                <w:lang w:val="de-DE"/>
              </w:rPr>
              <w:t>X</w:t>
            </w:r>
          </w:p>
        </w:tc>
        <w:tc>
          <w:tcPr>
            <w:tcW w:w="1277" w:type="dxa"/>
          </w:tcPr>
          <w:p w14:paraId="24556D8C" w14:textId="77777777" w:rsidR="00940A9C" w:rsidRPr="00940A9C" w:rsidRDefault="00940A9C" w:rsidP="00940A9C">
            <w:pPr>
              <w:spacing w:before="40" w:after="40"/>
              <w:contextualSpacing/>
              <w:jc w:val="center"/>
              <w:rPr>
                <w:bCs/>
                <w:lang w:val="de-DE"/>
              </w:rPr>
            </w:pPr>
          </w:p>
        </w:tc>
      </w:tr>
      <w:tr w:rsidR="00940A9C" w:rsidRPr="00940A9C" w14:paraId="06661529" w14:textId="77777777" w:rsidTr="006F3945">
        <w:tc>
          <w:tcPr>
            <w:tcW w:w="5684" w:type="dxa"/>
            <w:vMerge w:val="restart"/>
            <w:shd w:val="clear" w:color="auto" w:fill="auto"/>
            <w:hideMark/>
          </w:tcPr>
          <w:p w14:paraId="6336AE95" w14:textId="77777777" w:rsidR="00940A9C" w:rsidRPr="00940A9C" w:rsidRDefault="00940A9C" w:rsidP="00940A9C">
            <w:pPr>
              <w:spacing w:before="40" w:after="40"/>
              <w:contextualSpacing/>
              <w:rPr>
                <w:bCs/>
                <w:lang w:val="de-DE"/>
              </w:rPr>
            </w:pPr>
            <w:r w:rsidRPr="00940A9C">
              <w:rPr>
                <w:bCs/>
                <w:lang w:val="de-DE"/>
              </w:rPr>
              <w:t>Dichtungen aller Art</w:t>
            </w:r>
          </w:p>
        </w:tc>
        <w:tc>
          <w:tcPr>
            <w:tcW w:w="1154" w:type="dxa"/>
            <w:gridSpan w:val="2"/>
            <w:shd w:val="clear" w:color="auto" w:fill="auto"/>
            <w:noWrap/>
            <w:vAlign w:val="center"/>
            <w:hideMark/>
          </w:tcPr>
          <w:p w14:paraId="43D47ABF" w14:textId="77777777" w:rsidR="00940A9C" w:rsidRPr="00940A9C" w:rsidRDefault="00940A9C" w:rsidP="00940A9C">
            <w:pPr>
              <w:spacing w:before="40" w:after="40"/>
              <w:contextualSpacing/>
              <w:jc w:val="center"/>
              <w:rPr>
                <w:bCs/>
                <w:lang w:val="de-DE"/>
              </w:rPr>
            </w:pPr>
          </w:p>
        </w:tc>
        <w:tc>
          <w:tcPr>
            <w:tcW w:w="1398" w:type="dxa"/>
            <w:shd w:val="clear" w:color="auto" w:fill="auto"/>
            <w:noWrap/>
            <w:vAlign w:val="center"/>
            <w:hideMark/>
          </w:tcPr>
          <w:p w14:paraId="4975CB73" w14:textId="77777777" w:rsidR="00940A9C" w:rsidRPr="00940A9C" w:rsidRDefault="00940A9C" w:rsidP="00940A9C">
            <w:pPr>
              <w:spacing w:before="40" w:after="40"/>
              <w:contextualSpacing/>
              <w:jc w:val="center"/>
              <w:rPr>
                <w:bCs/>
                <w:lang w:val="de-DE"/>
              </w:rPr>
            </w:pPr>
            <w:r w:rsidRPr="00940A9C">
              <w:rPr>
                <w:bCs/>
                <w:lang w:val="de-DE"/>
              </w:rPr>
              <w:t>X</w:t>
            </w:r>
          </w:p>
        </w:tc>
        <w:tc>
          <w:tcPr>
            <w:tcW w:w="1701" w:type="dxa"/>
            <w:shd w:val="clear" w:color="auto" w:fill="auto"/>
            <w:noWrap/>
            <w:vAlign w:val="center"/>
            <w:hideMark/>
          </w:tcPr>
          <w:p w14:paraId="470AE15B"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hideMark/>
          </w:tcPr>
          <w:p w14:paraId="07742D17" w14:textId="77777777" w:rsidR="00940A9C" w:rsidRPr="00940A9C" w:rsidRDefault="00940A9C" w:rsidP="00940A9C">
            <w:pPr>
              <w:spacing w:before="40" w:after="40"/>
              <w:contextualSpacing/>
              <w:jc w:val="center"/>
              <w:rPr>
                <w:bCs/>
                <w:lang w:val="de-DE"/>
              </w:rPr>
            </w:pPr>
            <w:r w:rsidRPr="00940A9C">
              <w:rPr>
                <w:bCs/>
                <w:lang w:val="de-DE"/>
              </w:rPr>
              <w:t>X</w:t>
            </w:r>
          </w:p>
        </w:tc>
        <w:tc>
          <w:tcPr>
            <w:tcW w:w="1277" w:type="dxa"/>
          </w:tcPr>
          <w:p w14:paraId="0EF27458" w14:textId="77777777" w:rsidR="00940A9C" w:rsidRPr="00940A9C" w:rsidRDefault="00940A9C" w:rsidP="00940A9C">
            <w:pPr>
              <w:spacing w:before="40" w:after="40"/>
              <w:contextualSpacing/>
              <w:jc w:val="center"/>
              <w:rPr>
                <w:bCs/>
                <w:lang w:val="de-DE"/>
              </w:rPr>
            </w:pPr>
          </w:p>
        </w:tc>
      </w:tr>
      <w:tr w:rsidR="00940A9C" w:rsidRPr="00ED4EA8" w14:paraId="027FC5F0" w14:textId="77777777" w:rsidTr="006F3945">
        <w:tc>
          <w:tcPr>
            <w:tcW w:w="5684" w:type="dxa"/>
            <w:vMerge/>
            <w:shd w:val="clear" w:color="auto" w:fill="auto"/>
          </w:tcPr>
          <w:p w14:paraId="15467A6C" w14:textId="77777777" w:rsidR="00940A9C" w:rsidRPr="00940A9C" w:rsidRDefault="00940A9C" w:rsidP="00940A9C">
            <w:pPr>
              <w:spacing w:before="40" w:after="40"/>
              <w:contextualSpacing/>
              <w:rPr>
                <w:bCs/>
                <w:lang w:val="de-DE"/>
              </w:rPr>
            </w:pPr>
          </w:p>
        </w:tc>
        <w:tc>
          <w:tcPr>
            <w:tcW w:w="6947" w:type="dxa"/>
            <w:gridSpan w:val="6"/>
            <w:shd w:val="clear" w:color="auto" w:fill="auto"/>
            <w:noWrap/>
            <w:vAlign w:val="center"/>
          </w:tcPr>
          <w:p w14:paraId="4BD3415F" w14:textId="77777777" w:rsidR="00940A9C" w:rsidRPr="00940A9C" w:rsidRDefault="00940A9C" w:rsidP="00940A9C">
            <w:pPr>
              <w:spacing w:before="40" w:after="40"/>
              <w:contextualSpacing/>
              <w:jc w:val="center"/>
              <w:rPr>
                <w:bCs/>
                <w:lang w:val="de-DE"/>
              </w:rPr>
            </w:pPr>
            <w:r w:rsidRPr="00940A9C">
              <w:rPr>
                <w:bCs/>
                <w:lang w:val="de-DE"/>
              </w:rPr>
              <w:t>Vorbehaltlich der Tabelle C, Spalte (20), Bem. 39 a)</w:t>
            </w:r>
          </w:p>
        </w:tc>
      </w:tr>
      <w:tr w:rsidR="00940A9C" w:rsidRPr="00940A9C" w14:paraId="3B20DC35" w14:textId="77777777" w:rsidTr="006F3945">
        <w:tc>
          <w:tcPr>
            <w:tcW w:w="5684" w:type="dxa"/>
            <w:vMerge w:val="restart"/>
            <w:shd w:val="clear" w:color="auto" w:fill="auto"/>
            <w:hideMark/>
          </w:tcPr>
          <w:p w14:paraId="7AD9354B" w14:textId="77777777" w:rsidR="00940A9C" w:rsidRPr="00940A9C" w:rsidRDefault="00940A9C" w:rsidP="00940A9C">
            <w:pPr>
              <w:spacing w:before="40" w:after="40"/>
              <w:contextualSpacing/>
              <w:rPr>
                <w:bCs/>
                <w:lang w:val="de-DE"/>
              </w:rPr>
            </w:pPr>
            <w:r w:rsidRPr="00940A9C">
              <w:rPr>
                <w:bCs/>
                <w:lang w:val="de-DE"/>
              </w:rPr>
              <w:t>Kabel für die elektrischen Einrichtungen</w:t>
            </w:r>
          </w:p>
        </w:tc>
        <w:tc>
          <w:tcPr>
            <w:tcW w:w="1154" w:type="dxa"/>
            <w:gridSpan w:val="2"/>
            <w:shd w:val="clear" w:color="auto" w:fill="auto"/>
            <w:noWrap/>
            <w:vAlign w:val="center"/>
            <w:hideMark/>
          </w:tcPr>
          <w:p w14:paraId="79DE656C" w14:textId="77777777" w:rsidR="00940A9C" w:rsidRPr="00940A9C" w:rsidRDefault="00940A9C" w:rsidP="00940A9C">
            <w:pPr>
              <w:spacing w:before="40" w:after="40"/>
              <w:contextualSpacing/>
              <w:jc w:val="center"/>
              <w:rPr>
                <w:bCs/>
                <w:lang w:val="de-DE"/>
              </w:rPr>
            </w:pPr>
          </w:p>
        </w:tc>
        <w:tc>
          <w:tcPr>
            <w:tcW w:w="1398" w:type="dxa"/>
            <w:shd w:val="clear" w:color="auto" w:fill="auto"/>
            <w:noWrap/>
            <w:vAlign w:val="center"/>
            <w:hideMark/>
          </w:tcPr>
          <w:p w14:paraId="63E5D5A5" w14:textId="77777777" w:rsidR="00940A9C" w:rsidRPr="00940A9C" w:rsidRDefault="00940A9C" w:rsidP="00940A9C">
            <w:pPr>
              <w:spacing w:before="40" w:after="40"/>
              <w:contextualSpacing/>
              <w:jc w:val="center"/>
              <w:rPr>
                <w:bCs/>
                <w:lang w:val="de-DE"/>
              </w:rPr>
            </w:pPr>
          </w:p>
        </w:tc>
        <w:tc>
          <w:tcPr>
            <w:tcW w:w="1701" w:type="dxa"/>
            <w:shd w:val="clear" w:color="auto" w:fill="auto"/>
            <w:noWrap/>
            <w:vAlign w:val="center"/>
            <w:hideMark/>
          </w:tcPr>
          <w:p w14:paraId="03420D10"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hideMark/>
          </w:tcPr>
          <w:p w14:paraId="17FBC46E" w14:textId="77777777" w:rsidR="00940A9C" w:rsidRPr="00940A9C" w:rsidRDefault="00940A9C" w:rsidP="00940A9C">
            <w:pPr>
              <w:spacing w:before="40" w:after="40"/>
              <w:contextualSpacing/>
              <w:jc w:val="center"/>
              <w:rPr>
                <w:bCs/>
                <w:lang w:val="de-DE"/>
              </w:rPr>
            </w:pPr>
            <w:r w:rsidRPr="00940A9C">
              <w:rPr>
                <w:bCs/>
                <w:lang w:val="de-DE"/>
              </w:rPr>
              <w:t>X</w:t>
            </w:r>
          </w:p>
        </w:tc>
        <w:tc>
          <w:tcPr>
            <w:tcW w:w="1277" w:type="dxa"/>
          </w:tcPr>
          <w:p w14:paraId="30AB6A7C" w14:textId="77777777" w:rsidR="00940A9C" w:rsidRPr="00940A9C" w:rsidRDefault="00940A9C" w:rsidP="00940A9C">
            <w:pPr>
              <w:spacing w:before="40" w:after="40"/>
              <w:contextualSpacing/>
              <w:jc w:val="center"/>
              <w:rPr>
                <w:bCs/>
                <w:lang w:val="de-DE"/>
              </w:rPr>
            </w:pPr>
          </w:p>
        </w:tc>
      </w:tr>
      <w:tr w:rsidR="00940A9C" w:rsidRPr="00ED4EA8" w14:paraId="5AD5D025" w14:textId="77777777" w:rsidTr="006F3945">
        <w:tc>
          <w:tcPr>
            <w:tcW w:w="5684" w:type="dxa"/>
            <w:vMerge/>
            <w:shd w:val="clear" w:color="auto" w:fill="auto"/>
            <w:vAlign w:val="bottom"/>
          </w:tcPr>
          <w:p w14:paraId="76ACA9D4" w14:textId="77777777" w:rsidR="00940A9C" w:rsidRPr="00940A9C" w:rsidRDefault="00940A9C" w:rsidP="00940A9C">
            <w:pPr>
              <w:spacing w:before="40" w:after="40"/>
              <w:contextualSpacing/>
              <w:rPr>
                <w:bCs/>
                <w:lang w:val="de-DE"/>
              </w:rPr>
            </w:pPr>
          </w:p>
        </w:tc>
        <w:tc>
          <w:tcPr>
            <w:tcW w:w="6947" w:type="dxa"/>
            <w:gridSpan w:val="6"/>
            <w:shd w:val="clear" w:color="auto" w:fill="auto"/>
            <w:noWrap/>
            <w:vAlign w:val="center"/>
          </w:tcPr>
          <w:p w14:paraId="58FC1C48" w14:textId="77777777" w:rsidR="00940A9C" w:rsidRPr="00940A9C" w:rsidRDefault="00940A9C" w:rsidP="00940A9C">
            <w:pPr>
              <w:spacing w:before="40" w:after="40"/>
              <w:contextualSpacing/>
              <w:jc w:val="center"/>
              <w:rPr>
                <w:bCs/>
                <w:lang w:val="de-DE"/>
              </w:rPr>
            </w:pPr>
            <w:r w:rsidRPr="00940A9C">
              <w:rPr>
                <w:bCs/>
                <w:lang w:val="de-DE"/>
              </w:rPr>
              <w:t>Gemäß den geltenden technischen Normen</w:t>
            </w:r>
          </w:p>
        </w:tc>
      </w:tr>
      <w:tr w:rsidR="00940A9C" w:rsidRPr="00940A9C" w14:paraId="3549482C" w14:textId="77777777" w:rsidTr="006F3945">
        <w:tc>
          <w:tcPr>
            <w:tcW w:w="5684" w:type="dxa"/>
            <w:shd w:val="clear" w:color="auto" w:fill="auto"/>
            <w:vAlign w:val="bottom"/>
          </w:tcPr>
          <w:p w14:paraId="579EFB0C" w14:textId="77777777" w:rsidR="00940A9C" w:rsidRPr="00940A9C" w:rsidRDefault="00940A9C" w:rsidP="00940A9C">
            <w:pPr>
              <w:spacing w:before="40" w:after="40"/>
              <w:contextualSpacing/>
              <w:rPr>
                <w:bCs/>
                <w:lang w:val="de-DE"/>
              </w:rPr>
            </w:pPr>
            <w:r w:rsidRPr="00940A9C">
              <w:rPr>
                <w:bCs/>
                <w:lang w:val="de-DE"/>
              </w:rPr>
              <w:t>Kisten, Schränke oder sonstige Behälter an Deck für die Lagerung von Material zum Auffangen von Leckflüssigkeiten, Reinigungsmitteln, Feuerlöschgeräte, Feuerlöschschläuchen usw.</w:t>
            </w:r>
          </w:p>
        </w:tc>
        <w:tc>
          <w:tcPr>
            <w:tcW w:w="1133" w:type="dxa"/>
            <w:shd w:val="clear" w:color="auto" w:fill="auto"/>
            <w:noWrap/>
            <w:vAlign w:val="center"/>
          </w:tcPr>
          <w:p w14:paraId="0911F2E0" w14:textId="77777777" w:rsidR="00940A9C" w:rsidRPr="00940A9C" w:rsidRDefault="00940A9C" w:rsidP="00940A9C">
            <w:pPr>
              <w:spacing w:before="40" w:after="40"/>
              <w:contextualSpacing/>
              <w:jc w:val="center"/>
              <w:rPr>
                <w:bCs/>
                <w:lang w:val="de-DE"/>
              </w:rPr>
            </w:pPr>
          </w:p>
        </w:tc>
        <w:tc>
          <w:tcPr>
            <w:tcW w:w="1419" w:type="dxa"/>
            <w:gridSpan w:val="2"/>
            <w:shd w:val="clear" w:color="auto" w:fill="auto"/>
            <w:noWrap/>
            <w:vAlign w:val="center"/>
          </w:tcPr>
          <w:p w14:paraId="109F23FD" w14:textId="77777777" w:rsidR="00940A9C" w:rsidRPr="00940A9C" w:rsidRDefault="00940A9C" w:rsidP="00940A9C">
            <w:pPr>
              <w:spacing w:before="40" w:after="40"/>
              <w:contextualSpacing/>
              <w:jc w:val="center"/>
              <w:rPr>
                <w:bCs/>
                <w:lang w:val="de-DE"/>
              </w:rPr>
            </w:pPr>
            <w:r w:rsidRPr="00940A9C">
              <w:rPr>
                <w:bCs/>
                <w:lang w:val="de-DE"/>
              </w:rPr>
              <w:t>X</w:t>
            </w:r>
          </w:p>
        </w:tc>
        <w:tc>
          <w:tcPr>
            <w:tcW w:w="1701" w:type="dxa"/>
            <w:shd w:val="clear" w:color="auto" w:fill="auto"/>
            <w:noWrap/>
            <w:vAlign w:val="center"/>
          </w:tcPr>
          <w:p w14:paraId="4434659F"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tcPr>
          <w:p w14:paraId="292B4DE5" w14:textId="77777777" w:rsidR="00940A9C" w:rsidRPr="00940A9C" w:rsidRDefault="00940A9C" w:rsidP="00940A9C">
            <w:pPr>
              <w:spacing w:before="40" w:after="40"/>
              <w:contextualSpacing/>
              <w:jc w:val="center"/>
              <w:rPr>
                <w:bCs/>
                <w:lang w:val="de-DE"/>
              </w:rPr>
            </w:pPr>
          </w:p>
        </w:tc>
        <w:tc>
          <w:tcPr>
            <w:tcW w:w="1277" w:type="dxa"/>
          </w:tcPr>
          <w:p w14:paraId="7D580874" w14:textId="77777777" w:rsidR="00940A9C" w:rsidRPr="00940A9C" w:rsidRDefault="00940A9C" w:rsidP="00940A9C">
            <w:pPr>
              <w:spacing w:before="40" w:after="40"/>
              <w:contextualSpacing/>
              <w:jc w:val="center"/>
              <w:rPr>
                <w:bCs/>
                <w:lang w:val="de-DE"/>
              </w:rPr>
            </w:pPr>
          </w:p>
        </w:tc>
      </w:tr>
      <w:tr w:rsidR="00940A9C" w:rsidRPr="00940A9C" w14:paraId="1393A85F" w14:textId="77777777" w:rsidTr="006F3945">
        <w:tc>
          <w:tcPr>
            <w:tcW w:w="5684" w:type="dxa"/>
            <w:vMerge w:val="restart"/>
            <w:shd w:val="clear" w:color="auto" w:fill="auto"/>
          </w:tcPr>
          <w:p w14:paraId="5762878A" w14:textId="77777777" w:rsidR="00940A9C" w:rsidRPr="00940A9C" w:rsidRDefault="00940A9C" w:rsidP="00940A9C">
            <w:pPr>
              <w:spacing w:before="40" w:after="40"/>
              <w:contextualSpacing/>
              <w:rPr>
                <w:bCs/>
                <w:lang w:val="de-DE"/>
              </w:rPr>
            </w:pPr>
            <w:r w:rsidRPr="00940A9C">
              <w:rPr>
                <w:bCs/>
                <w:lang w:val="de-DE"/>
              </w:rPr>
              <w:t xml:space="preserve">Kisten, Schränke oder sonstige Behälter an Deck für die Lagerung oder Entsorgung von Abfällen </w:t>
            </w:r>
          </w:p>
        </w:tc>
        <w:tc>
          <w:tcPr>
            <w:tcW w:w="1133" w:type="dxa"/>
            <w:shd w:val="clear" w:color="auto" w:fill="auto"/>
            <w:noWrap/>
            <w:vAlign w:val="center"/>
          </w:tcPr>
          <w:p w14:paraId="79F6A4E0" w14:textId="77777777" w:rsidR="00940A9C" w:rsidRPr="00940A9C" w:rsidRDefault="00940A9C" w:rsidP="00940A9C">
            <w:pPr>
              <w:spacing w:before="40" w:after="40"/>
              <w:contextualSpacing/>
              <w:jc w:val="center"/>
              <w:rPr>
                <w:bCs/>
                <w:lang w:val="de-DE"/>
              </w:rPr>
            </w:pPr>
          </w:p>
        </w:tc>
        <w:tc>
          <w:tcPr>
            <w:tcW w:w="1419" w:type="dxa"/>
            <w:gridSpan w:val="2"/>
            <w:shd w:val="clear" w:color="auto" w:fill="auto"/>
            <w:noWrap/>
            <w:vAlign w:val="center"/>
          </w:tcPr>
          <w:p w14:paraId="06202D39" w14:textId="77777777" w:rsidR="00940A9C" w:rsidRPr="00940A9C" w:rsidRDefault="00940A9C" w:rsidP="00940A9C">
            <w:pPr>
              <w:spacing w:before="40" w:after="40"/>
              <w:contextualSpacing/>
              <w:jc w:val="center"/>
              <w:rPr>
                <w:bCs/>
                <w:lang w:val="de-DE"/>
              </w:rPr>
            </w:pPr>
            <w:r w:rsidRPr="00940A9C">
              <w:rPr>
                <w:bCs/>
                <w:lang w:val="de-DE"/>
              </w:rPr>
              <w:t>X</w:t>
            </w:r>
          </w:p>
        </w:tc>
        <w:tc>
          <w:tcPr>
            <w:tcW w:w="1701" w:type="dxa"/>
            <w:shd w:val="clear" w:color="auto" w:fill="auto"/>
            <w:noWrap/>
            <w:vAlign w:val="center"/>
          </w:tcPr>
          <w:p w14:paraId="1B73A353" w14:textId="77777777" w:rsidR="00940A9C" w:rsidRPr="00940A9C" w:rsidRDefault="00940A9C" w:rsidP="00940A9C">
            <w:pPr>
              <w:spacing w:before="40" w:after="40"/>
              <w:contextualSpacing/>
              <w:jc w:val="center"/>
              <w:rPr>
                <w:bCs/>
                <w:lang w:val="de-DE"/>
              </w:rPr>
            </w:pPr>
            <w:r w:rsidRPr="00940A9C">
              <w:rPr>
                <w:bCs/>
                <w:lang w:val="de-DE"/>
              </w:rPr>
              <w:t>X</w:t>
            </w:r>
          </w:p>
        </w:tc>
        <w:tc>
          <w:tcPr>
            <w:tcW w:w="1417" w:type="dxa"/>
            <w:shd w:val="clear" w:color="auto" w:fill="auto"/>
            <w:noWrap/>
            <w:vAlign w:val="center"/>
          </w:tcPr>
          <w:p w14:paraId="3E4D62CC" w14:textId="77777777" w:rsidR="00940A9C" w:rsidRPr="00940A9C" w:rsidRDefault="00940A9C" w:rsidP="00940A9C">
            <w:pPr>
              <w:spacing w:before="40" w:after="40"/>
              <w:contextualSpacing/>
              <w:jc w:val="center"/>
              <w:rPr>
                <w:bCs/>
                <w:lang w:val="de-DE"/>
              </w:rPr>
            </w:pPr>
          </w:p>
        </w:tc>
        <w:tc>
          <w:tcPr>
            <w:tcW w:w="1277" w:type="dxa"/>
          </w:tcPr>
          <w:p w14:paraId="39D3F610" w14:textId="77777777" w:rsidR="00940A9C" w:rsidRPr="00940A9C" w:rsidRDefault="00940A9C" w:rsidP="00940A9C">
            <w:pPr>
              <w:spacing w:before="40" w:after="40"/>
              <w:contextualSpacing/>
              <w:jc w:val="center"/>
              <w:rPr>
                <w:bCs/>
                <w:lang w:val="de-DE"/>
              </w:rPr>
            </w:pPr>
          </w:p>
        </w:tc>
      </w:tr>
      <w:tr w:rsidR="00940A9C" w:rsidRPr="00ED4EA8" w14:paraId="277F94DC" w14:textId="77777777" w:rsidTr="006F3945">
        <w:tc>
          <w:tcPr>
            <w:tcW w:w="5684" w:type="dxa"/>
            <w:vMerge/>
            <w:shd w:val="clear" w:color="auto" w:fill="auto"/>
            <w:vAlign w:val="bottom"/>
          </w:tcPr>
          <w:p w14:paraId="22AEEED9" w14:textId="77777777" w:rsidR="00940A9C" w:rsidRPr="00940A9C" w:rsidRDefault="00940A9C" w:rsidP="00940A9C">
            <w:pPr>
              <w:spacing w:before="40" w:after="40"/>
              <w:contextualSpacing/>
              <w:rPr>
                <w:bCs/>
                <w:lang w:val="de-DE"/>
              </w:rPr>
            </w:pPr>
          </w:p>
        </w:tc>
        <w:tc>
          <w:tcPr>
            <w:tcW w:w="6947" w:type="dxa"/>
            <w:gridSpan w:val="6"/>
            <w:shd w:val="clear" w:color="auto" w:fill="auto"/>
            <w:noWrap/>
            <w:vAlign w:val="center"/>
          </w:tcPr>
          <w:p w14:paraId="2C0DC65C" w14:textId="77777777" w:rsidR="00940A9C" w:rsidRPr="00940A9C" w:rsidRDefault="00940A9C" w:rsidP="00940A9C">
            <w:pPr>
              <w:spacing w:before="40" w:after="40"/>
              <w:contextualSpacing/>
              <w:jc w:val="center"/>
              <w:rPr>
                <w:bCs/>
                <w:lang w:val="de-DE"/>
              </w:rPr>
            </w:pPr>
            <w:r w:rsidRPr="00940A9C">
              <w:rPr>
                <w:bCs/>
                <w:lang w:val="de-DE"/>
              </w:rPr>
              <w:t>Für öl- und fetthaltige Schiffsbetriebsabfälle nur feuerfeste Behälter (7.2.1.21.6)</w:t>
            </w:r>
          </w:p>
        </w:tc>
      </w:tr>
    </w:tbl>
    <w:p w14:paraId="647E82CD" w14:textId="77777777" w:rsidR="00940A9C" w:rsidRPr="00940A9C" w:rsidRDefault="00940A9C" w:rsidP="00940A9C">
      <w:pPr>
        <w:rPr>
          <w:lang w:val="de-DE"/>
        </w:rPr>
      </w:pPr>
    </w:p>
    <w:p w14:paraId="646CEC3B" w14:textId="77777777" w:rsidR="00940A9C" w:rsidRPr="00940A9C" w:rsidRDefault="00940A9C" w:rsidP="00940A9C">
      <w:pPr>
        <w:suppressAutoHyphens w:val="0"/>
        <w:spacing w:line="240" w:lineRule="auto"/>
        <w:rPr>
          <w:lang w:val="de-DE"/>
        </w:rPr>
      </w:pPr>
      <w:r w:rsidRPr="00940A9C">
        <w:rPr>
          <w:lang w:val="de-DE"/>
        </w:rPr>
        <w:br w:type="page"/>
      </w:r>
    </w:p>
    <w:p w14:paraId="41AF73A4" w14:textId="77777777" w:rsidR="00940A9C" w:rsidRPr="00940A9C" w:rsidRDefault="00940A9C" w:rsidP="00940A9C">
      <w:pPr>
        <w:rPr>
          <w:lang w:val="de-DE"/>
        </w:rPr>
      </w:pPr>
    </w:p>
    <w:tbl>
      <w:tblPr>
        <w:tblW w:w="1262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6"/>
        <w:gridCol w:w="11"/>
        <w:gridCol w:w="1212"/>
        <w:gridCol w:w="1472"/>
        <w:gridCol w:w="9"/>
        <w:gridCol w:w="1550"/>
        <w:gridCol w:w="9"/>
        <w:gridCol w:w="1496"/>
        <w:gridCol w:w="63"/>
        <w:gridCol w:w="1276"/>
      </w:tblGrid>
      <w:tr w:rsidR="00940A9C" w:rsidRPr="00940A9C" w14:paraId="19C556DD" w14:textId="77777777" w:rsidTr="006F3945">
        <w:trPr>
          <w:trHeight w:val="270"/>
          <w:tblHeader/>
        </w:trPr>
        <w:tc>
          <w:tcPr>
            <w:tcW w:w="5537" w:type="dxa"/>
            <w:gridSpan w:val="2"/>
            <w:tcBorders>
              <w:top w:val="nil"/>
              <w:left w:val="nil"/>
            </w:tcBorders>
            <w:shd w:val="clear" w:color="auto" w:fill="auto"/>
            <w:noWrap/>
            <w:vAlign w:val="bottom"/>
            <w:hideMark/>
          </w:tcPr>
          <w:p w14:paraId="02F43D1D" w14:textId="77777777" w:rsidR="00940A9C" w:rsidRPr="00940A9C" w:rsidRDefault="00940A9C" w:rsidP="00940A9C">
            <w:pPr>
              <w:keepNext/>
              <w:keepLines/>
              <w:spacing w:before="40" w:after="40"/>
              <w:contextualSpacing/>
              <w:rPr>
                <w:b/>
                <w:lang w:val="de-DE"/>
              </w:rPr>
            </w:pPr>
          </w:p>
        </w:tc>
        <w:tc>
          <w:tcPr>
            <w:tcW w:w="1212" w:type="dxa"/>
            <w:tcBorders>
              <w:top w:val="single" w:sz="4" w:space="0" w:color="auto"/>
            </w:tcBorders>
            <w:shd w:val="clear" w:color="auto" w:fill="auto"/>
            <w:noWrap/>
            <w:vAlign w:val="center"/>
          </w:tcPr>
          <w:p w14:paraId="6ED92F8A" w14:textId="77777777" w:rsidR="00940A9C" w:rsidRPr="00940A9C" w:rsidRDefault="00940A9C" w:rsidP="00940A9C">
            <w:pPr>
              <w:keepNext/>
              <w:keepLines/>
              <w:spacing w:before="40" w:after="40"/>
              <w:contextualSpacing/>
              <w:jc w:val="center"/>
              <w:rPr>
                <w:b/>
                <w:lang w:val="de-DE"/>
              </w:rPr>
            </w:pPr>
            <w:r w:rsidRPr="00940A9C">
              <w:rPr>
                <w:b/>
                <w:sz w:val="18"/>
                <w:szCs w:val="18"/>
                <w:lang w:val="de-DE"/>
              </w:rPr>
              <w:t>Holz</w:t>
            </w:r>
          </w:p>
        </w:tc>
        <w:tc>
          <w:tcPr>
            <w:tcW w:w="1481" w:type="dxa"/>
            <w:gridSpan w:val="2"/>
            <w:shd w:val="clear" w:color="auto" w:fill="auto"/>
            <w:noWrap/>
            <w:vAlign w:val="center"/>
          </w:tcPr>
          <w:p w14:paraId="1D01AF35" w14:textId="77777777" w:rsidR="00940A9C" w:rsidRPr="00940A9C" w:rsidRDefault="00940A9C" w:rsidP="00940A9C">
            <w:pPr>
              <w:keepNext/>
              <w:keepLines/>
              <w:spacing w:before="40" w:after="40"/>
              <w:contextualSpacing/>
              <w:jc w:val="center"/>
              <w:rPr>
                <w:b/>
                <w:lang w:val="de-DE"/>
              </w:rPr>
            </w:pPr>
            <w:r w:rsidRPr="00940A9C">
              <w:rPr>
                <w:b/>
                <w:sz w:val="18"/>
                <w:szCs w:val="18"/>
                <w:lang w:val="de-DE"/>
              </w:rPr>
              <w:t>Aluminium-legierungen</w:t>
            </w:r>
          </w:p>
        </w:tc>
        <w:tc>
          <w:tcPr>
            <w:tcW w:w="1559" w:type="dxa"/>
            <w:gridSpan w:val="2"/>
            <w:shd w:val="clear" w:color="auto" w:fill="auto"/>
            <w:noWrap/>
            <w:vAlign w:val="center"/>
          </w:tcPr>
          <w:p w14:paraId="64AB4836" w14:textId="77777777" w:rsidR="00940A9C" w:rsidRPr="00940A9C" w:rsidRDefault="00940A9C" w:rsidP="00940A9C">
            <w:pPr>
              <w:keepNext/>
              <w:keepLines/>
              <w:spacing w:before="40" w:after="40"/>
              <w:contextualSpacing/>
              <w:jc w:val="center"/>
              <w:rPr>
                <w:b/>
                <w:lang w:val="de-DE"/>
              </w:rPr>
            </w:pPr>
            <w:r w:rsidRPr="00940A9C">
              <w:rPr>
                <w:b/>
                <w:sz w:val="18"/>
                <w:szCs w:val="18"/>
                <w:lang w:val="de-DE"/>
              </w:rPr>
              <w:t>Kunststoff</w:t>
            </w:r>
            <w:r w:rsidRPr="00940A9C">
              <w:rPr>
                <w:b/>
                <w:lang w:val="de-DE"/>
              </w:rPr>
              <w:t>/ Verbundwerk-stoff</w:t>
            </w:r>
          </w:p>
        </w:tc>
        <w:tc>
          <w:tcPr>
            <w:tcW w:w="1559" w:type="dxa"/>
            <w:gridSpan w:val="2"/>
            <w:shd w:val="clear" w:color="auto" w:fill="auto"/>
            <w:noWrap/>
            <w:vAlign w:val="center"/>
          </w:tcPr>
          <w:p w14:paraId="19FE3628" w14:textId="77777777" w:rsidR="00940A9C" w:rsidRPr="00940A9C" w:rsidRDefault="00940A9C" w:rsidP="00940A9C">
            <w:pPr>
              <w:keepNext/>
              <w:keepLines/>
              <w:spacing w:before="40" w:after="40"/>
              <w:contextualSpacing/>
              <w:jc w:val="center"/>
              <w:rPr>
                <w:b/>
                <w:lang w:val="de-DE"/>
              </w:rPr>
            </w:pPr>
            <w:r w:rsidRPr="00940A9C">
              <w:rPr>
                <w:b/>
                <w:sz w:val="18"/>
                <w:szCs w:val="18"/>
                <w:lang w:val="de-DE"/>
              </w:rPr>
              <w:t>Gummi</w:t>
            </w:r>
          </w:p>
        </w:tc>
        <w:tc>
          <w:tcPr>
            <w:tcW w:w="1276" w:type="dxa"/>
          </w:tcPr>
          <w:p w14:paraId="48705DA5" w14:textId="77777777" w:rsidR="00940A9C" w:rsidRPr="00940A9C" w:rsidRDefault="00940A9C" w:rsidP="00940A9C">
            <w:pPr>
              <w:keepNext/>
              <w:keepLines/>
              <w:spacing w:before="40" w:after="40"/>
              <w:contextualSpacing/>
              <w:jc w:val="center"/>
              <w:rPr>
                <w:b/>
                <w:lang w:val="de-DE"/>
              </w:rPr>
            </w:pPr>
            <w:r w:rsidRPr="00940A9C">
              <w:rPr>
                <w:b/>
                <w:lang w:val="de-DE"/>
              </w:rPr>
              <w:t>Glas</w:t>
            </w:r>
          </w:p>
        </w:tc>
      </w:tr>
      <w:tr w:rsidR="00940A9C" w:rsidRPr="00940A9C" w14:paraId="20EC24E4" w14:textId="77777777" w:rsidTr="006F3945">
        <w:tc>
          <w:tcPr>
            <w:tcW w:w="5537" w:type="dxa"/>
            <w:gridSpan w:val="2"/>
            <w:shd w:val="clear" w:color="auto" w:fill="auto"/>
            <w:vAlign w:val="bottom"/>
          </w:tcPr>
          <w:p w14:paraId="42A2208C" w14:textId="77777777" w:rsidR="00940A9C" w:rsidRPr="00940A9C" w:rsidRDefault="00940A9C" w:rsidP="00940A9C">
            <w:pPr>
              <w:keepNext/>
              <w:keepLines/>
              <w:spacing w:before="40" w:after="40"/>
              <w:contextualSpacing/>
              <w:rPr>
                <w:bCs/>
                <w:lang w:val="de-DE"/>
              </w:rPr>
            </w:pPr>
          </w:p>
        </w:tc>
        <w:tc>
          <w:tcPr>
            <w:tcW w:w="1212" w:type="dxa"/>
            <w:shd w:val="clear" w:color="auto" w:fill="auto"/>
            <w:noWrap/>
            <w:vAlign w:val="center"/>
          </w:tcPr>
          <w:p w14:paraId="60C7608A" w14:textId="77777777" w:rsidR="00940A9C" w:rsidRPr="00940A9C" w:rsidRDefault="00940A9C" w:rsidP="00940A9C">
            <w:pPr>
              <w:keepNext/>
              <w:keepLines/>
              <w:spacing w:before="40" w:after="40"/>
              <w:contextualSpacing/>
              <w:rPr>
                <w:bCs/>
                <w:lang w:val="de-DE"/>
              </w:rPr>
            </w:pPr>
          </w:p>
        </w:tc>
        <w:tc>
          <w:tcPr>
            <w:tcW w:w="1481" w:type="dxa"/>
            <w:gridSpan w:val="2"/>
            <w:shd w:val="clear" w:color="auto" w:fill="auto"/>
            <w:noWrap/>
            <w:vAlign w:val="center"/>
          </w:tcPr>
          <w:p w14:paraId="5BCF8B7D" w14:textId="77777777" w:rsidR="00940A9C" w:rsidRPr="00940A9C" w:rsidRDefault="00940A9C" w:rsidP="00940A9C">
            <w:pPr>
              <w:keepNext/>
              <w:keepLines/>
              <w:spacing w:before="40" w:after="40"/>
              <w:contextualSpacing/>
              <w:rPr>
                <w:bCs/>
                <w:lang w:val="de-DE"/>
              </w:rPr>
            </w:pPr>
          </w:p>
        </w:tc>
        <w:tc>
          <w:tcPr>
            <w:tcW w:w="1559" w:type="dxa"/>
            <w:gridSpan w:val="2"/>
            <w:shd w:val="clear" w:color="auto" w:fill="auto"/>
            <w:noWrap/>
            <w:vAlign w:val="center"/>
          </w:tcPr>
          <w:p w14:paraId="44270FD4" w14:textId="77777777" w:rsidR="00940A9C" w:rsidRPr="00940A9C" w:rsidRDefault="00940A9C" w:rsidP="00940A9C">
            <w:pPr>
              <w:keepNext/>
              <w:keepLines/>
              <w:spacing w:before="40" w:after="40"/>
              <w:contextualSpacing/>
              <w:rPr>
                <w:bCs/>
                <w:lang w:val="de-DE"/>
              </w:rPr>
            </w:pPr>
          </w:p>
        </w:tc>
        <w:tc>
          <w:tcPr>
            <w:tcW w:w="1559" w:type="dxa"/>
            <w:gridSpan w:val="2"/>
            <w:shd w:val="clear" w:color="auto" w:fill="auto"/>
            <w:noWrap/>
            <w:vAlign w:val="center"/>
          </w:tcPr>
          <w:p w14:paraId="2997148E" w14:textId="77777777" w:rsidR="00940A9C" w:rsidRPr="00940A9C" w:rsidRDefault="00940A9C" w:rsidP="00940A9C">
            <w:pPr>
              <w:keepNext/>
              <w:keepLines/>
              <w:spacing w:before="40" w:after="40"/>
              <w:contextualSpacing/>
              <w:rPr>
                <w:bCs/>
                <w:lang w:val="de-DE"/>
              </w:rPr>
            </w:pPr>
          </w:p>
        </w:tc>
        <w:tc>
          <w:tcPr>
            <w:tcW w:w="1276" w:type="dxa"/>
          </w:tcPr>
          <w:p w14:paraId="23FC4B94" w14:textId="77777777" w:rsidR="00940A9C" w:rsidRPr="00940A9C" w:rsidRDefault="00940A9C" w:rsidP="00940A9C">
            <w:pPr>
              <w:keepNext/>
              <w:keepLines/>
              <w:spacing w:before="40" w:after="40"/>
              <w:contextualSpacing/>
              <w:rPr>
                <w:bCs/>
                <w:lang w:val="de-DE"/>
              </w:rPr>
            </w:pPr>
          </w:p>
        </w:tc>
      </w:tr>
      <w:tr w:rsidR="00940A9C" w:rsidRPr="00940A9C" w14:paraId="2CA67635" w14:textId="77777777" w:rsidTr="006A19D4">
        <w:tc>
          <w:tcPr>
            <w:tcW w:w="5537" w:type="dxa"/>
            <w:gridSpan w:val="2"/>
            <w:shd w:val="clear" w:color="auto" w:fill="auto"/>
            <w:vAlign w:val="bottom"/>
          </w:tcPr>
          <w:p w14:paraId="1E4FF42E" w14:textId="77777777" w:rsidR="00940A9C" w:rsidRPr="00940A9C" w:rsidRDefault="00940A9C" w:rsidP="00940A9C">
            <w:pPr>
              <w:keepNext/>
              <w:keepLines/>
              <w:spacing w:before="40" w:after="40"/>
              <w:contextualSpacing/>
              <w:rPr>
                <w:b/>
                <w:lang w:val="de-DE"/>
              </w:rPr>
            </w:pPr>
            <w:r w:rsidRPr="00940A9C">
              <w:rPr>
                <w:b/>
                <w:lang w:val="de-DE"/>
              </w:rPr>
              <w:t>Tragbare Geräte</w:t>
            </w:r>
          </w:p>
        </w:tc>
        <w:tc>
          <w:tcPr>
            <w:tcW w:w="1212" w:type="dxa"/>
            <w:shd w:val="clear" w:color="auto" w:fill="auto"/>
            <w:noWrap/>
            <w:vAlign w:val="center"/>
          </w:tcPr>
          <w:p w14:paraId="7C5748C5" w14:textId="77777777" w:rsidR="00940A9C" w:rsidRPr="00940A9C" w:rsidRDefault="00940A9C" w:rsidP="00940A9C">
            <w:pPr>
              <w:keepNext/>
              <w:keepLines/>
              <w:spacing w:before="40" w:after="40"/>
              <w:contextualSpacing/>
              <w:rPr>
                <w:b/>
                <w:lang w:val="de-DE"/>
              </w:rPr>
            </w:pPr>
          </w:p>
        </w:tc>
        <w:tc>
          <w:tcPr>
            <w:tcW w:w="1481" w:type="dxa"/>
            <w:gridSpan w:val="2"/>
            <w:shd w:val="clear" w:color="auto" w:fill="auto"/>
            <w:noWrap/>
            <w:vAlign w:val="center"/>
          </w:tcPr>
          <w:p w14:paraId="3B8FB962" w14:textId="77777777" w:rsidR="00940A9C" w:rsidRPr="00940A9C" w:rsidRDefault="00940A9C" w:rsidP="00940A9C">
            <w:pPr>
              <w:keepNext/>
              <w:keepLines/>
              <w:spacing w:before="40" w:after="40"/>
              <w:contextualSpacing/>
              <w:rPr>
                <w:b/>
                <w:lang w:val="de-DE"/>
              </w:rPr>
            </w:pPr>
          </w:p>
        </w:tc>
        <w:tc>
          <w:tcPr>
            <w:tcW w:w="1559" w:type="dxa"/>
            <w:gridSpan w:val="2"/>
            <w:shd w:val="clear" w:color="auto" w:fill="auto"/>
            <w:noWrap/>
            <w:vAlign w:val="center"/>
          </w:tcPr>
          <w:p w14:paraId="13C7BC58" w14:textId="77777777" w:rsidR="00940A9C" w:rsidRPr="00940A9C" w:rsidRDefault="00940A9C" w:rsidP="00940A9C">
            <w:pPr>
              <w:keepNext/>
              <w:keepLines/>
              <w:spacing w:before="40" w:after="40"/>
              <w:contextualSpacing/>
              <w:rPr>
                <w:b/>
                <w:lang w:val="de-DE"/>
              </w:rPr>
            </w:pPr>
          </w:p>
        </w:tc>
        <w:tc>
          <w:tcPr>
            <w:tcW w:w="1559" w:type="dxa"/>
            <w:gridSpan w:val="2"/>
            <w:shd w:val="clear" w:color="auto" w:fill="auto"/>
            <w:noWrap/>
            <w:vAlign w:val="center"/>
          </w:tcPr>
          <w:p w14:paraId="70914A57" w14:textId="77777777" w:rsidR="00940A9C" w:rsidRPr="00940A9C" w:rsidRDefault="00940A9C" w:rsidP="00940A9C">
            <w:pPr>
              <w:keepNext/>
              <w:keepLines/>
              <w:spacing w:before="40" w:after="40"/>
              <w:contextualSpacing/>
              <w:rPr>
                <w:b/>
                <w:lang w:val="de-DE"/>
              </w:rPr>
            </w:pPr>
          </w:p>
        </w:tc>
        <w:tc>
          <w:tcPr>
            <w:tcW w:w="1276" w:type="dxa"/>
            <w:shd w:val="clear" w:color="auto" w:fill="auto"/>
          </w:tcPr>
          <w:p w14:paraId="10DDEBA9" w14:textId="77777777" w:rsidR="00940A9C" w:rsidRPr="00940A9C" w:rsidRDefault="00940A9C" w:rsidP="00940A9C">
            <w:pPr>
              <w:keepNext/>
              <w:keepLines/>
              <w:spacing w:before="40" w:after="40"/>
              <w:contextualSpacing/>
              <w:rPr>
                <w:b/>
                <w:lang w:val="de-DE"/>
              </w:rPr>
            </w:pPr>
          </w:p>
        </w:tc>
      </w:tr>
      <w:tr w:rsidR="00940A9C" w:rsidRPr="00940A9C" w14:paraId="2D50975F" w14:textId="77777777" w:rsidTr="006F3945">
        <w:tc>
          <w:tcPr>
            <w:tcW w:w="5537" w:type="dxa"/>
            <w:gridSpan w:val="2"/>
            <w:vMerge w:val="restart"/>
            <w:shd w:val="clear" w:color="auto" w:fill="auto"/>
            <w:hideMark/>
          </w:tcPr>
          <w:p w14:paraId="0911917F" w14:textId="77777777" w:rsidR="00940A9C" w:rsidRPr="00940A9C" w:rsidRDefault="00940A9C" w:rsidP="00940A9C">
            <w:pPr>
              <w:keepNext/>
              <w:keepLines/>
              <w:spacing w:before="40" w:after="40"/>
              <w:contextualSpacing/>
              <w:rPr>
                <w:bCs/>
                <w:lang w:val="de-DE"/>
              </w:rPr>
            </w:pPr>
            <w:r w:rsidRPr="00940A9C">
              <w:rPr>
                <w:bCs/>
                <w:lang w:val="de-DE"/>
              </w:rPr>
              <w:t>Landstege</w:t>
            </w:r>
          </w:p>
        </w:tc>
        <w:tc>
          <w:tcPr>
            <w:tcW w:w="1212" w:type="dxa"/>
            <w:shd w:val="clear" w:color="auto" w:fill="auto"/>
            <w:noWrap/>
            <w:vAlign w:val="center"/>
            <w:hideMark/>
          </w:tcPr>
          <w:p w14:paraId="02075822" w14:textId="77777777" w:rsidR="00940A9C" w:rsidRPr="00940A9C" w:rsidRDefault="00940A9C" w:rsidP="00940A9C">
            <w:pPr>
              <w:keepNext/>
              <w:keepLines/>
              <w:spacing w:before="40" w:after="40"/>
              <w:contextualSpacing/>
              <w:jc w:val="center"/>
              <w:rPr>
                <w:bCs/>
                <w:lang w:val="de-DE"/>
              </w:rPr>
            </w:pPr>
            <w:r w:rsidRPr="00940A9C">
              <w:rPr>
                <w:bCs/>
                <w:lang w:val="de-DE"/>
              </w:rPr>
              <w:t>X</w:t>
            </w:r>
          </w:p>
        </w:tc>
        <w:tc>
          <w:tcPr>
            <w:tcW w:w="1481" w:type="dxa"/>
            <w:gridSpan w:val="2"/>
            <w:shd w:val="clear" w:color="auto" w:fill="auto"/>
            <w:noWrap/>
            <w:vAlign w:val="center"/>
            <w:hideMark/>
          </w:tcPr>
          <w:p w14:paraId="6ECCBD28" w14:textId="77777777" w:rsidR="00940A9C" w:rsidRPr="00940A9C" w:rsidRDefault="00940A9C" w:rsidP="00940A9C">
            <w:pPr>
              <w:keepNext/>
              <w:keepLines/>
              <w:spacing w:before="40" w:after="40"/>
              <w:contextualSpacing/>
              <w:jc w:val="center"/>
              <w:rPr>
                <w:bCs/>
                <w:lang w:val="de-DE"/>
              </w:rPr>
            </w:pPr>
            <w:r w:rsidRPr="00940A9C">
              <w:rPr>
                <w:bCs/>
                <w:lang w:val="de-DE"/>
              </w:rPr>
              <w:t>X</w:t>
            </w:r>
          </w:p>
        </w:tc>
        <w:tc>
          <w:tcPr>
            <w:tcW w:w="1559" w:type="dxa"/>
            <w:gridSpan w:val="2"/>
            <w:shd w:val="clear" w:color="auto" w:fill="auto"/>
            <w:noWrap/>
            <w:vAlign w:val="center"/>
            <w:hideMark/>
          </w:tcPr>
          <w:p w14:paraId="3F819933" w14:textId="77777777" w:rsidR="00940A9C" w:rsidRPr="00940A9C" w:rsidRDefault="00940A9C" w:rsidP="00940A9C">
            <w:pPr>
              <w:keepNext/>
              <w:keepLines/>
              <w:spacing w:before="40" w:after="40"/>
              <w:contextualSpacing/>
              <w:jc w:val="center"/>
              <w:rPr>
                <w:bCs/>
                <w:lang w:val="de-DE"/>
              </w:rPr>
            </w:pPr>
            <w:r w:rsidRPr="00940A9C">
              <w:rPr>
                <w:bCs/>
                <w:lang w:val="de-DE"/>
              </w:rPr>
              <w:t>X</w:t>
            </w:r>
          </w:p>
        </w:tc>
        <w:tc>
          <w:tcPr>
            <w:tcW w:w="1559" w:type="dxa"/>
            <w:gridSpan w:val="2"/>
            <w:shd w:val="clear" w:color="auto" w:fill="auto"/>
            <w:noWrap/>
            <w:vAlign w:val="center"/>
            <w:hideMark/>
          </w:tcPr>
          <w:p w14:paraId="69DF190F" w14:textId="77777777" w:rsidR="00940A9C" w:rsidRPr="00940A9C" w:rsidRDefault="00940A9C" w:rsidP="00940A9C">
            <w:pPr>
              <w:keepNext/>
              <w:keepLines/>
              <w:spacing w:before="40" w:after="40"/>
              <w:contextualSpacing/>
              <w:jc w:val="center"/>
              <w:rPr>
                <w:bCs/>
                <w:lang w:val="de-DE"/>
              </w:rPr>
            </w:pPr>
            <w:r w:rsidRPr="00940A9C">
              <w:rPr>
                <w:bCs/>
                <w:lang w:val="de-DE"/>
              </w:rPr>
              <w:t>X</w:t>
            </w:r>
          </w:p>
        </w:tc>
        <w:tc>
          <w:tcPr>
            <w:tcW w:w="1276" w:type="dxa"/>
          </w:tcPr>
          <w:p w14:paraId="2ED144FE" w14:textId="77777777" w:rsidR="00940A9C" w:rsidRPr="00940A9C" w:rsidRDefault="00940A9C" w:rsidP="00940A9C">
            <w:pPr>
              <w:keepNext/>
              <w:keepLines/>
              <w:spacing w:before="40" w:after="40"/>
              <w:contextualSpacing/>
              <w:jc w:val="center"/>
              <w:rPr>
                <w:bCs/>
                <w:lang w:val="de-DE"/>
              </w:rPr>
            </w:pPr>
          </w:p>
        </w:tc>
      </w:tr>
      <w:tr w:rsidR="00940A9C" w:rsidRPr="00940A9C" w14:paraId="32BDE07C" w14:textId="77777777" w:rsidTr="006F3945">
        <w:trPr>
          <w:gridAfter w:val="8"/>
          <w:wAfter w:w="7087" w:type="dxa"/>
          <w:cantSplit/>
          <w:trHeight w:val="240"/>
        </w:trPr>
        <w:tc>
          <w:tcPr>
            <w:tcW w:w="5537" w:type="dxa"/>
            <w:gridSpan w:val="2"/>
            <w:vMerge/>
            <w:shd w:val="clear" w:color="auto" w:fill="auto"/>
            <w:vAlign w:val="bottom"/>
          </w:tcPr>
          <w:p w14:paraId="07CBDBDA" w14:textId="77777777" w:rsidR="00940A9C" w:rsidRPr="00940A9C" w:rsidRDefault="00940A9C" w:rsidP="00940A9C">
            <w:pPr>
              <w:keepNext/>
              <w:keepLines/>
              <w:spacing w:before="40" w:after="40"/>
              <w:contextualSpacing/>
              <w:rPr>
                <w:bCs/>
                <w:lang w:val="de-DE"/>
              </w:rPr>
            </w:pPr>
          </w:p>
        </w:tc>
      </w:tr>
      <w:tr w:rsidR="00940A9C" w:rsidRPr="00940A9C" w14:paraId="6715DE0C" w14:textId="77777777" w:rsidTr="006F3945">
        <w:tc>
          <w:tcPr>
            <w:tcW w:w="5537" w:type="dxa"/>
            <w:gridSpan w:val="2"/>
            <w:vMerge w:val="restart"/>
            <w:shd w:val="clear" w:color="auto" w:fill="auto"/>
            <w:hideMark/>
          </w:tcPr>
          <w:p w14:paraId="3959C7EB" w14:textId="77777777" w:rsidR="00940A9C" w:rsidRPr="00940A9C" w:rsidRDefault="00940A9C" w:rsidP="00940A9C">
            <w:pPr>
              <w:keepNext/>
              <w:keepLines/>
              <w:spacing w:before="40" w:after="40"/>
              <w:contextualSpacing/>
              <w:rPr>
                <w:bCs/>
                <w:lang w:val="de-DE"/>
              </w:rPr>
            </w:pPr>
            <w:r w:rsidRPr="00940A9C">
              <w:rPr>
                <w:bCs/>
                <w:lang w:val="de-DE"/>
              </w:rPr>
              <w:t>Außenbordtreppen und Gehwege (Laufstege) *)</w:t>
            </w:r>
          </w:p>
        </w:tc>
        <w:tc>
          <w:tcPr>
            <w:tcW w:w="1212" w:type="dxa"/>
            <w:shd w:val="clear" w:color="auto" w:fill="auto"/>
            <w:noWrap/>
            <w:vAlign w:val="center"/>
            <w:hideMark/>
          </w:tcPr>
          <w:p w14:paraId="4457582A" w14:textId="77777777" w:rsidR="00940A9C" w:rsidRPr="00940A9C" w:rsidRDefault="00940A9C" w:rsidP="00940A9C">
            <w:pPr>
              <w:keepNext/>
              <w:keepLines/>
              <w:spacing w:before="40" w:after="40"/>
              <w:contextualSpacing/>
              <w:jc w:val="center"/>
              <w:rPr>
                <w:bCs/>
                <w:lang w:val="de-DE"/>
              </w:rPr>
            </w:pPr>
          </w:p>
        </w:tc>
        <w:tc>
          <w:tcPr>
            <w:tcW w:w="1481" w:type="dxa"/>
            <w:gridSpan w:val="2"/>
            <w:shd w:val="clear" w:color="auto" w:fill="auto"/>
            <w:noWrap/>
            <w:vAlign w:val="center"/>
            <w:hideMark/>
          </w:tcPr>
          <w:p w14:paraId="65DE1C45" w14:textId="77777777" w:rsidR="00940A9C" w:rsidRPr="00940A9C" w:rsidRDefault="00940A9C" w:rsidP="00940A9C">
            <w:pPr>
              <w:keepNext/>
              <w:keepLines/>
              <w:spacing w:before="40" w:after="40"/>
              <w:contextualSpacing/>
              <w:jc w:val="center"/>
              <w:rPr>
                <w:bCs/>
                <w:lang w:val="de-DE"/>
              </w:rPr>
            </w:pPr>
            <w:r w:rsidRPr="00940A9C">
              <w:rPr>
                <w:bCs/>
                <w:lang w:val="de-DE"/>
              </w:rPr>
              <w:t>X</w:t>
            </w:r>
          </w:p>
        </w:tc>
        <w:tc>
          <w:tcPr>
            <w:tcW w:w="1559" w:type="dxa"/>
            <w:gridSpan w:val="2"/>
            <w:shd w:val="clear" w:color="auto" w:fill="auto"/>
            <w:noWrap/>
            <w:vAlign w:val="center"/>
            <w:hideMark/>
          </w:tcPr>
          <w:p w14:paraId="14EF7B2E" w14:textId="77777777" w:rsidR="00940A9C" w:rsidRPr="00940A9C" w:rsidRDefault="00940A9C" w:rsidP="00940A9C">
            <w:pPr>
              <w:keepNext/>
              <w:keepLines/>
              <w:spacing w:before="40" w:after="40"/>
              <w:contextualSpacing/>
              <w:jc w:val="center"/>
              <w:rPr>
                <w:bCs/>
                <w:lang w:val="de-DE"/>
              </w:rPr>
            </w:pPr>
            <w:r w:rsidRPr="00940A9C">
              <w:rPr>
                <w:bCs/>
                <w:lang w:val="de-DE"/>
              </w:rPr>
              <w:t>X</w:t>
            </w:r>
          </w:p>
        </w:tc>
        <w:tc>
          <w:tcPr>
            <w:tcW w:w="1559" w:type="dxa"/>
            <w:gridSpan w:val="2"/>
            <w:shd w:val="clear" w:color="auto" w:fill="auto"/>
            <w:noWrap/>
            <w:vAlign w:val="center"/>
            <w:hideMark/>
          </w:tcPr>
          <w:p w14:paraId="42554DB5" w14:textId="77777777" w:rsidR="00940A9C" w:rsidRPr="00940A9C" w:rsidRDefault="00940A9C" w:rsidP="00940A9C">
            <w:pPr>
              <w:keepNext/>
              <w:keepLines/>
              <w:spacing w:before="40" w:after="40"/>
              <w:contextualSpacing/>
              <w:jc w:val="center"/>
              <w:rPr>
                <w:bCs/>
                <w:lang w:val="de-DE"/>
              </w:rPr>
            </w:pPr>
            <w:r w:rsidRPr="00940A9C">
              <w:rPr>
                <w:bCs/>
                <w:lang w:val="de-DE"/>
              </w:rPr>
              <w:t>X</w:t>
            </w:r>
          </w:p>
        </w:tc>
        <w:tc>
          <w:tcPr>
            <w:tcW w:w="1276" w:type="dxa"/>
          </w:tcPr>
          <w:p w14:paraId="5D92E2DB" w14:textId="77777777" w:rsidR="00940A9C" w:rsidRPr="00940A9C" w:rsidRDefault="00940A9C" w:rsidP="00940A9C">
            <w:pPr>
              <w:keepNext/>
              <w:keepLines/>
              <w:spacing w:before="40" w:after="40"/>
              <w:contextualSpacing/>
              <w:jc w:val="center"/>
              <w:rPr>
                <w:bCs/>
                <w:lang w:val="de-DE"/>
              </w:rPr>
            </w:pPr>
          </w:p>
        </w:tc>
      </w:tr>
      <w:tr w:rsidR="00940A9C" w:rsidRPr="00940A9C" w14:paraId="5640EDFD" w14:textId="77777777" w:rsidTr="006F3945">
        <w:trPr>
          <w:gridAfter w:val="8"/>
          <w:wAfter w:w="7087" w:type="dxa"/>
          <w:cantSplit/>
          <w:trHeight w:val="240"/>
        </w:trPr>
        <w:tc>
          <w:tcPr>
            <w:tcW w:w="5537" w:type="dxa"/>
            <w:gridSpan w:val="2"/>
            <w:vMerge/>
            <w:shd w:val="clear" w:color="auto" w:fill="auto"/>
            <w:vAlign w:val="bottom"/>
          </w:tcPr>
          <w:p w14:paraId="4CF4612E" w14:textId="77777777" w:rsidR="00940A9C" w:rsidRPr="00940A9C" w:rsidRDefault="00940A9C" w:rsidP="00940A9C">
            <w:pPr>
              <w:keepNext/>
              <w:keepLines/>
              <w:spacing w:before="40" w:after="40"/>
              <w:contextualSpacing/>
              <w:rPr>
                <w:bCs/>
                <w:lang w:val="de-DE"/>
              </w:rPr>
            </w:pPr>
          </w:p>
        </w:tc>
      </w:tr>
      <w:tr w:rsidR="00940A9C" w:rsidRPr="00940A9C" w14:paraId="47A21FD6" w14:textId="77777777" w:rsidTr="006F3945">
        <w:tblPrEx>
          <w:tblLook w:val="0480" w:firstRow="0" w:lastRow="0" w:firstColumn="1" w:lastColumn="0" w:noHBand="0" w:noVBand="1"/>
        </w:tblPrEx>
        <w:trPr>
          <w:cantSplit/>
        </w:trPr>
        <w:tc>
          <w:tcPr>
            <w:tcW w:w="5526" w:type="dxa"/>
            <w:vMerge w:val="restart"/>
            <w:shd w:val="clear" w:color="auto" w:fill="auto"/>
          </w:tcPr>
          <w:p w14:paraId="13F6D94E" w14:textId="77777777" w:rsidR="00940A9C" w:rsidRPr="00940A9C" w:rsidRDefault="00940A9C" w:rsidP="00940A9C">
            <w:pPr>
              <w:spacing w:before="40" w:after="40"/>
              <w:contextualSpacing/>
              <w:rPr>
                <w:bCs/>
                <w:lang w:val="de-DE"/>
              </w:rPr>
            </w:pPr>
            <w:r w:rsidRPr="00940A9C">
              <w:rPr>
                <w:bCs/>
                <w:lang w:val="de-DE"/>
              </w:rPr>
              <w:t>Außenbordleitern</w:t>
            </w:r>
          </w:p>
        </w:tc>
        <w:tc>
          <w:tcPr>
            <w:tcW w:w="1223" w:type="dxa"/>
            <w:gridSpan w:val="2"/>
            <w:shd w:val="clear" w:color="auto" w:fill="auto"/>
            <w:noWrap/>
            <w:vAlign w:val="center"/>
          </w:tcPr>
          <w:p w14:paraId="7FFB495E" w14:textId="77777777" w:rsidR="00940A9C" w:rsidRPr="00940A9C" w:rsidRDefault="00940A9C" w:rsidP="00940A9C">
            <w:pPr>
              <w:spacing w:before="40" w:after="40"/>
              <w:contextualSpacing/>
              <w:jc w:val="center"/>
              <w:rPr>
                <w:bCs/>
                <w:lang w:val="de-DE"/>
              </w:rPr>
            </w:pPr>
          </w:p>
        </w:tc>
        <w:tc>
          <w:tcPr>
            <w:tcW w:w="1472" w:type="dxa"/>
            <w:shd w:val="clear" w:color="auto" w:fill="auto"/>
            <w:noWrap/>
            <w:vAlign w:val="center"/>
          </w:tcPr>
          <w:p w14:paraId="663A98A7" w14:textId="77777777" w:rsidR="00940A9C" w:rsidRPr="00940A9C" w:rsidRDefault="00940A9C" w:rsidP="00940A9C">
            <w:pPr>
              <w:spacing w:before="40" w:after="40"/>
              <w:contextualSpacing/>
              <w:jc w:val="center"/>
              <w:rPr>
                <w:bCs/>
                <w:lang w:val="de-DE"/>
              </w:rPr>
            </w:pPr>
            <w:r w:rsidRPr="00940A9C">
              <w:rPr>
                <w:bCs/>
                <w:lang w:val="de-DE"/>
              </w:rPr>
              <w:t>X</w:t>
            </w:r>
          </w:p>
        </w:tc>
        <w:tc>
          <w:tcPr>
            <w:tcW w:w="1568" w:type="dxa"/>
            <w:gridSpan w:val="3"/>
            <w:shd w:val="clear" w:color="auto" w:fill="auto"/>
            <w:noWrap/>
            <w:vAlign w:val="center"/>
          </w:tcPr>
          <w:p w14:paraId="70FF2218" w14:textId="77777777" w:rsidR="00940A9C" w:rsidRPr="00940A9C" w:rsidRDefault="00940A9C" w:rsidP="00940A9C">
            <w:pPr>
              <w:spacing w:before="40" w:after="40"/>
              <w:contextualSpacing/>
              <w:jc w:val="center"/>
              <w:rPr>
                <w:bCs/>
                <w:lang w:val="de-DE"/>
              </w:rPr>
            </w:pPr>
            <w:r w:rsidRPr="00940A9C">
              <w:rPr>
                <w:bCs/>
                <w:lang w:val="de-DE"/>
              </w:rPr>
              <w:t>X</w:t>
            </w:r>
          </w:p>
        </w:tc>
        <w:tc>
          <w:tcPr>
            <w:tcW w:w="1559" w:type="dxa"/>
            <w:gridSpan w:val="2"/>
            <w:shd w:val="clear" w:color="auto" w:fill="auto"/>
            <w:noWrap/>
            <w:vAlign w:val="center"/>
          </w:tcPr>
          <w:p w14:paraId="06CBF459" w14:textId="77777777" w:rsidR="00940A9C" w:rsidRPr="00940A9C" w:rsidRDefault="00940A9C" w:rsidP="00940A9C">
            <w:pPr>
              <w:spacing w:before="40" w:after="40"/>
              <w:contextualSpacing/>
              <w:jc w:val="center"/>
              <w:rPr>
                <w:bCs/>
                <w:lang w:val="de-DE"/>
              </w:rPr>
            </w:pPr>
            <w:r w:rsidRPr="00940A9C">
              <w:rPr>
                <w:bCs/>
                <w:lang w:val="de-DE"/>
              </w:rPr>
              <w:t>X</w:t>
            </w:r>
          </w:p>
        </w:tc>
        <w:tc>
          <w:tcPr>
            <w:tcW w:w="1276" w:type="dxa"/>
          </w:tcPr>
          <w:p w14:paraId="5969B719" w14:textId="77777777" w:rsidR="00940A9C" w:rsidRPr="00940A9C" w:rsidRDefault="00940A9C" w:rsidP="00940A9C">
            <w:pPr>
              <w:spacing w:before="40" w:after="40"/>
              <w:contextualSpacing/>
              <w:jc w:val="center"/>
              <w:rPr>
                <w:bCs/>
                <w:lang w:val="de-DE"/>
              </w:rPr>
            </w:pPr>
          </w:p>
        </w:tc>
      </w:tr>
      <w:tr w:rsidR="00940A9C" w:rsidRPr="00940A9C" w14:paraId="339B31CA" w14:textId="77777777" w:rsidTr="006F3945">
        <w:tblPrEx>
          <w:tblLook w:val="0480" w:firstRow="0" w:lastRow="0" w:firstColumn="1" w:lastColumn="0" w:noHBand="0" w:noVBand="1"/>
        </w:tblPrEx>
        <w:trPr>
          <w:gridAfter w:val="9"/>
          <w:wAfter w:w="7098" w:type="dxa"/>
          <w:cantSplit/>
          <w:trHeight w:val="240"/>
        </w:trPr>
        <w:tc>
          <w:tcPr>
            <w:tcW w:w="5526" w:type="dxa"/>
            <w:vMerge/>
            <w:shd w:val="clear" w:color="auto" w:fill="auto"/>
            <w:vAlign w:val="bottom"/>
          </w:tcPr>
          <w:p w14:paraId="31AC21D8" w14:textId="77777777" w:rsidR="00940A9C" w:rsidRPr="00940A9C" w:rsidRDefault="00940A9C" w:rsidP="00940A9C">
            <w:pPr>
              <w:spacing w:before="40" w:after="40"/>
              <w:contextualSpacing/>
              <w:rPr>
                <w:bCs/>
                <w:lang w:val="de-DE"/>
              </w:rPr>
            </w:pPr>
          </w:p>
        </w:tc>
      </w:tr>
      <w:tr w:rsidR="00940A9C" w:rsidRPr="00940A9C" w14:paraId="402F2AEF" w14:textId="77777777" w:rsidTr="006F3945">
        <w:tblPrEx>
          <w:tblLook w:val="0480" w:firstRow="0" w:lastRow="0" w:firstColumn="1" w:lastColumn="0" w:noHBand="0" w:noVBand="1"/>
        </w:tblPrEx>
        <w:trPr>
          <w:cantSplit/>
        </w:trPr>
        <w:tc>
          <w:tcPr>
            <w:tcW w:w="5526" w:type="dxa"/>
            <w:shd w:val="clear" w:color="auto" w:fill="auto"/>
            <w:vAlign w:val="bottom"/>
          </w:tcPr>
          <w:p w14:paraId="63D1CF73" w14:textId="77777777" w:rsidR="00940A9C" w:rsidRPr="00940A9C" w:rsidRDefault="00940A9C" w:rsidP="00940A9C">
            <w:pPr>
              <w:spacing w:before="40" w:after="40"/>
              <w:contextualSpacing/>
              <w:rPr>
                <w:bCs/>
                <w:lang w:val="de-DE"/>
              </w:rPr>
            </w:pPr>
            <w:r w:rsidRPr="00940A9C">
              <w:rPr>
                <w:bCs/>
                <w:lang w:val="de-DE"/>
              </w:rPr>
              <w:t>Leitern</w:t>
            </w:r>
          </w:p>
        </w:tc>
        <w:tc>
          <w:tcPr>
            <w:tcW w:w="1223" w:type="dxa"/>
            <w:gridSpan w:val="2"/>
            <w:shd w:val="clear" w:color="auto" w:fill="auto"/>
            <w:noWrap/>
            <w:vAlign w:val="center"/>
          </w:tcPr>
          <w:p w14:paraId="03104A0B" w14:textId="77777777" w:rsidR="00940A9C" w:rsidRPr="00940A9C" w:rsidRDefault="00940A9C" w:rsidP="00940A9C">
            <w:pPr>
              <w:spacing w:before="40" w:after="40"/>
              <w:contextualSpacing/>
              <w:jc w:val="center"/>
              <w:rPr>
                <w:bCs/>
                <w:lang w:val="de-DE"/>
              </w:rPr>
            </w:pPr>
          </w:p>
        </w:tc>
        <w:tc>
          <w:tcPr>
            <w:tcW w:w="1472" w:type="dxa"/>
            <w:shd w:val="clear" w:color="auto" w:fill="auto"/>
            <w:noWrap/>
            <w:vAlign w:val="center"/>
          </w:tcPr>
          <w:p w14:paraId="22F5449D" w14:textId="77777777" w:rsidR="00940A9C" w:rsidRPr="00940A9C" w:rsidRDefault="00940A9C" w:rsidP="00940A9C">
            <w:pPr>
              <w:spacing w:before="40" w:after="40"/>
              <w:contextualSpacing/>
              <w:jc w:val="center"/>
              <w:rPr>
                <w:bCs/>
                <w:lang w:val="de-DE"/>
              </w:rPr>
            </w:pPr>
            <w:r w:rsidRPr="00940A9C">
              <w:rPr>
                <w:bCs/>
                <w:lang w:val="de-DE"/>
              </w:rPr>
              <w:t>X</w:t>
            </w:r>
          </w:p>
        </w:tc>
        <w:tc>
          <w:tcPr>
            <w:tcW w:w="1559" w:type="dxa"/>
            <w:gridSpan w:val="2"/>
            <w:shd w:val="clear" w:color="auto" w:fill="auto"/>
            <w:noWrap/>
            <w:vAlign w:val="center"/>
          </w:tcPr>
          <w:p w14:paraId="365612DB" w14:textId="77777777" w:rsidR="00940A9C" w:rsidRPr="00940A9C" w:rsidRDefault="00940A9C" w:rsidP="00940A9C">
            <w:pPr>
              <w:spacing w:before="40" w:after="40"/>
              <w:contextualSpacing/>
              <w:jc w:val="center"/>
              <w:rPr>
                <w:bCs/>
                <w:lang w:val="de-DE"/>
              </w:rPr>
            </w:pPr>
            <w:r w:rsidRPr="00940A9C">
              <w:rPr>
                <w:bCs/>
                <w:lang w:val="de-DE"/>
              </w:rPr>
              <w:t>X</w:t>
            </w:r>
          </w:p>
        </w:tc>
        <w:tc>
          <w:tcPr>
            <w:tcW w:w="1568" w:type="dxa"/>
            <w:gridSpan w:val="3"/>
            <w:shd w:val="clear" w:color="auto" w:fill="auto"/>
            <w:noWrap/>
            <w:vAlign w:val="center"/>
          </w:tcPr>
          <w:p w14:paraId="1F1E218B" w14:textId="77777777" w:rsidR="00940A9C" w:rsidRPr="00940A9C" w:rsidRDefault="00940A9C" w:rsidP="00940A9C">
            <w:pPr>
              <w:spacing w:before="40" w:after="40"/>
              <w:contextualSpacing/>
              <w:jc w:val="center"/>
              <w:rPr>
                <w:bCs/>
                <w:lang w:val="de-DE"/>
              </w:rPr>
            </w:pPr>
            <w:r w:rsidRPr="00940A9C">
              <w:rPr>
                <w:bCs/>
                <w:lang w:val="de-DE"/>
              </w:rPr>
              <w:t>X</w:t>
            </w:r>
          </w:p>
        </w:tc>
        <w:tc>
          <w:tcPr>
            <w:tcW w:w="1276" w:type="dxa"/>
          </w:tcPr>
          <w:p w14:paraId="61F99DFF" w14:textId="77777777" w:rsidR="00940A9C" w:rsidRPr="00940A9C" w:rsidRDefault="00940A9C" w:rsidP="00940A9C">
            <w:pPr>
              <w:spacing w:before="40" w:after="40"/>
              <w:contextualSpacing/>
              <w:jc w:val="center"/>
              <w:rPr>
                <w:bCs/>
                <w:lang w:val="de-DE"/>
              </w:rPr>
            </w:pPr>
          </w:p>
        </w:tc>
      </w:tr>
      <w:tr w:rsidR="00940A9C" w:rsidRPr="00940A9C" w14:paraId="4C2FFC3C" w14:textId="77777777" w:rsidTr="006F3945">
        <w:tblPrEx>
          <w:tblLook w:val="0480" w:firstRow="0" w:lastRow="0" w:firstColumn="1" w:lastColumn="0" w:noHBand="0" w:noVBand="1"/>
        </w:tblPrEx>
        <w:tc>
          <w:tcPr>
            <w:tcW w:w="5526" w:type="dxa"/>
            <w:shd w:val="clear" w:color="auto" w:fill="auto"/>
            <w:vAlign w:val="bottom"/>
            <w:hideMark/>
          </w:tcPr>
          <w:p w14:paraId="6C8EF0DB" w14:textId="77777777" w:rsidR="00940A9C" w:rsidRPr="00940A9C" w:rsidRDefault="00940A9C" w:rsidP="00940A9C">
            <w:pPr>
              <w:spacing w:before="40" w:after="40"/>
              <w:contextualSpacing/>
              <w:rPr>
                <w:bCs/>
                <w:lang w:val="de-DE"/>
              </w:rPr>
            </w:pPr>
            <w:r w:rsidRPr="00940A9C">
              <w:rPr>
                <w:rFonts w:eastAsia="Calibri"/>
                <w:bCs/>
                <w:lang w:val="de-DE"/>
              </w:rPr>
              <w:t>Reinigungsmaterial wie Besen usw.</w:t>
            </w:r>
          </w:p>
        </w:tc>
        <w:tc>
          <w:tcPr>
            <w:tcW w:w="1223" w:type="dxa"/>
            <w:gridSpan w:val="2"/>
            <w:shd w:val="clear" w:color="auto" w:fill="auto"/>
            <w:noWrap/>
            <w:vAlign w:val="center"/>
            <w:hideMark/>
          </w:tcPr>
          <w:p w14:paraId="42BB0030" w14:textId="77777777" w:rsidR="00940A9C" w:rsidRPr="00940A9C" w:rsidRDefault="00940A9C" w:rsidP="00940A9C">
            <w:pPr>
              <w:spacing w:before="40" w:after="40"/>
              <w:contextualSpacing/>
              <w:jc w:val="center"/>
              <w:rPr>
                <w:bCs/>
                <w:lang w:val="de-DE"/>
              </w:rPr>
            </w:pPr>
            <w:r w:rsidRPr="00940A9C">
              <w:rPr>
                <w:bCs/>
                <w:lang w:val="de-DE"/>
              </w:rPr>
              <w:t>X</w:t>
            </w:r>
          </w:p>
        </w:tc>
        <w:tc>
          <w:tcPr>
            <w:tcW w:w="1472" w:type="dxa"/>
            <w:shd w:val="clear" w:color="auto" w:fill="auto"/>
            <w:noWrap/>
            <w:vAlign w:val="center"/>
            <w:hideMark/>
          </w:tcPr>
          <w:p w14:paraId="1B030A61" w14:textId="77777777" w:rsidR="00940A9C" w:rsidRPr="00940A9C" w:rsidRDefault="00940A9C" w:rsidP="00940A9C">
            <w:pPr>
              <w:spacing w:before="40" w:after="40"/>
              <w:contextualSpacing/>
              <w:jc w:val="center"/>
              <w:rPr>
                <w:bCs/>
                <w:lang w:val="de-DE"/>
              </w:rPr>
            </w:pPr>
            <w:r w:rsidRPr="00940A9C">
              <w:rPr>
                <w:bCs/>
                <w:lang w:val="de-DE"/>
              </w:rPr>
              <w:t>X</w:t>
            </w:r>
          </w:p>
        </w:tc>
        <w:tc>
          <w:tcPr>
            <w:tcW w:w="1559" w:type="dxa"/>
            <w:gridSpan w:val="2"/>
            <w:shd w:val="clear" w:color="auto" w:fill="auto"/>
            <w:noWrap/>
            <w:vAlign w:val="center"/>
            <w:hideMark/>
          </w:tcPr>
          <w:p w14:paraId="5EB1F604" w14:textId="77777777" w:rsidR="00940A9C" w:rsidRPr="00940A9C" w:rsidRDefault="00940A9C" w:rsidP="00940A9C">
            <w:pPr>
              <w:spacing w:before="40" w:after="40"/>
              <w:contextualSpacing/>
              <w:jc w:val="center"/>
              <w:rPr>
                <w:bCs/>
                <w:lang w:val="de-DE"/>
              </w:rPr>
            </w:pPr>
            <w:r w:rsidRPr="00940A9C">
              <w:rPr>
                <w:bCs/>
                <w:lang w:val="de-DE"/>
              </w:rPr>
              <w:t>X</w:t>
            </w:r>
          </w:p>
        </w:tc>
        <w:tc>
          <w:tcPr>
            <w:tcW w:w="1568" w:type="dxa"/>
            <w:gridSpan w:val="3"/>
            <w:shd w:val="clear" w:color="auto" w:fill="auto"/>
            <w:noWrap/>
            <w:vAlign w:val="center"/>
            <w:hideMark/>
          </w:tcPr>
          <w:p w14:paraId="6C37DBEE" w14:textId="77777777" w:rsidR="00940A9C" w:rsidRPr="00940A9C" w:rsidRDefault="00940A9C" w:rsidP="00940A9C">
            <w:pPr>
              <w:spacing w:before="40" w:after="40"/>
              <w:contextualSpacing/>
              <w:jc w:val="center"/>
              <w:rPr>
                <w:bCs/>
                <w:lang w:val="de-DE"/>
              </w:rPr>
            </w:pPr>
            <w:r w:rsidRPr="00940A9C">
              <w:rPr>
                <w:bCs/>
                <w:lang w:val="de-DE"/>
              </w:rPr>
              <w:t>X</w:t>
            </w:r>
          </w:p>
        </w:tc>
        <w:tc>
          <w:tcPr>
            <w:tcW w:w="1276" w:type="dxa"/>
          </w:tcPr>
          <w:p w14:paraId="35FD298E" w14:textId="77777777" w:rsidR="00940A9C" w:rsidRPr="00940A9C" w:rsidRDefault="00940A9C" w:rsidP="00940A9C">
            <w:pPr>
              <w:spacing w:before="40" w:after="40"/>
              <w:contextualSpacing/>
              <w:jc w:val="center"/>
              <w:rPr>
                <w:bCs/>
                <w:lang w:val="de-DE"/>
              </w:rPr>
            </w:pPr>
          </w:p>
        </w:tc>
      </w:tr>
      <w:tr w:rsidR="00940A9C" w:rsidRPr="00940A9C" w14:paraId="254EE3B3" w14:textId="77777777" w:rsidTr="006F3945">
        <w:tblPrEx>
          <w:tblLook w:val="0480" w:firstRow="0" w:lastRow="0" w:firstColumn="1" w:lastColumn="0" w:noHBand="0" w:noVBand="1"/>
        </w:tblPrEx>
        <w:tc>
          <w:tcPr>
            <w:tcW w:w="5526" w:type="dxa"/>
            <w:shd w:val="clear" w:color="auto" w:fill="auto"/>
            <w:vAlign w:val="bottom"/>
            <w:hideMark/>
          </w:tcPr>
          <w:p w14:paraId="67EC66DB" w14:textId="77777777" w:rsidR="00940A9C" w:rsidRPr="00940A9C" w:rsidRDefault="00940A9C" w:rsidP="00940A9C">
            <w:pPr>
              <w:spacing w:before="40" w:after="40"/>
              <w:contextualSpacing/>
              <w:rPr>
                <w:bCs/>
                <w:lang w:val="de-DE"/>
              </w:rPr>
            </w:pPr>
            <w:r w:rsidRPr="00940A9C">
              <w:rPr>
                <w:bCs/>
                <w:lang w:val="de-DE"/>
              </w:rPr>
              <w:t>Feuerlöscher, mobile Gasspürgeräte,</w:t>
            </w:r>
          </w:p>
        </w:tc>
        <w:tc>
          <w:tcPr>
            <w:tcW w:w="1223" w:type="dxa"/>
            <w:gridSpan w:val="2"/>
            <w:shd w:val="clear" w:color="auto" w:fill="auto"/>
            <w:noWrap/>
            <w:vAlign w:val="center"/>
            <w:hideMark/>
          </w:tcPr>
          <w:p w14:paraId="7332D053" w14:textId="77777777" w:rsidR="00940A9C" w:rsidRPr="00940A9C" w:rsidRDefault="00940A9C" w:rsidP="00940A9C">
            <w:pPr>
              <w:spacing w:before="40" w:after="40"/>
              <w:contextualSpacing/>
              <w:jc w:val="center"/>
              <w:rPr>
                <w:bCs/>
                <w:lang w:val="de-DE"/>
              </w:rPr>
            </w:pPr>
          </w:p>
        </w:tc>
        <w:tc>
          <w:tcPr>
            <w:tcW w:w="1472" w:type="dxa"/>
            <w:shd w:val="clear" w:color="auto" w:fill="auto"/>
            <w:noWrap/>
            <w:vAlign w:val="center"/>
            <w:hideMark/>
          </w:tcPr>
          <w:p w14:paraId="7F6EE826" w14:textId="77777777" w:rsidR="00940A9C" w:rsidRPr="00940A9C" w:rsidRDefault="00940A9C" w:rsidP="00940A9C">
            <w:pPr>
              <w:spacing w:before="40" w:after="40"/>
              <w:contextualSpacing/>
              <w:jc w:val="center"/>
              <w:rPr>
                <w:bCs/>
                <w:lang w:val="de-DE"/>
              </w:rPr>
            </w:pPr>
            <w:r w:rsidRPr="00940A9C">
              <w:rPr>
                <w:bCs/>
                <w:lang w:val="de-DE"/>
              </w:rPr>
              <w:t>X</w:t>
            </w:r>
          </w:p>
        </w:tc>
        <w:tc>
          <w:tcPr>
            <w:tcW w:w="1559" w:type="dxa"/>
            <w:gridSpan w:val="2"/>
            <w:shd w:val="clear" w:color="auto" w:fill="auto"/>
            <w:noWrap/>
            <w:vAlign w:val="center"/>
            <w:hideMark/>
          </w:tcPr>
          <w:p w14:paraId="5CCCFE80" w14:textId="77777777" w:rsidR="00940A9C" w:rsidRPr="00940A9C" w:rsidRDefault="00940A9C" w:rsidP="00940A9C">
            <w:pPr>
              <w:spacing w:before="40" w:after="40"/>
              <w:contextualSpacing/>
              <w:jc w:val="center"/>
              <w:rPr>
                <w:bCs/>
                <w:lang w:val="de-DE"/>
              </w:rPr>
            </w:pPr>
            <w:r w:rsidRPr="00940A9C">
              <w:rPr>
                <w:bCs/>
                <w:lang w:val="de-DE"/>
              </w:rPr>
              <w:t>X</w:t>
            </w:r>
          </w:p>
        </w:tc>
        <w:tc>
          <w:tcPr>
            <w:tcW w:w="1568" w:type="dxa"/>
            <w:gridSpan w:val="3"/>
            <w:shd w:val="clear" w:color="auto" w:fill="auto"/>
            <w:noWrap/>
            <w:vAlign w:val="center"/>
            <w:hideMark/>
          </w:tcPr>
          <w:p w14:paraId="3F4C68B7" w14:textId="77777777" w:rsidR="00940A9C" w:rsidRPr="00940A9C" w:rsidRDefault="00940A9C" w:rsidP="00940A9C">
            <w:pPr>
              <w:spacing w:before="40" w:after="40"/>
              <w:contextualSpacing/>
              <w:jc w:val="center"/>
              <w:rPr>
                <w:bCs/>
                <w:lang w:val="de-DE"/>
              </w:rPr>
            </w:pPr>
            <w:r w:rsidRPr="00940A9C">
              <w:rPr>
                <w:bCs/>
                <w:lang w:val="de-DE"/>
              </w:rPr>
              <w:t>X</w:t>
            </w:r>
          </w:p>
        </w:tc>
        <w:tc>
          <w:tcPr>
            <w:tcW w:w="1276" w:type="dxa"/>
          </w:tcPr>
          <w:p w14:paraId="715A03C0" w14:textId="77777777" w:rsidR="00940A9C" w:rsidRPr="00940A9C" w:rsidRDefault="00940A9C" w:rsidP="00940A9C">
            <w:pPr>
              <w:spacing w:before="40" w:after="40"/>
              <w:contextualSpacing/>
              <w:jc w:val="center"/>
              <w:rPr>
                <w:bCs/>
                <w:lang w:val="de-DE"/>
              </w:rPr>
            </w:pPr>
          </w:p>
        </w:tc>
      </w:tr>
      <w:tr w:rsidR="00940A9C" w:rsidRPr="00940A9C" w14:paraId="2C2F24A8" w14:textId="77777777" w:rsidTr="006F3945">
        <w:tblPrEx>
          <w:tblLook w:val="0480" w:firstRow="0" w:lastRow="0" w:firstColumn="1" w:lastColumn="0" w:noHBand="0" w:noVBand="1"/>
        </w:tblPrEx>
        <w:trPr>
          <w:cantSplit/>
        </w:trPr>
        <w:tc>
          <w:tcPr>
            <w:tcW w:w="5526" w:type="dxa"/>
            <w:shd w:val="clear" w:color="auto" w:fill="auto"/>
            <w:vAlign w:val="bottom"/>
          </w:tcPr>
          <w:p w14:paraId="5E8202BF" w14:textId="77777777" w:rsidR="00940A9C" w:rsidRPr="00940A9C" w:rsidRDefault="00940A9C" w:rsidP="00940A9C">
            <w:pPr>
              <w:spacing w:before="40" w:after="40"/>
              <w:contextualSpacing/>
              <w:rPr>
                <w:bCs/>
                <w:lang w:val="de-DE"/>
              </w:rPr>
            </w:pPr>
            <w:r w:rsidRPr="00940A9C">
              <w:rPr>
                <w:bCs/>
                <w:lang w:val="de-DE"/>
              </w:rPr>
              <w:t xml:space="preserve">Bergegeräte </w:t>
            </w:r>
          </w:p>
        </w:tc>
        <w:tc>
          <w:tcPr>
            <w:tcW w:w="1223" w:type="dxa"/>
            <w:gridSpan w:val="2"/>
            <w:shd w:val="clear" w:color="auto" w:fill="auto"/>
            <w:noWrap/>
            <w:vAlign w:val="center"/>
          </w:tcPr>
          <w:p w14:paraId="3CB0467C" w14:textId="77777777" w:rsidR="00940A9C" w:rsidRPr="00940A9C" w:rsidRDefault="00940A9C" w:rsidP="00940A9C">
            <w:pPr>
              <w:spacing w:before="40" w:after="40"/>
              <w:contextualSpacing/>
              <w:jc w:val="center"/>
              <w:rPr>
                <w:bCs/>
                <w:lang w:val="de-DE"/>
              </w:rPr>
            </w:pPr>
          </w:p>
        </w:tc>
        <w:tc>
          <w:tcPr>
            <w:tcW w:w="1472" w:type="dxa"/>
            <w:shd w:val="clear" w:color="auto" w:fill="auto"/>
            <w:noWrap/>
            <w:vAlign w:val="center"/>
          </w:tcPr>
          <w:p w14:paraId="518CC881" w14:textId="77777777" w:rsidR="00940A9C" w:rsidRPr="00940A9C" w:rsidRDefault="00940A9C" w:rsidP="00940A9C">
            <w:pPr>
              <w:spacing w:before="40" w:after="40"/>
              <w:contextualSpacing/>
              <w:jc w:val="center"/>
              <w:rPr>
                <w:bCs/>
                <w:lang w:val="de-DE"/>
              </w:rPr>
            </w:pPr>
            <w:r w:rsidRPr="00940A9C">
              <w:rPr>
                <w:bCs/>
                <w:lang w:val="de-DE"/>
              </w:rPr>
              <w:t>X</w:t>
            </w:r>
          </w:p>
        </w:tc>
        <w:tc>
          <w:tcPr>
            <w:tcW w:w="1559" w:type="dxa"/>
            <w:gridSpan w:val="2"/>
            <w:shd w:val="clear" w:color="auto" w:fill="auto"/>
            <w:noWrap/>
            <w:vAlign w:val="center"/>
          </w:tcPr>
          <w:p w14:paraId="20F4E551" w14:textId="77777777" w:rsidR="00940A9C" w:rsidRPr="00940A9C" w:rsidRDefault="00940A9C" w:rsidP="00940A9C">
            <w:pPr>
              <w:spacing w:before="40" w:after="40"/>
              <w:contextualSpacing/>
              <w:jc w:val="center"/>
              <w:rPr>
                <w:bCs/>
                <w:lang w:val="de-DE"/>
              </w:rPr>
            </w:pPr>
          </w:p>
        </w:tc>
        <w:tc>
          <w:tcPr>
            <w:tcW w:w="1568" w:type="dxa"/>
            <w:gridSpan w:val="3"/>
            <w:shd w:val="clear" w:color="auto" w:fill="auto"/>
            <w:noWrap/>
            <w:vAlign w:val="center"/>
          </w:tcPr>
          <w:p w14:paraId="6E0E0FD7" w14:textId="77777777" w:rsidR="00940A9C" w:rsidRPr="00940A9C" w:rsidRDefault="00940A9C" w:rsidP="00940A9C">
            <w:pPr>
              <w:spacing w:before="40" w:after="40"/>
              <w:contextualSpacing/>
              <w:jc w:val="center"/>
              <w:rPr>
                <w:bCs/>
                <w:lang w:val="de-DE"/>
              </w:rPr>
            </w:pPr>
          </w:p>
        </w:tc>
        <w:tc>
          <w:tcPr>
            <w:tcW w:w="1276" w:type="dxa"/>
          </w:tcPr>
          <w:p w14:paraId="2C82ACE2" w14:textId="77777777" w:rsidR="00940A9C" w:rsidRPr="00940A9C" w:rsidRDefault="00940A9C" w:rsidP="00940A9C">
            <w:pPr>
              <w:spacing w:before="40" w:after="40"/>
              <w:contextualSpacing/>
              <w:jc w:val="center"/>
              <w:rPr>
                <w:bCs/>
                <w:lang w:val="de-DE"/>
              </w:rPr>
            </w:pPr>
          </w:p>
        </w:tc>
      </w:tr>
      <w:tr w:rsidR="00940A9C" w:rsidRPr="00940A9C" w14:paraId="4BDEC29A" w14:textId="77777777" w:rsidTr="006F3945">
        <w:tblPrEx>
          <w:tblLook w:val="0480" w:firstRow="0" w:lastRow="0" w:firstColumn="1" w:lastColumn="0" w:noHBand="0" w:noVBand="1"/>
        </w:tblPrEx>
        <w:tc>
          <w:tcPr>
            <w:tcW w:w="5526" w:type="dxa"/>
            <w:shd w:val="clear" w:color="auto" w:fill="auto"/>
            <w:vAlign w:val="bottom"/>
          </w:tcPr>
          <w:p w14:paraId="279E109B" w14:textId="77777777" w:rsidR="00940A9C" w:rsidRPr="00940A9C" w:rsidRDefault="00940A9C" w:rsidP="00940A9C">
            <w:pPr>
              <w:spacing w:before="40" w:after="40"/>
              <w:contextualSpacing/>
              <w:rPr>
                <w:bCs/>
                <w:lang w:val="de-DE"/>
              </w:rPr>
            </w:pPr>
            <w:r w:rsidRPr="00940A9C">
              <w:rPr>
                <w:bCs/>
                <w:lang w:val="de-DE"/>
              </w:rPr>
              <w:t>Persönliche Schutz- und Sicherheitsausrüstung, Rettungsmittel gemäß ES-TRIN</w:t>
            </w:r>
          </w:p>
        </w:tc>
        <w:tc>
          <w:tcPr>
            <w:tcW w:w="1223" w:type="dxa"/>
            <w:gridSpan w:val="2"/>
            <w:shd w:val="clear" w:color="auto" w:fill="auto"/>
            <w:noWrap/>
            <w:vAlign w:val="center"/>
          </w:tcPr>
          <w:p w14:paraId="75EFE066" w14:textId="77777777" w:rsidR="00940A9C" w:rsidRPr="00940A9C" w:rsidRDefault="00940A9C" w:rsidP="00940A9C">
            <w:pPr>
              <w:spacing w:before="40" w:after="40"/>
              <w:contextualSpacing/>
              <w:jc w:val="center"/>
              <w:rPr>
                <w:bCs/>
                <w:lang w:val="de-DE"/>
              </w:rPr>
            </w:pPr>
          </w:p>
        </w:tc>
        <w:tc>
          <w:tcPr>
            <w:tcW w:w="1472" w:type="dxa"/>
            <w:shd w:val="clear" w:color="auto" w:fill="auto"/>
            <w:noWrap/>
            <w:vAlign w:val="center"/>
          </w:tcPr>
          <w:p w14:paraId="0E809DF2" w14:textId="77777777" w:rsidR="00940A9C" w:rsidRPr="00940A9C" w:rsidRDefault="00940A9C" w:rsidP="00940A9C">
            <w:pPr>
              <w:spacing w:before="40" w:after="40"/>
              <w:contextualSpacing/>
              <w:jc w:val="center"/>
              <w:rPr>
                <w:bCs/>
                <w:lang w:val="de-DE"/>
              </w:rPr>
            </w:pPr>
            <w:r w:rsidRPr="00940A9C">
              <w:rPr>
                <w:bCs/>
                <w:lang w:val="de-DE"/>
              </w:rPr>
              <w:t>X</w:t>
            </w:r>
          </w:p>
        </w:tc>
        <w:tc>
          <w:tcPr>
            <w:tcW w:w="1559" w:type="dxa"/>
            <w:gridSpan w:val="2"/>
            <w:shd w:val="clear" w:color="auto" w:fill="auto"/>
            <w:noWrap/>
            <w:vAlign w:val="center"/>
          </w:tcPr>
          <w:p w14:paraId="77380E2C" w14:textId="77777777" w:rsidR="00940A9C" w:rsidRPr="00940A9C" w:rsidRDefault="00940A9C" w:rsidP="00940A9C">
            <w:pPr>
              <w:spacing w:before="40" w:after="40"/>
              <w:contextualSpacing/>
              <w:jc w:val="center"/>
              <w:rPr>
                <w:bCs/>
                <w:lang w:val="de-DE"/>
              </w:rPr>
            </w:pPr>
            <w:r w:rsidRPr="00940A9C">
              <w:rPr>
                <w:bCs/>
                <w:lang w:val="de-DE"/>
              </w:rPr>
              <w:t>X</w:t>
            </w:r>
          </w:p>
        </w:tc>
        <w:tc>
          <w:tcPr>
            <w:tcW w:w="1568" w:type="dxa"/>
            <w:gridSpan w:val="3"/>
            <w:shd w:val="clear" w:color="auto" w:fill="auto"/>
            <w:noWrap/>
            <w:vAlign w:val="center"/>
          </w:tcPr>
          <w:p w14:paraId="3C84B634" w14:textId="77777777" w:rsidR="00940A9C" w:rsidRPr="00940A9C" w:rsidRDefault="00940A9C" w:rsidP="00940A9C">
            <w:pPr>
              <w:spacing w:before="40" w:after="40"/>
              <w:contextualSpacing/>
              <w:jc w:val="center"/>
              <w:rPr>
                <w:bCs/>
                <w:lang w:val="de-DE"/>
              </w:rPr>
            </w:pPr>
            <w:r w:rsidRPr="00940A9C">
              <w:rPr>
                <w:bCs/>
                <w:lang w:val="de-DE"/>
              </w:rPr>
              <w:t>X</w:t>
            </w:r>
          </w:p>
        </w:tc>
        <w:tc>
          <w:tcPr>
            <w:tcW w:w="1276" w:type="dxa"/>
          </w:tcPr>
          <w:p w14:paraId="4A4ECB6C" w14:textId="77777777" w:rsidR="00940A9C" w:rsidRPr="00940A9C" w:rsidRDefault="00940A9C" w:rsidP="00940A9C">
            <w:pPr>
              <w:spacing w:before="40" w:after="40"/>
              <w:contextualSpacing/>
              <w:jc w:val="center"/>
              <w:rPr>
                <w:bCs/>
                <w:lang w:val="de-DE"/>
              </w:rPr>
            </w:pPr>
          </w:p>
        </w:tc>
      </w:tr>
      <w:tr w:rsidR="00940A9C" w:rsidRPr="00940A9C" w14:paraId="7FFC2493" w14:textId="77777777" w:rsidTr="006F3945">
        <w:tblPrEx>
          <w:tblLook w:val="0480" w:firstRow="0" w:lastRow="0" w:firstColumn="1" w:lastColumn="0" w:noHBand="0" w:noVBand="1"/>
        </w:tblPrEx>
        <w:tc>
          <w:tcPr>
            <w:tcW w:w="5526" w:type="dxa"/>
            <w:shd w:val="clear" w:color="auto" w:fill="auto"/>
            <w:vAlign w:val="bottom"/>
          </w:tcPr>
          <w:p w14:paraId="3BDC7C04" w14:textId="77777777" w:rsidR="00940A9C" w:rsidRPr="00940A9C" w:rsidRDefault="00940A9C" w:rsidP="00940A9C">
            <w:pPr>
              <w:spacing w:before="40" w:after="40"/>
              <w:contextualSpacing/>
              <w:rPr>
                <w:bCs/>
                <w:lang w:val="de-DE"/>
              </w:rPr>
            </w:pPr>
            <w:r w:rsidRPr="00940A9C">
              <w:rPr>
                <w:bCs/>
                <w:lang w:val="de-DE"/>
              </w:rPr>
              <w:t>Auffangwannen</w:t>
            </w:r>
          </w:p>
        </w:tc>
        <w:tc>
          <w:tcPr>
            <w:tcW w:w="1223" w:type="dxa"/>
            <w:gridSpan w:val="2"/>
            <w:shd w:val="clear" w:color="auto" w:fill="auto"/>
            <w:noWrap/>
            <w:vAlign w:val="center"/>
          </w:tcPr>
          <w:p w14:paraId="148E78C7" w14:textId="77777777" w:rsidR="00940A9C" w:rsidRPr="00940A9C" w:rsidRDefault="00940A9C" w:rsidP="00940A9C">
            <w:pPr>
              <w:spacing w:before="40" w:after="40"/>
              <w:contextualSpacing/>
              <w:jc w:val="center"/>
              <w:rPr>
                <w:bCs/>
                <w:strike/>
                <w:lang w:val="de-DE"/>
              </w:rPr>
            </w:pPr>
          </w:p>
        </w:tc>
        <w:tc>
          <w:tcPr>
            <w:tcW w:w="1472" w:type="dxa"/>
            <w:shd w:val="clear" w:color="auto" w:fill="auto"/>
            <w:noWrap/>
            <w:vAlign w:val="center"/>
          </w:tcPr>
          <w:p w14:paraId="38BC1D2C" w14:textId="77777777" w:rsidR="00940A9C" w:rsidRPr="00940A9C" w:rsidRDefault="00940A9C" w:rsidP="00940A9C">
            <w:pPr>
              <w:spacing w:before="40" w:after="40"/>
              <w:contextualSpacing/>
              <w:jc w:val="center"/>
              <w:rPr>
                <w:bCs/>
                <w:lang w:val="de-DE"/>
              </w:rPr>
            </w:pPr>
          </w:p>
        </w:tc>
        <w:tc>
          <w:tcPr>
            <w:tcW w:w="1559" w:type="dxa"/>
            <w:gridSpan w:val="2"/>
            <w:shd w:val="clear" w:color="auto" w:fill="auto"/>
            <w:noWrap/>
            <w:vAlign w:val="center"/>
          </w:tcPr>
          <w:p w14:paraId="23B7E146" w14:textId="77777777" w:rsidR="00940A9C" w:rsidRPr="00940A9C" w:rsidRDefault="00940A9C" w:rsidP="00940A9C">
            <w:pPr>
              <w:spacing w:before="40" w:after="40"/>
              <w:contextualSpacing/>
              <w:jc w:val="center"/>
              <w:rPr>
                <w:bCs/>
                <w:lang w:val="de-DE"/>
              </w:rPr>
            </w:pPr>
            <w:r w:rsidRPr="00940A9C">
              <w:rPr>
                <w:bCs/>
                <w:lang w:val="de-DE"/>
              </w:rPr>
              <w:t>X</w:t>
            </w:r>
          </w:p>
        </w:tc>
        <w:tc>
          <w:tcPr>
            <w:tcW w:w="1568" w:type="dxa"/>
            <w:gridSpan w:val="3"/>
            <w:shd w:val="clear" w:color="auto" w:fill="auto"/>
            <w:noWrap/>
            <w:vAlign w:val="center"/>
          </w:tcPr>
          <w:p w14:paraId="604A0E6C" w14:textId="77777777" w:rsidR="00940A9C" w:rsidRPr="00940A9C" w:rsidRDefault="00940A9C" w:rsidP="00940A9C">
            <w:pPr>
              <w:spacing w:before="40" w:after="40"/>
              <w:contextualSpacing/>
              <w:jc w:val="center"/>
              <w:rPr>
                <w:bCs/>
                <w:lang w:val="de-DE"/>
              </w:rPr>
            </w:pPr>
          </w:p>
        </w:tc>
        <w:tc>
          <w:tcPr>
            <w:tcW w:w="1276" w:type="dxa"/>
          </w:tcPr>
          <w:p w14:paraId="141836D4" w14:textId="77777777" w:rsidR="00940A9C" w:rsidRPr="00940A9C" w:rsidRDefault="00940A9C" w:rsidP="00940A9C">
            <w:pPr>
              <w:spacing w:before="40" w:after="40"/>
              <w:contextualSpacing/>
              <w:jc w:val="center"/>
              <w:rPr>
                <w:bCs/>
                <w:lang w:val="de-DE"/>
              </w:rPr>
            </w:pPr>
          </w:p>
        </w:tc>
      </w:tr>
      <w:tr w:rsidR="00940A9C" w:rsidRPr="00940A9C" w14:paraId="41DE6B2C" w14:textId="77777777" w:rsidTr="006F3945">
        <w:tblPrEx>
          <w:tblLook w:val="0480" w:firstRow="0" w:lastRow="0" w:firstColumn="1" w:lastColumn="0" w:noHBand="0" w:noVBand="1"/>
        </w:tblPrEx>
        <w:tc>
          <w:tcPr>
            <w:tcW w:w="5526" w:type="dxa"/>
            <w:shd w:val="clear" w:color="auto" w:fill="auto"/>
            <w:vAlign w:val="bottom"/>
            <w:hideMark/>
          </w:tcPr>
          <w:p w14:paraId="07141923" w14:textId="77777777" w:rsidR="00940A9C" w:rsidRPr="00940A9C" w:rsidRDefault="00940A9C" w:rsidP="00940A9C">
            <w:pPr>
              <w:spacing w:before="40" w:after="40"/>
              <w:contextualSpacing/>
              <w:rPr>
                <w:bCs/>
                <w:lang w:val="de-DE"/>
              </w:rPr>
            </w:pPr>
            <w:r w:rsidRPr="00940A9C">
              <w:rPr>
                <w:bCs/>
                <w:lang w:val="de-DE"/>
              </w:rPr>
              <w:t>Fender</w:t>
            </w:r>
          </w:p>
        </w:tc>
        <w:tc>
          <w:tcPr>
            <w:tcW w:w="1223" w:type="dxa"/>
            <w:gridSpan w:val="2"/>
            <w:shd w:val="clear" w:color="auto" w:fill="auto"/>
            <w:noWrap/>
            <w:vAlign w:val="center"/>
            <w:hideMark/>
          </w:tcPr>
          <w:p w14:paraId="2914FF66" w14:textId="77777777" w:rsidR="00940A9C" w:rsidRPr="00940A9C" w:rsidRDefault="00940A9C" w:rsidP="00940A9C">
            <w:pPr>
              <w:spacing w:before="40" w:after="40"/>
              <w:contextualSpacing/>
              <w:jc w:val="center"/>
              <w:rPr>
                <w:bCs/>
                <w:lang w:val="de-DE"/>
              </w:rPr>
            </w:pPr>
            <w:r w:rsidRPr="00940A9C">
              <w:rPr>
                <w:bCs/>
                <w:lang w:val="de-DE"/>
              </w:rPr>
              <w:t>X</w:t>
            </w:r>
          </w:p>
        </w:tc>
        <w:tc>
          <w:tcPr>
            <w:tcW w:w="1472" w:type="dxa"/>
            <w:shd w:val="clear" w:color="auto" w:fill="auto"/>
            <w:noWrap/>
            <w:vAlign w:val="center"/>
            <w:hideMark/>
          </w:tcPr>
          <w:p w14:paraId="2596C1ED" w14:textId="77777777" w:rsidR="00940A9C" w:rsidRPr="00940A9C" w:rsidRDefault="00940A9C" w:rsidP="00940A9C">
            <w:pPr>
              <w:spacing w:before="40" w:after="40"/>
              <w:contextualSpacing/>
              <w:jc w:val="center"/>
              <w:rPr>
                <w:bCs/>
                <w:lang w:val="de-DE"/>
              </w:rPr>
            </w:pPr>
          </w:p>
        </w:tc>
        <w:tc>
          <w:tcPr>
            <w:tcW w:w="1559" w:type="dxa"/>
            <w:gridSpan w:val="2"/>
            <w:shd w:val="clear" w:color="auto" w:fill="auto"/>
            <w:noWrap/>
            <w:vAlign w:val="center"/>
            <w:hideMark/>
          </w:tcPr>
          <w:p w14:paraId="239A5AB8" w14:textId="77777777" w:rsidR="00940A9C" w:rsidRPr="00940A9C" w:rsidRDefault="00940A9C" w:rsidP="00940A9C">
            <w:pPr>
              <w:spacing w:before="40" w:after="40"/>
              <w:contextualSpacing/>
              <w:jc w:val="center"/>
              <w:rPr>
                <w:bCs/>
                <w:lang w:val="de-DE"/>
              </w:rPr>
            </w:pPr>
            <w:r w:rsidRPr="00940A9C">
              <w:rPr>
                <w:bCs/>
                <w:lang w:val="de-DE"/>
              </w:rPr>
              <w:t>X</w:t>
            </w:r>
          </w:p>
        </w:tc>
        <w:tc>
          <w:tcPr>
            <w:tcW w:w="1568" w:type="dxa"/>
            <w:gridSpan w:val="3"/>
            <w:shd w:val="clear" w:color="auto" w:fill="auto"/>
            <w:noWrap/>
            <w:vAlign w:val="center"/>
            <w:hideMark/>
          </w:tcPr>
          <w:p w14:paraId="73971277" w14:textId="77777777" w:rsidR="00940A9C" w:rsidRPr="00940A9C" w:rsidRDefault="00940A9C" w:rsidP="00940A9C">
            <w:pPr>
              <w:spacing w:before="40" w:after="40"/>
              <w:contextualSpacing/>
              <w:jc w:val="center"/>
              <w:rPr>
                <w:bCs/>
                <w:lang w:val="de-DE"/>
              </w:rPr>
            </w:pPr>
            <w:r w:rsidRPr="00940A9C">
              <w:rPr>
                <w:bCs/>
                <w:lang w:val="de-DE"/>
              </w:rPr>
              <w:t>X</w:t>
            </w:r>
          </w:p>
        </w:tc>
        <w:tc>
          <w:tcPr>
            <w:tcW w:w="1276" w:type="dxa"/>
          </w:tcPr>
          <w:p w14:paraId="05AC6654" w14:textId="77777777" w:rsidR="00940A9C" w:rsidRPr="00940A9C" w:rsidRDefault="00940A9C" w:rsidP="00940A9C">
            <w:pPr>
              <w:spacing w:before="40" w:after="40"/>
              <w:contextualSpacing/>
              <w:jc w:val="center"/>
              <w:rPr>
                <w:bCs/>
                <w:lang w:val="de-DE"/>
              </w:rPr>
            </w:pPr>
          </w:p>
        </w:tc>
      </w:tr>
      <w:tr w:rsidR="00940A9C" w:rsidRPr="00940A9C" w14:paraId="1B01B38F" w14:textId="77777777" w:rsidTr="006F3945">
        <w:tblPrEx>
          <w:tblLook w:val="0480" w:firstRow="0" w:lastRow="0" w:firstColumn="1" w:lastColumn="0" w:noHBand="0" w:noVBand="1"/>
        </w:tblPrEx>
        <w:tc>
          <w:tcPr>
            <w:tcW w:w="5526" w:type="dxa"/>
            <w:vMerge w:val="restart"/>
            <w:shd w:val="clear" w:color="auto" w:fill="auto"/>
            <w:hideMark/>
          </w:tcPr>
          <w:p w14:paraId="0CC25BD7" w14:textId="77777777" w:rsidR="00940A9C" w:rsidRPr="00940A9C" w:rsidRDefault="00940A9C" w:rsidP="00940A9C">
            <w:pPr>
              <w:spacing w:before="40" w:after="40"/>
              <w:contextualSpacing/>
              <w:rPr>
                <w:bCs/>
                <w:lang w:val="de-DE"/>
              </w:rPr>
            </w:pPr>
            <w:r w:rsidRPr="00940A9C">
              <w:rPr>
                <w:bCs/>
                <w:lang w:val="de-DE"/>
              </w:rPr>
              <w:t>Trossen zum Festmachen, Taue für Fender usw.</w:t>
            </w:r>
          </w:p>
        </w:tc>
        <w:tc>
          <w:tcPr>
            <w:tcW w:w="1223" w:type="dxa"/>
            <w:gridSpan w:val="2"/>
            <w:shd w:val="clear" w:color="auto" w:fill="auto"/>
            <w:noWrap/>
            <w:vAlign w:val="center"/>
            <w:hideMark/>
          </w:tcPr>
          <w:p w14:paraId="174A0D51" w14:textId="77777777" w:rsidR="00940A9C" w:rsidRPr="00940A9C" w:rsidRDefault="00940A9C" w:rsidP="00940A9C">
            <w:pPr>
              <w:spacing w:before="40" w:after="40"/>
              <w:contextualSpacing/>
              <w:jc w:val="center"/>
              <w:rPr>
                <w:bCs/>
                <w:lang w:val="de-DE"/>
              </w:rPr>
            </w:pPr>
          </w:p>
        </w:tc>
        <w:tc>
          <w:tcPr>
            <w:tcW w:w="1472" w:type="dxa"/>
            <w:shd w:val="clear" w:color="auto" w:fill="auto"/>
            <w:noWrap/>
            <w:vAlign w:val="center"/>
            <w:hideMark/>
          </w:tcPr>
          <w:p w14:paraId="0EED9779" w14:textId="77777777" w:rsidR="00940A9C" w:rsidRPr="00940A9C" w:rsidRDefault="00940A9C" w:rsidP="00940A9C">
            <w:pPr>
              <w:spacing w:before="40" w:after="40"/>
              <w:contextualSpacing/>
              <w:jc w:val="center"/>
              <w:rPr>
                <w:bCs/>
                <w:lang w:val="de-DE"/>
              </w:rPr>
            </w:pPr>
          </w:p>
        </w:tc>
        <w:tc>
          <w:tcPr>
            <w:tcW w:w="1559" w:type="dxa"/>
            <w:gridSpan w:val="2"/>
            <w:shd w:val="clear" w:color="auto" w:fill="auto"/>
            <w:noWrap/>
            <w:vAlign w:val="center"/>
            <w:hideMark/>
          </w:tcPr>
          <w:p w14:paraId="4BD8B587" w14:textId="77777777" w:rsidR="00940A9C" w:rsidRPr="00940A9C" w:rsidRDefault="00940A9C" w:rsidP="00940A9C">
            <w:pPr>
              <w:spacing w:before="40" w:after="40"/>
              <w:contextualSpacing/>
              <w:jc w:val="center"/>
              <w:rPr>
                <w:bCs/>
                <w:lang w:val="de-DE"/>
              </w:rPr>
            </w:pPr>
            <w:r w:rsidRPr="00940A9C">
              <w:rPr>
                <w:bCs/>
                <w:lang w:val="de-DE"/>
              </w:rPr>
              <w:t>X</w:t>
            </w:r>
          </w:p>
        </w:tc>
        <w:tc>
          <w:tcPr>
            <w:tcW w:w="1568" w:type="dxa"/>
            <w:gridSpan w:val="3"/>
            <w:shd w:val="clear" w:color="auto" w:fill="auto"/>
            <w:noWrap/>
            <w:vAlign w:val="center"/>
            <w:hideMark/>
          </w:tcPr>
          <w:p w14:paraId="53B8DB33" w14:textId="77777777" w:rsidR="00940A9C" w:rsidRPr="00940A9C" w:rsidRDefault="00940A9C" w:rsidP="00940A9C">
            <w:pPr>
              <w:spacing w:before="40" w:after="40"/>
              <w:contextualSpacing/>
              <w:jc w:val="center"/>
              <w:rPr>
                <w:bCs/>
                <w:lang w:val="de-DE"/>
              </w:rPr>
            </w:pPr>
          </w:p>
        </w:tc>
        <w:tc>
          <w:tcPr>
            <w:tcW w:w="1276" w:type="dxa"/>
          </w:tcPr>
          <w:p w14:paraId="75BE2797" w14:textId="77777777" w:rsidR="00940A9C" w:rsidRPr="00940A9C" w:rsidRDefault="00940A9C" w:rsidP="00940A9C">
            <w:pPr>
              <w:spacing w:before="40" w:after="40"/>
              <w:contextualSpacing/>
              <w:jc w:val="center"/>
              <w:rPr>
                <w:bCs/>
                <w:lang w:val="de-DE"/>
              </w:rPr>
            </w:pPr>
          </w:p>
        </w:tc>
      </w:tr>
      <w:tr w:rsidR="00940A9C" w:rsidRPr="00940A9C" w14:paraId="2C88A9C8" w14:textId="77777777" w:rsidTr="006F3945">
        <w:tblPrEx>
          <w:tblLook w:val="0480" w:firstRow="0" w:lastRow="0" w:firstColumn="1" w:lastColumn="0" w:noHBand="0" w:noVBand="1"/>
        </w:tblPrEx>
        <w:tc>
          <w:tcPr>
            <w:tcW w:w="5526" w:type="dxa"/>
            <w:vMerge/>
            <w:shd w:val="clear" w:color="auto" w:fill="auto"/>
            <w:vAlign w:val="bottom"/>
          </w:tcPr>
          <w:p w14:paraId="2B52376A" w14:textId="77777777" w:rsidR="00940A9C" w:rsidRPr="00940A9C" w:rsidRDefault="00940A9C" w:rsidP="00940A9C">
            <w:pPr>
              <w:spacing w:before="40" w:after="40"/>
              <w:contextualSpacing/>
              <w:rPr>
                <w:bCs/>
                <w:lang w:val="de-DE"/>
              </w:rPr>
            </w:pPr>
          </w:p>
        </w:tc>
        <w:tc>
          <w:tcPr>
            <w:tcW w:w="1223" w:type="dxa"/>
            <w:gridSpan w:val="2"/>
            <w:shd w:val="clear" w:color="auto" w:fill="auto"/>
            <w:noWrap/>
            <w:vAlign w:val="center"/>
          </w:tcPr>
          <w:p w14:paraId="0C249568" w14:textId="77777777" w:rsidR="00940A9C" w:rsidRPr="00940A9C" w:rsidRDefault="00940A9C" w:rsidP="00940A9C">
            <w:pPr>
              <w:spacing w:before="40" w:after="40"/>
              <w:contextualSpacing/>
              <w:jc w:val="center"/>
              <w:rPr>
                <w:bCs/>
                <w:lang w:val="de-DE"/>
              </w:rPr>
            </w:pPr>
          </w:p>
        </w:tc>
        <w:tc>
          <w:tcPr>
            <w:tcW w:w="1472" w:type="dxa"/>
            <w:shd w:val="clear" w:color="auto" w:fill="auto"/>
            <w:noWrap/>
            <w:vAlign w:val="center"/>
          </w:tcPr>
          <w:p w14:paraId="72847D96" w14:textId="77777777" w:rsidR="00940A9C" w:rsidRPr="00940A9C" w:rsidRDefault="00940A9C" w:rsidP="00940A9C">
            <w:pPr>
              <w:spacing w:before="40" w:after="40"/>
              <w:contextualSpacing/>
              <w:jc w:val="center"/>
              <w:rPr>
                <w:bCs/>
                <w:lang w:val="de-DE"/>
              </w:rPr>
            </w:pPr>
          </w:p>
        </w:tc>
        <w:tc>
          <w:tcPr>
            <w:tcW w:w="1559" w:type="dxa"/>
            <w:gridSpan w:val="2"/>
            <w:shd w:val="clear" w:color="auto" w:fill="auto"/>
            <w:noWrap/>
            <w:vAlign w:val="center"/>
          </w:tcPr>
          <w:p w14:paraId="5FD2D648" w14:textId="77777777" w:rsidR="00940A9C" w:rsidRPr="00940A9C" w:rsidRDefault="00940A9C" w:rsidP="00940A9C">
            <w:pPr>
              <w:spacing w:before="40" w:after="40"/>
              <w:contextualSpacing/>
              <w:jc w:val="center"/>
              <w:rPr>
                <w:bCs/>
                <w:lang w:val="de-DE"/>
              </w:rPr>
            </w:pPr>
            <w:r w:rsidRPr="00940A9C">
              <w:rPr>
                <w:bCs/>
                <w:lang w:val="de-DE"/>
              </w:rPr>
              <w:t>Unter Beachtung von 7.x.4.76</w:t>
            </w:r>
          </w:p>
        </w:tc>
        <w:tc>
          <w:tcPr>
            <w:tcW w:w="1568" w:type="dxa"/>
            <w:gridSpan w:val="3"/>
            <w:shd w:val="clear" w:color="auto" w:fill="auto"/>
            <w:noWrap/>
            <w:vAlign w:val="center"/>
          </w:tcPr>
          <w:p w14:paraId="36736C7C" w14:textId="77777777" w:rsidR="00940A9C" w:rsidRPr="00940A9C" w:rsidRDefault="00940A9C" w:rsidP="00940A9C">
            <w:pPr>
              <w:spacing w:before="40" w:after="40"/>
              <w:contextualSpacing/>
              <w:jc w:val="center"/>
              <w:rPr>
                <w:bCs/>
                <w:lang w:val="de-DE"/>
              </w:rPr>
            </w:pPr>
          </w:p>
        </w:tc>
        <w:tc>
          <w:tcPr>
            <w:tcW w:w="1276" w:type="dxa"/>
          </w:tcPr>
          <w:p w14:paraId="0515B335" w14:textId="77777777" w:rsidR="00940A9C" w:rsidRPr="00940A9C" w:rsidRDefault="00940A9C" w:rsidP="00940A9C">
            <w:pPr>
              <w:spacing w:before="40" w:after="40"/>
              <w:contextualSpacing/>
              <w:jc w:val="center"/>
              <w:rPr>
                <w:bCs/>
                <w:lang w:val="de-DE"/>
              </w:rPr>
            </w:pPr>
          </w:p>
        </w:tc>
      </w:tr>
      <w:tr w:rsidR="00940A9C" w:rsidRPr="00940A9C" w14:paraId="4D53D2A3" w14:textId="77777777" w:rsidTr="006F3945">
        <w:tblPrEx>
          <w:tblLook w:val="0480" w:firstRow="0" w:lastRow="0" w:firstColumn="1" w:lastColumn="0" w:noHBand="0" w:noVBand="1"/>
        </w:tblPrEx>
        <w:tc>
          <w:tcPr>
            <w:tcW w:w="5526" w:type="dxa"/>
            <w:shd w:val="clear" w:color="auto" w:fill="auto"/>
            <w:vAlign w:val="bottom"/>
          </w:tcPr>
          <w:p w14:paraId="11E639F9" w14:textId="77777777" w:rsidR="00940A9C" w:rsidRPr="00940A9C" w:rsidRDefault="00940A9C" w:rsidP="00940A9C">
            <w:pPr>
              <w:spacing w:before="40" w:after="40"/>
              <w:contextualSpacing/>
              <w:rPr>
                <w:bCs/>
                <w:lang w:val="de-DE"/>
              </w:rPr>
            </w:pPr>
            <w:r w:rsidRPr="00940A9C">
              <w:rPr>
                <w:bCs/>
                <w:lang w:val="de-DE"/>
              </w:rPr>
              <w:t>Matte unter dem Landanschluss der Lade- und Löschleitung</w:t>
            </w:r>
          </w:p>
        </w:tc>
        <w:tc>
          <w:tcPr>
            <w:tcW w:w="1223" w:type="dxa"/>
            <w:gridSpan w:val="2"/>
            <w:shd w:val="clear" w:color="auto" w:fill="auto"/>
            <w:noWrap/>
            <w:vAlign w:val="center"/>
          </w:tcPr>
          <w:p w14:paraId="484AB08A" w14:textId="77777777" w:rsidR="00940A9C" w:rsidRPr="00940A9C" w:rsidRDefault="00940A9C" w:rsidP="00940A9C">
            <w:pPr>
              <w:spacing w:before="40" w:after="40"/>
              <w:contextualSpacing/>
              <w:jc w:val="center"/>
              <w:rPr>
                <w:bCs/>
                <w:lang w:val="de-DE"/>
              </w:rPr>
            </w:pPr>
          </w:p>
        </w:tc>
        <w:tc>
          <w:tcPr>
            <w:tcW w:w="1472" w:type="dxa"/>
            <w:shd w:val="clear" w:color="auto" w:fill="auto"/>
            <w:noWrap/>
            <w:vAlign w:val="center"/>
          </w:tcPr>
          <w:p w14:paraId="746388FA" w14:textId="77777777" w:rsidR="00940A9C" w:rsidRPr="00940A9C" w:rsidRDefault="00940A9C" w:rsidP="00940A9C">
            <w:pPr>
              <w:spacing w:before="40" w:after="40"/>
              <w:contextualSpacing/>
              <w:jc w:val="center"/>
              <w:rPr>
                <w:bCs/>
                <w:lang w:val="de-DE"/>
              </w:rPr>
            </w:pPr>
          </w:p>
        </w:tc>
        <w:tc>
          <w:tcPr>
            <w:tcW w:w="1559" w:type="dxa"/>
            <w:gridSpan w:val="2"/>
            <w:shd w:val="clear" w:color="auto" w:fill="auto"/>
            <w:noWrap/>
            <w:vAlign w:val="center"/>
          </w:tcPr>
          <w:p w14:paraId="298ADFC6" w14:textId="77777777" w:rsidR="00940A9C" w:rsidRPr="00940A9C" w:rsidRDefault="00940A9C" w:rsidP="00940A9C">
            <w:pPr>
              <w:spacing w:before="40" w:after="40"/>
              <w:contextualSpacing/>
              <w:jc w:val="center"/>
              <w:rPr>
                <w:bCs/>
                <w:lang w:val="de-DE"/>
              </w:rPr>
            </w:pPr>
            <w:r w:rsidRPr="00940A9C">
              <w:rPr>
                <w:bCs/>
                <w:lang w:val="de-DE"/>
              </w:rPr>
              <w:t>X</w:t>
            </w:r>
          </w:p>
        </w:tc>
        <w:tc>
          <w:tcPr>
            <w:tcW w:w="1568" w:type="dxa"/>
            <w:gridSpan w:val="3"/>
            <w:shd w:val="clear" w:color="auto" w:fill="auto"/>
            <w:noWrap/>
            <w:vAlign w:val="center"/>
          </w:tcPr>
          <w:p w14:paraId="4FB779A2" w14:textId="77777777" w:rsidR="00940A9C" w:rsidRPr="00940A9C" w:rsidRDefault="00940A9C" w:rsidP="00940A9C">
            <w:pPr>
              <w:spacing w:before="40" w:after="40"/>
              <w:contextualSpacing/>
              <w:jc w:val="center"/>
              <w:rPr>
                <w:bCs/>
                <w:lang w:val="de-DE"/>
              </w:rPr>
            </w:pPr>
            <w:r w:rsidRPr="00940A9C">
              <w:rPr>
                <w:bCs/>
                <w:lang w:val="de-DE"/>
              </w:rPr>
              <w:t>X</w:t>
            </w:r>
          </w:p>
        </w:tc>
        <w:tc>
          <w:tcPr>
            <w:tcW w:w="1276" w:type="dxa"/>
          </w:tcPr>
          <w:p w14:paraId="4CC2195D" w14:textId="77777777" w:rsidR="00940A9C" w:rsidRPr="00940A9C" w:rsidRDefault="00940A9C" w:rsidP="00940A9C">
            <w:pPr>
              <w:spacing w:before="40" w:after="40"/>
              <w:contextualSpacing/>
              <w:jc w:val="center"/>
              <w:rPr>
                <w:bCs/>
                <w:lang w:val="de-DE"/>
              </w:rPr>
            </w:pPr>
          </w:p>
        </w:tc>
      </w:tr>
      <w:tr w:rsidR="00940A9C" w:rsidRPr="00940A9C" w14:paraId="19BE7C94" w14:textId="77777777" w:rsidTr="006F3945">
        <w:tblPrEx>
          <w:tblLook w:val="0480" w:firstRow="0" w:lastRow="0" w:firstColumn="1" w:lastColumn="0" w:noHBand="0" w:noVBand="1"/>
        </w:tblPrEx>
        <w:tc>
          <w:tcPr>
            <w:tcW w:w="5526" w:type="dxa"/>
            <w:shd w:val="clear" w:color="auto" w:fill="auto"/>
            <w:vAlign w:val="bottom"/>
          </w:tcPr>
          <w:p w14:paraId="23C4867E" w14:textId="77777777" w:rsidR="00940A9C" w:rsidRPr="00940A9C" w:rsidRDefault="00940A9C" w:rsidP="00940A9C">
            <w:pPr>
              <w:spacing w:before="40" w:after="40"/>
              <w:contextualSpacing/>
              <w:rPr>
                <w:bCs/>
                <w:lang w:val="de-DE"/>
              </w:rPr>
            </w:pPr>
            <w:r w:rsidRPr="00940A9C">
              <w:rPr>
                <w:bCs/>
                <w:lang w:val="de-DE"/>
              </w:rPr>
              <w:t>Feuerlöschschläuche, Luftschläuche, Deckwaschschläuche usw.</w:t>
            </w:r>
          </w:p>
        </w:tc>
        <w:tc>
          <w:tcPr>
            <w:tcW w:w="1223" w:type="dxa"/>
            <w:gridSpan w:val="2"/>
            <w:shd w:val="clear" w:color="auto" w:fill="auto"/>
            <w:noWrap/>
            <w:vAlign w:val="center"/>
          </w:tcPr>
          <w:p w14:paraId="456849FE" w14:textId="77777777" w:rsidR="00940A9C" w:rsidRPr="00940A9C" w:rsidRDefault="00940A9C" w:rsidP="00940A9C">
            <w:pPr>
              <w:spacing w:before="40" w:after="40"/>
              <w:contextualSpacing/>
              <w:jc w:val="center"/>
              <w:rPr>
                <w:bCs/>
                <w:lang w:val="de-DE"/>
              </w:rPr>
            </w:pPr>
          </w:p>
        </w:tc>
        <w:tc>
          <w:tcPr>
            <w:tcW w:w="1472" w:type="dxa"/>
            <w:shd w:val="clear" w:color="auto" w:fill="auto"/>
            <w:noWrap/>
            <w:vAlign w:val="center"/>
          </w:tcPr>
          <w:p w14:paraId="4CEB7448" w14:textId="77777777" w:rsidR="00940A9C" w:rsidRPr="00940A9C" w:rsidRDefault="00940A9C" w:rsidP="00940A9C">
            <w:pPr>
              <w:spacing w:before="40" w:after="40"/>
              <w:contextualSpacing/>
              <w:jc w:val="center"/>
              <w:rPr>
                <w:bCs/>
                <w:lang w:val="de-DE"/>
              </w:rPr>
            </w:pPr>
          </w:p>
        </w:tc>
        <w:tc>
          <w:tcPr>
            <w:tcW w:w="1559" w:type="dxa"/>
            <w:gridSpan w:val="2"/>
            <w:shd w:val="clear" w:color="auto" w:fill="auto"/>
            <w:noWrap/>
            <w:vAlign w:val="center"/>
          </w:tcPr>
          <w:p w14:paraId="7FD8D448" w14:textId="77777777" w:rsidR="00940A9C" w:rsidRPr="00940A9C" w:rsidRDefault="00940A9C" w:rsidP="00940A9C">
            <w:pPr>
              <w:spacing w:before="40" w:after="40"/>
              <w:contextualSpacing/>
              <w:jc w:val="center"/>
              <w:rPr>
                <w:bCs/>
                <w:lang w:val="de-DE"/>
              </w:rPr>
            </w:pPr>
            <w:r w:rsidRPr="00940A9C">
              <w:rPr>
                <w:bCs/>
                <w:lang w:val="de-DE"/>
              </w:rPr>
              <w:t>X</w:t>
            </w:r>
          </w:p>
        </w:tc>
        <w:tc>
          <w:tcPr>
            <w:tcW w:w="1568" w:type="dxa"/>
            <w:gridSpan w:val="3"/>
            <w:shd w:val="clear" w:color="auto" w:fill="auto"/>
            <w:noWrap/>
            <w:vAlign w:val="center"/>
          </w:tcPr>
          <w:p w14:paraId="3C54BE1A" w14:textId="77777777" w:rsidR="00940A9C" w:rsidRPr="00940A9C" w:rsidRDefault="00940A9C" w:rsidP="00940A9C">
            <w:pPr>
              <w:spacing w:before="40" w:after="40"/>
              <w:contextualSpacing/>
              <w:jc w:val="center"/>
              <w:rPr>
                <w:bCs/>
                <w:lang w:val="de-DE"/>
              </w:rPr>
            </w:pPr>
            <w:r w:rsidRPr="00940A9C">
              <w:rPr>
                <w:bCs/>
                <w:lang w:val="de-DE"/>
              </w:rPr>
              <w:t>X</w:t>
            </w:r>
          </w:p>
        </w:tc>
        <w:tc>
          <w:tcPr>
            <w:tcW w:w="1276" w:type="dxa"/>
          </w:tcPr>
          <w:p w14:paraId="1A0DAD4F" w14:textId="77777777" w:rsidR="00940A9C" w:rsidRPr="00940A9C" w:rsidRDefault="00940A9C" w:rsidP="00940A9C">
            <w:pPr>
              <w:spacing w:before="40" w:after="40"/>
              <w:contextualSpacing/>
              <w:jc w:val="center"/>
              <w:rPr>
                <w:bCs/>
                <w:lang w:val="de-DE"/>
              </w:rPr>
            </w:pPr>
          </w:p>
        </w:tc>
      </w:tr>
      <w:tr w:rsidR="00940A9C" w:rsidRPr="00ED4EA8" w14:paraId="4C858837" w14:textId="77777777" w:rsidTr="006F3945">
        <w:tblPrEx>
          <w:tblLook w:val="0480" w:firstRow="0" w:lastRow="0" w:firstColumn="1" w:lastColumn="0" w:noHBand="0" w:noVBand="1"/>
        </w:tblPrEx>
        <w:tc>
          <w:tcPr>
            <w:tcW w:w="5526" w:type="dxa"/>
            <w:shd w:val="clear" w:color="auto" w:fill="auto"/>
            <w:vAlign w:val="bottom"/>
          </w:tcPr>
          <w:p w14:paraId="3BBDFB2E" w14:textId="77777777" w:rsidR="00940A9C" w:rsidRPr="00940A9C" w:rsidRDefault="00940A9C" w:rsidP="00940A9C">
            <w:pPr>
              <w:spacing w:before="40" w:after="40"/>
              <w:contextualSpacing/>
              <w:rPr>
                <w:bCs/>
                <w:lang w:val="de-DE"/>
              </w:rPr>
            </w:pPr>
            <w:r w:rsidRPr="00940A9C">
              <w:rPr>
                <w:bCs/>
                <w:lang w:val="de-DE"/>
              </w:rPr>
              <w:t>Andere Schlaucharten</w:t>
            </w:r>
          </w:p>
        </w:tc>
        <w:tc>
          <w:tcPr>
            <w:tcW w:w="7098" w:type="dxa"/>
            <w:gridSpan w:val="9"/>
            <w:shd w:val="clear" w:color="auto" w:fill="auto"/>
            <w:noWrap/>
            <w:vAlign w:val="center"/>
          </w:tcPr>
          <w:p w14:paraId="0259DD25" w14:textId="77777777" w:rsidR="00940A9C" w:rsidRPr="00940A9C" w:rsidRDefault="00940A9C" w:rsidP="00940A9C">
            <w:pPr>
              <w:spacing w:before="40" w:after="40"/>
              <w:contextualSpacing/>
              <w:jc w:val="center"/>
              <w:rPr>
                <w:bCs/>
                <w:lang w:val="de-DE"/>
              </w:rPr>
            </w:pPr>
            <w:r w:rsidRPr="00940A9C">
              <w:rPr>
                <w:bCs/>
                <w:lang w:val="de-DE"/>
              </w:rPr>
              <w:t>In Übereinstimmung mit 8.1.6.2 und den genannten Normen</w:t>
            </w:r>
          </w:p>
        </w:tc>
      </w:tr>
      <w:tr w:rsidR="00940A9C" w:rsidRPr="00940A9C" w14:paraId="6D36C8A7" w14:textId="77777777" w:rsidTr="006F3945">
        <w:tblPrEx>
          <w:tblLook w:val="0480" w:firstRow="0" w:lastRow="0" w:firstColumn="1" w:lastColumn="0" w:noHBand="0" w:noVBand="1"/>
        </w:tblPrEx>
        <w:tc>
          <w:tcPr>
            <w:tcW w:w="5526" w:type="dxa"/>
            <w:vMerge w:val="restart"/>
            <w:shd w:val="clear" w:color="auto" w:fill="auto"/>
          </w:tcPr>
          <w:p w14:paraId="39C79387" w14:textId="77777777" w:rsidR="00940A9C" w:rsidRPr="00940A9C" w:rsidRDefault="00940A9C" w:rsidP="00940A9C">
            <w:pPr>
              <w:spacing w:before="40" w:after="40"/>
              <w:contextualSpacing/>
              <w:rPr>
                <w:bCs/>
                <w:lang w:val="de-DE"/>
              </w:rPr>
            </w:pPr>
            <w:r w:rsidRPr="00940A9C">
              <w:rPr>
                <w:bCs/>
                <w:lang w:val="de-DE"/>
              </w:rPr>
              <w:t>Peilstäbe aus Aluminium</w:t>
            </w:r>
          </w:p>
        </w:tc>
        <w:tc>
          <w:tcPr>
            <w:tcW w:w="1223" w:type="dxa"/>
            <w:gridSpan w:val="2"/>
            <w:shd w:val="clear" w:color="auto" w:fill="auto"/>
            <w:noWrap/>
            <w:vAlign w:val="center"/>
          </w:tcPr>
          <w:p w14:paraId="387381F4" w14:textId="77777777" w:rsidR="00940A9C" w:rsidRPr="00940A9C" w:rsidRDefault="00940A9C" w:rsidP="00940A9C">
            <w:pPr>
              <w:spacing w:before="40" w:after="40"/>
              <w:contextualSpacing/>
              <w:jc w:val="center"/>
              <w:rPr>
                <w:bCs/>
                <w:lang w:val="de-DE"/>
              </w:rPr>
            </w:pPr>
          </w:p>
        </w:tc>
        <w:tc>
          <w:tcPr>
            <w:tcW w:w="1472" w:type="dxa"/>
            <w:shd w:val="clear" w:color="auto" w:fill="auto"/>
            <w:noWrap/>
            <w:vAlign w:val="center"/>
          </w:tcPr>
          <w:p w14:paraId="424D344C" w14:textId="77777777" w:rsidR="00940A9C" w:rsidRPr="00940A9C" w:rsidRDefault="00940A9C" w:rsidP="00940A9C">
            <w:pPr>
              <w:spacing w:before="40" w:after="40"/>
              <w:contextualSpacing/>
              <w:jc w:val="center"/>
              <w:rPr>
                <w:bCs/>
                <w:lang w:val="de-DE"/>
              </w:rPr>
            </w:pPr>
            <w:r w:rsidRPr="00940A9C">
              <w:rPr>
                <w:bCs/>
                <w:lang w:val="de-DE"/>
              </w:rPr>
              <w:t>X</w:t>
            </w:r>
          </w:p>
        </w:tc>
        <w:tc>
          <w:tcPr>
            <w:tcW w:w="1559" w:type="dxa"/>
            <w:gridSpan w:val="2"/>
            <w:shd w:val="clear" w:color="auto" w:fill="auto"/>
            <w:noWrap/>
            <w:vAlign w:val="center"/>
          </w:tcPr>
          <w:p w14:paraId="26DC2C77" w14:textId="77777777" w:rsidR="00940A9C" w:rsidRPr="00940A9C" w:rsidRDefault="00940A9C" w:rsidP="00940A9C">
            <w:pPr>
              <w:spacing w:before="40" w:after="40"/>
              <w:contextualSpacing/>
              <w:jc w:val="center"/>
              <w:rPr>
                <w:bCs/>
                <w:lang w:val="de-DE"/>
              </w:rPr>
            </w:pPr>
          </w:p>
        </w:tc>
        <w:tc>
          <w:tcPr>
            <w:tcW w:w="1505" w:type="dxa"/>
            <w:gridSpan w:val="2"/>
            <w:shd w:val="clear" w:color="auto" w:fill="auto"/>
            <w:noWrap/>
            <w:vAlign w:val="center"/>
          </w:tcPr>
          <w:p w14:paraId="67A29770" w14:textId="77777777" w:rsidR="00940A9C" w:rsidRPr="00940A9C" w:rsidRDefault="00940A9C" w:rsidP="00940A9C">
            <w:pPr>
              <w:spacing w:before="40" w:after="40"/>
              <w:contextualSpacing/>
              <w:jc w:val="center"/>
              <w:rPr>
                <w:bCs/>
                <w:lang w:val="de-DE"/>
              </w:rPr>
            </w:pPr>
          </w:p>
        </w:tc>
        <w:tc>
          <w:tcPr>
            <w:tcW w:w="1339" w:type="dxa"/>
            <w:gridSpan w:val="2"/>
          </w:tcPr>
          <w:p w14:paraId="63988518" w14:textId="77777777" w:rsidR="00940A9C" w:rsidRPr="00940A9C" w:rsidRDefault="00940A9C" w:rsidP="00940A9C">
            <w:pPr>
              <w:spacing w:before="40" w:after="40"/>
              <w:contextualSpacing/>
              <w:jc w:val="center"/>
              <w:rPr>
                <w:bCs/>
                <w:lang w:val="de-DE"/>
              </w:rPr>
            </w:pPr>
          </w:p>
        </w:tc>
      </w:tr>
      <w:tr w:rsidR="00940A9C" w:rsidRPr="00ED4EA8" w14:paraId="042ED2ED" w14:textId="77777777" w:rsidTr="006F3945">
        <w:tblPrEx>
          <w:tblLook w:val="0480" w:firstRow="0" w:lastRow="0" w:firstColumn="1" w:lastColumn="0" w:noHBand="0" w:noVBand="1"/>
        </w:tblPrEx>
        <w:tc>
          <w:tcPr>
            <w:tcW w:w="5526" w:type="dxa"/>
            <w:vMerge/>
            <w:shd w:val="clear" w:color="auto" w:fill="auto"/>
            <w:vAlign w:val="bottom"/>
          </w:tcPr>
          <w:p w14:paraId="69BC8DD3" w14:textId="77777777" w:rsidR="00940A9C" w:rsidRPr="00940A9C" w:rsidRDefault="00940A9C" w:rsidP="00940A9C">
            <w:pPr>
              <w:spacing w:before="40" w:after="40"/>
              <w:contextualSpacing/>
              <w:rPr>
                <w:bCs/>
                <w:lang w:val="de-DE"/>
              </w:rPr>
            </w:pPr>
          </w:p>
        </w:tc>
        <w:tc>
          <w:tcPr>
            <w:tcW w:w="7098" w:type="dxa"/>
            <w:gridSpan w:val="9"/>
            <w:shd w:val="clear" w:color="auto" w:fill="auto"/>
            <w:noWrap/>
            <w:vAlign w:val="center"/>
          </w:tcPr>
          <w:p w14:paraId="0199CBDF" w14:textId="77777777" w:rsidR="00940A9C" w:rsidRPr="00940A9C" w:rsidRDefault="00940A9C" w:rsidP="00940A9C">
            <w:pPr>
              <w:spacing w:before="40" w:after="40"/>
              <w:contextualSpacing/>
              <w:jc w:val="center"/>
              <w:rPr>
                <w:bCs/>
                <w:lang w:val="de-DE"/>
              </w:rPr>
            </w:pPr>
            <w:r w:rsidRPr="00940A9C">
              <w:rPr>
                <w:bCs/>
                <w:lang w:val="de-DE"/>
              </w:rPr>
              <w:t>Wenn zur Verhinderung der Funkenbildung mit einem Fuß aus Messing versehen oder in anderer Weise geschützt</w:t>
            </w:r>
          </w:p>
        </w:tc>
      </w:tr>
      <w:tr w:rsidR="00940A9C" w:rsidRPr="00940A9C" w14:paraId="7A0788F8" w14:textId="77777777" w:rsidTr="006F3945">
        <w:tblPrEx>
          <w:tblLook w:val="0480" w:firstRow="0" w:lastRow="0" w:firstColumn="1" w:lastColumn="0" w:noHBand="0" w:noVBand="1"/>
        </w:tblPrEx>
        <w:tc>
          <w:tcPr>
            <w:tcW w:w="5526" w:type="dxa"/>
            <w:shd w:val="clear" w:color="auto" w:fill="auto"/>
            <w:vAlign w:val="bottom"/>
          </w:tcPr>
          <w:p w14:paraId="135E8852" w14:textId="77777777" w:rsidR="00940A9C" w:rsidRPr="00940A9C" w:rsidRDefault="00940A9C" w:rsidP="00940A9C">
            <w:pPr>
              <w:spacing w:before="40" w:after="40"/>
              <w:contextualSpacing/>
              <w:rPr>
                <w:bCs/>
                <w:lang w:val="de-DE"/>
              </w:rPr>
            </w:pPr>
            <w:r w:rsidRPr="00940A9C">
              <w:rPr>
                <w:bCs/>
                <w:lang w:val="de-DE"/>
              </w:rPr>
              <w:t>Probegeräte</w:t>
            </w:r>
          </w:p>
        </w:tc>
        <w:tc>
          <w:tcPr>
            <w:tcW w:w="1223" w:type="dxa"/>
            <w:gridSpan w:val="2"/>
            <w:shd w:val="clear" w:color="auto" w:fill="auto"/>
            <w:noWrap/>
            <w:vAlign w:val="center"/>
          </w:tcPr>
          <w:p w14:paraId="2CA075EF" w14:textId="77777777" w:rsidR="00940A9C" w:rsidRPr="00940A9C" w:rsidRDefault="00940A9C" w:rsidP="00940A9C">
            <w:pPr>
              <w:spacing w:before="40" w:after="40"/>
              <w:contextualSpacing/>
              <w:jc w:val="center"/>
              <w:rPr>
                <w:bCs/>
                <w:lang w:val="de-DE"/>
              </w:rPr>
            </w:pPr>
          </w:p>
        </w:tc>
        <w:tc>
          <w:tcPr>
            <w:tcW w:w="1472" w:type="dxa"/>
            <w:shd w:val="clear" w:color="auto" w:fill="auto"/>
            <w:noWrap/>
            <w:vAlign w:val="center"/>
          </w:tcPr>
          <w:p w14:paraId="22D9189D" w14:textId="77777777" w:rsidR="00940A9C" w:rsidRPr="00940A9C" w:rsidRDefault="00940A9C" w:rsidP="00940A9C">
            <w:pPr>
              <w:spacing w:before="40" w:after="40"/>
              <w:contextualSpacing/>
              <w:jc w:val="center"/>
              <w:rPr>
                <w:bCs/>
                <w:lang w:val="de-DE"/>
              </w:rPr>
            </w:pPr>
          </w:p>
        </w:tc>
        <w:tc>
          <w:tcPr>
            <w:tcW w:w="1559" w:type="dxa"/>
            <w:gridSpan w:val="2"/>
            <w:shd w:val="clear" w:color="auto" w:fill="auto"/>
            <w:noWrap/>
            <w:vAlign w:val="center"/>
          </w:tcPr>
          <w:p w14:paraId="7D921353" w14:textId="77777777" w:rsidR="00940A9C" w:rsidRPr="00940A9C" w:rsidRDefault="00940A9C" w:rsidP="00940A9C">
            <w:pPr>
              <w:spacing w:before="40" w:after="40"/>
              <w:contextualSpacing/>
              <w:jc w:val="center"/>
              <w:rPr>
                <w:bCs/>
                <w:lang w:val="de-DE"/>
              </w:rPr>
            </w:pPr>
            <w:r w:rsidRPr="00940A9C">
              <w:rPr>
                <w:bCs/>
                <w:lang w:val="de-DE"/>
              </w:rPr>
              <w:t>X</w:t>
            </w:r>
          </w:p>
        </w:tc>
        <w:tc>
          <w:tcPr>
            <w:tcW w:w="1505" w:type="dxa"/>
            <w:gridSpan w:val="2"/>
            <w:shd w:val="clear" w:color="auto" w:fill="auto"/>
            <w:noWrap/>
            <w:vAlign w:val="center"/>
          </w:tcPr>
          <w:p w14:paraId="67FC649D" w14:textId="77777777" w:rsidR="00940A9C" w:rsidRPr="00940A9C" w:rsidRDefault="00940A9C" w:rsidP="00940A9C">
            <w:pPr>
              <w:spacing w:before="40" w:after="40"/>
              <w:contextualSpacing/>
              <w:jc w:val="center"/>
              <w:rPr>
                <w:bCs/>
                <w:lang w:val="de-DE"/>
              </w:rPr>
            </w:pPr>
          </w:p>
        </w:tc>
        <w:tc>
          <w:tcPr>
            <w:tcW w:w="1339" w:type="dxa"/>
            <w:gridSpan w:val="2"/>
          </w:tcPr>
          <w:p w14:paraId="58ACD8D7" w14:textId="77777777" w:rsidR="00940A9C" w:rsidRPr="00940A9C" w:rsidRDefault="00940A9C" w:rsidP="00940A9C">
            <w:pPr>
              <w:spacing w:before="40" w:after="40"/>
              <w:contextualSpacing/>
              <w:jc w:val="center"/>
              <w:rPr>
                <w:bCs/>
                <w:lang w:val="de-DE"/>
              </w:rPr>
            </w:pPr>
          </w:p>
        </w:tc>
      </w:tr>
    </w:tbl>
    <w:p w14:paraId="0E1E7C45" w14:textId="77777777" w:rsidR="00940A9C" w:rsidRPr="00940A9C" w:rsidRDefault="00940A9C" w:rsidP="00940A9C">
      <w:pPr>
        <w:spacing w:after="120"/>
        <w:ind w:left="1134" w:right="1134"/>
        <w:jc w:val="both"/>
        <w:rPr>
          <w:b/>
          <w:bCs/>
          <w:lang w:val="de-DE"/>
        </w:rPr>
      </w:pPr>
    </w:p>
    <w:p w14:paraId="42922561" w14:textId="77777777" w:rsidR="00940A9C" w:rsidRPr="00940A9C" w:rsidRDefault="00940A9C" w:rsidP="00940A9C">
      <w:pPr>
        <w:rPr>
          <w:lang w:val="de-DE"/>
        </w:rPr>
      </w:pPr>
      <w:r w:rsidRPr="00940A9C">
        <w:rPr>
          <w:lang w:val="de-DE"/>
        </w:rPr>
        <w:br w:type="page"/>
      </w:r>
    </w:p>
    <w:tbl>
      <w:tblPr>
        <w:tblW w:w="125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5"/>
        <w:gridCol w:w="12"/>
        <w:gridCol w:w="1354"/>
        <w:gridCol w:w="1276"/>
        <w:gridCol w:w="1559"/>
        <w:gridCol w:w="1620"/>
        <w:gridCol w:w="142"/>
        <w:gridCol w:w="1073"/>
      </w:tblGrid>
      <w:tr w:rsidR="00940A9C" w:rsidRPr="00940A9C" w14:paraId="022461D4" w14:textId="77777777" w:rsidTr="006F3945">
        <w:trPr>
          <w:trHeight w:val="270"/>
          <w:tblHeader/>
        </w:trPr>
        <w:tc>
          <w:tcPr>
            <w:tcW w:w="5537" w:type="dxa"/>
            <w:gridSpan w:val="2"/>
            <w:tcBorders>
              <w:top w:val="nil"/>
              <w:left w:val="nil"/>
            </w:tcBorders>
            <w:shd w:val="clear" w:color="auto" w:fill="auto"/>
            <w:noWrap/>
            <w:vAlign w:val="bottom"/>
            <w:hideMark/>
          </w:tcPr>
          <w:p w14:paraId="7BB0CA8F" w14:textId="77777777" w:rsidR="00940A9C" w:rsidRPr="00940A9C" w:rsidRDefault="00940A9C" w:rsidP="00940A9C">
            <w:pPr>
              <w:spacing w:before="40" w:after="40"/>
              <w:contextualSpacing/>
              <w:rPr>
                <w:b/>
                <w:lang w:val="de-DE"/>
              </w:rPr>
            </w:pPr>
          </w:p>
        </w:tc>
        <w:tc>
          <w:tcPr>
            <w:tcW w:w="1354" w:type="dxa"/>
            <w:tcBorders>
              <w:top w:val="single" w:sz="4" w:space="0" w:color="auto"/>
            </w:tcBorders>
            <w:shd w:val="clear" w:color="auto" w:fill="auto"/>
            <w:noWrap/>
            <w:vAlign w:val="center"/>
            <w:hideMark/>
          </w:tcPr>
          <w:p w14:paraId="4857C55D" w14:textId="77777777" w:rsidR="00940A9C" w:rsidRPr="00940A9C" w:rsidRDefault="00940A9C" w:rsidP="00940A9C">
            <w:pPr>
              <w:spacing w:before="40" w:after="40"/>
              <w:contextualSpacing/>
              <w:jc w:val="center"/>
              <w:rPr>
                <w:b/>
                <w:lang w:val="de-DE"/>
              </w:rPr>
            </w:pPr>
            <w:r w:rsidRPr="00940A9C">
              <w:rPr>
                <w:b/>
                <w:lang w:val="de-DE"/>
              </w:rPr>
              <w:t>Holz</w:t>
            </w:r>
          </w:p>
        </w:tc>
        <w:tc>
          <w:tcPr>
            <w:tcW w:w="1276" w:type="dxa"/>
            <w:shd w:val="clear" w:color="auto" w:fill="auto"/>
            <w:noWrap/>
            <w:vAlign w:val="center"/>
            <w:hideMark/>
          </w:tcPr>
          <w:p w14:paraId="6A3B4C89" w14:textId="77777777" w:rsidR="00940A9C" w:rsidRPr="00940A9C" w:rsidRDefault="00940A9C" w:rsidP="00940A9C">
            <w:pPr>
              <w:spacing w:before="40" w:after="40"/>
              <w:contextualSpacing/>
              <w:jc w:val="center"/>
              <w:rPr>
                <w:b/>
                <w:lang w:val="de-DE"/>
              </w:rPr>
            </w:pPr>
            <w:r w:rsidRPr="00940A9C">
              <w:rPr>
                <w:b/>
                <w:lang w:val="de-DE"/>
              </w:rPr>
              <w:t>Aluminium- legierungen</w:t>
            </w:r>
          </w:p>
        </w:tc>
        <w:tc>
          <w:tcPr>
            <w:tcW w:w="1559" w:type="dxa"/>
            <w:shd w:val="clear" w:color="auto" w:fill="auto"/>
            <w:noWrap/>
            <w:vAlign w:val="center"/>
            <w:hideMark/>
          </w:tcPr>
          <w:p w14:paraId="7FF4161B" w14:textId="77777777" w:rsidR="00940A9C" w:rsidRPr="00940A9C" w:rsidRDefault="00940A9C" w:rsidP="00940A9C">
            <w:pPr>
              <w:spacing w:before="40" w:after="40"/>
              <w:contextualSpacing/>
              <w:jc w:val="center"/>
              <w:rPr>
                <w:b/>
                <w:lang w:val="de-DE"/>
              </w:rPr>
            </w:pPr>
            <w:r w:rsidRPr="00940A9C">
              <w:rPr>
                <w:b/>
                <w:lang w:val="de-DE"/>
              </w:rPr>
              <w:t>Kunststoff/ Verbundwerk-stoff</w:t>
            </w:r>
          </w:p>
        </w:tc>
        <w:tc>
          <w:tcPr>
            <w:tcW w:w="1620" w:type="dxa"/>
            <w:shd w:val="clear" w:color="auto" w:fill="auto"/>
            <w:noWrap/>
            <w:vAlign w:val="center"/>
            <w:hideMark/>
          </w:tcPr>
          <w:p w14:paraId="5201110E" w14:textId="77777777" w:rsidR="00940A9C" w:rsidRPr="00940A9C" w:rsidRDefault="00940A9C" w:rsidP="00940A9C">
            <w:pPr>
              <w:spacing w:before="40" w:after="40"/>
              <w:contextualSpacing/>
              <w:jc w:val="center"/>
              <w:rPr>
                <w:b/>
                <w:lang w:val="de-DE"/>
              </w:rPr>
            </w:pPr>
            <w:r w:rsidRPr="00940A9C">
              <w:rPr>
                <w:b/>
                <w:lang w:val="de-DE"/>
              </w:rPr>
              <w:t>Gummi</w:t>
            </w:r>
          </w:p>
        </w:tc>
        <w:tc>
          <w:tcPr>
            <w:tcW w:w="1215" w:type="dxa"/>
            <w:gridSpan w:val="2"/>
          </w:tcPr>
          <w:p w14:paraId="0DF81AAF" w14:textId="77777777" w:rsidR="00940A9C" w:rsidRPr="00940A9C" w:rsidRDefault="00940A9C" w:rsidP="00940A9C">
            <w:pPr>
              <w:spacing w:before="40" w:after="40"/>
              <w:contextualSpacing/>
              <w:jc w:val="center"/>
              <w:rPr>
                <w:b/>
                <w:lang w:val="de-DE"/>
              </w:rPr>
            </w:pPr>
            <w:r w:rsidRPr="00940A9C">
              <w:rPr>
                <w:b/>
                <w:lang w:val="de-DE"/>
              </w:rPr>
              <w:t>Glas</w:t>
            </w:r>
          </w:p>
        </w:tc>
      </w:tr>
      <w:tr w:rsidR="00940A9C" w:rsidRPr="00940A9C" w14:paraId="27E740E9" w14:textId="77777777" w:rsidTr="006F3945">
        <w:tblPrEx>
          <w:tblLook w:val="0480" w:firstRow="0" w:lastRow="0" w:firstColumn="1" w:lastColumn="0" w:noHBand="0" w:noVBand="1"/>
        </w:tblPrEx>
        <w:tc>
          <w:tcPr>
            <w:tcW w:w="5525" w:type="dxa"/>
            <w:shd w:val="clear" w:color="auto" w:fill="auto"/>
          </w:tcPr>
          <w:p w14:paraId="48C9A29C" w14:textId="77777777" w:rsidR="00940A9C" w:rsidRPr="00940A9C" w:rsidRDefault="00940A9C" w:rsidP="00940A9C">
            <w:pPr>
              <w:spacing w:before="40" w:after="40"/>
              <w:contextualSpacing/>
              <w:rPr>
                <w:b/>
                <w:lang w:val="de-DE"/>
              </w:rPr>
            </w:pPr>
            <w:r w:rsidRPr="00940A9C">
              <w:rPr>
                <w:b/>
                <w:lang w:val="de-DE"/>
              </w:rPr>
              <w:t>Behälter für öl- und fetthaltige Schiffsbetriebsabfälle (7.2.4.1)</w:t>
            </w:r>
          </w:p>
        </w:tc>
        <w:tc>
          <w:tcPr>
            <w:tcW w:w="1366" w:type="dxa"/>
            <w:gridSpan w:val="2"/>
            <w:shd w:val="clear" w:color="auto" w:fill="auto"/>
            <w:noWrap/>
            <w:vAlign w:val="center"/>
          </w:tcPr>
          <w:p w14:paraId="7A701509" w14:textId="77777777" w:rsidR="00940A9C" w:rsidRPr="00940A9C" w:rsidRDefault="00940A9C" w:rsidP="00940A9C">
            <w:pPr>
              <w:spacing w:before="40" w:after="40"/>
              <w:contextualSpacing/>
              <w:jc w:val="center"/>
              <w:rPr>
                <w:bCs/>
                <w:lang w:val="de-DE"/>
              </w:rPr>
            </w:pPr>
          </w:p>
        </w:tc>
        <w:tc>
          <w:tcPr>
            <w:tcW w:w="1276" w:type="dxa"/>
            <w:shd w:val="clear" w:color="auto" w:fill="auto"/>
            <w:noWrap/>
            <w:vAlign w:val="center"/>
          </w:tcPr>
          <w:p w14:paraId="38E3ED5C" w14:textId="77777777" w:rsidR="00940A9C" w:rsidRPr="00940A9C" w:rsidRDefault="00940A9C" w:rsidP="00940A9C">
            <w:pPr>
              <w:spacing w:before="40" w:after="40"/>
              <w:contextualSpacing/>
              <w:jc w:val="center"/>
              <w:rPr>
                <w:bCs/>
                <w:lang w:val="de-DE"/>
              </w:rPr>
            </w:pPr>
            <w:r w:rsidRPr="00940A9C">
              <w:rPr>
                <w:bCs/>
                <w:lang w:val="de-DE"/>
              </w:rPr>
              <w:t>X</w:t>
            </w:r>
          </w:p>
        </w:tc>
        <w:tc>
          <w:tcPr>
            <w:tcW w:w="1559" w:type="dxa"/>
            <w:shd w:val="clear" w:color="auto" w:fill="auto"/>
            <w:noWrap/>
            <w:vAlign w:val="center"/>
          </w:tcPr>
          <w:p w14:paraId="1B15BC43" w14:textId="77777777" w:rsidR="00940A9C" w:rsidRPr="00940A9C" w:rsidRDefault="00940A9C" w:rsidP="00940A9C">
            <w:pPr>
              <w:spacing w:before="40" w:after="40"/>
              <w:contextualSpacing/>
              <w:jc w:val="center"/>
              <w:rPr>
                <w:bCs/>
                <w:lang w:val="de-DE"/>
              </w:rPr>
            </w:pPr>
            <w:r w:rsidRPr="00940A9C">
              <w:rPr>
                <w:bCs/>
                <w:lang w:val="de-DE"/>
              </w:rPr>
              <w:t>X</w:t>
            </w:r>
          </w:p>
        </w:tc>
        <w:tc>
          <w:tcPr>
            <w:tcW w:w="1620" w:type="dxa"/>
            <w:shd w:val="clear" w:color="auto" w:fill="auto"/>
            <w:noWrap/>
            <w:vAlign w:val="center"/>
          </w:tcPr>
          <w:p w14:paraId="2BE42803" w14:textId="77777777" w:rsidR="00940A9C" w:rsidRPr="00940A9C" w:rsidRDefault="00940A9C" w:rsidP="00940A9C">
            <w:pPr>
              <w:spacing w:before="40" w:after="40"/>
              <w:contextualSpacing/>
              <w:jc w:val="center"/>
              <w:rPr>
                <w:bCs/>
                <w:lang w:val="de-DE"/>
              </w:rPr>
            </w:pPr>
          </w:p>
        </w:tc>
        <w:tc>
          <w:tcPr>
            <w:tcW w:w="1215" w:type="dxa"/>
            <w:gridSpan w:val="2"/>
          </w:tcPr>
          <w:p w14:paraId="6ADFD47A" w14:textId="77777777" w:rsidR="00940A9C" w:rsidRPr="00940A9C" w:rsidRDefault="00940A9C" w:rsidP="00940A9C">
            <w:pPr>
              <w:spacing w:before="40" w:after="40"/>
              <w:contextualSpacing/>
              <w:jc w:val="center"/>
              <w:rPr>
                <w:bCs/>
                <w:lang w:val="de-DE"/>
              </w:rPr>
            </w:pPr>
          </w:p>
        </w:tc>
      </w:tr>
      <w:tr w:rsidR="00940A9C" w:rsidRPr="00940A9C" w14:paraId="24570BA5" w14:textId="77777777" w:rsidTr="006F3945">
        <w:tblPrEx>
          <w:tblLook w:val="0480" w:firstRow="0" w:lastRow="0" w:firstColumn="1" w:lastColumn="0" w:noHBand="0" w:noVBand="1"/>
        </w:tblPrEx>
        <w:tc>
          <w:tcPr>
            <w:tcW w:w="5525" w:type="dxa"/>
            <w:shd w:val="clear" w:color="auto" w:fill="auto"/>
          </w:tcPr>
          <w:p w14:paraId="6DB1F665" w14:textId="77777777" w:rsidR="00940A9C" w:rsidRPr="00940A9C" w:rsidRDefault="00940A9C" w:rsidP="00940A9C">
            <w:pPr>
              <w:spacing w:before="40" w:after="40"/>
              <w:contextualSpacing/>
              <w:rPr>
                <w:bCs/>
                <w:lang w:val="de-DE"/>
              </w:rPr>
            </w:pPr>
          </w:p>
        </w:tc>
        <w:tc>
          <w:tcPr>
            <w:tcW w:w="1366" w:type="dxa"/>
            <w:gridSpan w:val="2"/>
            <w:shd w:val="clear" w:color="auto" w:fill="auto"/>
            <w:noWrap/>
            <w:vAlign w:val="center"/>
          </w:tcPr>
          <w:p w14:paraId="5F467308" w14:textId="77777777" w:rsidR="00940A9C" w:rsidRPr="00940A9C" w:rsidRDefault="00940A9C" w:rsidP="00940A9C">
            <w:pPr>
              <w:spacing w:before="40" w:after="40"/>
              <w:contextualSpacing/>
              <w:jc w:val="center"/>
              <w:rPr>
                <w:bCs/>
                <w:lang w:val="de-DE"/>
              </w:rPr>
            </w:pPr>
          </w:p>
        </w:tc>
        <w:tc>
          <w:tcPr>
            <w:tcW w:w="5670" w:type="dxa"/>
            <w:gridSpan w:val="5"/>
            <w:shd w:val="clear" w:color="auto" w:fill="auto"/>
            <w:noWrap/>
            <w:vAlign w:val="center"/>
          </w:tcPr>
          <w:p w14:paraId="2CB7DAF1" w14:textId="77777777" w:rsidR="00940A9C" w:rsidRPr="00940A9C" w:rsidRDefault="00940A9C" w:rsidP="00940A9C">
            <w:pPr>
              <w:spacing w:before="40" w:after="40"/>
              <w:contextualSpacing/>
              <w:jc w:val="center"/>
              <w:rPr>
                <w:bCs/>
                <w:lang w:val="de-DE"/>
              </w:rPr>
            </w:pPr>
            <w:r w:rsidRPr="00940A9C">
              <w:rPr>
                <w:bCs/>
                <w:lang w:val="de-DE"/>
              </w:rPr>
              <w:t>Feuerbeständige Behälter (7.2.1.21.6)</w:t>
            </w:r>
          </w:p>
        </w:tc>
      </w:tr>
      <w:tr w:rsidR="00940A9C" w:rsidRPr="00940A9C" w14:paraId="098D4424" w14:textId="77777777" w:rsidTr="006F3945">
        <w:tblPrEx>
          <w:tblLook w:val="0480" w:firstRow="0" w:lastRow="0" w:firstColumn="1" w:lastColumn="0" w:noHBand="0" w:noVBand="1"/>
        </w:tblPrEx>
        <w:tc>
          <w:tcPr>
            <w:tcW w:w="5525" w:type="dxa"/>
            <w:shd w:val="clear" w:color="auto" w:fill="auto"/>
          </w:tcPr>
          <w:p w14:paraId="3A668658" w14:textId="77777777" w:rsidR="00940A9C" w:rsidRPr="00940A9C" w:rsidRDefault="00940A9C" w:rsidP="00940A9C">
            <w:pPr>
              <w:spacing w:before="40" w:after="40"/>
              <w:contextualSpacing/>
              <w:rPr>
                <w:bCs/>
                <w:lang w:val="de-DE"/>
              </w:rPr>
            </w:pPr>
            <w:r w:rsidRPr="00940A9C">
              <w:rPr>
                <w:bCs/>
                <w:lang w:val="de-DE"/>
              </w:rPr>
              <w:t>Restebehälter und Slopbehälter</w:t>
            </w:r>
          </w:p>
        </w:tc>
        <w:tc>
          <w:tcPr>
            <w:tcW w:w="1366" w:type="dxa"/>
            <w:gridSpan w:val="2"/>
            <w:shd w:val="clear" w:color="auto" w:fill="auto"/>
            <w:noWrap/>
            <w:vAlign w:val="center"/>
          </w:tcPr>
          <w:p w14:paraId="0A3CA9CD" w14:textId="77777777" w:rsidR="00940A9C" w:rsidRPr="00940A9C" w:rsidRDefault="00940A9C" w:rsidP="00940A9C">
            <w:pPr>
              <w:spacing w:before="40" w:after="40"/>
              <w:contextualSpacing/>
              <w:jc w:val="center"/>
              <w:rPr>
                <w:bCs/>
                <w:lang w:val="de-DE"/>
              </w:rPr>
            </w:pPr>
          </w:p>
        </w:tc>
        <w:tc>
          <w:tcPr>
            <w:tcW w:w="1276" w:type="dxa"/>
            <w:shd w:val="clear" w:color="auto" w:fill="auto"/>
            <w:noWrap/>
            <w:vAlign w:val="center"/>
          </w:tcPr>
          <w:p w14:paraId="544ACA0E" w14:textId="77777777" w:rsidR="00940A9C" w:rsidRPr="00940A9C" w:rsidRDefault="00940A9C" w:rsidP="00940A9C">
            <w:pPr>
              <w:spacing w:before="40" w:after="40"/>
              <w:contextualSpacing/>
              <w:jc w:val="center"/>
              <w:rPr>
                <w:bCs/>
                <w:lang w:val="de-DE"/>
              </w:rPr>
            </w:pPr>
            <w:r w:rsidRPr="00940A9C">
              <w:rPr>
                <w:bCs/>
                <w:lang w:val="de-DE"/>
              </w:rPr>
              <w:t>X</w:t>
            </w:r>
          </w:p>
        </w:tc>
        <w:tc>
          <w:tcPr>
            <w:tcW w:w="1559" w:type="dxa"/>
            <w:shd w:val="clear" w:color="auto" w:fill="auto"/>
            <w:noWrap/>
            <w:vAlign w:val="center"/>
          </w:tcPr>
          <w:p w14:paraId="543657D9" w14:textId="77777777" w:rsidR="00940A9C" w:rsidRPr="00940A9C" w:rsidRDefault="00940A9C" w:rsidP="00940A9C">
            <w:pPr>
              <w:spacing w:before="40" w:after="40"/>
              <w:contextualSpacing/>
              <w:jc w:val="center"/>
              <w:rPr>
                <w:bCs/>
                <w:lang w:val="de-DE"/>
              </w:rPr>
            </w:pPr>
            <w:r w:rsidRPr="00940A9C">
              <w:rPr>
                <w:bCs/>
                <w:lang w:val="de-DE"/>
              </w:rPr>
              <w:t>X</w:t>
            </w:r>
          </w:p>
        </w:tc>
        <w:tc>
          <w:tcPr>
            <w:tcW w:w="1620" w:type="dxa"/>
            <w:shd w:val="clear" w:color="auto" w:fill="auto"/>
            <w:noWrap/>
            <w:vAlign w:val="center"/>
          </w:tcPr>
          <w:p w14:paraId="43D4F4BA" w14:textId="77777777" w:rsidR="00940A9C" w:rsidRPr="00940A9C" w:rsidRDefault="00940A9C" w:rsidP="00940A9C">
            <w:pPr>
              <w:spacing w:before="40" w:after="40"/>
              <w:contextualSpacing/>
              <w:jc w:val="center"/>
              <w:rPr>
                <w:bCs/>
                <w:lang w:val="de-DE"/>
              </w:rPr>
            </w:pPr>
          </w:p>
        </w:tc>
        <w:tc>
          <w:tcPr>
            <w:tcW w:w="1215" w:type="dxa"/>
            <w:gridSpan w:val="2"/>
          </w:tcPr>
          <w:p w14:paraId="5BBD55B1" w14:textId="77777777" w:rsidR="00940A9C" w:rsidRPr="00940A9C" w:rsidRDefault="00940A9C" w:rsidP="00940A9C">
            <w:pPr>
              <w:spacing w:before="40" w:after="40"/>
              <w:contextualSpacing/>
              <w:jc w:val="center"/>
              <w:rPr>
                <w:bCs/>
                <w:lang w:val="de-DE"/>
              </w:rPr>
            </w:pPr>
          </w:p>
        </w:tc>
      </w:tr>
      <w:tr w:rsidR="00940A9C" w:rsidRPr="00ED4EA8" w14:paraId="456C296A" w14:textId="77777777" w:rsidTr="006F3945">
        <w:tblPrEx>
          <w:tblLook w:val="0480" w:firstRow="0" w:lastRow="0" w:firstColumn="1" w:lastColumn="0" w:noHBand="0" w:noVBand="1"/>
        </w:tblPrEx>
        <w:tc>
          <w:tcPr>
            <w:tcW w:w="5525" w:type="dxa"/>
            <w:shd w:val="clear" w:color="auto" w:fill="auto"/>
          </w:tcPr>
          <w:p w14:paraId="0B7BCE95" w14:textId="77777777" w:rsidR="00940A9C" w:rsidRPr="00940A9C" w:rsidRDefault="00940A9C" w:rsidP="00940A9C">
            <w:pPr>
              <w:spacing w:before="40" w:after="40"/>
              <w:contextualSpacing/>
              <w:rPr>
                <w:bCs/>
                <w:lang w:val="de-DE"/>
              </w:rPr>
            </w:pPr>
          </w:p>
        </w:tc>
        <w:tc>
          <w:tcPr>
            <w:tcW w:w="7036" w:type="dxa"/>
            <w:gridSpan w:val="7"/>
            <w:shd w:val="clear" w:color="auto" w:fill="auto"/>
            <w:noWrap/>
            <w:vAlign w:val="center"/>
          </w:tcPr>
          <w:p w14:paraId="27B0D1C5" w14:textId="77777777" w:rsidR="00940A9C" w:rsidRPr="00940A9C" w:rsidRDefault="00940A9C" w:rsidP="00940A9C">
            <w:pPr>
              <w:spacing w:before="40" w:after="40"/>
              <w:contextualSpacing/>
              <w:jc w:val="center"/>
              <w:rPr>
                <w:bCs/>
                <w:lang w:val="de-DE"/>
              </w:rPr>
            </w:pPr>
            <w:r w:rsidRPr="00940A9C">
              <w:rPr>
                <w:bCs/>
                <w:lang w:val="de-DE"/>
              </w:rPr>
              <w:t>Unter Beachtung des ADR, RID oder IMDG-Codes hinsichtlich der Zulassungsbedingungen von Werkstoffen</w:t>
            </w:r>
          </w:p>
        </w:tc>
      </w:tr>
      <w:tr w:rsidR="00940A9C" w:rsidRPr="00940A9C" w14:paraId="65CE16FF" w14:textId="77777777" w:rsidTr="006F3945">
        <w:tblPrEx>
          <w:tblLook w:val="0480" w:firstRow="0" w:lastRow="0" w:firstColumn="1" w:lastColumn="0" w:noHBand="0" w:noVBand="1"/>
        </w:tblPrEx>
        <w:tc>
          <w:tcPr>
            <w:tcW w:w="5525" w:type="dxa"/>
            <w:vMerge w:val="restart"/>
            <w:shd w:val="clear" w:color="auto" w:fill="auto"/>
          </w:tcPr>
          <w:p w14:paraId="617D9FD9" w14:textId="77777777" w:rsidR="00940A9C" w:rsidRPr="00940A9C" w:rsidRDefault="00940A9C" w:rsidP="00940A9C">
            <w:pPr>
              <w:spacing w:before="40" w:after="40"/>
              <w:contextualSpacing/>
              <w:rPr>
                <w:bCs/>
                <w:lang w:val="de-DE"/>
              </w:rPr>
            </w:pPr>
            <w:r w:rsidRPr="00940A9C">
              <w:rPr>
                <w:bCs/>
                <w:lang w:val="de-DE"/>
              </w:rPr>
              <w:t>Probeflaschen</w:t>
            </w:r>
          </w:p>
        </w:tc>
        <w:tc>
          <w:tcPr>
            <w:tcW w:w="1366" w:type="dxa"/>
            <w:gridSpan w:val="2"/>
            <w:shd w:val="clear" w:color="auto" w:fill="auto"/>
            <w:noWrap/>
            <w:vAlign w:val="center"/>
          </w:tcPr>
          <w:p w14:paraId="2B6A2798" w14:textId="77777777" w:rsidR="00940A9C" w:rsidRPr="00940A9C" w:rsidRDefault="00940A9C" w:rsidP="00940A9C">
            <w:pPr>
              <w:spacing w:before="40" w:after="40"/>
              <w:contextualSpacing/>
              <w:jc w:val="center"/>
              <w:rPr>
                <w:bCs/>
                <w:lang w:val="de-DE"/>
              </w:rPr>
            </w:pPr>
          </w:p>
        </w:tc>
        <w:tc>
          <w:tcPr>
            <w:tcW w:w="1276" w:type="dxa"/>
            <w:shd w:val="clear" w:color="auto" w:fill="auto"/>
            <w:noWrap/>
            <w:vAlign w:val="center"/>
          </w:tcPr>
          <w:p w14:paraId="227DAAF1" w14:textId="77777777" w:rsidR="00940A9C" w:rsidRPr="00940A9C" w:rsidRDefault="00940A9C" w:rsidP="00940A9C">
            <w:pPr>
              <w:spacing w:before="40" w:after="40"/>
              <w:contextualSpacing/>
              <w:jc w:val="center"/>
              <w:rPr>
                <w:bCs/>
                <w:lang w:val="de-DE"/>
              </w:rPr>
            </w:pPr>
          </w:p>
        </w:tc>
        <w:tc>
          <w:tcPr>
            <w:tcW w:w="1559" w:type="dxa"/>
            <w:shd w:val="clear" w:color="auto" w:fill="auto"/>
            <w:noWrap/>
            <w:vAlign w:val="center"/>
          </w:tcPr>
          <w:p w14:paraId="4A13A648" w14:textId="77777777" w:rsidR="00940A9C" w:rsidRPr="00940A9C" w:rsidRDefault="00940A9C" w:rsidP="00940A9C">
            <w:pPr>
              <w:spacing w:before="40" w:after="40"/>
              <w:contextualSpacing/>
              <w:jc w:val="center"/>
              <w:rPr>
                <w:bCs/>
                <w:lang w:val="de-DE"/>
              </w:rPr>
            </w:pPr>
            <w:r w:rsidRPr="00940A9C">
              <w:rPr>
                <w:bCs/>
                <w:lang w:val="de-DE"/>
              </w:rPr>
              <w:t>X</w:t>
            </w:r>
          </w:p>
        </w:tc>
        <w:tc>
          <w:tcPr>
            <w:tcW w:w="1620" w:type="dxa"/>
            <w:shd w:val="clear" w:color="auto" w:fill="auto"/>
            <w:noWrap/>
            <w:vAlign w:val="center"/>
          </w:tcPr>
          <w:p w14:paraId="6EDF03FA" w14:textId="77777777" w:rsidR="00940A9C" w:rsidRPr="00940A9C" w:rsidRDefault="00940A9C" w:rsidP="00940A9C">
            <w:pPr>
              <w:spacing w:before="40" w:after="40"/>
              <w:contextualSpacing/>
              <w:jc w:val="center"/>
              <w:rPr>
                <w:bCs/>
                <w:lang w:val="de-DE"/>
              </w:rPr>
            </w:pPr>
          </w:p>
        </w:tc>
        <w:tc>
          <w:tcPr>
            <w:tcW w:w="1215" w:type="dxa"/>
            <w:gridSpan w:val="2"/>
          </w:tcPr>
          <w:p w14:paraId="7CA87644" w14:textId="77777777" w:rsidR="00940A9C" w:rsidRPr="00940A9C" w:rsidRDefault="00940A9C" w:rsidP="00940A9C">
            <w:pPr>
              <w:spacing w:before="40" w:after="40"/>
              <w:contextualSpacing/>
              <w:jc w:val="center"/>
              <w:rPr>
                <w:bCs/>
                <w:lang w:val="de-DE"/>
              </w:rPr>
            </w:pPr>
            <w:r w:rsidRPr="00940A9C">
              <w:rPr>
                <w:bCs/>
                <w:lang w:val="de-DE"/>
              </w:rPr>
              <w:t>X</w:t>
            </w:r>
          </w:p>
        </w:tc>
      </w:tr>
      <w:tr w:rsidR="00940A9C" w:rsidRPr="00ED4EA8" w14:paraId="05B4FE2A" w14:textId="77777777" w:rsidTr="006F3945">
        <w:tblPrEx>
          <w:tblLook w:val="0480" w:firstRow="0" w:lastRow="0" w:firstColumn="1" w:lastColumn="0" w:noHBand="0" w:noVBand="1"/>
        </w:tblPrEx>
        <w:tc>
          <w:tcPr>
            <w:tcW w:w="5525" w:type="dxa"/>
            <w:vMerge/>
            <w:shd w:val="clear" w:color="auto" w:fill="auto"/>
            <w:vAlign w:val="bottom"/>
          </w:tcPr>
          <w:p w14:paraId="2E551E10" w14:textId="77777777" w:rsidR="00940A9C" w:rsidRPr="00940A9C" w:rsidRDefault="00940A9C" w:rsidP="00940A9C">
            <w:pPr>
              <w:spacing w:before="40" w:after="40"/>
              <w:contextualSpacing/>
              <w:rPr>
                <w:bCs/>
                <w:lang w:val="de-DE"/>
              </w:rPr>
            </w:pPr>
          </w:p>
        </w:tc>
        <w:tc>
          <w:tcPr>
            <w:tcW w:w="7036" w:type="dxa"/>
            <w:gridSpan w:val="7"/>
            <w:shd w:val="clear" w:color="auto" w:fill="auto"/>
            <w:noWrap/>
            <w:vAlign w:val="center"/>
          </w:tcPr>
          <w:p w14:paraId="126F1518" w14:textId="77777777" w:rsidR="00940A9C" w:rsidRPr="00940A9C" w:rsidRDefault="00940A9C" w:rsidP="00940A9C">
            <w:pPr>
              <w:spacing w:before="40" w:after="40"/>
              <w:contextualSpacing/>
              <w:jc w:val="center"/>
              <w:rPr>
                <w:bCs/>
                <w:lang w:val="de-DE"/>
              </w:rPr>
            </w:pPr>
            <w:r w:rsidRPr="00940A9C">
              <w:rPr>
                <w:bCs/>
                <w:lang w:val="de-DE"/>
              </w:rPr>
              <w:t>Unter Beachtung des ADR hinsichtlich der Zulassungsbedingungen von Werkstoffen</w:t>
            </w:r>
          </w:p>
          <w:p w14:paraId="4A8905EC" w14:textId="77777777" w:rsidR="00940A9C" w:rsidRPr="00940A9C" w:rsidRDefault="00940A9C" w:rsidP="00940A9C">
            <w:pPr>
              <w:spacing w:before="40" w:after="40"/>
              <w:contextualSpacing/>
              <w:jc w:val="center"/>
              <w:rPr>
                <w:bCs/>
                <w:lang w:val="de-DE"/>
              </w:rPr>
            </w:pPr>
          </w:p>
        </w:tc>
      </w:tr>
      <w:tr w:rsidR="00940A9C" w:rsidRPr="00940A9C" w14:paraId="426C5A4E" w14:textId="77777777" w:rsidTr="006F3945">
        <w:tblPrEx>
          <w:tblLook w:val="0480" w:firstRow="0" w:lastRow="0" w:firstColumn="1" w:lastColumn="0" w:noHBand="0" w:noVBand="1"/>
        </w:tblPrEx>
        <w:tc>
          <w:tcPr>
            <w:tcW w:w="5525" w:type="dxa"/>
            <w:shd w:val="clear" w:color="auto" w:fill="auto"/>
            <w:vAlign w:val="bottom"/>
          </w:tcPr>
          <w:p w14:paraId="0B87330E" w14:textId="77777777" w:rsidR="00940A9C" w:rsidRPr="00940A9C" w:rsidRDefault="00940A9C" w:rsidP="00940A9C">
            <w:pPr>
              <w:spacing w:before="40" w:after="40"/>
              <w:contextualSpacing/>
              <w:rPr>
                <w:bCs/>
                <w:lang w:val="de-DE"/>
              </w:rPr>
            </w:pPr>
            <w:r w:rsidRPr="00940A9C">
              <w:rPr>
                <w:bCs/>
                <w:lang w:val="de-DE"/>
              </w:rPr>
              <w:t>Fotooptische Kopien des gesamten Zulassungszeugnisses nach 8.1.2.6 oder 8.1.2.7 sowie des Schiffszeugnisses, des Eichscheins und andere anwendbare Dokumente</w:t>
            </w:r>
            <w:r w:rsidRPr="00940A9C">
              <w:rPr>
                <w:bCs/>
                <w:sz w:val="18"/>
                <w:vertAlign w:val="superscript"/>
                <w:lang w:val="en-US"/>
              </w:rPr>
              <w:footnoteReference w:id="4"/>
            </w:r>
          </w:p>
        </w:tc>
        <w:tc>
          <w:tcPr>
            <w:tcW w:w="1366" w:type="dxa"/>
            <w:gridSpan w:val="2"/>
            <w:shd w:val="clear" w:color="auto" w:fill="auto"/>
            <w:noWrap/>
            <w:vAlign w:val="center"/>
          </w:tcPr>
          <w:p w14:paraId="5CBE507D" w14:textId="77777777" w:rsidR="00940A9C" w:rsidRPr="00940A9C" w:rsidRDefault="00940A9C" w:rsidP="00940A9C">
            <w:pPr>
              <w:spacing w:before="40" w:after="40"/>
              <w:contextualSpacing/>
              <w:jc w:val="center"/>
              <w:rPr>
                <w:bCs/>
                <w:lang w:val="de-DE"/>
              </w:rPr>
            </w:pPr>
          </w:p>
        </w:tc>
        <w:tc>
          <w:tcPr>
            <w:tcW w:w="1276" w:type="dxa"/>
            <w:shd w:val="clear" w:color="auto" w:fill="auto"/>
            <w:noWrap/>
            <w:vAlign w:val="center"/>
          </w:tcPr>
          <w:p w14:paraId="0C22B24A" w14:textId="77777777" w:rsidR="00940A9C" w:rsidRPr="00940A9C" w:rsidRDefault="00940A9C" w:rsidP="00940A9C">
            <w:pPr>
              <w:spacing w:before="40" w:after="40"/>
              <w:contextualSpacing/>
              <w:jc w:val="center"/>
              <w:rPr>
                <w:bCs/>
                <w:lang w:val="de-DE"/>
              </w:rPr>
            </w:pPr>
            <w:r w:rsidRPr="00940A9C">
              <w:rPr>
                <w:bCs/>
                <w:lang w:val="de-DE"/>
              </w:rPr>
              <w:t>X</w:t>
            </w:r>
          </w:p>
        </w:tc>
        <w:tc>
          <w:tcPr>
            <w:tcW w:w="1559" w:type="dxa"/>
            <w:shd w:val="clear" w:color="auto" w:fill="auto"/>
            <w:noWrap/>
            <w:vAlign w:val="center"/>
          </w:tcPr>
          <w:p w14:paraId="2A1E836C" w14:textId="77777777" w:rsidR="00940A9C" w:rsidRPr="00940A9C" w:rsidRDefault="00940A9C" w:rsidP="00940A9C">
            <w:pPr>
              <w:spacing w:before="40" w:after="40"/>
              <w:contextualSpacing/>
              <w:jc w:val="center"/>
              <w:rPr>
                <w:bCs/>
                <w:lang w:val="de-DE"/>
              </w:rPr>
            </w:pPr>
            <w:r w:rsidRPr="00940A9C">
              <w:rPr>
                <w:bCs/>
                <w:lang w:val="de-DE"/>
              </w:rPr>
              <w:t>X</w:t>
            </w:r>
          </w:p>
        </w:tc>
        <w:tc>
          <w:tcPr>
            <w:tcW w:w="1762" w:type="dxa"/>
            <w:gridSpan w:val="2"/>
            <w:shd w:val="clear" w:color="auto" w:fill="auto"/>
            <w:noWrap/>
            <w:vAlign w:val="center"/>
          </w:tcPr>
          <w:p w14:paraId="6FA48519" w14:textId="77777777" w:rsidR="00940A9C" w:rsidRPr="00940A9C" w:rsidRDefault="00940A9C" w:rsidP="00940A9C">
            <w:pPr>
              <w:spacing w:before="40" w:after="40"/>
              <w:contextualSpacing/>
              <w:jc w:val="center"/>
              <w:rPr>
                <w:bCs/>
                <w:lang w:val="de-DE"/>
              </w:rPr>
            </w:pPr>
          </w:p>
        </w:tc>
        <w:tc>
          <w:tcPr>
            <w:tcW w:w="1073" w:type="dxa"/>
          </w:tcPr>
          <w:p w14:paraId="1592F922" w14:textId="77777777" w:rsidR="00940A9C" w:rsidRPr="00940A9C" w:rsidRDefault="00940A9C" w:rsidP="00940A9C">
            <w:pPr>
              <w:spacing w:before="40" w:after="40"/>
              <w:contextualSpacing/>
              <w:jc w:val="center"/>
              <w:rPr>
                <w:bCs/>
                <w:lang w:val="de-DE"/>
              </w:rPr>
            </w:pPr>
          </w:p>
        </w:tc>
      </w:tr>
      <w:tr w:rsidR="00940A9C" w:rsidRPr="00940A9C" w14:paraId="31EAFE8B" w14:textId="77777777" w:rsidTr="006F3945">
        <w:tblPrEx>
          <w:tblLook w:val="0480" w:firstRow="0" w:lastRow="0" w:firstColumn="1" w:lastColumn="0" w:noHBand="0" w:noVBand="1"/>
        </w:tblPrEx>
        <w:tc>
          <w:tcPr>
            <w:tcW w:w="5525" w:type="dxa"/>
            <w:shd w:val="clear" w:color="auto" w:fill="auto"/>
            <w:vAlign w:val="bottom"/>
          </w:tcPr>
          <w:p w14:paraId="51D12AB7" w14:textId="77777777" w:rsidR="00940A9C" w:rsidRPr="00940A9C" w:rsidRDefault="00940A9C" w:rsidP="00940A9C">
            <w:pPr>
              <w:spacing w:before="40" w:after="40"/>
              <w:contextualSpacing/>
              <w:rPr>
                <w:bCs/>
                <w:lang w:val="de-DE"/>
              </w:rPr>
            </w:pPr>
            <w:r w:rsidRPr="00940A9C">
              <w:rPr>
                <w:bCs/>
                <w:lang w:val="de-DE"/>
              </w:rPr>
              <w:t>Aluminiumkorb zur Aufbewahrung von Drähten/Tauen zum Festmachen</w:t>
            </w:r>
          </w:p>
        </w:tc>
        <w:tc>
          <w:tcPr>
            <w:tcW w:w="1366" w:type="dxa"/>
            <w:gridSpan w:val="2"/>
            <w:shd w:val="clear" w:color="auto" w:fill="auto"/>
            <w:noWrap/>
            <w:vAlign w:val="center"/>
          </w:tcPr>
          <w:p w14:paraId="60609A27" w14:textId="77777777" w:rsidR="00940A9C" w:rsidRPr="00940A9C" w:rsidRDefault="00940A9C" w:rsidP="00940A9C">
            <w:pPr>
              <w:spacing w:before="40" w:after="40"/>
              <w:contextualSpacing/>
              <w:jc w:val="center"/>
              <w:rPr>
                <w:bCs/>
                <w:lang w:val="de-DE"/>
              </w:rPr>
            </w:pPr>
          </w:p>
        </w:tc>
        <w:tc>
          <w:tcPr>
            <w:tcW w:w="1276" w:type="dxa"/>
            <w:shd w:val="clear" w:color="auto" w:fill="auto"/>
            <w:noWrap/>
            <w:vAlign w:val="center"/>
          </w:tcPr>
          <w:p w14:paraId="7506A4AE" w14:textId="77777777" w:rsidR="00940A9C" w:rsidRPr="00940A9C" w:rsidRDefault="00940A9C" w:rsidP="00940A9C">
            <w:pPr>
              <w:spacing w:before="40" w:after="40"/>
              <w:contextualSpacing/>
              <w:jc w:val="center"/>
              <w:rPr>
                <w:bCs/>
                <w:lang w:val="de-DE"/>
              </w:rPr>
            </w:pPr>
            <w:r w:rsidRPr="00940A9C">
              <w:rPr>
                <w:bCs/>
                <w:lang w:val="de-DE"/>
              </w:rPr>
              <w:t>X</w:t>
            </w:r>
          </w:p>
        </w:tc>
        <w:tc>
          <w:tcPr>
            <w:tcW w:w="1559" w:type="dxa"/>
            <w:shd w:val="clear" w:color="auto" w:fill="auto"/>
            <w:noWrap/>
            <w:vAlign w:val="center"/>
          </w:tcPr>
          <w:p w14:paraId="1AE8913D" w14:textId="77777777" w:rsidR="00940A9C" w:rsidRPr="00940A9C" w:rsidRDefault="00940A9C" w:rsidP="00940A9C">
            <w:pPr>
              <w:spacing w:before="40" w:after="40"/>
              <w:contextualSpacing/>
              <w:jc w:val="center"/>
              <w:rPr>
                <w:bCs/>
                <w:lang w:val="de-DE"/>
              </w:rPr>
            </w:pPr>
          </w:p>
        </w:tc>
        <w:tc>
          <w:tcPr>
            <w:tcW w:w="1762" w:type="dxa"/>
            <w:gridSpan w:val="2"/>
            <w:shd w:val="clear" w:color="auto" w:fill="auto"/>
            <w:noWrap/>
            <w:vAlign w:val="center"/>
          </w:tcPr>
          <w:p w14:paraId="67188588" w14:textId="77777777" w:rsidR="00940A9C" w:rsidRPr="00940A9C" w:rsidRDefault="00940A9C" w:rsidP="00940A9C">
            <w:pPr>
              <w:spacing w:before="40" w:after="40"/>
              <w:contextualSpacing/>
              <w:jc w:val="center"/>
              <w:rPr>
                <w:bCs/>
                <w:lang w:val="de-DE"/>
              </w:rPr>
            </w:pPr>
          </w:p>
        </w:tc>
        <w:tc>
          <w:tcPr>
            <w:tcW w:w="1073" w:type="dxa"/>
          </w:tcPr>
          <w:p w14:paraId="32C7B156" w14:textId="77777777" w:rsidR="00940A9C" w:rsidRPr="00940A9C" w:rsidRDefault="00940A9C" w:rsidP="00940A9C">
            <w:pPr>
              <w:spacing w:before="40" w:after="40"/>
              <w:contextualSpacing/>
              <w:jc w:val="center"/>
              <w:rPr>
                <w:bCs/>
                <w:lang w:val="de-DE"/>
              </w:rPr>
            </w:pPr>
          </w:p>
        </w:tc>
      </w:tr>
      <w:tr w:rsidR="00940A9C" w:rsidRPr="00940A9C" w14:paraId="3A6675F9" w14:textId="77777777" w:rsidTr="006F3945">
        <w:tblPrEx>
          <w:tblLook w:val="0480" w:firstRow="0" w:lastRow="0" w:firstColumn="1" w:lastColumn="0" w:noHBand="0" w:noVBand="1"/>
        </w:tblPrEx>
        <w:tc>
          <w:tcPr>
            <w:tcW w:w="5525" w:type="dxa"/>
            <w:shd w:val="clear" w:color="auto" w:fill="auto"/>
            <w:vAlign w:val="bottom"/>
          </w:tcPr>
          <w:p w14:paraId="1F33ED38" w14:textId="77777777" w:rsidR="00940A9C" w:rsidRPr="00940A9C" w:rsidRDefault="00940A9C" w:rsidP="00940A9C">
            <w:pPr>
              <w:spacing w:before="40" w:after="40"/>
              <w:contextualSpacing/>
              <w:rPr>
                <w:bCs/>
                <w:lang w:val="de-DE"/>
              </w:rPr>
            </w:pPr>
            <w:r w:rsidRPr="00940A9C">
              <w:rPr>
                <w:bCs/>
                <w:lang w:val="de-DE"/>
              </w:rPr>
              <w:t>Bootshaken</w:t>
            </w:r>
          </w:p>
        </w:tc>
        <w:tc>
          <w:tcPr>
            <w:tcW w:w="1366" w:type="dxa"/>
            <w:gridSpan w:val="2"/>
            <w:shd w:val="clear" w:color="auto" w:fill="auto"/>
            <w:noWrap/>
            <w:vAlign w:val="center"/>
          </w:tcPr>
          <w:p w14:paraId="26204534" w14:textId="77777777" w:rsidR="00940A9C" w:rsidRPr="00940A9C" w:rsidRDefault="00940A9C" w:rsidP="00940A9C">
            <w:pPr>
              <w:spacing w:before="40" w:after="40"/>
              <w:contextualSpacing/>
              <w:jc w:val="center"/>
              <w:rPr>
                <w:bCs/>
                <w:lang w:val="de-DE"/>
              </w:rPr>
            </w:pPr>
            <w:r w:rsidRPr="00940A9C">
              <w:rPr>
                <w:bCs/>
                <w:lang w:val="de-DE"/>
              </w:rPr>
              <w:t>X</w:t>
            </w:r>
          </w:p>
        </w:tc>
        <w:tc>
          <w:tcPr>
            <w:tcW w:w="1276" w:type="dxa"/>
            <w:shd w:val="clear" w:color="auto" w:fill="auto"/>
            <w:noWrap/>
            <w:vAlign w:val="center"/>
          </w:tcPr>
          <w:p w14:paraId="3F0B96C9" w14:textId="77777777" w:rsidR="00940A9C" w:rsidRPr="00940A9C" w:rsidRDefault="00940A9C" w:rsidP="00940A9C">
            <w:pPr>
              <w:spacing w:before="40" w:after="40"/>
              <w:contextualSpacing/>
              <w:jc w:val="center"/>
              <w:rPr>
                <w:bCs/>
                <w:lang w:val="de-DE"/>
              </w:rPr>
            </w:pPr>
            <w:r w:rsidRPr="00940A9C">
              <w:rPr>
                <w:bCs/>
                <w:lang w:val="de-DE"/>
              </w:rPr>
              <w:t>X</w:t>
            </w:r>
          </w:p>
        </w:tc>
        <w:tc>
          <w:tcPr>
            <w:tcW w:w="1559" w:type="dxa"/>
            <w:shd w:val="clear" w:color="auto" w:fill="auto"/>
            <w:noWrap/>
            <w:vAlign w:val="center"/>
          </w:tcPr>
          <w:p w14:paraId="3AA46E05" w14:textId="77777777" w:rsidR="00940A9C" w:rsidRPr="00940A9C" w:rsidRDefault="00940A9C" w:rsidP="00940A9C">
            <w:pPr>
              <w:spacing w:before="40" w:after="40"/>
              <w:contextualSpacing/>
              <w:jc w:val="center"/>
              <w:rPr>
                <w:bCs/>
                <w:lang w:val="de-DE"/>
              </w:rPr>
            </w:pPr>
            <w:r w:rsidRPr="00940A9C">
              <w:rPr>
                <w:bCs/>
                <w:lang w:val="de-DE"/>
              </w:rPr>
              <w:t>X</w:t>
            </w:r>
          </w:p>
        </w:tc>
        <w:tc>
          <w:tcPr>
            <w:tcW w:w="1762" w:type="dxa"/>
            <w:gridSpan w:val="2"/>
            <w:shd w:val="clear" w:color="auto" w:fill="auto"/>
            <w:noWrap/>
            <w:vAlign w:val="center"/>
          </w:tcPr>
          <w:p w14:paraId="511D76DA" w14:textId="77777777" w:rsidR="00940A9C" w:rsidRPr="00940A9C" w:rsidRDefault="00940A9C" w:rsidP="00940A9C">
            <w:pPr>
              <w:spacing w:before="40" w:after="40"/>
              <w:contextualSpacing/>
              <w:jc w:val="center"/>
              <w:rPr>
                <w:bCs/>
                <w:lang w:val="de-DE"/>
              </w:rPr>
            </w:pPr>
          </w:p>
        </w:tc>
        <w:tc>
          <w:tcPr>
            <w:tcW w:w="1073" w:type="dxa"/>
          </w:tcPr>
          <w:p w14:paraId="72657C82" w14:textId="77777777" w:rsidR="00940A9C" w:rsidRPr="00940A9C" w:rsidRDefault="00940A9C" w:rsidP="00940A9C">
            <w:pPr>
              <w:spacing w:before="40" w:after="40"/>
              <w:contextualSpacing/>
              <w:jc w:val="center"/>
              <w:rPr>
                <w:bCs/>
                <w:lang w:val="de-DE"/>
              </w:rPr>
            </w:pPr>
          </w:p>
        </w:tc>
      </w:tr>
      <w:tr w:rsidR="00940A9C" w:rsidRPr="00940A9C" w14:paraId="7D52BFC4" w14:textId="77777777" w:rsidTr="006A19D4">
        <w:tblPrEx>
          <w:tblLook w:val="0480" w:firstRow="0" w:lastRow="0" w:firstColumn="1" w:lastColumn="0" w:noHBand="0" w:noVBand="1"/>
        </w:tblPrEx>
        <w:tc>
          <w:tcPr>
            <w:tcW w:w="5525" w:type="dxa"/>
            <w:vMerge w:val="restart"/>
            <w:shd w:val="clear" w:color="auto" w:fill="auto"/>
            <w:vAlign w:val="bottom"/>
          </w:tcPr>
          <w:p w14:paraId="07C896EB" w14:textId="77777777" w:rsidR="00940A9C" w:rsidRPr="00940A9C" w:rsidRDefault="00940A9C" w:rsidP="00940A9C">
            <w:pPr>
              <w:spacing w:before="40" w:after="40"/>
              <w:contextualSpacing/>
              <w:rPr>
                <w:bCs/>
                <w:lang w:val="de-DE"/>
              </w:rPr>
            </w:pPr>
            <w:r w:rsidRPr="00940A9C">
              <w:rPr>
                <w:bCs/>
                <w:lang w:val="de-DE"/>
              </w:rPr>
              <w:t>Beiboot</w:t>
            </w:r>
          </w:p>
          <w:p w14:paraId="35527775" w14:textId="77777777" w:rsidR="00940A9C" w:rsidRPr="00940A9C" w:rsidRDefault="00940A9C" w:rsidP="00940A9C">
            <w:pPr>
              <w:spacing w:before="40" w:after="40"/>
              <w:contextualSpacing/>
              <w:rPr>
                <w:bCs/>
                <w:lang w:val="de-DE"/>
              </w:rPr>
            </w:pPr>
            <w:r w:rsidRPr="00940A9C">
              <w:rPr>
                <w:bCs/>
                <w:lang w:val="de-DE"/>
              </w:rPr>
              <w:t>(Im Falle von 7.2.3.29.1 und 7.2.3.31.1 im Bereich der Ladung zulässig)</w:t>
            </w:r>
          </w:p>
        </w:tc>
        <w:tc>
          <w:tcPr>
            <w:tcW w:w="1366" w:type="dxa"/>
            <w:gridSpan w:val="2"/>
            <w:shd w:val="clear" w:color="auto" w:fill="auto"/>
            <w:noWrap/>
            <w:vAlign w:val="center"/>
          </w:tcPr>
          <w:p w14:paraId="37BDA549" w14:textId="77777777" w:rsidR="00940A9C" w:rsidRPr="00940A9C" w:rsidRDefault="00940A9C" w:rsidP="00940A9C">
            <w:pPr>
              <w:spacing w:before="40" w:after="40"/>
              <w:contextualSpacing/>
              <w:jc w:val="center"/>
              <w:rPr>
                <w:bCs/>
                <w:lang w:val="de-DE"/>
              </w:rPr>
            </w:pPr>
          </w:p>
        </w:tc>
        <w:tc>
          <w:tcPr>
            <w:tcW w:w="1276" w:type="dxa"/>
            <w:shd w:val="clear" w:color="auto" w:fill="auto"/>
            <w:noWrap/>
            <w:vAlign w:val="center"/>
          </w:tcPr>
          <w:p w14:paraId="017ABCF0" w14:textId="77777777" w:rsidR="00940A9C" w:rsidRPr="00940A9C" w:rsidRDefault="00940A9C" w:rsidP="00940A9C">
            <w:pPr>
              <w:spacing w:before="40" w:after="40"/>
              <w:contextualSpacing/>
              <w:jc w:val="center"/>
              <w:rPr>
                <w:bCs/>
                <w:lang w:val="de-DE"/>
              </w:rPr>
            </w:pPr>
            <w:r w:rsidRPr="00940A9C">
              <w:rPr>
                <w:bCs/>
                <w:lang w:val="de-DE"/>
              </w:rPr>
              <w:t>X</w:t>
            </w:r>
          </w:p>
        </w:tc>
        <w:tc>
          <w:tcPr>
            <w:tcW w:w="1559" w:type="dxa"/>
            <w:shd w:val="clear" w:color="auto" w:fill="auto"/>
            <w:noWrap/>
            <w:vAlign w:val="center"/>
          </w:tcPr>
          <w:p w14:paraId="5CAEE760" w14:textId="77777777" w:rsidR="00940A9C" w:rsidRPr="00940A9C" w:rsidRDefault="00940A9C" w:rsidP="00940A9C">
            <w:pPr>
              <w:spacing w:before="40" w:after="40"/>
              <w:contextualSpacing/>
              <w:jc w:val="center"/>
              <w:rPr>
                <w:bCs/>
                <w:lang w:val="de-DE"/>
              </w:rPr>
            </w:pPr>
            <w:r w:rsidRPr="00940A9C">
              <w:rPr>
                <w:bCs/>
                <w:lang w:val="de-DE"/>
              </w:rPr>
              <w:t>X</w:t>
            </w:r>
          </w:p>
        </w:tc>
        <w:tc>
          <w:tcPr>
            <w:tcW w:w="1762" w:type="dxa"/>
            <w:gridSpan w:val="2"/>
            <w:shd w:val="clear" w:color="auto" w:fill="auto"/>
            <w:noWrap/>
            <w:vAlign w:val="center"/>
          </w:tcPr>
          <w:p w14:paraId="3CEF43D0" w14:textId="77777777" w:rsidR="00940A9C" w:rsidRPr="00940A9C" w:rsidRDefault="00940A9C" w:rsidP="00940A9C">
            <w:pPr>
              <w:spacing w:before="40" w:after="40"/>
              <w:contextualSpacing/>
              <w:jc w:val="center"/>
              <w:rPr>
                <w:bCs/>
                <w:lang w:val="de-DE"/>
              </w:rPr>
            </w:pPr>
          </w:p>
        </w:tc>
        <w:tc>
          <w:tcPr>
            <w:tcW w:w="1073" w:type="dxa"/>
            <w:shd w:val="clear" w:color="auto" w:fill="auto"/>
          </w:tcPr>
          <w:p w14:paraId="4209641F" w14:textId="77777777" w:rsidR="00940A9C" w:rsidRPr="00940A9C" w:rsidRDefault="00940A9C" w:rsidP="00940A9C">
            <w:pPr>
              <w:spacing w:before="40" w:after="40"/>
              <w:contextualSpacing/>
              <w:jc w:val="center"/>
              <w:rPr>
                <w:bCs/>
                <w:lang w:val="de-DE"/>
              </w:rPr>
            </w:pPr>
          </w:p>
        </w:tc>
      </w:tr>
      <w:tr w:rsidR="00940A9C" w:rsidRPr="00ED4EA8" w14:paraId="613CD6CB" w14:textId="77777777" w:rsidTr="006A19D4">
        <w:tblPrEx>
          <w:tblLook w:val="0480" w:firstRow="0" w:lastRow="0" w:firstColumn="1" w:lastColumn="0" w:noHBand="0" w:noVBand="1"/>
        </w:tblPrEx>
        <w:tc>
          <w:tcPr>
            <w:tcW w:w="5525" w:type="dxa"/>
            <w:vMerge/>
            <w:shd w:val="clear" w:color="auto" w:fill="auto"/>
            <w:vAlign w:val="bottom"/>
          </w:tcPr>
          <w:p w14:paraId="6A93BF7B" w14:textId="77777777" w:rsidR="00940A9C" w:rsidRPr="00940A9C" w:rsidRDefault="00940A9C" w:rsidP="00940A9C">
            <w:pPr>
              <w:spacing w:before="40" w:after="40"/>
              <w:contextualSpacing/>
              <w:rPr>
                <w:bCs/>
                <w:lang w:val="de-DE"/>
              </w:rPr>
            </w:pPr>
          </w:p>
        </w:tc>
        <w:tc>
          <w:tcPr>
            <w:tcW w:w="7036" w:type="dxa"/>
            <w:gridSpan w:val="7"/>
            <w:shd w:val="clear" w:color="auto" w:fill="auto"/>
            <w:noWrap/>
            <w:vAlign w:val="center"/>
          </w:tcPr>
          <w:p w14:paraId="4125C67F" w14:textId="77777777" w:rsidR="00940A9C" w:rsidRPr="00940A9C" w:rsidRDefault="00940A9C" w:rsidP="00940A9C">
            <w:pPr>
              <w:spacing w:before="40" w:after="40"/>
              <w:contextualSpacing/>
              <w:jc w:val="center"/>
              <w:rPr>
                <w:bCs/>
                <w:lang w:val="de-DE"/>
              </w:rPr>
            </w:pPr>
            <w:r w:rsidRPr="00940A9C">
              <w:rPr>
                <w:bCs/>
                <w:lang w:val="de-DE"/>
              </w:rPr>
              <w:t>Nur wenn der Werkstoff nicht schwer entflammbar sein soll</w:t>
            </w:r>
          </w:p>
        </w:tc>
      </w:tr>
    </w:tbl>
    <w:p w14:paraId="76090FB8" w14:textId="77777777" w:rsidR="00940A9C" w:rsidRPr="00940A9C" w:rsidRDefault="00940A9C" w:rsidP="00940A9C">
      <w:pPr>
        <w:rPr>
          <w:rFonts w:asciiTheme="majorBidi" w:hAnsiTheme="majorBidi" w:cstheme="majorBidi"/>
          <w:bCs/>
          <w:lang w:val="de-DE"/>
        </w:rPr>
      </w:pPr>
      <w:bookmarkStart w:id="113" w:name="_Hlk84844717"/>
    </w:p>
    <w:p w14:paraId="54AD0E36" w14:textId="77777777" w:rsidR="00940A9C" w:rsidRPr="00940A9C" w:rsidRDefault="00940A9C" w:rsidP="00940A9C">
      <w:pPr>
        <w:spacing w:before="240" w:after="120"/>
        <w:ind w:left="1134" w:right="1134"/>
        <w:jc w:val="both"/>
        <w:rPr>
          <w:i/>
          <w:lang w:val="de-DE"/>
        </w:rPr>
      </w:pPr>
      <w:r w:rsidRPr="00940A9C">
        <w:rPr>
          <w:i/>
          <w:lang w:val="de-DE"/>
        </w:rPr>
        <w:t>(Referenzdokument: ECE/TRANS/WP.15/AC.2/2021/30, wie geändert)</w:t>
      </w:r>
    </w:p>
    <w:p w14:paraId="0E071DF0" w14:textId="77777777" w:rsidR="00940A9C" w:rsidRPr="00940A9C" w:rsidRDefault="00940A9C" w:rsidP="00940A9C">
      <w:pPr>
        <w:spacing w:before="120" w:after="120"/>
        <w:ind w:left="1134" w:right="1134"/>
        <w:jc w:val="both"/>
        <w:rPr>
          <w:rFonts w:asciiTheme="majorBidi" w:hAnsiTheme="majorBidi" w:cstheme="majorBidi"/>
          <w:bCs/>
          <w:lang w:val="de-DE"/>
        </w:rPr>
      </w:pPr>
    </w:p>
    <w:bookmarkEnd w:id="113"/>
    <w:p w14:paraId="42143E61" w14:textId="77777777" w:rsidR="00940A9C" w:rsidRPr="00940A9C" w:rsidRDefault="00940A9C" w:rsidP="00940A9C">
      <w:pPr>
        <w:spacing w:before="120" w:after="120"/>
        <w:ind w:left="1134" w:right="1134"/>
        <w:jc w:val="both"/>
        <w:rPr>
          <w:rFonts w:asciiTheme="majorBidi" w:hAnsiTheme="majorBidi" w:cstheme="majorBidi"/>
          <w:bCs/>
          <w:lang w:val="de-DE"/>
        </w:rPr>
        <w:sectPr w:rsidR="00940A9C" w:rsidRPr="00940A9C" w:rsidSect="00181181">
          <w:headerReference w:type="even" r:id="rId32"/>
          <w:headerReference w:type="default" r:id="rId33"/>
          <w:footerReference w:type="even" r:id="rId34"/>
          <w:footerReference w:type="default" r:id="rId35"/>
          <w:headerReference w:type="first" r:id="rId36"/>
          <w:footerReference w:type="first" r:id="rId37"/>
          <w:endnotePr>
            <w:numFmt w:val="decimal"/>
          </w:endnotePr>
          <w:pgSz w:w="16840" w:h="11907" w:orient="landscape" w:code="9"/>
          <w:pgMar w:top="1134" w:right="1418" w:bottom="1134" w:left="1134" w:header="851" w:footer="567" w:gutter="0"/>
          <w:cols w:space="720"/>
          <w:titlePg/>
          <w:docGrid w:linePitch="272"/>
        </w:sectPr>
      </w:pPr>
    </w:p>
    <w:p w14:paraId="1DA9DFF0" w14:textId="77777777" w:rsidR="00940A9C" w:rsidRPr="00940A9C" w:rsidRDefault="00940A9C" w:rsidP="007E171E">
      <w:pPr>
        <w:spacing w:before="120" w:after="120"/>
        <w:ind w:left="1134" w:right="1134"/>
        <w:jc w:val="both"/>
        <w:rPr>
          <w:lang w:val="de-DE"/>
        </w:rPr>
      </w:pPr>
      <w:r w:rsidRPr="00940A9C">
        <w:rPr>
          <w:lang w:val="de-DE"/>
        </w:rPr>
        <w:t>9.3.x.0</w:t>
      </w:r>
      <w:r w:rsidRPr="00940A9C">
        <w:rPr>
          <w:lang w:val="de-DE"/>
        </w:rPr>
        <w:tab/>
      </w:r>
      <w:r w:rsidRPr="00940A9C">
        <w:rPr>
          <w:lang w:val="de-DE"/>
        </w:rPr>
        <w:tab/>
        <w:t>Die Absätze nach der Tabelle durch die folgenden Absätze ersetzen:</w:t>
      </w:r>
    </w:p>
    <w:p w14:paraId="1900C5B8" w14:textId="6C68315F" w:rsidR="00940A9C" w:rsidRPr="00940A9C" w:rsidRDefault="00940A9C" w:rsidP="007E171E">
      <w:pPr>
        <w:tabs>
          <w:tab w:val="left" w:pos="2268"/>
        </w:tabs>
        <w:spacing w:before="120" w:after="120"/>
        <w:ind w:left="1134" w:right="1134"/>
        <w:jc w:val="both"/>
        <w:rPr>
          <w:bCs/>
          <w:lang w:val="de-DE"/>
        </w:rPr>
      </w:pPr>
      <w:r w:rsidRPr="00940A9C">
        <w:rPr>
          <w:bCs/>
          <w:lang w:val="de-DE"/>
        </w:rPr>
        <w:t>„9.3.x.0.5</w:t>
      </w:r>
      <w:r w:rsidR="007E171E">
        <w:rPr>
          <w:bCs/>
          <w:lang w:val="de-DE"/>
        </w:rPr>
        <w:tab/>
      </w:r>
      <w:r w:rsidRPr="00940A9C">
        <w:rPr>
          <w:bCs/>
          <w:lang w:val="de-DE"/>
        </w:rPr>
        <w:t>Die im Bereich der Ladung verwendete Farbe darf insbesondere bei Schlagbeanspruchung keine Funkenbildung hervorrufen können.</w:t>
      </w:r>
    </w:p>
    <w:p w14:paraId="4DADDAEA" w14:textId="77777777" w:rsidR="00940A9C" w:rsidRPr="00940A9C" w:rsidRDefault="00940A9C" w:rsidP="007E171E">
      <w:pPr>
        <w:spacing w:after="120"/>
        <w:ind w:left="1134" w:right="1134"/>
        <w:jc w:val="both"/>
        <w:rPr>
          <w:bCs/>
          <w:lang w:val="de-DE"/>
        </w:rPr>
      </w:pPr>
      <w:r w:rsidRPr="00940A9C">
        <w:rPr>
          <w:bCs/>
          <w:lang w:val="de-DE"/>
        </w:rPr>
        <w:t>9.3.x.0.6</w:t>
      </w:r>
      <w:r w:rsidRPr="00940A9C">
        <w:rPr>
          <w:bCs/>
          <w:lang w:val="de-DE"/>
        </w:rPr>
        <w:tab/>
        <w:t>Alle in den Wohnungen und im Steuerhaus verwendeten fest eingebauten Werkstoffe, mit Ausnahme der Möbel, müssen schwer entflammbar sein. Im Brandfall dürfen sie Rauch oder giftige Gase nicht in gefährlichem Maße entwickeln.“.</w:t>
      </w:r>
    </w:p>
    <w:p w14:paraId="21B43041" w14:textId="77777777" w:rsidR="00940A9C" w:rsidRPr="00940A9C" w:rsidRDefault="00940A9C" w:rsidP="007E171E">
      <w:pPr>
        <w:spacing w:after="120"/>
        <w:ind w:left="1134" w:right="1134"/>
        <w:jc w:val="both"/>
        <w:rPr>
          <w:lang w:val="de-DE"/>
        </w:rPr>
      </w:pPr>
      <w:r w:rsidRPr="00940A9C">
        <w:rPr>
          <w:i/>
          <w:lang w:val="de-DE"/>
        </w:rPr>
        <w:t>(Referenzdokument: ECE/TRANS/WP.15/AC.2/2021/30)</w:t>
      </w:r>
    </w:p>
    <w:p w14:paraId="18AC0103" w14:textId="77777777" w:rsidR="00940A9C" w:rsidRPr="00940A9C" w:rsidRDefault="00940A9C" w:rsidP="007E171E">
      <w:pPr>
        <w:spacing w:after="120"/>
        <w:ind w:left="1134" w:right="1134"/>
        <w:jc w:val="both"/>
        <w:rPr>
          <w:lang w:val="de-DE"/>
        </w:rPr>
      </w:pPr>
      <w:r w:rsidRPr="00940A9C">
        <w:rPr>
          <w:lang w:val="de-DE"/>
        </w:rPr>
        <w:t>9.3.3.60</w:t>
      </w:r>
      <w:r w:rsidRPr="00940A9C">
        <w:rPr>
          <w:lang w:val="de-DE"/>
        </w:rPr>
        <w:tab/>
        <w:t>Streichen: „Dies gilt nicht für Bilgenentölungsboote und Bunkerboote.“.</w:t>
      </w:r>
    </w:p>
    <w:p w14:paraId="19AF89F0" w14:textId="77777777" w:rsidR="00940A9C" w:rsidRPr="00940A9C" w:rsidRDefault="00940A9C" w:rsidP="007E171E">
      <w:pPr>
        <w:spacing w:after="120"/>
        <w:ind w:left="1134" w:right="1134"/>
        <w:jc w:val="both"/>
        <w:rPr>
          <w:i/>
          <w:lang w:val="de-DE"/>
        </w:rPr>
      </w:pPr>
      <w:r w:rsidRPr="00940A9C">
        <w:rPr>
          <w:i/>
          <w:lang w:val="de-DE"/>
        </w:rPr>
        <w:t>(Referenzdokument: ECE/TRANS/WP.15/AC.2/2021/24)</w:t>
      </w:r>
    </w:p>
    <w:p w14:paraId="7E4B785A" w14:textId="77777777" w:rsidR="00940A9C" w:rsidRPr="00940A9C" w:rsidRDefault="00940A9C" w:rsidP="00940A9C">
      <w:pPr>
        <w:keepNext/>
        <w:keepLines/>
        <w:tabs>
          <w:tab w:val="right" w:pos="851"/>
        </w:tabs>
        <w:spacing w:before="360" w:after="240" w:line="300" w:lineRule="exact"/>
        <w:ind w:left="1134" w:right="1134" w:hanging="1134"/>
        <w:rPr>
          <w:b/>
          <w:sz w:val="28"/>
          <w:lang w:val="de-DE"/>
        </w:rPr>
      </w:pPr>
      <w:r w:rsidRPr="00940A9C">
        <w:rPr>
          <w:b/>
          <w:sz w:val="28"/>
          <w:lang w:val="de-DE"/>
        </w:rPr>
        <w:br w:type="page"/>
      </w:r>
    </w:p>
    <w:p w14:paraId="41DF4A41" w14:textId="77777777" w:rsidR="00CD5D81" w:rsidRDefault="00CD5D81" w:rsidP="00940A9C">
      <w:pPr>
        <w:keepNext/>
        <w:keepLines/>
        <w:tabs>
          <w:tab w:val="right" w:pos="851"/>
        </w:tabs>
        <w:spacing w:before="360" w:after="240" w:line="300" w:lineRule="exact"/>
        <w:ind w:left="1134" w:right="1134" w:hanging="1134"/>
        <w:rPr>
          <w:b/>
          <w:sz w:val="28"/>
          <w:lang w:val="de-DE"/>
        </w:rPr>
      </w:pPr>
    </w:p>
    <w:p w14:paraId="30550F6E" w14:textId="27D21794" w:rsidR="00940A9C" w:rsidRPr="00940A9C" w:rsidRDefault="00940A9C" w:rsidP="00940A9C">
      <w:pPr>
        <w:keepNext/>
        <w:keepLines/>
        <w:tabs>
          <w:tab w:val="right" w:pos="851"/>
        </w:tabs>
        <w:spacing w:before="360" w:after="240" w:line="300" w:lineRule="exact"/>
        <w:ind w:left="1134" w:right="1134" w:hanging="1134"/>
        <w:rPr>
          <w:b/>
          <w:sz w:val="28"/>
          <w:lang w:val="de-DE"/>
        </w:rPr>
      </w:pPr>
      <w:r w:rsidRPr="00940A9C">
        <w:rPr>
          <w:b/>
          <w:sz w:val="28"/>
          <w:lang w:val="de-DE"/>
        </w:rPr>
        <w:t>Anlage II</w:t>
      </w:r>
    </w:p>
    <w:p w14:paraId="4A3DB6D1" w14:textId="77777777" w:rsidR="00940A9C" w:rsidRPr="00940A9C" w:rsidRDefault="00940A9C" w:rsidP="00940A9C">
      <w:pPr>
        <w:jc w:val="right"/>
        <w:rPr>
          <w:lang w:val="de-DE"/>
        </w:rPr>
      </w:pPr>
      <w:r w:rsidRPr="00940A9C">
        <w:rPr>
          <w:bCs/>
          <w:lang w:val="de-DE"/>
        </w:rPr>
        <w:t>[Original: Englisch und Französisch]</w:t>
      </w:r>
    </w:p>
    <w:p w14:paraId="3C9B512F" w14:textId="77777777" w:rsidR="00940A9C" w:rsidRPr="00940A9C" w:rsidRDefault="00940A9C" w:rsidP="00940A9C">
      <w:pPr>
        <w:keepNext/>
        <w:keepLines/>
        <w:tabs>
          <w:tab w:val="right" w:pos="851"/>
        </w:tabs>
        <w:spacing w:before="360" w:line="300" w:lineRule="exact"/>
        <w:ind w:left="1134" w:right="1134" w:hanging="1134"/>
        <w:rPr>
          <w:lang w:val="de-DE"/>
        </w:rPr>
      </w:pPr>
      <w:r w:rsidRPr="00940A9C">
        <w:rPr>
          <w:b/>
          <w:sz w:val="28"/>
          <w:lang w:val="de-DE"/>
        </w:rPr>
        <w:tab/>
      </w:r>
      <w:r w:rsidRPr="00940A9C">
        <w:rPr>
          <w:lang w:val="de-DE"/>
        </w:rPr>
        <w:tab/>
      </w:r>
      <w:r w:rsidRPr="00940A9C">
        <w:rPr>
          <w:b/>
          <w:sz w:val="28"/>
          <w:lang w:val="de-DE"/>
        </w:rPr>
        <w:t>Berichtigungen am Dokument ECE/TRANS/301 (ADN-Ausgabe 2021)</w:t>
      </w:r>
      <w:r w:rsidRPr="00940A9C">
        <w:rPr>
          <w:lang w:val="de-DE"/>
        </w:rPr>
        <w:t xml:space="preserve"> </w:t>
      </w:r>
    </w:p>
    <w:p w14:paraId="2D864913" w14:textId="77777777" w:rsidR="00940A9C" w:rsidRPr="00940A9C" w:rsidRDefault="00940A9C" w:rsidP="00940A9C">
      <w:pPr>
        <w:keepNext/>
        <w:keepLines/>
        <w:tabs>
          <w:tab w:val="right" w:pos="851"/>
        </w:tabs>
        <w:spacing w:after="240" w:line="240" w:lineRule="exact"/>
        <w:ind w:left="1134" w:right="1134" w:hanging="1134"/>
        <w:rPr>
          <w:i/>
          <w:lang w:val="de-DE"/>
        </w:rPr>
      </w:pPr>
      <w:r w:rsidRPr="00940A9C">
        <w:rPr>
          <w:i/>
          <w:lang w:val="de-DE"/>
        </w:rPr>
        <w:tab/>
      </w:r>
      <w:r w:rsidRPr="00940A9C">
        <w:rPr>
          <w:i/>
          <w:lang w:val="de-DE"/>
        </w:rPr>
        <w:tab/>
        <w:t>(bedürfen nicht der Zustimmung der Vertragsparteien)</w:t>
      </w:r>
    </w:p>
    <w:p w14:paraId="13AE1EF1" w14:textId="77777777" w:rsidR="00940A9C" w:rsidRPr="00940A9C" w:rsidRDefault="00940A9C" w:rsidP="00940A9C">
      <w:pPr>
        <w:spacing w:after="120"/>
        <w:ind w:left="1134" w:right="1134"/>
        <w:jc w:val="both"/>
        <w:rPr>
          <w:b/>
          <w:bCs/>
          <w:lang w:val="de-DE"/>
        </w:rPr>
      </w:pPr>
      <w:r w:rsidRPr="00940A9C">
        <w:rPr>
          <w:b/>
          <w:bCs/>
          <w:lang w:val="de-DE"/>
        </w:rPr>
        <w:t>1.</w:t>
      </w:r>
      <w:r w:rsidRPr="00940A9C">
        <w:rPr>
          <w:b/>
          <w:bCs/>
          <w:lang w:val="de-DE"/>
        </w:rPr>
        <w:tab/>
        <w:t>Kapitel 3.2, Tabelle C, UN-Nr. 1202, zweite Eintragung, Spalte (2)</w:t>
      </w:r>
    </w:p>
    <w:p w14:paraId="19E5D081" w14:textId="77777777" w:rsidR="00940A9C" w:rsidRPr="00940A9C" w:rsidRDefault="00940A9C" w:rsidP="00940A9C">
      <w:pPr>
        <w:spacing w:after="120"/>
        <w:ind w:left="1134" w:right="1134"/>
        <w:jc w:val="both"/>
        <w:rPr>
          <w:iCs/>
          <w:lang w:val="de-DE" w:eastAsia="en-US"/>
        </w:rPr>
      </w:pPr>
      <w:r w:rsidRPr="00940A9C">
        <w:rPr>
          <w:iCs/>
          <w:lang w:val="de-DE" w:eastAsia="en-US"/>
        </w:rPr>
        <w:t>[</w:t>
      </w:r>
      <w:r w:rsidRPr="00940A9C">
        <w:rPr>
          <w:bCs/>
          <w:iCs/>
          <w:lang w:val="de-DE" w:eastAsia="en-US"/>
        </w:rPr>
        <w:t>Die Änderung</w:t>
      </w:r>
      <w:r w:rsidRPr="00940A9C">
        <w:rPr>
          <w:iCs/>
          <w:lang w:val="de-DE" w:eastAsia="en-US"/>
        </w:rPr>
        <w:t xml:space="preserve"> in der englischen Fassung hat keine Auswirkungen auf den deutschen Text.]</w:t>
      </w:r>
    </w:p>
    <w:p w14:paraId="207CAD3F" w14:textId="77777777" w:rsidR="00940A9C" w:rsidRPr="00940A9C" w:rsidRDefault="00940A9C" w:rsidP="00940A9C">
      <w:pPr>
        <w:spacing w:after="120"/>
        <w:ind w:left="1134" w:right="1134"/>
        <w:jc w:val="both"/>
        <w:rPr>
          <w:i/>
          <w:lang w:val="de-DE"/>
        </w:rPr>
      </w:pPr>
      <w:r w:rsidRPr="00940A9C">
        <w:rPr>
          <w:i/>
          <w:lang w:val="de-DE"/>
        </w:rPr>
        <w:t>(Referenzdokument: informelles Dokument INF.10)</w:t>
      </w:r>
    </w:p>
    <w:p w14:paraId="6A0F0F31" w14:textId="77777777" w:rsidR="00940A9C" w:rsidRPr="00940A9C" w:rsidRDefault="00940A9C" w:rsidP="00940A9C">
      <w:pPr>
        <w:spacing w:after="120"/>
        <w:ind w:left="1134" w:right="1134"/>
        <w:jc w:val="both"/>
        <w:rPr>
          <w:b/>
          <w:bCs/>
          <w:lang w:val="de-DE"/>
        </w:rPr>
      </w:pPr>
      <w:r w:rsidRPr="00940A9C">
        <w:rPr>
          <w:b/>
          <w:bCs/>
          <w:lang w:val="de-DE"/>
        </w:rPr>
        <w:t>2.</w:t>
      </w:r>
      <w:r w:rsidRPr="00940A9C">
        <w:rPr>
          <w:b/>
          <w:bCs/>
          <w:lang w:val="de-DE"/>
        </w:rPr>
        <w:tab/>
        <w:t>Kapitel 3.2, Tabelle C, UN-Nr. 3295 - KOHLENWASSERSTOFFE, FLÜSSIG, N.A.G., ISOPREN UND PENTADIEN ENTHALTEND, STABILISIERT, 2 Eintragungen, Spalte (5)</w:t>
      </w:r>
    </w:p>
    <w:p w14:paraId="5EC6CBAD" w14:textId="77777777" w:rsidR="00940A9C" w:rsidRPr="00940A9C" w:rsidRDefault="00940A9C" w:rsidP="00940A9C">
      <w:pPr>
        <w:spacing w:after="120"/>
        <w:ind w:left="1134" w:right="1134"/>
        <w:jc w:val="both"/>
        <w:rPr>
          <w:iCs/>
          <w:lang w:val="de-DE" w:eastAsia="en-US"/>
        </w:rPr>
      </w:pPr>
      <w:bookmarkStart w:id="114" w:name="_Hlk84584646"/>
      <w:r w:rsidRPr="00940A9C">
        <w:rPr>
          <w:iCs/>
          <w:lang w:val="de-DE" w:eastAsia="en-US"/>
        </w:rPr>
        <w:t>[</w:t>
      </w:r>
      <w:r w:rsidRPr="00940A9C">
        <w:rPr>
          <w:bCs/>
          <w:iCs/>
          <w:lang w:val="de-DE" w:eastAsia="en-US"/>
        </w:rPr>
        <w:t>Die Änderung</w:t>
      </w:r>
      <w:r w:rsidRPr="00940A9C">
        <w:rPr>
          <w:iCs/>
          <w:lang w:val="de-DE" w:eastAsia="en-US"/>
        </w:rPr>
        <w:t xml:space="preserve"> in der englischen Fassung hat keine Auswirkungen auf den deutschen Text.]</w:t>
      </w:r>
    </w:p>
    <w:bookmarkEnd w:id="114"/>
    <w:p w14:paraId="0B8095E0" w14:textId="77777777" w:rsidR="00940A9C" w:rsidRPr="00940A9C" w:rsidRDefault="00940A9C" w:rsidP="00940A9C">
      <w:pPr>
        <w:spacing w:after="120"/>
        <w:ind w:left="1134" w:right="1134"/>
        <w:jc w:val="both"/>
        <w:rPr>
          <w:i/>
          <w:lang w:val="de-DE"/>
        </w:rPr>
      </w:pPr>
      <w:r w:rsidRPr="00940A9C">
        <w:rPr>
          <w:i/>
          <w:lang w:val="de-DE"/>
        </w:rPr>
        <w:t>(Referenzdokument: informelles Dokument INF.11)</w:t>
      </w:r>
    </w:p>
    <w:p w14:paraId="5F0266AC" w14:textId="77777777" w:rsidR="00940A9C" w:rsidRPr="00940A9C" w:rsidRDefault="00940A9C" w:rsidP="00940A9C">
      <w:pPr>
        <w:spacing w:after="120"/>
        <w:ind w:left="1134" w:right="1134"/>
        <w:jc w:val="both"/>
        <w:rPr>
          <w:b/>
          <w:bCs/>
          <w:lang w:val="de-DE"/>
        </w:rPr>
      </w:pPr>
      <w:r w:rsidRPr="00940A9C">
        <w:rPr>
          <w:b/>
          <w:bCs/>
          <w:lang w:val="de-DE"/>
        </w:rPr>
        <w:t>3.</w:t>
      </w:r>
      <w:r w:rsidRPr="00940A9C">
        <w:rPr>
          <w:b/>
          <w:bCs/>
          <w:lang w:val="de-DE"/>
        </w:rPr>
        <w:tab/>
        <w:t>Kapitel 9.3, 9.3.1.14.2, 9.3.2.14.2 und 9.3.3.14.2, Buchstabe a)</w:t>
      </w:r>
    </w:p>
    <w:p w14:paraId="7A29CC71" w14:textId="77777777" w:rsidR="00940A9C" w:rsidRPr="00940A9C" w:rsidRDefault="00940A9C" w:rsidP="00940A9C">
      <w:pPr>
        <w:spacing w:after="120"/>
        <w:ind w:left="1134" w:right="1134"/>
        <w:jc w:val="both"/>
        <w:rPr>
          <w:iCs/>
          <w:lang w:val="de-DE" w:eastAsia="en-US"/>
        </w:rPr>
      </w:pPr>
      <w:bookmarkStart w:id="115" w:name="_Hlk84584375"/>
      <w:r w:rsidRPr="00940A9C">
        <w:rPr>
          <w:iCs/>
          <w:lang w:val="de-DE" w:eastAsia="en-US"/>
        </w:rPr>
        <w:t>[</w:t>
      </w:r>
      <w:r w:rsidRPr="00940A9C">
        <w:rPr>
          <w:bCs/>
          <w:iCs/>
          <w:lang w:val="de-DE" w:eastAsia="en-US"/>
        </w:rPr>
        <w:t>Die Änderung</w:t>
      </w:r>
      <w:r w:rsidRPr="00940A9C">
        <w:rPr>
          <w:iCs/>
          <w:lang w:val="de-DE" w:eastAsia="en-US"/>
        </w:rPr>
        <w:t xml:space="preserve"> in der englischen Fassung hat keine Auswirkungen auf den deutschen Text.]</w:t>
      </w:r>
    </w:p>
    <w:bookmarkEnd w:id="115"/>
    <w:p w14:paraId="309503D6" w14:textId="77777777" w:rsidR="00940A9C" w:rsidRPr="00940A9C" w:rsidRDefault="00940A9C" w:rsidP="00940A9C">
      <w:pPr>
        <w:spacing w:after="120"/>
        <w:ind w:left="1134" w:right="1134"/>
        <w:jc w:val="both"/>
        <w:rPr>
          <w:i/>
          <w:lang w:val="de-DE"/>
        </w:rPr>
      </w:pPr>
      <w:r w:rsidRPr="00940A9C">
        <w:rPr>
          <w:i/>
          <w:lang w:val="de-DE"/>
        </w:rPr>
        <w:t>(Referenzdokument: informelles Dokument INF.18)</w:t>
      </w:r>
    </w:p>
    <w:p w14:paraId="5FC0FB16" w14:textId="77777777" w:rsidR="00940A9C" w:rsidRPr="00940A9C" w:rsidRDefault="00940A9C" w:rsidP="00940A9C">
      <w:pPr>
        <w:spacing w:after="120"/>
        <w:ind w:left="1134" w:right="1134"/>
        <w:jc w:val="both"/>
        <w:rPr>
          <w:b/>
          <w:bCs/>
          <w:lang w:val="de-DE"/>
        </w:rPr>
      </w:pPr>
      <w:r w:rsidRPr="00940A9C">
        <w:rPr>
          <w:b/>
          <w:bCs/>
          <w:lang w:val="de-DE"/>
        </w:rPr>
        <w:t>4.</w:t>
      </w:r>
      <w:r w:rsidRPr="00940A9C">
        <w:rPr>
          <w:b/>
          <w:bCs/>
          <w:lang w:val="de-DE"/>
        </w:rPr>
        <w:tab/>
        <w:t>Kapitel 9.3, 9.3.1.14.2, 9.3.2.14.2 und 9.3.3.14.2, Buchstabe b)</w:t>
      </w:r>
    </w:p>
    <w:p w14:paraId="096D6CBD" w14:textId="77777777" w:rsidR="00940A9C" w:rsidRPr="00940A9C" w:rsidRDefault="00940A9C" w:rsidP="00940A9C">
      <w:pPr>
        <w:spacing w:after="120"/>
        <w:ind w:left="1134" w:right="1134"/>
        <w:jc w:val="both"/>
        <w:rPr>
          <w:iCs/>
          <w:lang w:val="de-DE" w:eastAsia="en-US"/>
        </w:rPr>
      </w:pPr>
      <w:r w:rsidRPr="00940A9C">
        <w:rPr>
          <w:iCs/>
          <w:lang w:val="de-DE" w:eastAsia="en-US"/>
        </w:rPr>
        <w:t>[</w:t>
      </w:r>
      <w:r w:rsidRPr="00940A9C">
        <w:rPr>
          <w:bCs/>
          <w:iCs/>
          <w:lang w:val="de-DE" w:eastAsia="en-US"/>
        </w:rPr>
        <w:t>Die Änderung</w:t>
      </w:r>
      <w:r w:rsidRPr="00940A9C">
        <w:rPr>
          <w:iCs/>
          <w:lang w:val="de-DE" w:eastAsia="en-US"/>
        </w:rPr>
        <w:t xml:space="preserve"> in der englischen Fassung hat keine Auswirkungen auf den deutschen Text.]</w:t>
      </w:r>
    </w:p>
    <w:p w14:paraId="45F137CC" w14:textId="77777777" w:rsidR="00940A9C" w:rsidRPr="00940A9C" w:rsidRDefault="00940A9C" w:rsidP="00940A9C">
      <w:pPr>
        <w:spacing w:after="120"/>
        <w:ind w:left="1134" w:right="1134"/>
        <w:jc w:val="both"/>
        <w:rPr>
          <w:b/>
          <w:bCs/>
          <w:lang w:val="de-DE"/>
        </w:rPr>
      </w:pPr>
      <w:r w:rsidRPr="00940A9C">
        <w:rPr>
          <w:i/>
          <w:lang w:val="de-DE"/>
        </w:rPr>
        <w:t>(Referenzdokument: informelles Dokument INF.18)</w:t>
      </w:r>
    </w:p>
    <w:p w14:paraId="51F65C3C" w14:textId="77777777" w:rsidR="00940A9C" w:rsidRPr="00940A9C" w:rsidRDefault="00940A9C" w:rsidP="00940A9C">
      <w:pPr>
        <w:spacing w:after="120"/>
        <w:ind w:left="1134" w:right="1134"/>
        <w:jc w:val="both"/>
        <w:rPr>
          <w:b/>
          <w:bCs/>
          <w:lang w:val="de-DE"/>
        </w:rPr>
      </w:pPr>
      <w:r w:rsidRPr="00940A9C">
        <w:rPr>
          <w:b/>
          <w:bCs/>
          <w:lang w:val="de-DE"/>
        </w:rPr>
        <w:t>5.</w:t>
      </w:r>
      <w:r w:rsidRPr="00940A9C">
        <w:rPr>
          <w:b/>
          <w:bCs/>
          <w:lang w:val="de-DE"/>
        </w:rPr>
        <w:tab/>
        <w:t>Kapitel 9.3, 9.3.1.15.2, letzter Satz des letzten Absatzes</w:t>
      </w:r>
    </w:p>
    <w:p w14:paraId="733D3C71" w14:textId="77777777" w:rsidR="00940A9C" w:rsidRPr="00940A9C" w:rsidRDefault="00940A9C" w:rsidP="00940A9C">
      <w:pPr>
        <w:spacing w:after="120"/>
        <w:ind w:left="1134" w:right="1134"/>
        <w:jc w:val="both"/>
        <w:rPr>
          <w:iCs/>
          <w:lang w:val="de-DE" w:eastAsia="en-US"/>
        </w:rPr>
      </w:pPr>
      <w:r w:rsidRPr="00940A9C">
        <w:rPr>
          <w:iCs/>
          <w:lang w:val="de-DE" w:eastAsia="en-US"/>
        </w:rPr>
        <w:t>[</w:t>
      </w:r>
      <w:r w:rsidRPr="00940A9C">
        <w:rPr>
          <w:bCs/>
          <w:iCs/>
          <w:lang w:val="de-DE" w:eastAsia="en-US"/>
        </w:rPr>
        <w:t>Die Änderung</w:t>
      </w:r>
      <w:r w:rsidRPr="00940A9C">
        <w:rPr>
          <w:iCs/>
          <w:lang w:val="de-DE" w:eastAsia="en-US"/>
        </w:rPr>
        <w:t xml:space="preserve"> in der englischen Fassung hat keine Auswirkungen auf den deutschen Text.]</w:t>
      </w:r>
    </w:p>
    <w:p w14:paraId="0F44A24E" w14:textId="77777777" w:rsidR="00940A9C" w:rsidRPr="00940A9C" w:rsidRDefault="00940A9C" w:rsidP="00940A9C">
      <w:pPr>
        <w:spacing w:after="120"/>
        <w:ind w:left="1134" w:right="1134"/>
        <w:jc w:val="both"/>
        <w:rPr>
          <w:i/>
          <w:lang w:val="de-DE"/>
        </w:rPr>
      </w:pPr>
      <w:r w:rsidRPr="00940A9C">
        <w:rPr>
          <w:i/>
          <w:lang w:val="de-DE"/>
        </w:rPr>
        <w:t>(Referenzdokument: informelles Dokument INF.8)</w:t>
      </w:r>
    </w:p>
    <w:p w14:paraId="57134980" w14:textId="77777777" w:rsidR="00940A9C" w:rsidRPr="00940A9C" w:rsidRDefault="00940A9C" w:rsidP="00940A9C">
      <w:pPr>
        <w:spacing w:after="120"/>
        <w:ind w:left="1134" w:right="1134"/>
        <w:jc w:val="both"/>
        <w:rPr>
          <w:b/>
          <w:bCs/>
          <w:lang w:val="de-DE"/>
        </w:rPr>
      </w:pPr>
      <w:r w:rsidRPr="00940A9C">
        <w:rPr>
          <w:b/>
          <w:bCs/>
          <w:lang w:val="de-DE"/>
        </w:rPr>
        <w:t>6.</w:t>
      </w:r>
      <w:r w:rsidRPr="00940A9C">
        <w:rPr>
          <w:b/>
          <w:bCs/>
          <w:lang w:val="de-DE"/>
        </w:rPr>
        <w:tab/>
        <w:t xml:space="preserve">Kapitel 9.3, 9.3.2.15.2, </w:t>
      </w:r>
      <w:bookmarkStart w:id="116" w:name="_Hlk84582415"/>
      <w:r w:rsidRPr="00940A9C">
        <w:rPr>
          <w:b/>
          <w:bCs/>
          <w:lang w:val="de-DE"/>
        </w:rPr>
        <w:t>letzter Absatz</w:t>
      </w:r>
      <w:bookmarkEnd w:id="116"/>
    </w:p>
    <w:p w14:paraId="19F79210" w14:textId="77777777" w:rsidR="00940A9C" w:rsidRPr="00940A9C" w:rsidRDefault="00940A9C" w:rsidP="00940A9C">
      <w:pPr>
        <w:spacing w:after="120"/>
        <w:ind w:left="1134" w:right="1134"/>
        <w:jc w:val="both"/>
        <w:rPr>
          <w:iCs/>
          <w:lang w:val="de-DE" w:eastAsia="en-US"/>
        </w:rPr>
      </w:pPr>
      <w:r w:rsidRPr="00940A9C">
        <w:rPr>
          <w:iCs/>
          <w:lang w:val="de-DE" w:eastAsia="en-US"/>
        </w:rPr>
        <w:t>[</w:t>
      </w:r>
      <w:r w:rsidRPr="00940A9C">
        <w:rPr>
          <w:bCs/>
          <w:iCs/>
          <w:lang w:val="de-DE" w:eastAsia="en-US"/>
        </w:rPr>
        <w:t>Die Änderung</w:t>
      </w:r>
      <w:r w:rsidRPr="00940A9C">
        <w:rPr>
          <w:iCs/>
          <w:lang w:val="de-DE" w:eastAsia="en-US"/>
        </w:rPr>
        <w:t xml:space="preserve"> in der englischen Fassung hat keine Auswirkungen auf den deutschen Text.]</w:t>
      </w:r>
    </w:p>
    <w:p w14:paraId="49AB2C21" w14:textId="77777777" w:rsidR="00940A9C" w:rsidRPr="00940A9C" w:rsidRDefault="00940A9C" w:rsidP="00940A9C">
      <w:pPr>
        <w:spacing w:after="120"/>
        <w:ind w:left="1134" w:right="1134"/>
        <w:jc w:val="both"/>
        <w:rPr>
          <w:i/>
          <w:lang w:val="de-DE"/>
        </w:rPr>
      </w:pPr>
      <w:r w:rsidRPr="00940A9C">
        <w:rPr>
          <w:i/>
          <w:lang w:val="de-DE"/>
        </w:rPr>
        <w:t>(Referenzdokument: informelles Dokument INF.8)</w:t>
      </w:r>
    </w:p>
    <w:p w14:paraId="46C8D04B" w14:textId="77777777" w:rsidR="00940A9C" w:rsidRPr="00940A9C" w:rsidRDefault="00940A9C" w:rsidP="00940A9C">
      <w:pPr>
        <w:spacing w:after="120"/>
        <w:ind w:left="1134" w:right="1134"/>
        <w:jc w:val="both"/>
        <w:rPr>
          <w:b/>
          <w:bCs/>
          <w:lang w:val="de-DE"/>
        </w:rPr>
      </w:pPr>
      <w:r w:rsidRPr="00940A9C">
        <w:rPr>
          <w:b/>
          <w:bCs/>
          <w:lang w:val="de-DE"/>
        </w:rPr>
        <w:t>7.</w:t>
      </w:r>
      <w:r w:rsidRPr="00940A9C">
        <w:rPr>
          <w:b/>
          <w:bCs/>
          <w:lang w:val="de-DE"/>
        </w:rPr>
        <w:tab/>
        <w:t>Kapitel 9.3, 9.3.3.15.2, letzter Absatz</w:t>
      </w:r>
    </w:p>
    <w:p w14:paraId="20EBB313" w14:textId="77777777" w:rsidR="00940A9C" w:rsidRPr="00940A9C" w:rsidRDefault="00940A9C" w:rsidP="00940A9C">
      <w:pPr>
        <w:spacing w:after="120"/>
        <w:ind w:left="1134" w:right="1134"/>
        <w:jc w:val="both"/>
        <w:rPr>
          <w:iCs/>
          <w:lang w:val="de-DE" w:eastAsia="en-US"/>
        </w:rPr>
      </w:pPr>
      <w:r w:rsidRPr="00940A9C">
        <w:rPr>
          <w:iCs/>
          <w:lang w:val="de-DE" w:eastAsia="en-US"/>
        </w:rPr>
        <w:t>[</w:t>
      </w:r>
      <w:r w:rsidRPr="00940A9C">
        <w:rPr>
          <w:bCs/>
          <w:iCs/>
          <w:lang w:val="de-DE" w:eastAsia="en-US"/>
        </w:rPr>
        <w:t>Die Änderung</w:t>
      </w:r>
      <w:r w:rsidRPr="00940A9C">
        <w:rPr>
          <w:iCs/>
          <w:lang w:val="de-DE" w:eastAsia="en-US"/>
        </w:rPr>
        <w:t xml:space="preserve"> in der englischen Fassung hat keine Auswirkungen auf den deutschen Text.]</w:t>
      </w:r>
    </w:p>
    <w:p w14:paraId="0D41B3FA" w14:textId="77777777" w:rsidR="00940A9C" w:rsidRPr="00940A9C" w:rsidRDefault="00940A9C" w:rsidP="00940A9C">
      <w:pPr>
        <w:spacing w:after="120"/>
        <w:ind w:left="1134" w:right="1134"/>
        <w:jc w:val="both"/>
        <w:rPr>
          <w:i/>
          <w:lang w:val="de-DE"/>
        </w:rPr>
      </w:pPr>
      <w:r w:rsidRPr="00940A9C">
        <w:rPr>
          <w:i/>
          <w:lang w:val="de-DE"/>
        </w:rPr>
        <w:t>(Referenzdokument: informelles Dokument INF.8)</w:t>
      </w:r>
    </w:p>
    <w:p w14:paraId="2DD25480" w14:textId="55D4E19B" w:rsidR="001E24FD" w:rsidRPr="00FB61B8" w:rsidRDefault="00940A9C" w:rsidP="00F8483D">
      <w:pPr>
        <w:spacing w:before="240"/>
        <w:jc w:val="center"/>
        <w:rPr>
          <w:u w:val="single"/>
          <w:lang w:val="fr-CH"/>
        </w:rPr>
      </w:pPr>
      <w:r w:rsidRPr="00940A9C">
        <w:rPr>
          <w:lang w:val="de-DE"/>
        </w:rPr>
        <w:t>***</w:t>
      </w:r>
    </w:p>
    <w:sectPr w:rsidR="001E24FD" w:rsidRPr="00FB61B8" w:rsidSect="00D80472">
      <w:headerReference w:type="even" r:id="rId38"/>
      <w:headerReference w:type="default" r:id="rId39"/>
      <w:footerReference w:type="even" r:id="rId40"/>
      <w:footerReference w:type="default" r:id="rId41"/>
      <w:endnotePr>
        <w:numFmt w:val="decimal"/>
      </w:endnotePr>
      <w:pgSz w:w="11907" w:h="16840" w:code="9"/>
      <w:pgMar w:top="1247"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E7E45" w14:textId="77777777" w:rsidR="00672408" w:rsidRDefault="00672408"/>
  </w:endnote>
  <w:endnote w:type="continuationSeparator" w:id="0">
    <w:p w14:paraId="3AE9A834" w14:textId="77777777" w:rsidR="00672408" w:rsidRDefault="00672408"/>
  </w:endnote>
  <w:endnote w:type="continuationNotice" w:id="1">
    <w:p w14:paraId="18FC7BF5" w14:textId="77777777" w:rsidR="00672408" w:rsidRDefault="00672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72542" w14:textId="30B18850" w:rsidR="00181181" w:rsidRPr="00940A9C" w:rsidRDefault="00181181" w:rsidP="00940A9C">
    <w:pPr>
      <w:spacing w:line="240" w:lineRule="auto"/>
      <w:jc w:val="right"/>
      <w:rPr>
        <w:sz w:val="18"/>
        <w:lang w:val="fr-FR"/>
      </w:rPr>
    </w:pPr>
    <w:r>
      <w:rPr>
        <w:sz w:val="18"/>
      </w:rPr>
      <w:tab/>
    </w:r>
    <w:r w:rsidR="00940A9C" w:rsidRPr="00BB4DAA">
      <w:rPr>
        <w:rFonts w:ascii="Arial" w:eastAsia="SimSun" w:hAnsi="Arial"/>
        <w:noProof/>
        <w:sz w:val="12"/>
        <w:szCs w:val="24"/>
        <w:lang w:val="fr-FR" w:eastAsia="zh-CN"/>
      </w:rPr>
      <w:t>mm_ba/adn_wp15_ac2_7</w:t>
    </w:r>
    <w:r w:rsidR="00940A9C">
      <w:rPr>
        <w:rFonts w:ascii="Arial" w:eastAsia="SimSun" w:hAnsi="Arial"/>
        <w:noProof/>
        <w:sz w:val="12"/>
        <w:szCs w:val="24"/>
        <w:lang w:val="fr-FR" w:eastAsia="zh-CN"/>
      </w:rPr>
      <w:t>8</w:t>
    </w:r>
    <w:r w:rsidR="00940A9C" w:rsidRPr="00BB4DAA">
      <w:rPr>
        <w:rFonts w:ascii="Arial" w:eastAsia="SimSun" w:hAnsi="Arial"/>
        <w:noProof/>
        <w:sz w:val="12"/>
        <w:szCs w:val="24"/>
        <w:lang w:val="fr-FR" w:eastAsia="zh-CN"/>
      </w:rPr>
      <w:t>de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C1180" w14:textId="77777777" w:rsidR="00940A9C" w:rsidRPr="00105C43" w:rsidRDefault="00940A9C" w:rsidP="00105C43">
    <w:pPr>
      <w:spacing w:line="240" w:lineRule="auto"/>
      <w:jc w:val="right"/>
      <w:rPr>
        <w:lang w:val="fr-FR"/>
      </w:rPr>
    </w:pPr>
    <w:bookmarkStart w:id="107" w:name="_Hlk84581586"/>
    <w:bookmarkStart w:id="108" w:name="_Hlk84581587"/>
    <w:bookmarkStart w:id="109" w:name="_Hlk84581593"/>
    <w:bookmarkStart w:id="110" w:name="_Hlk84581594"/>
    <w:bookmarkStart w:id="111" w:name="_Hlk85529169"/>
    <w:bookmarkStart w:id="112" w:name="_Hlk85529170"/>
    <w:r w:rsidRPr="00BB4DAA">
      <w:rPr>
        <w:rFonts w:ascii="Arial" w:eastAsia="SimSun" w:hAnsi="Arial"/>
        <w:noProof/>
        <w:sz w:val="12"/>
        <w:szCs w:val="24"/>
        <w:lang w:val="fr-FR" w:eastAsia="zh-CN"/>
      </w:rPr>
      <w:t>mm_ba/adn_wp15_ac2_7</w:t>
    </w:r>
    <w:r>
      <w:rPr>
        <w:rFonts w:ascii="Arial" w:eastAsia="SimSun" w:hAnsi="Arial"/>
        <w:noProof/>
        <w:sz w:val="12"/>
        <w:szCs w:val="24"/>
        <w:lang w:val="fr-FR" w:eastAsia="zh-CN"/>
      </w:rPr>
      <w:t>8</w:t>
    </w:r>
    <w:r w:rsidRPr="00BB4DAA">
      <w:rPr>
        <w:rFonts w:ascii="Arial" w:eastAsia="SimSun" w:hAnsi="Arial"/>
        <w:noProof/>
        <w:sz w:val="12"/>
        <w:szCs w:val="24"/>
        <w:lang w:val="fr-FR" w:eastAsia="zh-CN"/>
      </w:rPr>
      <w:t>de</w:t>
    </w:r>
    <w:bookmarkEnd w:id="107"/>
    <w:bookmarkEnd w:id="108"/>
    <w:bookmarkEnd w:id="109"/>
    <w:bookmarkEnd w:id="110"/>
    <w:bookmarkEnd w:id="111"/>
    <w:bookmarkEnd w:id="112"/>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97B8C" w14:textId="77777777" w:rsidR="00940A9C" w:rsidRPr="009B3D4B" w:rsidRDefault="00940A9C" w:rsidP="0064731E">
    <w:pPr>
      <w:spacing w:line="240" w:lineRule="auto"/>
      <w:jc w:val="right"/>
      <w:rPr>
        <w:lang w:val="fr-FR"/>
      </w:rPr>
    </w:pPr>
    <w:r w:rsidRPr="00BB4DAA">
      <w:rPr>
        <w:rFonts w:ascii="Arial" w:eastAsia="SimSun" w:hAnsi="Arial"/>
        <w:noProof/>
        <w:sz w:val="12"/>
        <w:szCs w:val="24"/>
        <w:lang w:val="fr-FR" w:eastAsia="zh-CN"/>
      </w:rPr>
      <w:t>mm_ba/adn_wp15_ac2_7</w:t>
    </w:r>
    <w:r>
      <w:rPr>
        <w:rFonts w:ascii="Arial" w:eastAsia="SimSun" w:hAnsi="Arial"/>
        <w:noProof/>
        <w:sz w:val="12"/>
        <w:szCs w:val="24"/>
        <w:lang w:val="fr-FR" w:eastAsia="zh-CN"/>
      </w:rPr>
      <w:t>8</w:t>
    </w:r>
    <w:r w:rsidRPr="00BB4DAA">
      <w:rPr>
        <w:rFonts w:ascii="Arial" w:eastAsia="SimSun" w:hAnsi="Arial"/>
        <w:noProof/>
        <w:sz w:val="12"/>
        <w:szCs w:val="24"/>
        <w:lang w:val="fr-FR" w:eastAsia="zh-CN"/>
      </w:rPr>
      <w:t>de</w:t>
    </w:r>
    <w:r>
      <w:rPr>
        <w:noProof/>
      </w:rPr>
      <mc:AlternateContent>
        <mc:Choice Requires="wps">
          <w:drawing>
            <wp:anchor distT="0" distB="0" distL="114300" distR="114300" simplePos="0" relativeHeight="251663360" behindDoc="0" locked="0" layoutInCell="1" allowOverlap="1" wp14:anchorId="6C2EE3B6" wp14:editId="5DE2BCCB">
              <wp:simplePos x="0" y="0"/>
              <wp:positionH relativeFrom="margin">
                <wp:posOffset>-431800</wp:posOffset>
              </wp:positionH>
              <wp:positionV relativeFrom="margin">
                <wp:posOffset>0</wp:posOffset>
              </wp:positionV>
              <wp:extent cx="215900" cy="612013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rgbClr val="4F81BD">
                          <a:alpha val="0"/>
                        </a:srgb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68EAE27" w14:textId="77777777" w:rsidR="00940A9C" w:rsidRPr="00E36B99" w:rsidRDefault="00940A9C" w:rsidP="00181181">
                          <w:pPr>
                            <w:pStyle w:val="H23G"/>
                            <w:tabs>
                              <w:tab w:val="right" w:pos="9638"/>
                            </w:tabs>
                            <w:jc w:val="both"/>
                            <w:rPr>
                              <w:b w:val="0"/>
                              <w:sz w:val="18"/>
                            </w:rPr>
                          </w:pPr>
                          <w:r w:rsidRPr="00ED2D8C">
                            <w:rPr>
                              <w:b w:val="0"/>
                              <w:sz w:val="18"/>
                            </w:rPr>
                            <w:fldChar w:fldCharType="begin"/>
                          </w:r>
                          <w:r w:rsidRPr="00ED2D8C">
                            <w:rPr>
                              <w:sz w:val="18"/>
                            </w:rPr>
                            <w:instrText xml:space="preserve"> PAGE  \* MERGEFORMAT </w:instrText>
                          </w:r>
                          <w:r w:rsidRPr="00ED2D8C">
                            <w:rPr>
                              <w:b w:val="0"/>
                              <w:sz w:val="18"/>
                            </w:rPr>
                            <w:fldChar w:fldCharType="separate"/>
                          </w:r>
                          <w:r>
                            <w:rPr>
                              <w:sz w:val="18"/>
                            </w:rPr>
                            <w:t>4</w:t>
                          </w:r>
                          <w:r w:rsidRPr="00ED2D8C">
                            <w:rPr>
                              <w:b w:val="0"/>
                              <w:sz w:val="18"/>
                            </w:rPr>
                            <w:fldChar w:fldCharType="end"/>
                          </w:r>
                        </w:p>
                        <w:p w14:paraId="7ABBC623" w14:textId="77777777" w:rsidR="00940A9C" w:rsidRDefault="00940A9C" w:rsidP="00181181"/>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6C2EE3B6" id="_x0000_t202" coordsize="21600,21600" o:spt="202" path="m,l,21600r21600,l21600,xe">
              <v:stroke joinstyle="miter"/>
              <v:path gradientshapeok="t" o:connecttype="rect"/>
            </v:shapetype>
            <v:shape id="Text Box 13" o:spid="_x0000_s1028" type="#_x0000_t202" style="position:absolute;left:0;text-align:left;margin-left:-34pt;margin-top:0;width:17pt;height:481.9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" fillcolor="#4f81bd" stroked="f" strokeweight=".5pt">
              <v:fill opacity="0"/>
              <v:stroke joinstyle="round"/>
              <v:textbox style="layout-flow:vertical" inset="0,0,0,0">
                <w:txbxContent>
                  <w:p w14:paraId="168EAE27" w14:textId="77777777" w:rsidR="00940A9C" w:rsidRPr="00E36B99" w:rsidRDefault="00940A9C" w:rsidP="00181181">
                    <w:pPr>
                      <w:pStyle w:val="H23G"/>
                      <w:tabs>
                        <w:tab w:val="right" w:pos="9638"/>
                      </w:tabs>
                      <w:jc w:val="both"/>
                      <w:rPr>
                        <w:b w:val="0"/>
                        <w:sz w:val="18"/>
                      </w:rPr>
                    </w:pPr>
                    <w:r w:rsidRPr="00ED2D8C">
                      <w:rPr>
                        <w:b w:val="0"/>
                        <w:sz w:val="18"/>
                      </w:rPr>
                      <w:fldChar w:fldCharType="begin"/>
                    </w:r>
                    <w:r w:rsidRPr="00ED2D8C">
                      <w:rPr>
                        <w:sz w:val="18"/>
                      </w:rPr>
                      <w:instrText xml:space="preserve"> PAGE  \* MERGEFORMAT </w:instrText>
                    </w:r>
                    <w:r w:rsidRPr="00ED2D8C">
                      <w:rPr>
                        <w:b w:val="0"/>
                        <w:sz w:val="18"/>
                      </w:rPr>
                      <w:fldChar w:fldCharType="separate"/>
                    </w:r>
                    <w:r>
                      <w:rPr>
                        <w:sz w:val="18"/>
                      </w:rPr>
                      <w:t>4</w:t>
                    </w:r>
                    <w:r w:rsidRPr="00ED2D8C">
                      <w:rPr>
                        <w:b w:val="0"/>
                        <w:sz w:val="18"/>
                      </w:rPr>
                      <w:fldChar w:fldCharType="end"/>
                    </w:r>
                  </w:p>
                  <w:p w14:paraId="7ABBC623" w14:textId="77777777" w:rsidR="00940A9C" w:rsidRDefault="00940A9C" w:rsidP="00181181"/>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32C2E" w14:textId="77777777" w:rsidR="00940A9C" w:rsidRPr="009B3D4B" w:rsidRDefault="00940A9C" w:rsidP="0064731E">
    <w:pPr>
      <w:spacing w:line="240" w:lineRule="auto"/>
      <w:jc w:val="right"/>
      <w:rPr>
        <w:b/>
        <w:sz w:val="18"/>
        <w:lang w:val="fr-FR"/>
      </w:rPr>
    </w:pPr>
    <w:r w:rsidRPr="00BB4DAA">
      <w:rPr>
        <w:rFonts w:ascii="Arial" w:eastAsia="SimSun" w:hAnsi="Arial"/>
        <w:noProof/>
        <w:sz w:val="12"/>
        <w:szCs w:val="24"/>
        <w:lang w:val="fr-FR" w:eastAsia="zh-CN"/>
      </w:rPr>
      <w:t>mm_ba/adn_wp15_ac2_7</w:t>
    </w:r>
    <w:r>
      <w:rPr>
        <w:rFonts w:ascii="Arial" w:eastAsia="SimSun" w:hAnsi="Arial"/>
        <w:noProof/>
        <w:sz w:val="12"/>
        <w:szCs w:val="24"/>
        <w:lang w:val="fr-FR" w:eastAsia="zh-CN"/>
      </w:rPr>
      <w:t>8</w:t>
    </w:r>
    <w:r w:rsidRPr="00BB4DAA">
      <w:rPr>
        <w:rFonts w:ascii="Arial" w:eastAsia="SimSun" w:hAnsi="Arial"/>
        <w:noProof/>
        <w:sz w:val="12"/>
        <w:szCs w:val="24"/>
        <w:lang w:val="fr-FR" w:eastAsia="zh-CN"/>
      </w:rPr>
      <w:t>de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596DC" w14:textId="4D326FE1" w:rsidR="00940A9C" w:rsidRPr="009B3D4B" w:rsidRDefault="00940A9C" w:rsidP="0064731E">
    <w:pPr>
      <w:spacing w:line="240" w:lineRule="auto"/>
      <w:jc w:val="right"/>
      <w:rPr>
        <w:b/>
        <w:sz w:val="18"/>
        <w:lang w:val="fr-FR"/>
      </w:rPr>
    </w:pPr>
    <w:r w:rsidRPr="00BB4DAA">
      <w:rPr>
        <w:rFonts w:ascii="Arial" w:eastAsia="SimSun" w:hAnsi="Arial"/>
        <w:noProof/>
        <w:sz w:val="12"/>
        <w:szCs w:val="24"/>
        <w:lang w:val="fr-FR" w:eastAsia="zh-CN"/>
      </w:rPr>
      <w:t>mm_ba/adn_wp15_ac2_7</w:t>
    </w:r>
    <w:r>
      <w:rPr>
        <w:rFonts w:ascii="Arial" w:eastAsia="SimSun" w:hAnsi="Arial"/>
        <w:noProof/>
        <w:sz w:val="12"/>
        <w:szCs w:val="24"/>
        <w:lang w:val="fr-FR" w:eastAsia="zh-CN"/>
      </w:rPr>
      <w:t>8</w:t>
    </w:r>
    <w:r w:rsidRPr="00BB4DAA">
      <w:rPr>
        <w:rFonts w:ascii="Arial" w:eastAsia="SimSun" w:hAnsi="Arial"/>
        <w:noProof/>
        <w:sz w:val="12"/>
        <w:szCs w:val="24"/>
        <w:lang w:val="fr-FR" w:eastAsia="zh-CN"/>
      </w:rPr>
      <w:t>de</w:t>
    </w:r>
    <w:r>
      <w:rPr>
        <w:noProof/>
      </w:rPr>
      <mc:AlternateContent>
        <mc:Choice Requires="wps">
          <w:drawing>
            <wp:anchor distT="0" distB="0" distL="114300" distR="114300" simplePos="0" relativeHeight="251662336" behindDoc="0" locked="0" layoutInCell="1" allowOverlap="1" wp14:anchorId="5E71A55D" wp14:editId="48E1D706">
              <wp:simplePos x="0" y="0"/>
              <wp:positionH relativeFrom="margin">
                <wp:posOffset>-431800</wp:posOffset>
              </wp:positionH>
              <wp:positionV relativeFrom="margin">
                <wp:posOffset>0</wp:posOffset>
              </wp:positionV>
              <wp:extent cx="215900" cy="61201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rgbClr val="4F81BD">
                          <a:alpha val="0"/>
                        </a:srgb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0AD20DB" w14:textId="77777777" w:rsidR="00940A9C" w:rsidRPr="00E36B99" w:rsidRDefault="00940A9C" w:rsidP="00077957">
                          <w:pPr>
                            <w:pStyle w:val="H23G"/>
                            <w:tabs>
                              <w:tab w:val="right" w:pos="9638"/>
                            </w:tabs>
                            <w:jc w:val="right"/>
                            <w:rPr>
                              <w:b w:val="0"/>
                              <w:sz w:val="18"/>
                            </w:rPr>
                          </w:pPr>
                          <w:r w:rsidRPr="00ED2D8C">
                            <w:rPr>
                              <w:b w:val="0"/>
                              <w:sz w:val="18"/>
                            </w:rPr>
                            <w:fldChar w:fldCharType="begin"/>
                          </w:r>
                          <w:r w:rsidRPr="00ED2D8C">
                            <w:rPr>
                              <w:sz w:val="18"/>
                            </w:rPr>
                            <w:instrText xml:space="preserve"> PAGE  \* MERGEFORMAT </w:instrText>
                          </w:r>
                          <w:r w:rsidRPr="00ED2D8C">
                            <w:rPr>
                              <w:b w:val="0"/>
                              <w:sz w:val="18"/>
                            </w:rPr>
                            <w:fldChar w:fldCharType="separate"/>
                          </w:r>
                          <w:r>
                            <w:rPr>
                              <w:sz w:val="18"/>
                            </w:rPr>
                            <w:t>4</w:t>
                          </w:r>
                          <w:r w:rsidRPr="00ED2D8C">
                            <w:rPr>
                              <w:b w:val="0"/>
                              <w:sz w:val="18"/>
                            </w:rPr>
                            <w:fldChar w:fldCharType="end"/>
                          </w:r>
                        </w:p>
                        <w:p w14:paraId="5CD23A03" w14:textId="77777777" w:rsidR="00940A9C" w:rsidRDefault="00940A9C" w:rsidP="00181181"/>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5E71A55D" id="_x0000_t202" coordsize="21600,21600" o:spt="202" path="m,l,21600r21600,l21600,xe">
              <v:stroke joinstyle="miter"/>
              <v:path gradientshapeok="t" o:connecttype="rect"/>
            </v:shapetype>
            <v:shape id="Text Box 11" o:spid="_x0000_s1029" type="#_x0000_t202" style="position:absolute;left:0;text-align:left;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" fillcolor="#4f81bd" stroked="f" strokeweight=".5pt">
              <v:fill opacity="0"/>
              <v:stroke joinstyle="round"/>
              <v:textbox style="layout-flow:vertical" inset="0,0,0,0">
                <w:txbxContent>
                  <w:p w14:paraId="10AD20DB" w14:textId="77777777" w:rsidR="00940A9C" w:rsidRPr="00E36B99" w:rsidRDefault="00940A9C" w:rsidP="00077957">
                    <w:pPr>
                      <w:pStyle w:val="H23G"/>
                      <w:tabs>
                        <w:tab w:val="right" w:pos="9638"/>
                      </w:tabs>
                      <w:jc w:val="right"/>
                      <w:rPr>
                        <w:b w:val="0"/>
                        <w:sz w:val="18"/>
                      </w:rPr>
                    </w:pPr>
                    <w:r w:rsidRPr="00ED2D8C">
                      <w:rPr>
                        <w:b w:val="0"/>
                        <w:sz w:val="18"/>
                      </w:rPr>
                      <w:fldChar w:fldCharType="begin"/>
                    </w:r>
                    <w:r w:rsidRPr="00ED2D8C">
                      <w:rPr>
                        <w:sz w:val="18"/>
                      </w:rPr>
                      <w:instrText xml:space="preserve"> PAGE  \* MERGEFORMAT </w:instrText>
                    </w:r>
                    <w:r w:rsidRPr="00ED2D8C">
                      <w:rPr>
                        <w:b w:val="0"/>
                        <w:sz w:val="18"/>
                      </w:rPr>
                      <w:fldChar w:fldCharType="separate"/>
                    </w:r>
                    <w:r>
                      <w:rPr>
                        <w:sz w:val="18"/>
                      </w:rPr>
                      <w:t>4</w:t>
                    </w:r>
                    <w:r w:rsidRPr="00ED2D8C">
                      <w:rPr>
                        <w:b w:val="0"/>
                        <w:sz w:val="18"/>
                      </w:rPr>
                      <w:fldChar w:fldCharType="end"/>
                    </w:r>
                  </w:p>
                  <w:p w14:paraId="5CD23A03" w14:textId="77777777" w:rsidR="00940A9C" w:rsidRDefault="00940A9C" w:rsidP="00181181"/>
                </w:txbxContent>
              </v:textbox>
              <w10:wrap anchorx="margin"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0586E" w14:textId="571A79DE" w:rsidR="002B671C" w:rsidRPr="00BB4DAA" w:rsidRDefault="00833FC0" w:rsidP="00BB4DAA">
    <w:pPr>
      <w:spacing w:line="240" w:lineRule="auto"/>
      <w:jc w:val="right"/>
      <w:rPr>
        <w:lang w:val="fr-FR"/>
      </w:rPr>
    </w:pPr>
    <w:bookmarkStart w:id="119" w:name="_Hlk68157426"/>
    <w:bookmarkStart w:id="120" w:name="_Hlk68157427"/>
    <w:bookmarkStart w:id="121" w:name="_Hlk68157428"/>
    <w:bookmarkStart w:id="122" w:name="_Hlk68157429"/>
    <w:bookmarkStart w:id="123" w:name="_Hlk84581531"/>
    <w:bookmarkStart w:id="124" w:name="_Hlk84581532"/>
    <w:r w:rsidRPr="00BB4DAA">
      <w:rPr>
        <w:rFonts w:ascii="Arial" w:eastAsia="SimSun" w:hAnsi="Arial"/>
        <w:noProof/>
        <w:sz w:val="12"/>
        <w:szCs w:val="24"/>
        <w:lang w:val="fr-FR" w:eastAsia="zh-CN"/>
      </w:rPr>
      <w:t>mm_ba/adn_wp15_ac2_7</w:t>
    </w:r>
    <w:r w:rsidR="00F8483D">
      <w:rPr>
        <w:rFonts w:ascii="Arial" w:eastAsia="SimSun" w:hAnsi="Arial"/>
        <w:noProof/>
        <w:sz w:val="12"/>
        <w:szCs w:val="24"/>
        <w:lang w:val="fr-FR" w:eastAsia="zh-CN"/>
      </w:rPr>
      <w:t>8</w:t>
    </w:r>
    <w:r w:rsidRPr="00BB4DAA">
      <w:rPr>
        <w:rFonts w:ascii="Arial" w:eastAsia="SimSun" w:hAnsi="Arial"/>
        <w:noProof/>
        <w:sz w:val="12"/>
        <w:szCs w:val="24"/>
        <w:lang w:val="fr-FR" w:eastAsia="zh-CN"/>
      </w:rPr>
      <w:t>de</w:t>
    </w:r>
    <w:bookmarkEnd w:id="119"/>
    <w:bookmarkEnd w:id="120"/>
    <w:bookmarkEnd w:id="121"/>
    <w:bookmarkEnd w:id="122"/>
    <w:bookmarkEnd w:id="123"/>
    <w:bookmarkEnd w:id="124"/>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7BCA" w14:textId="00483081" w:rsidR="00BB4DAA" w:rsidRDefault="00833FC0" w:rsidP="00BB4DAA">
    <w:pPr>
      <w:spacing w:line="240" w:lineRule="auto"/>
      <w:jc w:val="right"/>
      <w:rPr>
        <w:rFonts w:ascii="Arial" w:eastAsia="SimSun" w:hAnsi="Arial"/>
        <w:noProof/>
        <w:sz w:val="12"/>
        <w:szCs w:val="24"/>
        <w:lang w:val="fr-FR" w:eastAsia="zh-CN"/>
      </w:rPr>
    </w:pPr>
    <w:r w:rsidRPr="00BB4DAA">
      <w:rPr>
        <w:rFonts w:ascii="Arial" w:eastAsia="SimSun" w:hAnsi="Arial"/>
        <w:noProof/>
        <w:sz w:val="12"/>
        <w:szCs w:val="24"/>
        <w:lang w:val="fr-FR" w:eastAsia="zh-CN"/>
      </w:rPr>
      <w:t>mm_ba/adn_wp15_ac2_7</w:t>
    </w:r>
    <w:r w:rsidR="00FA4D14">
      <w:rPr>
        <w:rFonts w:ascii="Arial" w:eastAsia="SimSun" w:hAnsi="Arial"/>
        <w:noProof/>
        <w:sz w:val="12"/>
        <w:szCs w:val="24"/>
        <w:lang w:val="fr-FR" w:eastAsia="zh-CN"/>
      </w:rPr>
      <w:t>8</w:t>
    </w:r>
    <w:r w:rsidRPr="00BB4DAA">
      <w:rPr>
        <w:rFonts w:ascii="Arial" w:eastAsia="SimSun" w:hAnsi="Arial"/>
        <w:noProof/>
        <w:sz w:val="12"/>
        <w:szCs w:val="24"/>
        <w:lang w:val="fr-FR" w:eastAsia="zh-CN"/>
      </w:rPr>
      <w: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5C4B0" w14:textId="36B215DE" w:rsidR="00181181" w:rsidRPr="00940A9C" w:rsidRDefault="00181181" w:rsidP="00940A9C">
    <w:pPr>
      <w:spacing w:line="240" w:lineRule="auto"/>
      <w:jc w:val="right"/>
      <w:rPr>
        <w:b/>
        <w:sz w:val="18"/>
        <w:lang w:val="fr-FR"/>
      </w:rPr>
    </w:pPr>
    <w:r>
      <w:tab/>
    </w:r>
    <w:r w:rsidR="00940A9C" w:rsidRPr="00BB4DAA">
      <w:rPr>
        <w:rFonts w:ascii="Arial" w:eastAsia="SimSun" w:hAnsi="Arial"/>
        <w:noProof/>
        <w:sz w:val="12"/>
        <w:szCs w:val="24"/>
        <w:lang w:val="fr-FR" w:eastAsia="zh-CN"/>
      </w:rPr>
      <w:t>mm_ba/adn_wp15_ac2_7</w:t>
    </w:r>
    <w:r w:rsidR="00940A9C">
      <w:rPr>
        <w:rFonts w:ascii="Arial" w:eastAsia="SimSun" w:hAnsi="Arial"/>
        <w:noProof/>
        <w:sz w:val="12"/>
        <w:szCs w:val="24"/>
        <w:lang w:val="fr-FR" w:eastAsia="zh-CN"/>
      </w:rPr>
      <w:t>8</w:t>
    </w:r>
    <w:r w:rsidR="00940A9C" w:rsidRPr="00BB4DAA">
      <w:rPr>
        <w:rFonts w:ascii="Arial" w:eastAsia="SimSun" w:hAnsi="Arial"/>
        <w:noProof/>
        <w:sz w:val="12"/>
        <w:szCs w:val="24"/>
        <w:lang w:val="fr-FR" w:eastAsia="zh-CN"/>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231A8" w14:textId="77777777" w:rsidR="00940A9C" w:rsidRPr="00E36B99" w:rsidRDefault="00940A9C" w:rsidP="00181181">
    <w:pPr>
      <w:pStyle w:val="H23G"/>
      <w:tabs>
        <w:tab w:val="right" w:pos="9638"/>
      </w:tabs>
      <w:jc w:val="both"/>
      <w:rPr>
        <w:b w:val="0"/>
        <w:sz w:val="18"/>
      </w:rPr>
    </w:pPr>
    <w:r w:rsidRPr="00ED2D8C">
      <w:rPr>
        <w:b w:val="0"/>
        <w:sz w:val="18"/>
      </w:rPr>
      <w:fldChar w:fldCharType="begin"/>
    </w:r>
    <w:r w:rsidRPr="00ED2D8C">
      <w:rPr>
        <w:sz w:val="18"/>
      </w:rPr>
      <w:instrText xml:space="preserve"> PAGE  \* MERGEFORMAT </w:instrText>
    </w:r>
    <w:r w:rsidRPr="00ED2D8C">
      <w:rPr>
        <w:b w:val="0"/>
        <w:sz w:val="18"/>
      </w:rPr>
      <w:fldChar w:fldCharType="separate"/>
    </w:r>
    <w:r>
      <w:rPr>
        <w:sz w:val="18"/>
      </w:rPr>
      <w:t>1</w:t>
    </w:r>
    <w:r w:rsidRPr="00ED2D8C">
      <w:rPr>
        <w:b w:val="0"/>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1C6EB" w14:textId="77777777" w:rsidR="00940A9C" w:rsidRPr="006A04D0" w:rsidRDefault="00940A9C" w:rsidP="00181181">
    <w:pPr>
      <w:pStyle w:val="H23G"/>
      <w:tabs>
        <w:tab w:val="right" w:pos="9638"/>
      </w:tabs>
      <w:jc w:val="right"/>
      <w:rPr>
        <w:b w:val="0"/>
        <w:sz w:val="18"/>
      </w:rPr>
    </w:pPr>
    <w:r w:rsidRPr="00ED2D8C">
      <w:rPr>
        <w:b w:val="0"/>
        <w:sz w:val="18"/>
      </w:rPr>
      <w:fldChar w:fldCharType="begin"/>
    </w:r>
    <w:r w:rsidRPr="00ED2D8C">
      <w:rPr>
        <w:sz w:val="18"/>
      </w:rPr>
      <w:instrText xml:space="preserve"> PAGE  \* MERGEFORMAT </w:instrText>
    </w:r>
    <w:r w:rsidRPr="00ED2D8C">
      <w:rPr>
        <w:b w:val="0"/>
        <w:sz w:val="18"/>
      </w:rPr>
      <w:fldChar w:fldCharType="separate"/>
    </w:r>
    <w:r>
      <w:rPr>
        <w:sz w:val="18"/>
      </w:rPr>
      <w:t>2</w:t>
    </w:r>
    <w:r w:rsidRPr="00ED2D8C">
      <w:rPr>
        <w:b w:val="0"/>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1CEF3" w14:textId="77777777" w:rsidR="00940A9C" w:rsidRPr="00105C43" w:rsidRDefault="00940A9C" w:rsidP="00105C43">
    <w:pPr>
      <w:spacing w:line="240" w:lineRule="auto"/>
      <w:jc w:val="right"/>
      <w:rPr>
        <w:lang w:val="fr-FR"/>
      </w:rPr>
    </w:pPr>
    <w:bookmarkStart w:id="95" w:name="_Hlk85529043"/>
    <w:bookmarkStart w:id="96" w:name="_Hlk85529044"/>
    <w:bookmarkStart w:id="97" w:name="_Hlk85529057"/>
    <w:bookmarkStart w:id="98" w:name="_Hlk85529058"/>
    <w:r w:rsidRPr="00BB4DAA">
      <w:rPr>
        <w:rFonts w:ascii="Arial" w:eastAsia="SimSun" w:hAnsi="Arial"/>
        <w:noProof/>
        <w:sz w:val="12"/>
        <w:szCs w:val="24"/>
        <w:lang w:val="fr-FR" w:eastAsia="zh-CN"/>
      </w:rPr>
      <w:t>mm_ba/adn_wp15_ac2_7</w:t>
    </w:r>
    <w:r>
      <w:rPr>
        <w:rFonts w:ascii="Arial" w:eastAsia="SimSun" w:hAnsi="Arial"/>
        <w:noProof/>
        <w:sz w:val="12"/>
        <w:szCs w:val="24"/>
        <w:lang w:val="fr-FR" w:eastAsia="zh-CN"/>
      </w:rPr>
      <w:t>8</w:t>
    </w:r>
    <w:r w:rsidRPr="00BB4DAA">
      <w:rPr>
        <w:rFonts w:ascii="Arial" w:eastAsia="SimSun" w:hAnsi="Arial"/>
        <w:noProof/>
        <w:sz w:val="12"/>
        <w:szCs w:val="24"/>
        <w:lang w:val="fr-FR" w:eastAsia="zh-CN"/>
      </w:rPr>
      <w:t>de</w:t>
    </w:r>
    <w:bookmarkEnd w:id="95"/>
    <w:bookmarkEnd w:id="96"/>
    <w:bookmarkEnd w:id="97"/>
    <w:bookmarkEnd w:id="98"/>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8EF44" w14:textId="77777777" w:rsidR="00940A9C" w:rsidRPr="00105C43" w:rsidRDefault="00940A9C" w:rsidP="00105C43">
    <w:pPr>
      <w:spacing w:line="240" w:lineRule="auto"/>
      <w:jc w:val="right"/>
      <w:rPr>
        <w:lang w:val="fr-FR"/>
      </w:rPr>
    </w:pPr>
    <w:bookmarkStart w:id="100" w:name="_Hlk84845735"/>
    <w:r w:rsidRPr="00BB4DAA">
      <w:rPr>
        <w:rFonts w:ascii="Arial" w:eastAsia="SimSun" w:hAnsi="Arial"/>
        <w:noProof/>
        <w:sz w:val="12"/>
        <w:szCs w:val="24"/>
        <w:lang w:val="fr-FR" w:eastAsia="zh-CN"/>
      </w:rPr>
      <w:t>mm_ba/adn_wp15_ac2_7</w:t>
    </w:r>
    <w:r>
      <w:rPr>
        <w:rFonts w:ascii="Arial" w:eastAsia="SimSun" w:hAnsi="Arial"/>
        <w:noProof/>
        <w:sz w:val="12"/>
        <w:szCs w:val="24"/>
        <w:lang w:val="fr-FR" w:eastAsia="zh-CN"/>
      </w:rPr>
      <w:t>8</w:t>
    </w:r>
    <w:r w:rsidRPr="00BB4DAA">
      <w:rPr>
        <w:rFonts w:ascii="Arial" w:eastAsia="SimSun" w:hAnsi="Arial"/>
        <w:noProof/>
        <w:sz w:val="12"/>
        <w:szCs w:val="24"/>
        <w:lang w:val="fr-FR" w:eastAsia="zh-CN"/>
      </w:rPr>
      <w:t>de</w:t>
    </w:r>
  </w:p>
  <w:bookmarkEnd w:id="100"/>
  <w:p w14:paraId="436FD560" w14:textId="77777777" w:rsidR="00940A9C" w:rsidRPr="005665EA" w:rsidRDefault="00940A9C" w:rsidP="00181181">
    <w:pPr>
      <w:pStyle w:val="H23G"/>
    </w:pPr>
    <w:r>
      <w:rPr>
        <w:noProof/>
      </w:rPr>
      <mc:AlternateContent>
        <mc:Choice Requires="wps">
          <w:drawing>
            <wp:anchor distT="0" distB="0" distL="114300" distR="114300" simplePos="0" relativeHeight="251661312" behindDoc="0" locked="0" layoutInCell="1" allowOverlap="1" wp14:anchorId="6262F0FD" wp14:editId="08C4134C">
              <wp:simplePos x="0" y="0"/>
              <wp:positionH relativeFrom="margin">
                <wp:posOffset>-431800</wp:posOffset>
              </wp:positionH>
              <wp:positionV relativeFrom="margin">
                <wp:posOffset>0</wp:posOffset>
              </wp:positionV>
              <wp:extent cx="215900" cy="6120130"/>
              <wp:effectExtent l="0" t="0" r="0" b="0"/>
              <wp:wrapNone/>
              <wp:docPr id="5" name="Text Box 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rgbClr val="4F81BD">
                          <a:alpha val="0"/>
                        </a:srgb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94E0496" w14:textId="77777777" w:rsidR="00940A9C" w:rsidRPr="00E36B99" w:rsidRDefault="00940A9C" w:rsidP="00181181">
                          <w:pPr>
                            <w:pStyle w:val="H23G"/>
                            <w:tabs>
                              <w:tab w:val="right" w:pos="9638"/>
                            </w:tabs>
                            <w:jc w:val="both"/>
                            <w:rPr>
                              <w:b w:val="0"/>
                              <w:sz w:val="18"/>
                            </w:rPr>
                          </w:pPr>
                          <w:r w:rsidRPr="00ED2D8C">
                            <w:rPr>
                              <w:b w:val="0"/>
                              <w:sz w:val="18"/>
                            </w:rPr>
                            <w:fldChar w:fldCharType="begin"/>
                          </w:r>
                          <w:r w:rsidRPr="00ED2D8C">
                            <w:rPr>
                              <w:sz w:val="18"/>
                            </w:rPr>
                            <w:instrText xml:space="preserve"> PAGE  \* MERGEFORMAT </w:instrText>
                          </w:r>
                          <w:r w:rsidRPr="00ED2D8C">
                            <w:rPr>
                              <w:b w:val="0"/>
                              <w:sz w:val="18"/>
                            </w:rPr>
                            <w:fldChar w:fldCharType="separate"/>
                          </w:r>
                          <w:r>
                            <w:rPr>
                              <w:sz w:val="18"/>
                            </w:rPr>
                            <w:t>4</w:t>
                          </w:r>
                          <w:r w:rsidRPr="00ED2D8C">
                            <w:rPr>
                              <w:b w:val="0"/>
                              <w:sz w:val="18"/>
                            </w:rPr>
                            <w:fldChar w:fldCharType="end"/>
                          </w:r>
                        </w:p>
                        <w:p w14:paraId="1112941C" w14:textId="77777777" w:rsidR="00940A9C" w:rsidRDefault="00940A9C"/>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6262F0FD" id="_x0000_t202" coordsize="21600,21600" o:spt="202" path="m,l,21600r21600,l21600,xe">
              <v:stroke joinstyle="miter"/>
              <v:path gradientshapeok="t" o:connecttype="rect"/>
            </v:shapetype>
            <v:shape id="Text Box 5" o:spid="_x0000_s1026" type="#_x0000_t202" style="position:absolute;left:0;text-align:left;margin-left:-34pt;margin-top:0;width:17pt;height:481.9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" fillcolor="#4f81bd" stroked="f" strokeweight=".5pt">
              <v:fill opacity="0"/>
              <v:stroke joinstyle="round"/>
              <v:textbox style="layout-flow:vertical" inset="0,0,0,0">
                <w:txbxContent>
                  <w:p w14:paraId="094E0496" w14:textId="77777777" w:rsidR="00940A9C" w:rsidRPr="00E36B99" w:rsidRDefault="00940A9C" w:rsidP="00181181">
                    <w:pPr>
                      <w:pStyle w:val="H23G"/>
                      <w:tabs>
                        <w:tab w:val="right" w:pos="9638"/>
                      </w:tabs>
                      <w:jc w:val="both"/>
                      <w:rPr>
                        <w:b w:val="0"/>
                        <w:sz w:val="18"/>
                      </w:rPr>
                    </w:pPr>
                    <w:r w:rsidRPr="00ED2D8C">
                      <w:rPr>
                        <w:b w:val="0"/>
                        <w:sz w:val="18"/>
                      </w:rPr>
                      <w:fldChar w:fldCharType="begin"/>
                    </w:r>
                    <w:r w:rsidRPr="00ED2D8C">
                      <w:rPr>
                        <w:sz w:val="18"/>
                      </w:rPr>
                      <w:instrText xml:space="preserve"> PAGE  \* MERGEFORMAT </w:instrText>
                    </w:r>
                    <w:r w:rsidRPr="00ED2D8C">
                      <w:rPr>
                        <w:b w:val="0"/>
                        <w:sz w:val="18"/>
                      </w:rPr>
                      <w:fldChar w:fldCharType="separate"/>
                    </w:r>
                    <w:r>
                      <w:rPr>
                        <w:sz w:val="18"/>
                      </w:rPr>
                      <w:t>4</w:t>
                    </w:r>
                    <w:r w:rsidRPr="00ED2D8C">
                      <w:rPr>
                        <w:b w:val="0"/>
                        <w:sz w:val="18"/>
                      </w:rPr>
                      <w:fldChar w:fldCharType="end"/>
                    </w:r>
                  </w:p>
                  <w:p w14:paraId="1112941C" w14:textId="77777777" w:rsidR="00940A9C" w:rsidRDefault="00940A9C"/>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307ED" w14:textId="4AC1B114" w:rsidR="00940A9C" w:rsidRPr="001B5E14" w:rsidRDefault="00940A9C" w:rsidP="00940A9C">
    <w:pPr>
      <w:spacing w:line="240" w:lineRule="auto"/>
      <w:jc w:val="right"/>
      <w:rPr>
        <w:lang w:val="fr-FR"/>
      </w:rPr>
    </w:pPr>
    <w:r w:rsidRPr="00BB4DAA">
      <w:rPr>
        <w:rFonts w:ascii="Arial" w:eastAsia="SimSun" w:hAnsi="Arial"/>
        <w:noProof/>
        <w:sz w:val="12"/>
        <w:szCs w:val="24"/>
        <w:lang w:val="fr-FR" w:eastAsia="zh-CN"/>
      </w:rPr>
      <w:t>mm_ba/adn_wp15_ac2_7</w:t>
    </w:r>
    <w:r>
      <w:rPr>
        <w:rFonts w:ascii="Arial" w:eastAsia="SimSun" w:hAnsi="Arial"/>
        <w:noProof/>
        <w:sz w:val="12"/>
        <w:szCs w:val="24"/>
        <w:lang w:val="fr-FR" w:eastAsia="zh-CN"/>
      </w:rPr>
      <w:t>8</w:t>
    </w:r>
    <w:r w:rsidRPr="00BB4DAA">
      <w:rPr>
        <w:rFonts w:ascii="Arial" w:eastAsia="SimSun" w:hAnsi="Arial"/>
        <w:noProof/>
        <w:sz w:val="12"/>
        <w:szCs w:val="24"/>
        <w:lang w:val="fr-FR" w:eastAsia="zh-CN"/>
      </w:rPr>
      <w:t>de</w:t>
    </w:r>
    <w:r>
      <w:rPr>
        <w:noProof/>
      </w:rPr>
      <mc:AlternateContent>
        <mc:Choice Requires="wps">
          <w:drawing>
            <wp:anchor distT="0" distB="0" distL="114300" distR="114300" simplePos="0" relativeHeight="251660288" behindDoc="0" locked="0" layoutInCell="1" allowOverlap="1" wp14:anchorId="652507F9" wp14:editId="58AFD298">
              <wp:simplePos x="0" y="0"/>
              <wp:positionH relativeFrom="margin">
                <wp:posOffset>-431800</wp:posOffset>
              </wp:positionH>
              <wp:positionV relativeFrom="margin">
                <wp:posOffset>0</wp:posOffset>
              </wp:positionV>
              <wp:extent cx="215900" cy="6120130"/>
              <wp:effectExtent l="0" t="0" r="0" b="0"/>
              <wp:wrapNone/>
              <wp:docPr id="1" name="Text Box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rgbClr val="4F81BD">
                          <a:alpha val="0"/>
                        </a:srgb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0C8BC32" w14:textId="77777777" w:rsidR="00940A9C" w:rsidRPr="006A04D0" w:rsidRDefault="00940A9C" w:rsidP="00181181">
                          <w:pPr>
                            <w:pStyle w:val="H23G"/>
                            <w:tabs>
                              <w:tab w:val="right" w:pos="9638"/>
                            </w:tabs>
                            <w:jc w:val="right"/>
                            <w:rPr>
                              <w:b w:val="0"/>
                              <w:sz w:val="18"/>
                            </w:rPr>
                          </w:pPr>
                          <w:r w:rsidRPr="00ED2D8C">
                            <w:rPr>
                              <w:b w:val="0"/>
                              <w:sz w:val="18"/>
                            </w:rPr>
                            <w:fldChar w:fldCharType="begin"/>
                          </w:r>
                          <w:r w:rsidRPr="00ED2D8C">
                            <w:rPr>
                              <w:sz w:val="18"/>
                            </w:rPr>
                            <w:instrText xml:space="preserve"> PAGE  \* MERGEFORMAT </w:instrText>
                          </w:r>
                          <w:r w:rsidRPr="00ED2D8C">
                            <w:rPr>
                              <w:b w:val="0"/>
                              <w:sz w:val="18"/>
                            </w:rPr>
                            <w:fldChar w:fldCharType="separate"/>
                          </w:r>
                          <w:r>
                            <w:rPr>
                              <w:sz w:val="18"/>
                            </w:rPr>
                            <w:t>3</w:t>
                          </w:r>
                          <w:r w:rsidRPr="00ED2D8C">
                            <w:rPr>
                              <w:b w:val="0"/>
                              <w:sz w:val="18"/>
                            </w:rPr>
                            <w:fldChar w:fldCharType="end"/>
                          </w:r>
                        </w:p>
                        <w:p w14:paraId="7FE886F7" w14:textId="77777777" w:rsidR="00940A9C" w:rsidRDefault="00940A9C"/>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652507F9" id="_x0000_t202" coordsize="21600,21600" o:spt="202" path="m,l,21600r21600,l21600,xe">
              <v:stroke joinstyle="miter"/>
              <v:path gradientshapeok="t" o:connecttype="rect"/>
            </v:shapetype>
            <v:shape id="Text Box 3" o:spid="_x0000_s1027" type="#_x0000_t202" style="position:absolute;left:0;text-align:left;margin-left:-34pt;margin-top:0;width:17pt;height:481.9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" fillcolor="#4f81bd" stroked="f" strokeweight=".5pt">
              <v:fill opacity="0"/>
              <v:stroke joinstyle="round"/>
              <v:textbox style="layout-flow:vertical" inset="0,0,0,0">
                <w:txbxContent>
                  <w:p w14:paraId="10C8BC32" w14:textId="77777777" w:rsidR="00940A9C" w:rsidRPr="006A04D0" w:rsidRDefault="00940A9C" w:rsidP="00181181">
                    <w:pPr>
                      <w:pStyle w:val="H23G"/>
                      <w:tabs>
                        <w:tab w:val="right" w:pos="9638"/>
                      </w:tabs>
                      <w:jc w:val="right"/>
                      <w:rPr>
                        <w:b w:val="0"/>
                        <w:sz w:val="18"/>
                      </w:rPr>
                    </w:pPr>
                    <w:r w:rsidRPr="00ED2D8C">
                      <w:rPr>
                        <w:b w:val="0"/>
                        <w:sz w:val="18"/>
                      </w:rPr>
                      <w:fldChar w:fldCharType="begin"/>
                    </w:r>
                    <w:r w:rsidRPr="00ED2D8C">
                      <w:rPr>
                        <w:sz w:val="18"/>
                      </w:rPr>
                      <w:instrText xml:space="preserve"> PAGE  \* MERGEFORMAT </w:instrText>
                    </w:r>
                    <w:r w:rsidRPr="00ED2D8C">
                      <w:rPr>
                        <w:b w:val="0"/>
                        <w:sz w:val="18"/>
                      </w:rPr>
                      <w:fldChar w:fldCharType="separate"/>
                    </w:r>
                    <w:r>
                      <w:rPr>
                        <w:sz w:val="18"/>
                      </w:rPr>
                      <w:t>3</w:t>
                    </w:r>
                    <w:r w:rsidRPr="00ED2D8C">
                      <w:rPr>
                        <w:b w:val="0"/>
                        <w:sz w:val="18"/>
                      </w:rPr>
                      <w:fldChar w:fldCharType="end"/>
                    </w:r>
                  </w:p>
                  <w:p w14:paraId="7FE886F7" w14:textId="77777777" w:rsidR="00940A9C" w:rsidRDefault="00940A9C"/>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A687" w14:textId="77777777" w:rsidR="00940A9C" w:rsidRPr="00105C43" w:rsidRDefault="00940A9C" w:rsidP="0064731E">
    <w:pPr>
      <w:spacing w:line="240" w:lineRule="auto"/>
      <w:jc w:val="right"/>
      <w:rPr>
        <w:lang w:val="fr-FR"/>
      </w:rPr>
    </w:pPr>
    <w:r w:rsidRPr="00BB4DAA">
      <w:rPr>
        <w:rFonts w:ascii="Arial" w:eastAsia="SimSun" w:hAnsi="Arial"/>
        <w:noProof/>
        <w:sz w:val="12"/>
        <w:szCs w:val="24"/>
        <w:lang w:val="fr-FR" w:eastAsia="zh-CN"/>
      </w:rPr>
      <w:t>mm_ba/adn_wp15_ac2_7</w:t>
    </w:r>
    <w:r>
      <w:rPr>
        <w:rFonts w:ascii="Arial" w:eastAsia="SimSun" w:hAnsi="Arial"/>
        <w:noProof/>
        <w:sz w:val="12"/>
        <w:szCs w:val="24"/>
        <w:lang w:val="fr-FR" w:eastAsia="zh-CN"/>
      </w:rPr>
      <w:t>8</w:t>
    </w:r>
    <w:r w:rsidRPr="00BB4DAA">
      <w:rPr>
        <w:rFonts w:ascii="Arial" w:eastAsia="SimSun" w:hAnsi="Arial"/>
        <w:noProof/>
        <w:sz w:val="12"/>
        <w:szCs w:val="24"/>
        <w:lang w:val="fr-FR" w:eastAsia="zh-CN"/>
      </w:rPr>
      <w:t>de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E1E27" w14:textId="4C543728" w:rsidR="00940A9C" w:rsidRPr="00F8483D" w:rsidRDefault="00F8483D" w:rsidP="00F8483D">
    <w:pPr>
      <w:spacing w:line="240" w:lineRule="auto"/>
      <w:jc w:val="right"/>
      <w:rPr>
        <w:lang w:val="fr-FR"/>
      </w:rPr>
    </w:pPr>
    <w:r w:rsidRPr="00BB4DAA">
      <w:rPr>
        <w:rFonts w:ascii="Arial" w:eastAsia="SimSun" w:hAnsi="Arial"/>
        <w:noProof/>
        <w:sz w:val="12"/>
        <w:szCs w:val="24"/>
        <w:lang w:val="fr-FR" w:eastAsia="zh-CN"/>
      </w:rPr>
      <w:t>mm_ba/adn_wp15_ac2_7</w:t>
    </w:r>
    <w:r>
      <w:rPr>
        <w:rFonts w:ascii="Arial" w:eastAsia="SimSun" w:hAnsi="Arial"/>
        <w:noProof/>
        <w:sz w:val="12"/>
        <w:szCs w:val="24"/>
        <w:lang w:val="fr-FR" w:eastAsia="zh-CN"/>
      </w:rPr>
      <w:t>8</w:t>
    </w:r>
    <w:r w:rsidRPr="00BB4DAA">
      <w:rPr>
        <w:rFonts w:ascii="Arial" w:eastAsia="SimSun" w:hAnsi="Arial"/>
        <w:noProof/>
        <w:sz w:val="12"/>
        <w:szCs w:val="24"/>
        <w:lang w:val="fr-FR" w:eastAsia="zh-CN"/>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43121" w14:textId="77777777" w:rsidR="00672408" w:rsidRPr="000B175B" w:rsidRDefault="00672408" w:rsidP="000B175B">
      <w:pPr>
        <w:tabs>
          <w:tab w:val="right" w:pos="2155"/>
        </w:tabs>
        <w:spacing w:after="80"/>
        <w:ind w:left="680"/>
        <w:rPr>
          <w:u w:val="single"/>
        </w:rPr>
      </w:pPr>
      <w:r>
        <w:rPr>
          <w:u w:val="single"/>
        </w:rPr>
        <w:tab/>
      </w:r>
    </w:p>
  </w:footnote>
  <w:footnote w:type="continuationSeparator" w:id="0">
    <w:p w14:paraId="2A4761B8" w14:textId="77777777" w:rsidR="00672408" w:rsidRPr="00FC68B7" w:rsidRDefault="00672408" w:rsidP="00FC68B7">
      <w:pPr>
        <w:tabs>
          <w:tab w:val="left" w:pos="2155"/>
        </w:tabs>
        <w:spacing w:after="80"/>
        <w:ind w:left="680"/>
        <w:rPr>
          <w:u w:val="single"/>
        </w:rPr>
      </w:pPr>
      <w:r>
        <w:rPr>
          <w:u w:val="single"/>
        </w:rPr>
        <w:tab/>
      </w:r>
    </w:p>
  </w:footnote>
  <w:footnote w:type="continuationNotice" w:id="1">
    <w:p w14:paraId="38A99CBC" w14:textId="77777777" w:rsidR="00672408" w:rsidRDefault="00672408"/>
  </w:footnote>
  <w:footnote w:id="2">
    <w:p w14:paraId="622ADEE7" w14:textId="5D2C2F2F" w:rsidR="00940A9C" w:rsidRPr="00ED4EA8" w:rsidRDefault="00940A9C" w:rsidP="00940A9C">
      <w:pPr>
        <w:rPr>
          <w:sz w:val="18"/>
          <w:szCs w:val="18"/>
          <w:lang w:val="de-DE"/>
        </w:rPr>
      </w:pPr>
      <w:r w:rsidRPr="0058649E">
        <w:sym w:font="Symbol" w:char="F02A"/>
      </w:r>
      <w:r w:rsidRPr="008E2912">
        <w:rPr>
          <w:lang w:val="de-DE"/>
        </w:rPr>
        <w:t xml:space="preserve"> </w:t>
      </w:r>
      <w:r w:rsidRPr="008E2912">
        <w:rPr>
          <w:lang w:val="de-DE"/>
        </w:rPr>
        <w:tab/>
      </w:r>
      <w:r w:rsidRPr="00ED4EA8">
        <w:rPr>
          <w:sz w:val="18"/>
          <w:szCs w:val="18"/>
          <w:lang w:val="de-DE"/>
        </w:rPr>
        <w:t>Von der UNECE in Englisch, Französisch und Russisch unter dem Aktenzeichen ECE/TRANS/WP.15/AC.2/78 verteilt.</w:t>
      </w:r>
    </w:p>
  </w:footnote>
  <w:footnote w:id="3">
    <w:p w14:paraId="01D83BA2" w14:textId="66CB1707" w:rsidR="00A92B9F" w:rsidRPr="00BA758E" w:rsidRDefault="00A92B9F" w:rsidP="00A92B9F">
      <w:pPr>
        <w:pStyle w:val="FootnoteText"/>
        <w:rPr>
          <w:lang w:val="de-DE"/>
        </w:rPr>
      </w:pPr>
      <w:r w:rsidRPr="00940A9C">
        <w:rPr>
          <w:lang w:val="de-DE"/>
        </w:rPr>
        <w:tab/>
      </w:r>
      <w:r>
        <w:rPr>
          <w:rStyle w:val="FootnoteReference"/>
        </w:rPr>
        <w:footnoteRef/>
      </w:r>
      <w:r w:rsidRPr="00BA758E">
        <w:rPr>
          <w:lang w:val="de-DE"/>
        </w:rPr>
        <w:t xml:space="preserve"> </w:t>
      </w:r>
      <w:r w:rsidRPr="00BA758E">
        <w:rPr>
          <w:lang w:val="de-DE"/>
        </w:rPr>
        <w:tab/>
        <w:t>S</w:t>
      </w:r>
      <w:r w:rsidR="005C16CF" w:rsidRPr="00BA758E">
        <w:rPr>
          <w:lang w:val="de-DE"/>
        </w:rPr>
        <w:t>i</w:t>
      </w:r>
      <w:r w:rsidRPr="00BA758E">
        <w:rPr>
          <w:lang w:val="de-DE"/>
        </w:rPr>
        <w:t>e</w:t>
      </w:r>
      <w:r w:rsidR="005C16CF" w:rsidRPr="00BA758E">
        <w:rPr>
          <w:lang w:val="de-DE"/>
        </w:rPr>
        <w:t>h</w:t>
      </w:r>
      <w:r w:rsidRPr="00BA758E">
        <w:rPr>
          <w:lang w:val="de-DE"/>
        </w:rPr>
        <w:t xml:space="preserve">e </w:t>
      </w:r>
      <w:r w:rsidR="005C16CF" w:rsidRPr="00BA758E">
        <w:rPr>
          <w:lang w:val="de-DE"/>
        </w:rPr>
        <w:t>die Berichte</w:t>
      </w:r>
      <w:r w:rsidRPr="00BA758E">
        <w:rPr>
          <w:lang w:val="de-DE"/>
        </w:rPr>
        <w:t xml:space="preserve"> </w:t>
      </w:r>
      <w:hyperlink r:id="rId1" w:history="1">
        <w:r w:rsidR="005C16CF" w:rsidRPr="00BA758E">
          <w:rPr>
            <w:rStyle w:val="Hyperlink"/>
            <w:lang w:val="de-DE"/>
          </w:rPr>
          <w:t>https://unece.org/DAM/trans/doc/2019/dgadn/ECE-ADN-51g.pdf</w:t>
        </w:r>
      </w:hyperlink>
      <w:r w:rsidRPr="00BA758E">
        <w:rPr>
          <w:lang w:val="de-DE"/>
        </w:rPr>
        <w:t xml:space="preserve"> </w:t>
      </w:r>
      <w:r w:rsidR="005C16CF" w:rsidRPr="00BA758E">
        <w:rPr>
          <w:lang w:val="de-DE"/>
        </w:rPr>
        <w:t>u</w:t>
      </w:r>
      <w:r w:rsidRPr="00BA758E">
        <w:rPr>
          <w:lang w:val="de-DE"/>
        </w:rPr>
        <w:t xml:space="preserve">nd </w:t>
      </w:r>
      <w:hyperlink r:id="rId2" w:history="1">
        <w:r w:rsidR="005C16CF" w:rsidRPr="00BA758E">
          <w:rPr>
            <w:rStyle w:val="Hyperlink"/>
            <w:lang w:val="de-DE"/>
          </w:rPr>
          <w:t>https://unece.org/DAM/trans/doc/2020/dgadn/ECE-ADN-53g.pdf</w:t>
        </w:r>
      </w:hyperlink>
    </w:p>
  </w:footnote>
  <w:footnote w:id="4">
    <w:p w14:paraId="40A67FA6" w14:textId="77777777" w:rsidR="00940A9C" w:rsidRPr="00662996" w:rsidRDefault="00940A9C" w:rsidP="005E21E2">
      <w:pPr>
        <w:tabs>
          <w:tab w:val="left" w:pos="567"/>
          <w:tab w:val="left" w:pos="851"/>
        </w:tabs>
        <w:rPr>
          <w:bCs/>
          <w:sz w:val="16"/>
          <w:szCs w:val="16"/>
          <w:lang w:val="de-DE"/>
        </w:rPr>
      </w:pPr>
      <w:r w:rsidRPr="001B5E14">
        <w:rPr>
          <w:sz w:val="16"/>
          <w:szCs w:val="16"/>
          <w:lang w:val="de-DE"/>
        </w:rPr>
        <w:tab/>
      </w:r>
      <w:r w:rsidRPr="001B5E14">
        <w:rPr>
          <w:sz w:val="16"/>
          <w:szCs w:val="16"/>
        </w:rPr>
        <w:footnoteRef/>
      </w:r>
      <w:r w:rsidRPr="001B5E14">
        <w:rPr>
          <w:sz w:val="16"/>
          <w:szCs w:val="16"/>
        </w:rPr>
        <w:t xml:space="preserve"> </w:t>
      </w:r>
      <w:r w:rsidRPr="001B5E14">
        <w:rPr>
          <w:sz w:val="16"/>
          <w:szCs w:val="16"/>
        </w:rPr>
        <w:tab/>
      </w:r>
      <w:r w:rsidRPr="001B5E14">
        <w:rPr>
          <w:bCs/>
          <w:sz w:val="16"/>
          <w:szCs w:val="16"/>
          <w:lang w:val="de-DE"/>
        </w:rPr>
        <w:t>Rhein- oder Donauschifffahrtszugehörigkeitsurkunde.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3D6DB" w14:textId="77777777" w:rsidR="00940A9C" w:rsidRDefault="00940A9C" w:rsidP="00940A9C">
    <w:pPr>
      <w:spacing w:line="240" w:lineRule="auto"/>
      <w:rPr>
        <w:rFonts w:ascii="Arial" w:hAnsi="Arial"/>
        <w:snapToGrid w:val="0"/>
        <w:sz w:val="16"/>
        <w:szCs w:val="16"/>
        <w:lang w:val="en-US"/>
      </w:rPr>
    </w:pPr>
    <w:r w:rsidRPr="00BB4DAA">
      <w:rPr>
        <w:rFonts w:ascii="Arial" w:hAnsi="Arial"/>
        <w:snapToGrid w:val="0"/>
        <w:sz w:val="16"/>
        <w:szCs w:val="16"/>
        <w:lang w:val="en-US"/>
      </w:rPr>
      <w:t>CCNR-ZKR/ADN/WP.15/AC.2/7</w:t>
    </w:r>
    <w:r>
      <w:rPr>
        <w:rFonts w:ascii="Arial" w:hAnsi="Arial"/>
        <w:snapToGrid w:val="0"/>
        <w:sz w:val="16"/>
        <w:szCs w:val="16"/>
        <w:lang w:val="en-US"/>
      </w:rPr>
      <w:t>8</w:t>
    </w:r>
  </w:p>
  <w:p w14:paraId="66E49127" w14:textId="78430EFC" w:rsidR="00940A9C" w:rsidRDefault="00940A9C" w:rsidP="00940A9C">
    <w:pPr>
      <w:spacing w:line="240" w:lineRule="auto"/>
    </w:pPr>
    <w:r w:rsidRPr="00BB4DAA">
      <w:rPr>
        <w:rFonts w:ascii="Arial" w:eastAsia="SimSun" w:hAnsi="Arial"/>
        <w:snapToGrid w:val="0"/>
        <w:sz w:val="16"/>
        <w:szCs w:val="16"/>
      </w:rPr>
      <w:t xml:space="preserve">Seite </w:t>
    </w:r>
    <w:r w:rsidRPr="00BB4DAA">
      <w:rPr>
        <w:rFonts w:ascii="Arial" w:eastAsia="SimSun" w:hAnsi="Arial"/>
        <w:snapToGrid w:val="0"/>
        <w:sz w:val="16"/>
        <w:szCs w:val="16"/>
      </w:rPr>
      <w:fldChar w:fldCharType="begin"/>
    </w:r>
    <w:r w:rsidRPr="00BB4DAA">
      <w:rPr>
        <w:rFonts w:ascii="Arial" w:eastAsia="SimSun" w:hAnsi="Arial"/>
        <w:snapToGrid w:val="0"/>
        <w:sz w:val="16"/>
        <w:szCs w:val="16"/>
      </w:rPr>
      <w:instrText xml:space="preserve"> PAGE  \* MERGEFORMAT </w:instrText>
    </w:r>
    <w:r w:rsidRPr="00BB4DAA">
      <w:rPr>
        <w:rFonts w:ascii="Arial" w:eastAsia="SimSun" w:hAnsi="Arial"/>
        <w:snapToGrid w:val="0"/>
        <w:sz w:val="16"/>
        <w:szCs w:val="16"/>
      </w:rPr>
      <w:fldChar w:fldCharType="separate"/>
    </w:r>
    <w:r>
      <w:rPr>
        <w:rFonts w:ascii="Arial" w:eastAsia="SimSun" w:hAnsi="Arial"/>
        <w:snapToGrid w:val="0"/>
        <w:sz w:val="16"/>
        <w:szCs w:val="16"/>
      </w:rPr>
      <w:t>15</w:t>
    </w:r>
    <w:r w:rsidRPr="00BB4DAA">
      <w:rPr>
        <w:rFonts w:ascii="Arial" w:eastAsia="SimSun" w:hAnsi="Arial"/>
        <w:snapToGrid w:val="0"/>
        <w:sz w:val="16"/>
        <w:szCs w:val="16"/>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6D7E4" w14:textId="77777777" w:rsidR="00940A9C" w:rsidRDefault="00940A9C" w:rsidP="00105C43">
    <w:pPr>
      <w:spacing w:line="240" w:lineRule="auto"/>
      <w:rPr>
        <w:rFonts w:ascii="Arial" w:hAnsi="Arial"/>
        <w:snapToGrid w:val="0"/>
        <w:sz w:val="16"/>
        <w:szCs w:val="16"/>
        <w:lang w:val="en-US"/>
      </w:rPr>
    </w:pPr>
    <w:bookmarkStart w:id="105" w:name="_Hlk85529150"/>
    <w:bookmarkStart w:id="106" w:name="_Hlk85529151"/>
    <w:r w:rsidRPr="00BB4DAA">
      <w:rPr>
        <w:rFonts w:ascii="Arial" w:hAnsi="Arial"/>
        <w:snapToGrid w:val="0"/>
        <w:sz w:val="16"/>
        <w:szCs w:val="16"/>
        <w:lang w:val="en-US"/>
      </w:rPr>
      <w:t>CCNR-ZKR/ADN/WP.15/AC.2/7</w:t>
    </w:r>
    <w:r>
      <w:rPr>
        <w:rFonts w:ascii="Arial" w:hAnsi="Arial"/>
        <w:snapToGrid w:val="0"/>
        <w:sz w:val="16"/>
        <w:szCs w:val="16"/>
        <w:lang w:val="en-US"/>
      </w:rPr>
      <w:t>8</w:t>
    </w:r>
  </w:p>
  <w:p w14:paraId="39D53EC3" w14:textId="77777777" w:rsidR="00940A9C" w:rsidRPr="00105C43" w:rsidRDefault="00940A9C" w:rsidP="00105C43">
    <w:pPr>
      <w:spacing w:line="240" w:lineRule="auto"/>
    </w:pPr>
    <w:r w:rsidRPr="00BB4DAA">
      <w:rPr>
        <w:rFonts w:ascii="Arial" w:eastAsia="SimSun" w:hAnsi="Arial"/>
        <w:snapToGrid w:val="0"/>
        <w:sz w:val="16"/>
        <w:szCs w:val="16"/>
      </w:rPr>
      <w:t xml:space="preserve">Seite </w:t>
    </w:r>
    <w:r w:rsidRPr="00BB4DAA">
      <w:rPr>
        <w:rFonts w:ascii="Arial" w:eastAsia="SimSun" w:hAnsi="Arial"/>
        <w:snapToGrid w:val="0"/>
        <w:sz w:val="16"/>
        <w:szCs w:val="16"/>
      </w:rPr>
      <w:fldChar w:fldCharType="begin"/>
    </w:r>
    <w:r w:rsidRPr="00BB4DAA">
      <w:rPr>
        <w:rFonts w:ascii="Arial" w:eastAsia="SimSun" w:hAnsi="Arial"/>
        <w:snapToGrid w:val="0"/>
        <w:sz w:val="16"/>
        <w:szCs w:val="16"/>
      </w:rPr>
      <w:instrText xml:space="preserve"> PAGE  \* MERGEFORMAT </w:instrText>
    </w:r>
    <w:r w:rsidRPr="00BB4DAA">
      <w:rPr>
        <w:rFonts w:ascii="Arial" w:eastAsia="SimSun" w:hAnsi="Arial"/>
        <w:snapToGrid w:val="0"/>
        <w:sz w:val="16"/>
        <w:szCs w:val="16"/>
      </w:rPr>
      <w:fldChar w:fldCharType="separate"/>
    </w:r>
    <w:r>
      <w:rPr>
        <w:rFonts w:ascii="Arial" w:eastAsia="SimSun" w:hAnsi="Arial"/>
        <w:snapToGrid w:val="0"/>
        <w:sz w:val="16"/>
        <w:szCs w:val="16"/>
      </w:rPr>
      <w:t>14</w:t>
    </w:r>
    <w:r w:rsidRPr="00BB4DAA">
      <w:rPr>
        <w:rFonts w:ascii="Arial" w:eastAsia="SimSun" w:hAnsi="Arial"/>
        <w:snapToGrid w:val="0"/>
        <w:sz w:val="16"/>
        <w:szCs w:val="16"/>
      </w:rPr>
      <w:fldChar w:fldCharType="end"/>
    </w:r>
    <w:bookmarkEnd w:id="105"/>
    <w:bookmarkEnd w:id="106"/>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6B8D8" w14:textId="77777777" w:rsidR="00940A9C" w:rsidRDefault="00940A9C" w:rsidP="0064731E">
    <w:pPr>
      <w:spacing w:line="240" w:lineRule="auto"/>
      <w:rPr>
        <w:rFonts w:ascii="Arial" w:hAnsi="Arial"/>
        <w:snapToGrid w:val="0"/>
        <w:sz w:val="16"/>
        <w:szCs w:val="16"/>
        <w:lang w:val="en-US"/>
      </w:rPr>
    </w:pPr>
    <w:r w:rsidRPr="00BB4DAA">
      <w:rPr>
        <w:rFonts w:ascii="Arial" w:hAnsi="Arial"/>
        <w:snapToGrid w:val="0"/>
        <w:sz w:val="16"/>
        <w:szCs w:val="16"/>
        <w:lang w:val="en-US"/>
      </w:rPr>
      <w:t>CCNR-ZKR/ADN/WP.15/AC.2/7</w:t>
    </w:r>
    <w:r>
      <w:rPr>
        <w:rFonts w:ascii="Arial" w:hAnsi="Arial"/>
        <w:snapToGrid w:val="0"/>
        <w:sz w:val="16"/>
        <w:szCs w:val="16"/>
        <w:lang w:val="en-US"/>
      </w:rPr>
      <w:t>8</w:t>
    </w:r>
  </w:p>
  <w:p w14:paraId="472DFF39" w14:textId="77777777" w:rsidR="00940A9C" w:rsidRDefault="00940A9C" w:rsidP="0064731E">
    <w:r w:rsidRPr="00BB4DAA">
      <w:rPr>
        <w:rFonts w:ascii="Arial" w:eastAsia="SimSun" w:hAnsi="Arial"/>
        <w:snapToGrid w:val="0"/>
        <w:sz w:val="16"/>
        <w:szCs w:val="16"/>
      </w:rPr>
      <w:t xml:space="preserve">Seite </w:t>
    </w:r>
    <w:r w:rsidRPr="00BB4DAA">
      <w:rPr>
        <w:rFonts w:ascii="Arial" w:eastAsia="SimSun" w:hAnsi="Arial"/>
        <w:snapToGrid w:val="0"/>
        <w:sz w:val="16"/>
        <w:szCs w:val="16"/>
      </w:rPr>
      <w:fldChar w:fldCharType="begin"/>
    </w:r>
    <w:r w:rsidRPr="00BB4DAA">
      <w:rPr>
        <w:rFonts w:ascii="Arial" w:eastAsia="SimSun" w:hAnsi="Arial"/>
        <w:snapToGrid w:val="0"/>
        <w:sz w:val="16"/>
        <w:szCs w:val="16"/>
      </w:rPr>
      <w:instrText xml:space="preserve"> PAGE  \* MERGEFORMAT </w:instrText>
    </w:r>
    <w:r w:rsidRPr="00BB4DAA">
      <w:rPr>
        <w:rFonts w:ascii="Arial" w:eastAsia="SimSun" w:hAnsi="Arial"/>
        <w:snapToGrid w:val="0"/>
        <w:sz w:val="16"/>
        <w:szCs w:val="16"/>
      </w:rPr>
      <w:fldChar w:fldCharType="separate"/>
    </w:r>
    <w:r>
      <w:rPr>
        <w:rFonts w:ascii="Arial" w:eastAsia="SimSun" w:hAnsi="Arial"/>
        <w:snapToGrid w:val="0"/>
        <w:sz w:val="16"/>
        <w:szCs w:val="16"/>
      </w:rPr>
      <w:t>18</w:t>
    </w:r>
    <w:r w:rsidRPr="00BB4DAA">
      <w:rPr>
        <w:rFonts w:ascii="Arial" w:eastAsia="SimSun" w:hAnsi="Arial"/>
        <w:snapToGrid w:val="0"/>
        <w:sz w:val="16"/>
        <w:szCs w:val="16"/>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45ED5" w14:textId="77777777" w:rsidR="00940A9C" w:rsidRDefault="00940A9C" w:rsidP="00F8483D">
    <w:pPr>
      <w:spacing w:line="240" w:lineRule="auto"/>
      <w:rPr>
        <w:rFonts w:ascii="Arial" w:hAnsi="Arial"/>
        <w:snapToGrid w:val="0"/>
        <w:sz w:val="16"/>
        <w:szCs w:val="16"/>
        <w:lang w:val="en-US"/>
      </w:rPr>
    </w:pPr>
    <w:r w:rsidRPr="00BB4DAA">
      <w:rPr>
        <w:rFonts w:ascii="Arial" w:hAnsi="Arial"/>
        <w:snapToGrid w:val="0"/>
        <w:sz w:val="16"/>
        <w:szCs w:val="16"/>
        <w:lang w:val="en-US"/>
      </w:rPr>
      <w:t>CCNR-ZKR/ADN/WP.15/AC.2/7</w:t>
    </w:r>
    <w:r>
      <w:rPr>
        <w:rFonts w:ascii="Arial" w:hAnsi="Arial"/>
        <w:snapToGrid w:val="0"/>
        <w:sz w:val="16"/>
        <w:szCs w:val="16"/>
        <w:lang w:val="en-US"/>
      </w:rPr>
      <w:t>8</w:t>
    </w:r>
  </w:p>
  <w:p w14:paraId="6BF6D6E9" w14:textId="77777777" w:rsidR="00940A9C" w:rsidRDefault="00940A9C" w:rsidP="00F8483D">
    <w:r w:rsidRPr="00BB4DAA">
      <w:rPr>
        <w:rFonts w:ascii="Arial" w:eastAsia="SimSun" w:hAnsi="Arial"/>
        <w:snapToGrid w:val="0"/>
        <w:sz w:val="16"/>
        <w:szCs w:val="16"/>
      </w:rPr>
      <w:t xml:space="preserve">Seite </w:t>
    </w:r>
    <w:r w:rsidRPr="00BB4DAA">
      <w:rPr>
        <w:rFonts w:ascii="Arial" w:eastAsia="SimSun" w:hAnsi="Arial"/>
        <w:snapToGrid w:val="0"/>
        <w:sz w:val="16"/>
        <w:szCs w:val="16"/>
      </w:rPr>
      <w:fldChar w:fldCharType="begin"/>
    </w:r>
    <w:r w:rsidRPr="00BB4DAA">
      <w:rPr>
        <w:rFonts w:ascii="Arial" w:eastAsia="SimSun" w:hAnsi="Arial"/>
        <w:snapToGrid w:val="0"/>
        <w:sz w:val="16"/>
        <w:szCs w:val="16"/>
      </w:rPr>
      <w:instrText xml:space="preserve"> PAGE  \* MERGEFORMAT </w:instrText>
    </w:r>
    <w:r w:rsidRPr="00BB4DAA">
      <w:rPr>
        <w:rFonts w:ascii="Arial" w:eastAsia="SimSun" w:hAnsi="Arial"/>
        <w:snapToGrid w:val="0"/>
        <w:sz w:val="16"/>
        <w:szCs w:val="16"/>
      </w:rPr>
      <w:fldChar w:fldCharType="separate"/>
    </w:r>
    <w:r>
      <w:rPr>
        <w:rFonts w:ascii="Arial" w:eastAsia="SimSun" w:hAnsi="Arial"/>
        <w:snapToGrid w:val="0"/>
        <w:sz w:val="16"/>
        <w:szCs w:val="16"/>
      </w:rPr>
      <w:t>18</w:t>
    </w:r>
    <w:r w:rsidRPr="00BB4DAA">
      <w:rPr>
        <w:rFonts w:ascii="Arial" w:eastAsia="SimSun" w:hAnsi="Arial"/>
        <w:snapToGrid w:val="0"/>
        <w:sz w:val="16"/>
        <w:szCs w:val="16"/>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B3E6D" w14:textId="77777777" w:rsidR="00940A9C" w:rsidRDefault="00940A9C" w:rsidP="0064731E">
    <w:pPr>
      <w:spacing w:line="240" w:lineRule="auto"/>
      <w:jc w:val="right"/>
      <w:rPr>
        <w:rFonts w:ascii="Arial" w:hAnsi="Arial"/>
        <w:snapToGrid w:val="0"/>
        <w:sz w:val="16"/>
        <w:szCs w:val="16"/>
        <w:lang w:val="en-US"/>
      </w:rPr>
    </w:pPr>
    <w:r w:rsidRPr="00BB4DAA">
      <w:rPr>
        <w:rFonts w:ascii="Arial" w:hAnsi="Arial"/>
        <w:snapToGrid w:val="0"/>
        <w:sz w:val="16"/>
        <w:szCs w:val="16"/>
        <w:lang w:val="en-US"/>
      </w:rPr>
      <w:t>CCNR-ZKR/ADN/WP.15/AC.2/7</w:t>
    </w:r>
    <w:r>
      <w:rPr>
        <w:rFonts w:ascii="Arial" w:hAnsi="Arial"/>
        <w:snapToGrid w:val="0"/>
        <w:sz w:val="16"/>
        <w:szCs w:val="16"/>
        <w:lang w:val="en-US"/>
      </w:rPr>
      <w:t>8</w:t>
    </w:r>
  </w:p>
  <w:p w14:paraId="5536CD1D" w14:textId="77777777" w:rsidR="00940A9C" w:rsidRDefault="00940A9C" w:rsidP="0064731E">
    <w:pPr>
      <w:jc w:val="right"/>
    </w:pPr>
    <w:r w:rsidRPr="00BB4DAA">
      <w:rPr>
        <w:rFonts w:ascii="Arial" w:eastAsia="SimSun" w:hAnsi="Arial"/>
        <w:snapToGrid w:val="0"/>
        <w:sz w:val="16"/>
        <w:szCs w:val="16"/>
      </w:rPr>
      <w:t xml:space="preserve">Seite </w:t>
    </w:r>
    <w:r w:rsidRPr="00BB4DAA">
      <w:rPr>
        <w:rFonts w:ascii="Arial" w:eastAsia="SimSun" w:hAnsi="Arial"/>
        <w:snapToGrid w:val="0"/>
        <w:sz w:val="16"/>
        <w:szCs w:val="16"/>
      </w:rPr>
      <w:fldChar w:fldCharType="begin"/>
    </w:r>
    <w:r w:rsidRPr="00BB4DAA">
      <w:rPr>
        <w:rFonts w:ascii="Arial" w:eastAsia="SimSun" w:hAnsi="Arial"/>
        <w:snapToGrid w:val="0"/>
        <w:sz w:val="16"/>
        <w:szCs w:val="16"/>
      </w:rPr>
      <w:instrText xml:space="preserve"> PAGE  \* MERGEFORMAT </w:instrText>
    </w:r>
    <w:r w:rsidRPr="00BB4DAA">
      <w:rPr>
        <w:rFonts w:ascii="Arial" w:eastAsia="SimSun" w:hAnsi="Arial"/>
        <w:snapToGrid w:val="0"/>
        <w:sz w:val="16"/>
        <w:szCs w:val="16"/>
      </w:rPr>
      <w:fldChar w:fldCharType="separate"/>
    </w:r>
    <w:r>
      <w:rPr>
        <w:rFonts w:ascii="Arial" w:eastAsia="SimSun" w:hAnsi="Arial"/>
        <w:snapToGrid w:val="0"/>
        <w:sz w:val="16"/>
        <w:szCs w:val="16"/>
      </w:rPr>
      <w:t>18</w:t>
    </w:r>
    <w:r w:rsidRPr="00BB4DAA">
      <w:rPr>
        <w:rFonts w:ascii="Arial" w:eastAsia="SimSun" w:hAnsi="Arial"/>
        <w:snapToGrid w:val="0"/>
        <w:sz w:val="16"/>
        <w:szCs w:val="16"/>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6F90F" w14:textId="77777777" w:rsidR="00BB4DAA" w:rsidRPr="00BB4DAA" w:rsidRDefault="00833FC0" w:rsidP="00BB4DAA">
    <w:pPr>
      <w:spacing w:line="240" w:lineRule="auto"/>
      <w:rPr>
        <w:rFonts w:ascii="Arial" w:hAnsi="Arial"/>
        <w:snapToGrid w:val="0"/>
        <w:sz w:val="16"/>
        <w:szCs w:val="16"/>
        <w:lang w:val="en-US"/>
      </w:rPr>
    </w:pPr>
    <w:bookmarkStart w:id="117" w:name="_Hlk35009453"/>
    <w:bookmarkStart w:id="118" w:name="_Hlk35009454"/>
    <w:r w:rsidRPr="00BB4DAA">
      <w:rPr>
        <w:rFonts w:ascii="Arial" w:hAnsi="Arial"/>
        <w:snapToGrid w:val="0"/>
        <w:sz w:val="16"/>
        <w:szCs w:val="16"/>
        <w:lang w:val="en-US"/>
      </w:rPr>
      <w:t>CCNR-ZKR/ADN/WP.15/AC.2/7</w:t>
    </w:r>
    <w:r>
      <w:rPr>
        <w:rFonts w:ascii="Arial" w:hAnsi="Arial"/>
        <w:snapToGrid w:val="0"/>
        <w:sz w:val="16"/>
        <w:szCs w:val="16"/>
        <w:lang w:val="en-US"/>
      </w:rPr>
      <w:t>6</w:t>
    </w:r>
  </w:p>
  <w:p w14:paraId="503D9D93" w14:textId="77777777" w:rsidR="002B671C" w:rsidRPr="00BB4DAA" w:rsidRDefault="00833FC0" w:rsidP="00BB4DAA">
    <w:pPr>
      <w:spacing w:line="240" w:lineRule="auto"/>
    </w:pPr>
    <w:r w:rsidRPr="00BB4DAA">
      <w:rPr>
        <w:rFonts w:ascii="Arial" w:eastAsia="SimSun" w:hAnsi="Arial"/>
        <w:snapToGrid w:val="0"/>
        <w:sz w:val="16"/>
        <w:szCs w:val="16"/>
      </w:rPr>
      <w:t xml:space="preserve">Seite </w:t>
    </w:r>
    <w:r w:rsidRPr="00BB4DAA">
      <w:rPr>
        <w:rFonts w:ascii="Arial" w:eastAsia="SimSun" w:hAnsi="Arial"/>
        <w:snapToGrid w:val="0"/>
        <w:sz w:val="16"/>
        <w:szCs w:val="16"/>
      </w:rPr>
      <w:fldChar w:fldCharType="begin"/>
    </w:r>
    <w:r w:rsidRPr="00BB4DAA">
      <w:rPr>
        <w:rFonts w:ascii="Arial" w:eastAsia="SimSun" w:hAnsi="Arial"/>
        <w:snapToGrid w:val="0"/>
        <w:sz w:val="16"/>
        <w:szCs w:val="16"/>
      </w:rPr>
      <w:instrText xml:space="preserve"> PAGE  \* MERGEFORMAT </w:instrText>
    </w:r>
    <w:r w:rsidRPr="00BB4DAA">
      <w:rPr>
        <w:rFonts w:ascii="Arial" w:eastAsia="SimSun" w:hAnsi="Arial"/>
        <w:snapToGrid w:val="0"/>
        <w:sz w:val="16"/>
        <w:szCs w:val="16"/>
      </w:rPr>
      <w:fldChar w:fldCharType="separate"/>
    </w:r>
    <w:r w:rsidRPr="00BB4DAA">
      <w:rPr>
        <w:rFonts w:ascii="Arial" w:eastAsia="SimSun" w:hAnsi="Arial"/>
        <w:snapToGrid w:val="0"/>
        <w:sz w:val="16"/>
        <w:szCs w:val="16"/>
        <w:lang w:eastAsia="en-US"/>
      </w:rPr>
      <w:t>2</w:t>
    </w:r>
    <w:r w:rsidRPr="00BB4DAA">
      <w:rPr>
        <w:rFonts w:ascii="Arial" w:eastAsia="SimSun" w:hAnsi="Arial"/>
        <w:snapToGrid w:val="0"/>
        <w:sz w:val="16"/>
        <w:szCs w:val="16"/>
      </w:rPr>
      <w:fldChar w:fldCharType="end"/>
    </w:r>
    <w:bookmarkEnd w:id="117"/>
    <w:bookmarkEnd w:id="118"/>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848AC" w14:textId="1CCE57C0" w:rsidR="00BB4DAA" w:rsidRPr="00BB4DAA" w:rsidRDefault="00833FC0" w:rsidP="00BB4DAA">
    <w:pPr>
      <w:spacing w:line="240" w:lineRule="auto"/>
      <w:jc w:val="right"/>
      <w:rPr>
        <w:rFonts w:ascii="Arial" w:hAnsi="Arial"/>
        <w:snapToGrid w:val="0"/>
        <w:sz w:val="16"/>
        <w:szCs w:val="16"/>
        <w:lang w:val="en-US"/>
      </w:rPr>
    </w:pPr>
    <w:r w:rsidRPr="00BB4DAA">
      <w:rPr>
        <w:rFonts w:ascii="Arial" w:hAnsi="Arial"/>
        <w:snapToGrid w:val="0"/>
        <w:sz w:val="16"/>
        <w:szCs w:val="16"/>
        <w:lang w:val="en-US"/>
      </w:rPr>
      <w:t>CCNR-ZKR/ADN/WP.15/AC.2/7</w:t>
    </w:r>
    <w:r w:rsidR="00FA4D14">
      <w:rPr>
        <w:rFonts w:ascii="Arial" w:hAnsi="Arial"/>
        <w:snapToGrid w:val="0"/>
        <w:sz w:val="16"/>
        <w:szCs w:val="16"/>
        <w:lang w:val="en-US"/>
      </w:rPr>
      <w:t>8</w:t>
    </w:r>
  </w:p>
  <w:p w14:paraId="5E58BC69" w14:textId="77777777" w:rsidR="002B671C" w:rsidRPr="00BB4DAA" w:rsidRDefault="00833FC0" w:rsidP="00BB4DAA">
    <w:pPr>
      <w:spacing w:line="240" w:lineRule="auto"/>
      <w:jc w:val="right"/>
    </w:pPr>
    <w:r w:rsidRPr="00BB4DAA">
      <w:rPr>
        <w:rFonts w:ascii="Arial" w:eastAsia="SimSun" w:hAnsi="Arial"/>
        <w:snapToGrid w:val="0"/>
        <w:sz w:val="16"/>
        <w:szCs w:val="16"/>
      </w:rPr>
      <w:t xml:space="preserve">Seite </w:t>
    </w:r>
    <w:r w:rsidRPr="00BB4DAA">
      <w:rPr>
        <w:rFonts w:ascii="Arial" w:eastAsia="SimSun" w:hAnsi="Arial"/>
        <w:snapToGrid w:val="0"/>
        <w:sz w:val="16"/>
        <w:szCs w:val="16"/>
      </w:rPr>
      <w:fldChar w:fldCharType="begin"/>
    </w:r>
    <w:r w:rsidRPr="00BB4DAA">
      <w:rPr>
        <w:rFonts w:ascii="Arial" w:eastAsia="SimSun" w:hAnsi="Arial"/>
        <w:snapToGrid w:val="0"/>
        <w:sz w:val="16"/>
        <w:szCs w:val="16"/>
      </w:rPr>
      <w:instrText xml:space="preserve"> PAGE  \* MERGEFORMAT </w:instrText>
    </w:r>
    <w:r w:rsidRPr="00BB4DAA">
      <w:rPr>
        <w:rFonts w:ascii="Arial" w:eastAsia="SimSun" w:hAnsi="Arial"/>
        <w:snapToGrid w:val="0"/>
        <w:sz w:val="16"/>
        <w:szCs w:val="16"/>
      </w:rPr>
      <w:fldChar w:fldCharType="separate"/>
    </w:r>
    <w:r>
      <w:rPr>
        <w:rFonts w:ascii="Arial" w:eastAsia="SimSun" w:hAnsi="Arial"/>
        <w:snapToGrid w:val="0"/>
        <w:sz w:val="16"/>
        <w:szCs w:val="16"/>
      </w:rPr>
      <w:t>2</w:t>
    </w:r>
    <w:r w:rsidRPr="00BB4DAA">
      <w:rPr>
        <w:rFonts w:ascii="Arial" w:eastAsia="SimSun" w:hAnsi="Arial"/>
        <w:snapToGrid w:val="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D9513" w14:textId="77777777" w:rsidR="00940A9C" w:rsidRDefault="00940A9C" w:rsidP="00940A9C">
    <w:pPr>
      <w:spacing w:line="240" w:lineRule="auto"/>
      <w:jc w:val="right"/>
      <w:rPr>
        <w:rFonts w:ascii="Arial" w:hAnsi="Arial"/>
        <w:snapToGrid w:val="0"/>
        <w:sz w:val="16"/>
        <w:szCs w:val="16"/>
        <w:lang w:val="en-US"/>
      </w:rPr>
    </w:pPr>
    <w:r w:rsidRPr="00BB4DAA">
      <w:rPr>
        <w:rFonts w:ascii="Arial" w:hAnsi="Arial"/>
        <w:snapToGrid w:val="0"/>
        <w:sz w:val="16"/>
        <w:szCs w:val="16"/>
        <w:lang w:val="en-US"/>
      </w:rPr>
      <w:t>CCNR-ZKR/ADN/WP.15/AC.2/7</w:t>
    </w:r>
    <w:r>
      <w:rPr>
        <w:rFonts w:ascii="Arial" w:hAnsi="Arial"/>
        <w:snapToGrid w:val="0"/>
        <w:sz w:val="16"/>
        <w:szCs w:val="16"/>
        <w:lang w:val="en-US"/>
      </w:rPr>
      <w:t>8</w:t>
    </w:r>
  </w:p>
  <w:p w14:paraId="72E871CE" w14:textId="53244290" w:rsidR="00940A9C" w:rsidRDefault="00940A9C" w:rsidP="00940A9C">
    <w:pPr>
      <w:spacing w:line="240" w:lineRule="auto"/>
      <w:jc w:val="right"/>
    </w:pPr>
    <w:r w:rsidRPr="00BB4DAA">
      <w:rPr>
        <w:rFonts w:ascii="Arial" w:eastAsia="SimSun" w:hAnsi="Arial"/>
        <w:snapToGrid w:val="0"/>
        <w:sz w:val="16"/>
        <w:szCs w:val="16"/>
      </w:rPr>
      <w:t xml:space="preserve">Seite </w:t>
    </w:r>
    <w:r w:rsidRPr="00BB4DAA">
      <w:rPr>
        <w:rFonts w:ascii="Arial" w:eastAsia="SimSun" w:hAnsi="Arial"/>
        <w:snapToGrid w:val="0"/>
        <w:sz w:val="16"/>
        <w:szCs w:val="16"/>
      </w:rPr>
      <w:fldChar w:fldCharType="begin"/>
    </w:r>
    <w:r w:rsidRPr="00BB4DAA">
      <w:rPr>
        <w:rFonts w:ascii="Arial" w:eastAsia="SimSun" w:hAnsi="Arial"/>
        <w:snapToGrid w:val="0"/>
        <w:sz w:val="16"/>
        <w:szCs w:val="16"/>
      </w:rPr>
      <w:instrText xml:space="preserve"> PAGE  \* MERGEFORMAT </w:instrText>
    </w:r>
    <w:r w:rsidRPr="00BB4DAA">
      <w:rPr>
        <w:rFonts w:ascii="Arial" w:eastAsia="SimSun" w:hAnsi="Arial"/>
        <w:snapToGrid w:val="0"/>
        <w:sz w:val="16"/>
        <w:szCs w:val="16"/>
      </w:rPr>
      <w:fldChar w:fldCharType="separate"/>
    </w:r>
    <w:r>
      <w:rPr>
        <w:rFonts w:ascii="Arial" w:eastAsia="SimSun" w:hAnsi="Arial"/>
        <w:snapToGrid w:val="0"/>
        <w:sz w:val="16"/>
        <w:szCs w:val="16"/>
      </w:rPr>
      <w:t>16</w:t>
    </w:r>
    <w:r w:rsidRPr="00BB4DAA">
      <w:rPr>
        <w:rFonts w:ascii="Arial" w:eastAsia="SimSun" w:hAnsi="Arial"/>
        <w:snapToGrid w:val="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335ED" w14:textId="77777777" w:rsidR="00940A9C" w:rsidRDefault="00940A9C" w:rsidP="00181181">
    <w:r>
      <w:t>ECE/TRANS/WP.15/AC.2/2021/28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B2DA7" w14:textId="77777777" w:rsidR="00940A9C" w:rsidRPr="00E36B99" w:rsidRDefault="00940A9C" w:rsidP="00181181">
    <w:pPr>
      <w:jc w:val="right"/>
    </w:pPr>
    <w:r>
      <w:t>ECE/TRANS/WP.15/AC.2/2021/28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EDA1D" w14:textId="77777777" w:rsidR="00940A9C" w:rsidRDefault="00940A9C" w:rsidP="00940A9C">
    <w:pPr>
      <w:spacing w:line="240" w:lineRule="auto"/>
      <w:rPr>
        <w:rFonts w:ascii="Arial" w:hAnsi="Arial"/>
        <w:snapToGrid w:val="0"/>
        <w:sz w:val="16"/>
        <w:szCs w:val="16"/>
        <w:lang w:val="en-US"/>
      </w:rPr>
    </w:pPr>
    <w:bookmarkStart w:id="91" w:name="_Hlk85529026"/>
    <w:bookmarkStart w:id="92" w:name="_Hlk85529027"/>
    <w:bookmarkStart w:id="93" w:name="_Hlk85529110"/>
    <w:bookmarkStart w:id="94" w:name="_Hlk85529111"/>
    <w:r w:rsidRPr="00BB4DAA">
      <w:rPr>
        <w:rFonts w:ascii="Arial" w:hAnsi="Arial"/>
        <w:snapToGrid w:val="0"/>
        <w:sz w:val="16"/>
        <w:szCs w:val="16"/>
        <w:lang w:val="en-US"/>
      </w:rPr>
      <w:t>CCNR-ZKR/ADN/WP.15/AC.2/7</w:t>
    </w:r>
    <w:r>
      <w:rPr>
        <w:rFonts w:ascii="Arial" w:hAnsi="Arial"/>
        <w:snapToGrid w:val="0"/>
        <w:sz w:val="16"/>
        <w:szCs w:val="16"/>
        <w:lang w:val="en-US"/>
      </w:rPr>
      <w:t>8</w:t>
    </w:r>
  </w:p>
  <w:p w14:paraId="442249DA" w14:textId="77777777" w:rsidR="00940A9C" w:rsidRPr="00105C43" w:rsidRDefault="00940A9C" w:rsidP="00940A9C">
    <w:pPr>
      <w:spacing w:line="240" w:lineRule="auto"/>
    </w:pPr>
    <w:r w:rsidRPr="00BB4DAA">
      <w:rPr>
        <w:rFonts w:ascii="Arial" w:eastAsia="SimSun" w:hAnsi="Arial"/>
        <w:snapToGrid w:val="0"/>
        <w:sz w:val="16"/>
        <w:szCs w:val="16"/>
      </w:rPr>
      <w:t xml:space="preserve">Seite </w:t>
    </w:r>
    <w:r w:rsidRPr="00BB4DAA">
      <w:rPr>
        <w:rFonts w:ascii="Arial" w:eastAsia="SimSun" w:hAnsi="Arial"/>
        <w:snapToGrid w:val="0"/>
        <w:sz w:val="16"/>
        <w:szCs w:val="16"/>
      </w:rPr>
      <w:fldChar w:fldCharType="begin"/>
    </w:r>
    <w:r w:rsidRPr="00BB4DAA">
      <w:rPr>
        <w:rFonts w:ascii="Arial" w:eastAsia="SimSun" w:hAnsi="Arial"/>
        <w:snapToGrid w:val="0"/>
        <w:sz w:val="16"/>
        <w:szCs w:val="16"/>
      </w:rPr>
      <w:instrText xml:space="preserve"> PAGE  \* MERGEFORMAT </w:instrText>
    </w:r>
    <w:r w:rsidRPr="00BB4DAA">
      <w:rPr>
        <w:rFonts w:ascii="Arial" w:eastAsia="SimSun" w:hAnsi="Arial"/>
        <w:snapToGrid w:val="0"/>
        <w:sz w:val="16"/>
        <w:szCs w:val="16"/>
      </w:rPr>
      <w:fldChar w:fldCharType="separate"/>
    </w:r>
    <w:r>
      <w:rPr>
        <w:rFonts w:ascii="Arial" w:eastAsia="SimSun" w:hAnsi="Arial"/>
        <w:snapToGrid w:val="0"/>
        <w:sz w:val="16"/>
        <w:szCs w:val="16"/>
      </w:rPr>
      <w:t>14</w:t>
    </w:r>
    <w:r w:rsidRPr="00BB4DAA">
      <w:rPr>
        <w:rFonts w:ascii="Arial" w:eastAsia="SimSun" w:hAnsi="Arial"/>
        <w:snapToGrid w:val="0"/>
        <w:sz w:val="16"/>
        <w:szCs w:val="16"/>
      </w:rPr>
      <w:fldChar w:fldCharType="end"/>
    </w:r>
    <w:bookmarkEnd w:id="91"/>
    <w:bookmarkEnd w:id="92"/>
    <w:bookmarkEnd w:id="93"/>
    <w:bookmarkEnd w:id="9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3F065" w14:textId="77777777" w:rsidR="00940A9C" w:rsidRDefault="00940A9C" w:rsidP="00105C43">
    <w:pPr>
      <w:spacing w:line="240" w:lineRule="auto"/>
      <w:rPr>
        <w:rFonts w:ascii="Arial" w:hAnsi="Arial"/>
        <w:snapToGrid w:val="0"/>
        <w:sz w:val="16"/>
        <w:szCs w:val="16"/>
        <w:lang w:val="en-US"/>
      </w:rPr>
    </w:pPr>
    <w:r w:rsidRPr="00BB4DAA">
      <w:rPr>
        <w:rFonts w:ascii="Arial" w:hAnsi="Arial"/>
        <w:snapToGrid w:val="0"/>
        <w:sz w:val="16"/>
        <w:szCs w:val="16"/>
        <w:lang w:val="en-US"/>
      </w:rPr>
      <w:t>CCNR-ZKR/ADN/WP.15/AC.2/7</w:t>
    </w:r>
    <w:r>
      <w:rPr>
        <w:rFonts w:ascii="Arial" w:hAnsi="Arial"/>
        <w:snapToGrid w:val="0"/>
        <w:sz w:val="16"/>
        <w:szCs w:val="16"/>
        <w:lang w:val="en-US"/>
      </w:rPr>
      <w:t>8</w:t>
    </w:r>
  </w:p>
  <w:p w14:paraId="1D0A26C3" w14:textId="77777777" w:rsidR="00940A9C" w:rsidRPr="00105C43" w:rsidRDefault="00940A9C" w:rsidP="00105C43">
    <w:pPr>
      <w:spacing w:line="240" w:lineRule="auto"/>
    </w:pPr>
    <w:r w:rsidRPr="00BB4DAA">
      <w:rPr>
        <w:rFonts w:ascii="Arial" w:eastAsia="SimSun" w:hAnsi="Arial"/>
        <w:snapToGrid w:val="0"/>
        <w:sz w:val="16"/>
        <w:szCs w:val="16"/>
      </w:rPr>
      <w:t xml:space="preserve">Seite </w:t>
    </w:r>
    <w:r w:rsidRPr="00BB4DAA">
      <w:rPr>
        <w:rFonts w:ascii="Arial" w:eastAsia="SimSun" w:hAnsi="Arial"/>
        <w:snapToGrid w:val="0"/>
        <w:sz w:val="16"/>
        <w:szCs w:val="16"/>
      </w:rPr>
      <w:fldChar w:fldCharType="begin"/>
    </w:r>
    <w:r w:rsidRPr="00BB4DAA">
      <w:rPr>
        <w:rFonts w:ascii="Arial" w:eastAsia="SimSun" w:hAnsi="Arial"/>
        <w:snapToGrid w:val="0"/>
        <w:sz w:val="16"/>
        <w:szCs w:val="16"/>
      </w:rPr>
      <w:instrText xml:space="preserve"> PAGE  \* MERGEFORMAT </w:instrText>
    </w:r>
    <w:r w:rsidRPr="00BB4DAA">
      <w:rPr>
        <w:rFonts w:ascii="Arial" w:eastAsia="SimSun" w:hAnsi="Arial"/>
        <w:snapToGrid w:val="0"/>
        <w:sz w:val="16"/>
        <w:szCs w:val="16"/>
      </w:rPr>
      <w:fldChar w:fldCharType="separate"/>
    </w:r>
    <w:r>
      <w:rPr>
        <w:rFonts w:ascii="Arial" w:eastAsia="SimSun" w:hAnsi="Arial"/>
        <w:snapToGrid w:val="0"/>
        <w:sz w:val="16"/>
        <w:szCs w:val="16"/>
      </w:rPr>
      <w:t>14</w:t>
    </w:r>
    <w:r w:rsidRPr="00BB4DAA">
      <w:rPr>
        <w:rFonts w:ascii="Arial" w:eastAsia="SimSun" w:hAnsi="Arial"/>
        <w:snapToGrid w:val="0"/>
        <w:sz w:val="16"/>
        <w:szCs w:val="16"/>
      </w:rPr>
      <w:fldChar w:fldCharType="end"/>
    </w:r>
  </w:p>
  <w:p w14:paraId="297DD90A" w14:textId="77777777" w:rsidR="00940A9C" w:rsidRPr="005665EA" w:rsidRDefault="00940A9C" w:rsidP="0018118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0F9AE" w14:textId="77777777" w:rsidR="00940A9C" w:rsidRDefault="00940A9C" w:rsidP="00940A9C">
    <w:pPr>
      <w:spacing w:line="240" w:lineRule="auto"/>
      <w:jc w:val="right"/>
      <w:rPr>
        <w:rFonts w:ascii="Arial" w:hAnsi="Arial"/>
        <w:snapToGrid w:val="0"/>
        <w:sz w:val="16"/>
        <w:szCs w:val="16"/>
        <w:lang w:val="en-US"/>
      </w:rPr>
    </w:pPr>
    <w:r w:rsidRPr="00BB4DAA">
      <w:rPr>
        <w:rFonts w:ascii="Arial" w:hAnsi="Arial"/>
        <w:snapToGrid w:val="0"/>
        <w:sz w:val="16"/>
        <w:szCs w:val="16"/>
        <w:lang w:val="en-US"/>
      </w:rPr>
      <w:t>CCNR-ZKR/ADN/WP.15/AC.2/7</w:t>
    </w:r>
    <w:r>
      <w:rPr>
        <w:rFonts w:ascii="Arial" w:hAnsi="Arial"/>
        <w:snapToGrid w:val="0"/>
        <w:sz w:val="16"/>
        <w:szCs w:val="16"/>
        <w:lang w:val="en-US"/>
      </w:rPr>
      <w:t>8</w:t>
    </w:r>
  </w:p>
  <w:p w14:paraId="704E3AA4" w14:textId="088A6933" w:rsidR="00940A9C" w:rsidRPr="005665EA" w:rsidRDefault="00940A9C" w:rsidP="00940A9C">
    <w:pPr>
      <w:spacing w:line="240" w:lineRule="auto"/>
      <w:jc w:val="right"/>
    </w:pPr>
    <w:r w:rsidRPr="00BB4DAA">
      <w:rPr>
        <w:rFonts w:ascii="Arial" w:eastAsia="SimSun" w:hAnsi="Arial"/>
        <w:snapToGrid w:val="0"/>
        <w:sz w:val="16"/>
        <w:szCs w:val="16"/>
      </w:rPr>
      <w:t xml:space="preserve">Seite </w:t>
    </w:r>
    <w:r w:rsidRPr="00BB4DAA">
      <w:rPr>
        <w:rFonts w:ascii="Arial" w:eastAsia="SimSun" w:hAnsi="Arial"/>
        <w:snapToGrid w:val="0"/>
        <w:sz w:val="16"/>
        <w:szCs w:val="16"/>
      </w:rPr>
      <w:fldChar w:fldCharType="begin"/>
    </w:r>
    <w:r w:rsidRPr="00BB4DAA">
      <w:rPr>
        <w:rFonts w:ascii="Arial" w:eastAsia="SimSun" w:hAnsi="Arial"/>
        <w:snapToGrid w:val="0"/>
        <w:sz w:val="16"/>
        <w:szCs w:val="16"/>
      </w:rPr>
      <w:instrText xml:space="preserve"> PAGE  \* MERGEFORMAT </w:instrText>
    </w:r>
    <w:r w:rsidRPr="00BB4DAA">
      <w:rPr>
        <w:rFonts w:ascii="Arial" w:eastAsia="SimSun" w:hAnsi="Arial"/>
        <w:snapToGrid w:val="0"/>
        <w:sz w:val="16"/>
        <w:szCs w:val="16"/>
      </w:rPr>
      <w:fldChar w:fldCharType="separate"/>
    </w:r>
    <w:r>
      <w:rPr>
        <w:rFonts w:ascii="Arial" w:eastAsia="SimSun" w:hAnsi="Arial"/>
        <w:snapToGrid w:val="0"/>
        <w:sz w:val="16"/>
        <w:szCs w:val="16"/>
      </w:rPr>
      <w:t>16</w:t>
    </w:r>
    <w:r w:rsidRPr="00BB4DAA">
      <w:rPr>
        <w:rFonts w:ascii="Arial" w:eastAsia="SimSun" w:hAnsi="Arial"/>
        <w:snapToGrid w:val="0"/>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F6708" w14:textId="77777777" w:rsidR="00940A9C" w:rsidRDefault="00940A9C" w:rsidP="00105C43">
    <w:pPr>
      <w:spacing w:line="240" w:lineRule="auto"/>
      <w:rPr>
        <w:rFonts w:ascii="Arial" w:hAnsi="Arial"/>
        <w:snapToGrid w:val="0"/>
        <w:sz w:val="16"/>
        <w:szCs w:val="16"/>
        <w:lang w:val="en-US"/>
      </w:rPr>
    </w:pPr>
    <w:bookmarkStart w:id="104" w:name="_Hlk84845677"/>
    <w:r w:rsidRPr="00BB4DAA">
      <w:rPr>
        <w:rFonts w:ascii="Arial" w:hAnsi="Arial"/>
        <w:snapToGrid w:val="0"/>
        <w:sz w:val="16"/>
        <w:szCs w:val="16"/>
        <w:lang w:val="en-US"/>
      </w:rPr>
      <w:t>CCNR-ZKR/ADN/WP.15/AC.2/7</w:t>
    </w:r>
    <w:r>
      <w:rPr>
        <w:rFonts w:ascii="Arial" w:hAnsi="Arial"/>
        <w:snapToGrid w:val="0"/>
        <w:sz w:val="16"/>
        <w:szCs w:val="16"/>
        <w:lang w:val="en-US"/>
      </w:rPr>
      <w:t>8</w:t>
    </w:r>
  </w:p>
  <w:p w14:paraId="7E9085C1" w14:textId="77777777" w:rsidR="00940A9C" w:rsidRPr="00105C43" w:rsidRDefault="00940A9C" w:rsidP="00105C43">
    <w:pPr>
      <w:spacing w:line="240" w:lineRule="auto"/>
    </w:pPr>
    <w:r w:rsidRPr="00BB4DAA">
      <w:rPr>
        <w:rFonts w:ascii="Arial" w:eastAsia="SimSun" w:hAnsi="Arial"/>
        <w:snapToGrid w:val="0"/>
        <w:sz w:val="16"/>
        <w:szCs w:val="16"/>
      </w:rPr>
      <w:t xml:space="preserve">Seite </w:t>
    </w:r>
    <w:r w:rsidRPr="00BB4DAA">
      <w:rPr>
        <w:rFonts w:ascii="Arial" w:eastAsia="SimSun" w:hAnsi="Arial"/>
        <w:snapToGrid w:val="0"/>
        <w:sz w:val="16"/>
        <w:szCs w:val="16"/>
      </w:rPr>
      <w:fldChar w:fldCharType="begin"/>
    </w:r>
    <w:r w:rsidRPr="00BB4DAA">
      <w:rPr>
        <w:rFonts w:ascii="Arial" w:eastAsia="SimSun" w:hAnsi="Arial"/>
        <w:snapToGrid w:val="0"/>
        <w:sz w:val="16"/>
        <w:szCs w:val="16"/>
      </w:rPr>
      <w:instrText xml:space="preserve"> PAGE  \* MERGEFORMAT </w:instrText>
    </w:r>
    <w:r w:rsidRPr="00BB4DAA">
      <w:rPr>
        <w:rFonts w:ascii="Arial" w:eastAsia="SimSun" w:hAnsi="Arial"/>
        <w:snapToGrid w:val="0"/>
        <w:sz w:val="16"/>
        <w:szCs w:val="16"/>
      </w:rPr>
      <w:fldChar w:fldCharType="separate"/>
    </w:r>
    <w:r>
      <w:rPr>
        <w:rFonts w:ascii="Arial" w:eastAsia="SimSun" w:hAnsi="Arial"/>
        <w:snapToGrid w:val="0"/>
        <w:sz w:val="16"/>
        <w:szCs w:val="16"/>
      </w:rPr>
      <w:t>14</w:t>
    </w:r>
    <w:r w:rsidRPr="00BB4DAA">
      <w:rPr>
        <w:rFonts w:ascii="Arial" w:eastAsia="SimSun" w:hAnsi="Arial"/>
        <w:snapToGrid w:val="0"/>
        <w:sz w:val="16"/>
        <w:szCs w:val="16"/>
      </w:rPr>
      <w:fldChar w:fldCharType="end"/>
    </w:r>
    <w:bookmarkEnd w:id="10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9C5EF" w14:textId="77777777" w:rsidR="00F8483D" w:rsidRDefault="00F8483D" w:rsidP="00F8483D">
    <w:pPr>
      <w:spacing w:line="240" w:lineRule="auto"/>
      <w:jc w:val="right"/>
      <w:rPr>
        <w:rFonts w:ascii="Arial" w:hAnsi="Arial"/>
        <w:snapToGrid w:val="0"/>
        <w:sz w:val="16"/>
        <w:szCs w:val="16"/>
        <w:lang w:val="en-US"/>
      </w:rPr>
    </w:pPr>
    <w:r w:rsidRPr="00BB4DAA">
      <w:rPr>
        <w:rFonts w:ascii="Arial" w:hAnsi="Arial"/>
        <w:snapToGrid w:val="0"/>
        <w:sz w:val="16"/>
        <w:szCs w:val="16"/>
        <w:lang w:val="en-US"/>
      </w:rPr>
      <w:t>CCNR-ZKR/ADN/WP.15/AC.2/7</w:t>
    </w:r>
    <w:r>
      <w:rPr>
        <w:rFonts w:ascii="Arial" w:hAnsi="Arial"/>
        <w:snapToGrid w:val="0"/>
        <w:sz w:val="16"/>
        <w:szCs w:val="16"/>
        <w:lang w:val="en-US"/>
      </w:rPr>
      <w:t>8</w:t>
    </w:r>
  </w:p>
  <w:p w14:paraId="7D9AEE77" w14:textId="5DDEDD9B" w:rsidR="00940A9C" w:rsidRPr="00F8483D" w:rsidRDefault="00F8483D" w:rsidP="00F8483D">
    <w:pPr>
      <w:spacing w:line="240" w:lineRule="auto"/>
      <w:jc w:val="right"/>
    </w:pPr>
    <w:r w:rsidRPr="00BB4DAA">
      <w:rPr>
        <w:rFonts w:ascii="Arial" w:eastAsia="SimSun" w:hAnsi="Arial"/>
        <w:snapToGrid w:val="0"/>
        <w:sz w:val="16"/>
        <w:szCs w:val="16"/>
      </w:rPr>
      <w:t xml:space="preserve">Seite </w:t>
    </w:r>
    <w:r w:rsidRPr="00BB4DAA">
      <w:rPr>
        <w:rFonts w:ascii="Arial" w:eastAsia="SimSun" w:hAnsi="Arial"/>
        <w:snapToGrid w:val="0"/>
        <w:sz w:val="16"/>
        <w:szCs w:val="16"/>
      </w:rPr>
      <w:fldChar w:fldCharType="begin"/>
    </w:r>
    <w:r w:rsidRPr="00BB4DAA">
      <w:rPr>
        <w:rFonts w:ascii="Arial" w:eastAsia="SimSun" w:hAnsi="Arial"/>
        <w:snapToGrid w:val="0"/>
        <w:sz w:val="16"/>
        <w:szCs w:val="16"/>
      </w:rPr>
      <w:instrText xml:space="preserve"> PAGE  \* MERGEFORMAT </w:instrText>
    </w:r>
    <w:r w:rsidRPr="00BB4DAA">
      <w:rPr>
        <w:rFonts w:ascii="Arial" w:eastAsia="SimSun" w:hAnsi="Arial"/>
        <w:snapToGrid w:val="0"/>
        <w:sz w:val="16"/>
        <w:szCs w:val="16"/>
      </w:rPr>
      <w:fldChar w:fldCharType="separate"/>
    </w:r>
    <w:r>
      <w:rPr>
        <w:rFonts w:ascii="Arial" w:eastAsia="SimSun" w:hAnsi="Arial"/>
        <w:snapToGrid w:val="0"/>
        <w:sz w:val="16"/>
        <w:szCs w:val="16"/>
      </w:rPr>
      <w:t>18</w:t>
    </w:r>
    <w:r w:rsidRPr="00BB4DAA">
      <w:rPr>
        <w:rFonts w:ascii="Arial" w:eastAsia="SimSun" w:hAnsi="Arial"/>
        <w:snapToGrid w:val="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 w:numId="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nl-NL" w:vendorID="64" w:dllVersion="0" w:nlCheck="1" w:checkStyle="0"/>
  <w:activeWritingStyle w:appName="MSWord" w:lang="fr-FR" w:vendorID="64" w:dllVersion="0" w:nlCheck="1" w:checkStyle="0"/>
  <w:activeWritingStyle w:appName="MSWord" w:lang="de-DE"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4D"/>
    <w:rsid w:val="00002A7D"/>
    <w:rsid w:val="000038A8"/>
    <w:rsid w:val="00006790"/>
    <w:rsid w:val="00006BF1"/>
    <w:rsid w:val="0001312A"/>
    <w:rsid w:val="00014EF7"/>
    <w:rsid w:val="00026B2A"/>
    <w:rsid w:val="00027624"/>
    <w:rsid w:val="0003244D"/>
    <w:rsid w:val="00032C77"/>
    <w:rsid w:val="00050F6B"/>
    <w:rsid w:val="0005214A"/>
    <w:rsid w:val="000602CD"/>
    <w:rsid w:val="000638CE"/>
    <w:rsid w:val="00065C2B"/>
    <w:rsid w:val="00066261"/>
    <w:rsid w:val="000678CD"/>
    <w:rsid w:val="00070DC5"/>
    <w:rsid w:val="00072A4D"/>
    <w:rsid w:val="00072C8C"/>
    <w:rsid w:val="00072D30"/>
    <w:rsid w:val="000754E2"/>
    <w:rsid w:val="00077957"/>
    <w:rsid w:val="00081CE0"/>
    <w:rsid w:val="000837A9"/>
    <w:rsid w:val="000848EA"/>
    <w:rsid w:val="00084D30"/>
    <w:rsid w:val="00086F3C"/>
    <w:rsid w:val="00090320"/>
    <w:rsid w:val="00091DDC"/>
    <w:rsid w:val="000931C0"/>
    <w:rsid w:val="000944F3"/>
    <w:rsid w:val="00096493"/>
    <w:rsid w:val="0009732C"/>
    <w:rsid w:val="00097AFB"/>
    <w:rsid w:val="000A01F9"/>
    <w:rsid w:val="000A1A22"/>
    <w:rsid w:val="000A2C64"/>
    <w:rsid w:val="000A2E09"/>
    <w:rsid w:val="000B175B"/>
    <w:rsid w:val="000B3A0F"/>
    <w:rsid w:val="000B6E98"/>
    <w:rsid w:val="000B7EFB"/>
    <w:rsid w:val="000C1E19"/>
    <w:rsid w:val="000C6220"/>
    <w:rsid w:val="000D4A3F"/>
    <w:rsid w:val="000D6EC6"/>
    <w:rsid w:val="000E0415"/>
    <w:rsid w:val="000E06E4"/>
    <w:rsid w:val="000E2CE0"/>
    <w:rsid w:val="000E3595"/>
    <w:rsid w:val="000E55E2"/>
    <w:rsid w:val="000F126A"/>
    <w:rsid w:val="000F2B92"/>
    <w:rsid w:val="000F5FD7"/>
    <w:rsid w:val="000F7715"/>
    <w:rsid w:val="0010196C"/>
    <w:rsid w:val="00101E08"/>
    <w:rsid w:val="001052F5"/>
    <w:rsid w:val="00106404"/>
    <w:rsid w:val="0011382B"/>
    <w:rsid w:val="00114795"/>
    <w:rsid w:val="00114B63"/>
    <w:rsid w:val="00114F5C"/>
    <w:rsid w:val="00122EC8"/>
    <w:rsid w:val="00124DBC"/>
    <w:rsid w:val="00124DFF"/>
    <w:rsid w:val="001261E5"/>
    <w:rsid w:val="001307FA"/>
    <w:rsid w:val="001324B2"/>
    <w:rsid w:val="001331C5"/>
    <w:rsid w:val="001361AD"/>
    <w:rsid w:val="00140CAC"/>
    <w:rsid w:val="00142D27"/>
    <w:rsid w:val="00152C0F"/>
    <w:rsid w:val="00156B99"/>
    <w:rsid w:val="0016173F"/>
    <w:rsid w:val="00162FA8"/>
    <w:rsid w:val="00163638"/>
    <w:rsid w:val="00164F6B"/>
    <w:rsid w:val="00166124"/>
    <w:rsid w:val="001708D0"/>
    <w:rsid w:val="00175F19"/>
    <w:rsid w:val="00181181"/>
    <w:rsid w:val="00184200"/>
    <w:rsid w:val="00184DDA"/>
    <w:rsid w:val="00185041"/>
    <w:rsid w:val="00187429"/>
    <w:rsid w:val="001900CD"/>
    <w:rsid w:val="00194777"/>
    <w:rsid w:val="0019499B"/>
    <w:rsid w:val="001A0452"/>
    <w:rsid w:val="001A2F6F"/>
    <w:rsid w:val="001A4555"/>
    <w:rsid w:val="001A4D79"/>
    <w:rsid w:val="001B4B04"/>
    <w:rsid w:val="001B5875"/>
    <w:rsid w:val="001B5E14"/>
    <w:rsid w:val="001B7373"/>
    <w:rsid w:val="001C4659"/>
    <w:rsid w:val="001C4AA2"/>
    <w:rsid w:val="001C4B9C"/>
    <w:rsid w:val="001C6663"/>
    <w:rsid w:val="001C7895"/>
    <w:rsid w:val="001D0CC3"/>
    <w:rsid w:val="001D26DF"/>
    <w:rsid w:val="001D3885"/>
    <w:rsid w:val="001E24FD"/>
    <w:rsid w:val="001F1599"/>
    <w:rsid w:val="001F19C4"/>
    <w:rsid w:val="001F5071"/>
    <w:rsid w:val="001F6D3E"/>
    <w:rsid w:val="00202059"/>
    <w:rsid w:val="002038BC"/>
    <w:rsid w:val="002043F0"/>
    <w:rsid w:val="00205BD7"/>
    <w:rsid w:val="00207FFD"/>
    <w:rsid w:val="00211421"/>
    <w:rsid w:val="00211E0B"/>
    <w:rsid w:val="002239ED"/>
    <w:rsid w:val="002242D4"/>
    <w:rsid w:val="00230862"/>
    <w:rsid w:val="00231914"/>
    <w:rsid w:val="00232575"/>
    <w:rsid w:val="00235AA7"/>
    <w:rsid w:val="00240436"/>
    <w:rsid w:val="00241F7D"/>
    <w:rsid w:val="0024347E"/>
    <w:rsid w:val="002467AF"/>
    <w:rsid w:val="00247258"/>
    <w:rsid w:val="00253C3A"/>
    <w:rsid w:val="00257CAC"/>
    <w:rsid w:val="002600B7"/>
    <w:rsid w:val="002612B9"/>
    <w:rsid w:val="00264296"/>
    <w:rsid w:val="00264441"/>
    <w:rsid w:val="0027237A"/>
    <w:rsid w:val="00273B73"/>
    <w:rsid w:val="002764E7"/>
    <w:rsid w:val="0028651B"/>
    <w:rsid w:val="00294BDE"/>
    <w:rsid w:val="002974E9"/>
    <w:rsid w:val="002A0E82"/>
    <w:rsid w:val="002A2E69"/>
    <w:rsid w:val="002A5796"/>
    <w:rsid w:val="002A73A8"/>
    <w:rsid w:val="002A7F94"/>
    <w:rsid w:val="002B02F6"/>
    <w:rsid w:val="002B109A"/>
    <w:rsid w:val="002B1468"/>
    <w:rsid w:val="002B236B"/>
    <w:rsid w:val="002B57EB"/>
    <w:rsid w:val="002C1AC8"/>
    <w:rsid w:val="002C3B42"/>
    <w:rsid w:val="002C3BD3"/>
    <w:rsid w:val="002C6D45"/>
    <w:rsid w:val="002D6E53"/>
    <w:rsid w:val="002E1AC3"/>
    <w:rsid w:val="002E4974"/>
    <w:rsid w:val="002F046D"/>
    <w:rsid w:val="002F1F6C"/>
    <w:rsid w:val="002F3023"/>
    <w:rsid w:val="002F41F2"/>
    <w:rsid w:val="00301764"/>
    <w:rsid w:val="003064DA"/>
    <w:rsid w:val="00316F94"/>
    <w:rsid w:val="003229D8"/>
    <w:rsid w:val="00327F8A"/>
    <w:rsid w:val="00330FEF"/>
    <w:rsid w:val="003321A7"/>
    <w:rsid w:val="00336C97"/>
    <w:rsid w:val="00337918"/>
    <w:rsid w:val="00337F88"/>
    <w:rsid w:val="00342432"/>
    <w:rsid w:val="00343878"/>
    <w:rsid w:val="00345F2C"/>
    <w:rsid w:val="0035223F"/>
    <w:rsid w:val="00352D4B"/>
    <w:rsid w:val="0035611E"/>
    <w:rsid w:val="003562AB"/>
    <w:rsid w:val="0035638C"/>
    <w:rsid w:val="00364375"/>
    <w:rsid w:val="00367C30"/>
    <w:rsid w:val="0037537F"/>
    <w:rsid w:val="00375430"/>
    <w:rsid w:val="00377729"/>
    <w:rsid w:val="00381990"/>
    <w:rsid w:val="003820B0"/>
    <w:rsid w:val="0039061C"/>
    <w:rsid w:val="00392363"/>
    <w:rsid w:val="00393EC1"/>
    <w:rsid w:val="0039427D"/>
    <w:rsid w:val="003A03A0"/>
    <w:rsid w:val="003A44EE"/>
    <w:rsid w:val="003A46BB"/>
    <w:rsid w:val="003A4EC7"/>
    <w:rsid w:val="003A726F"/>
    <w:rsid w:val="003A7295"/>
    <w:rsid w:val="003B1859"/>
    <w:rsid w:val="003B1F60"/>
    <w:rsid w:val="003C2A57"/>
    <w:rsid w:val="003C2CC4"/>
    <w:rsid w:val="003C52FD"/>
    <w:rsid w:val="003D0275"/>
    <w:rsid w:val="003D4B23"/>
    <w:rsid w:val="003E278A"/>
    <w:rsid w:val="003E518F"/>
    <w:rsid w:val="003E5F32"/>
    <w:rsid w:val="003F0DF0"/>
    <w:rsid w:val="003F455B"/>
    <w:rsid w:val="004064DB"/>
    <w:rsid w:val="004101EA"/>
    <w:rsid w:val="004104A6"/>
    <w:rsid w:val="00413520"/>
    <w:rsid w:val="00414538"/>
    <w:rsid w:val="00417299"/>
    <w:rsid w:val="004176F2"/>
    <w:rsid w:val="0043158A"/>
    <w:rsid w:val="004325CB"/>
    <w:rsid w:val="00432E24"/>
    <w:rsid w:val="0043522F"/>
    <w:rsid w:val="00440A07"/>
    <w:rsid w:val="00441C5E"/>
    <w:rsid w:val="00442AE9"/>
    <w:rsid w:val="00444FAF"/>
    <w:rsid w:val="00445F1C"/>
    <w:rsid w:val="004470D0"/>
    <w:rsid w:val="00452148"/>
    <w:rsid w:val="00452691"/>
    <w:rsid w:val="004531C5"/>
    <w:rsid w:val="004552DC"/>
    <w:rsid w:val="00460622"/>
    <w:rsid w:val="004611F1"/>
    <w:rsid w:val="00462880"/>
    <w:rsid w:val="0046424E"/>
    <w:rsid w:val="00466D1B"/>
    <w:rsid w:val="004712CF"/>
    <w:rsid w:val="00476F24"/>
    <w:rsid w:val="004804E7"/>
    <w:rsid w:val="00485792"/>
    <w:rsid w:val="004951EA"/>
    <w:rsid w:val="0049745D"/>
    <w:rsid w:val="00497AC8"/>
    <w:rsid w:val="004A196D"/>
    <w:rsid w:val="004A296F"/>
    <w:rsid w:val="004B0883"/>
    <w:rsid w:val="004B1C2A"/>
    <w:rsid w:val="004B2417"/>
    <w:rsid w:val="004B27BF"/>
    <w:rsid w:val="004B2837"/>
    <w:rsid w:val="004B3F2D"/>
    <w:rsid w:val="004C3CAA"/>
    <w:rsid w:val="004C55B0"/>
    <w:rsid w:val="004E27F4"/>
    <w:rsid w:val="004E2FE4"/>
    <w:rsid w:val="004E3A50"/>
    <w:rsid w:val="004F0DBD"/>
    <w:rsid w:val="004F5252"/>
    <w:rsid w:val="004F6BA0"/>
    <w:rsid w:val="0050039C"/>
    <w:rsid w:val="00502930"/>
    <w:rsid w:val="00503BEA"/>
    <w:rsid w:val="005120AC"/>
    <w:rsid w:val="005148A1"/>
    <w:rsid w:val="00515522"/>
    <w:rsid w:val="00515802"/>
    <w:rsid w:val="005172D5"/>
    <w:rsid w:val="00520B09"/>
    <w:rsid w:val="00522EAE"/>
    <w:rsid w:val="00533616"/>
    <w:rsid w:val="00535ABA"/>
    <w:rsid w:val="0053768B"/>
    <w:rsid w:val="005417FE"/>
    <w:rsid w:val="005420F2"/>
    <w:rsid w:val="0054285C"/>
    <w:rsid w:val="00543B54"/>
    <w:rsid w:val="0054535A"/>
    <w:rsid w:val="005460B5"/>
    <w:rsid w:val="00547E4F"/>
    <w:rsid w:val="005619CF"/>
    <w:rsid w:val="00566DE0"/>
    <w:rsid w:val="0057088D"/>
    <w:rsid w:val="0057103F"/>
    <w:rsid w:val="00573C2C"/>
    <w:rsid w:val="00575E90"/>
    <w:rsid w:val="0058274D"/>
    <w:rsid w:val="00584173"/>
    <w:rsid w:val="00595520"/>
    <w:rsid w:val="00595974"/>
    <w:rsid w:val="005A3801"/>
    <w:rsid w:val="005A39E7"/>
    <w:rsid w:val="005A44B9"/>
    <w:rsid w:val="005A7B07"/>
    <w:rsid w:val="005B1BA0"/>
    <w:rsid w:val="005B3798"/>
    <w:rsid w:val="005B3DB3"/>
    <w:rsid w:val="005B4F58"/>
    <w:rsid w:val="005C16CF"/>
    <w:rsid w:val="005C1A9E"/>
    <w:rsid w:val="005D039C"/>
    <w:rsid w:val="005D0978"/>
    <w:rsid w:val="005D15CA"/>
    <w:rsid w:val="005D7969"/>
    <w:rsid w:val="005E2113"/>
    <w:rsid w:val="005E21E2"/>
    <w:rsid w:val="005F08DF"/>
    <w:rsid w:val="005F25CA"/>
    <w:rsid w:val="005F3066"/>
    <w:rsid w:val="005F33CC"/>
    <w:rsid w:val="005F3E61"/>
    <w:rsid w:val="005F635E"/>
    <w:rsid w:val="0060132A"/>
    <w:rsid w:val="0060182D"/>
    <w:rsid w:val="00604DDD"/>
    <w:rsid w:val="006109C7"/>
    <w:rsid w:val="006115CC"/>
    <w:rsid w:val="00611FC4"/>
    <w:rsid w:val="0061507E"/>
    <w:rsid w:val="006176FB"/>
    <w:rsid w:val="00621AC1"/>
    <w:rsid w:val="006259F9"/>
    <w:rsid w:val="00626323"/>
    <w:rsid w:val="00626587"/>
    <w:rsid w:val="006279ED"/>
    <w:rsid w:val="00630FCB"/>
    <w:rsid w:val="00637CED"/>
    <w:rsid w:val="006404D2"/>
    <w:rsid w:val="00640B26"/>
    <w:rsid w:val="00641320"/>
    <w:rsid w:val="0064318F"/>
    <w:rsid w:val="00651F39"/>
    <w:rsid w:val="00652444"/>
    <w:rsid w:val="0065766B"/>
    <w:rsid w:val="00663B43"/>
    <w:rsid w:val="00665799"/>
    <w:rsid w:val="0066661C"/>
    <w:rsid w:val="006719B5"/>
    <w:rsid w:val="00672408"/>
    <w:rsid w:val="0067388A"/>
    <w:rsid w:val="006770B2"/>
    <w:rsid w:val="00677579"/>
    <w:rsid w:val="006816D6"/>
    <w:rsid w:val="006849CB"/>
    <w:rsid w:val="00686A48"/>
    <w:rsid w:val="00686A87"/>
    <w:rsid w:val="00693E61"/>
    <w:rsid w:val="006940E1"/>
    <w:rsid w:val="006951E9"/>
    <w:rsid w:val="006A19B1"/>
    <w:rsid w:val="006A19D4"/>
    <w:rsid w:val="006A3C72"/>
    <w:rsid w:val="006A6BE1"/>
    <w:rsid w:val="006A7392"/>
    <w:rsid w:val="006B03A1"/>
    <w:rsid w:val="006B19B2"/>
    <w:rsid w:val="006B4122"/>
    <w:rsid w:val="006B604E"/>
    <w:rsid w:val="006B67D9"/>
    <w:rsid w:val="006C13D6"/>
    <w:rsid w:val="006C1CF7"/>
    <w:rsid w:val="006C5535"/>
    <w:rsid w:val="006D0589"/>
    <w:rsid w:val="006D1DE5"/>
    <w:rsid w:val="006D430D"/>
    <w:rsid w:val="006D5C5E"/>
    <w:rsid w:val="006D6229"/>
    <w:rsid w:val="006E564B"/>
    <w:rsid w:val="006E6DE9"/>
    <w:rsid w:val="006E7154"/>
    <w:rsid w:val="006E7568"/>
    <w:rsid w:val="007003CD"/>
    <w:rsid w:val="00700A9A"/>
    <w:rsid w:val="0070701E"/>
    <w:rsid w:val="00720552"/>
    <w:rsid w:val="00723D69"/>
    <w:rsid w:val="00725D34"/>
    <w:rsid w:val="0072632A"/>
    <w:rsid w:val="00726B19"/>
    <w:rsid w:val="00732033"/>
    <w:rsid w:val="00734AF5"/>
    <w:rsid w:val="00735763"/>
    <w:rsid w:val="007358E8"/>
    <w:rsid w:val="00736130"/>
    <w:rsid w:val="00736ECE"/>
    <w:rsid w:val="007410BE"/>
    <w:rsid w:val="00741A51"/>
    <w:rsid w:val="00743340"/>
    <w:rsid w:val="0074533B"/>
    <w:rsid w:val="007470EF"/>
    <w:rsid w:val="00753226"/>
    <w:rsid w:val="00757324"/>
    <w:rsid w:val="007643BC"/>
    <w:rsid w:val="00780C68"/>
    <w:rsid w:val="007813AE"/>
    <w:rsid w:val="00787426"/>
    <w:rsid w:val="00795502"/>
    <w:rsid w:val="007959FE"/>
    <w:rsid w:val="007A0CF1"/>
    <w:rsid w:val="007A31DC"/>
    <w:rsid w:val="007A478E"/>
    <w:rsid w:val="007A7A63"/>
    <w:rsid w:val="007B0D97"/>
    <w:rsid w:val="007B523E"/>
    <w:rsid w:val="007B5A21"/>
    <w:rsid w:val="007B6BA5"/>
    <w:rsid w:val="007B73C7"/>
    <w:rsid w:val="007C1577"/>
    <w:rsid w:val="007C1AE4"/>
    <w:rsid w:val="007C3390"/>
    <w:rsid w:val="007C3754"/>
    <w:rsid w:val="007C42D8"/>
    <w:rsid w:val="007C4926"/>
    <w:rsid w:val="007C4F4B"/>
    <w:rsid w:val="007C6635"/>
    <w:rsid w:val="007D02B7"/>
    <w:rsid w:val="007D3332"/>
    <w:rsid w:val="007D45B2"/>
    <w:rsid w:val="007D6CF6"/>
    <w:rsid w:val="007D7362"/>
    <w:rsid w:val="007E171E"/>
    <w:rsid w:val="007E6DA8"/>
    <w:rsid w:val="007F0F66"/>
    <w:rsid w:val="007F18A1"/>
    <w:rsid w:val="007F5CE2"/>
    <w:rsid w:val="007F6611"/>
    <w:rsid w:val="007F67DD"/>
    <w:rsid w:val="007F79C1"/>
    <w:rsid w:val="00800294"/>
    <w:rsid w:val="00800522"/>
    <w:rsid w:val="00801887"/>
    <w:rsid w:val="008038F1"/>
    <w:rsid w:val="00804F5D"/>
    <w:rsid w:val="00807071"/>
    <w:rsid w:val="00807B02"/>
    <w:rsid w:val="00810BAC"/>
    <w:rsid w:val="008114CA"/>
    <w:rsid w:val="008135F9"/>
    <w:rsid w:val="008153C7"/>
    <w:rsid w:val="00816A4E"/>
    <w:rsid w:val="00817016"/>
    <w:rsid w:val="008175E9"/>
    <w:rsid w:val="00820F95"/>
    <w:rsid w:val="00823CCA"/>
    <w:rsid w:val="008242D7"/>
    <w:rsid w:val="0082577B"/>
    <w:rsid w:val="00826FE1"/>
    <w:rsid w:val="008272DD"/>
    <w:rsid w:val="00827AC4"/>
    <w:rsid w:val="00833FC0"/>
    <w:rsid w:val="00842451"/>
    <w:rsid w:val="00843D8B"/>
    <w:rsid w:val="00845760"/>
    <w:rsid w:val="008501C7"/>
    <w:rsid w:val="008508B1"/>
    <w:rsid w:val="00852265"/>
    <w:rsid w:val="00866893"/>
    <w:rsid w:val="00866F02"/>
    <w:rsid w:val="0086756B"/>
    <w:rsid w:val="00867D18"/>
    <w:rsid w:val="008704AF"/>
    <w:rsid w:val="00871F9A"/>
    <w:rsid w:val="00871FD5"/>
    <w:rsid w:val="00872A47"/>
    <w:rsid w:val="0087587F"/>
    <w:rsid w:val="0088172E"/>
    <w:rsid w:val="00881EFA"/>
    <w:rsid w:val="008825E4"/>
    <w:rsid w:val="00883176"/>
    <w:rsid w:val="008871CB"/>
    <w:rsid w:val="008879CB"/>
    <w:rsid w:val="00896044"/>
    <w:rsid w:val="008964CF"/>
    <w:rsid w:val="008979B1"/>
    <w:rsid w:val="008A0108"/>
    <w:rsid w:val="008A051E"/>
    <w:rsid w:val="008A0A04"/>
    <w:rsid w:val="008A4AC1"/>
    <w:rsid w:val="008A6B25"/>
    <w:rsid w:val="008A6C4F"/>
    <w:rsid w:val="008A77AE"/>
    <w:rsid w:val="008B1601"/>
    <w:rsid w:val="008B389E"/>
    <w:rsid w:val="008B3DC0"/>
    <w:rsid w:val="008B6740"/>
    <w:rsid w:val="008B7A37"/>
    <w:rsid w:val="008D0393"/>
    <w:rsid w:val="008D045E"/>
    <w:rsid w:val="008D3F25"/>
    <w:rsid w:val="008D4D82"/>
    <w:rsid w:val="008D58F3"/>
    <w:rsid w:val="008E00A9"/>
    <w:rsid w:val="008E0E46"/>
    <w:rsid w:val="008E7116"/>
    <w:rsid w:val="008F143B"/>
    <w:rsid w:val="008F2382"/>
    <w:rsid w:val="008F3882"/>
    <w:rsid w:val="008F4302"/>
    <w:rsid w:val="008F4B7C"/>
    <w:rsid w:val="0090176E"/>
    <w:rsid w:val="0090422D"/>
    <w:rsid w:val="00907A3E"/>
    <w:rsid w:val="00907DCD"/>
    <w:rsid w:val="0091203B"/>
    <w:rsid w:val="0091204D"/>
    <w:rsid w:val="00915B47"/>
    <w:rsid w:val="00916D58"/>
    <w:rsid w:val="00917B5F"/>
    <w:rsid w:val="00926E47"/>
    <w:rsid w:val="00927A58"/>
    <w:rsid w:val="00934854"/>
    <w:rsid w:val="009359AC"/>
    <w:rsid w:val="009365DB"/>
    <w:rsid w:val="00936B93"/>
    <w:rsid w:val="00937257"/>
    <w:rsid w:val="00940A9C"/>
    <w:rsid w:val="0094167C"/>
    <w:rsid w:val="00946219"/>
    <w:rsid w:val="00947162"/>
    <w:rsid w:val="00955863"/>
    <w:rsid w:val="0095716F"/>
    <w:rsid w:val="009610D0"/>
    <w:rsid w:val="0096375C"/>
    <w:rsid w:val="009662E6"/>
    <w:rsid w:val="0097095E"/>
    <w:rsid w:val="00970A69"/>
    <w:rsid w:val="00973690"/>
    <w:rsid w:val="0098592B"/>
    <w:rsid w:val="00985FC4"/>
    <w:rsid w:val="00990766"/>
    <w:rsid w:val="00990C91"/>
    <w:rsid w:val="00991261"/>
    <w:rsid w:val="00993E0A"/>
    <w:rsid w:val="009964C4"/>
    <w:rsid w:val="00996A64"/>
    <w:rsid w:val="009A00F9"/>
    <w:rsid w:val="009A5721"/>
    <w:rsid w:val="009A5855"/>
    <w:rsid w:val="009A5B29"/>
    <w:rsid w:val="009A7B81"/>
    <w:rsid w:val="009B3FF5"/>
    <w:rsid w:val="009B7CFB"/>
    <w:rsid w:val="009C0220"/>
    <w:rsid w:val="009C5576"/>
    <w:rsid w:val="009C7CA1"/>
    <w:rsid w:val="009D01C0"/>
    <w:rsid w:val="009D2B56"/>
    <w:rsid w:val="009D69BA"/>
    <w:rsid w:val="009D6A08"/>
    <w:rsid w:val="009D6B5D"/>
    <w:rsid w:val="009E090B"/>
    <w:rsid w:val="009E0A16"/>
    <w:rsid w:val="009E0DCB"/>
    <w:rsid w:val="009E277E"/>
    <w:rsid w:val="009E3711"/>
    <w:rsid w:val="009E6CB7"/>
    <w:rsid w:val="009E7970"/>
    <w:rsid w:val="009F2EAC"/>
    <w:rsid w:val="009F57E3"/>
    <w:rsid w:val="009F7D81"/>
    <w:rsid w:val="00A002BB"/>
    <w:rsid w:val="00A011B7"/>
    <w:rsid w:val="00A0351D"/>
    <w:rsid w:val="00A10F4F"/>
    <w:rsid w:val="00A11067"/>
    <w:rsid w:val="00A12970"/>
    <w:rsid w:val="00A15F9E"/>
    <w:rsid w:val="00A1704A"/>
    <w:rsid w:val="00A26B1E"/>
    <w:rsid w:val="00A30A0B"/>
    <w:rsid w:val="00A32483"/>
    <w:rsid w:val="00A37853"/>
    <w:rsid w:val="00A425EB"/>
    <w:rsid w:val="00A508D6"/>
    <w:rsid w:val="00A6013E"/>
    <w:rsid w:val="00A614A4"/>
    <w:rsid w:val="00A61B55"/>
    <w:rsid w:val="00A72975"/>
    <w:rsid w:val="00A72F22"/>
    <w:rsid w:val="00A733BC"/>
    <w:rsid w:val="00A748A6"/>
    <w:rsid w:val="00A76A69"/>
    <w:rsid w:val="00A82C6F"/>
    <w:rsid w:val="00A84438"/>
    <w:rsid w:val="00A879A4"/>
    <w:rsid w:val="00A90657"/>
    <w:rsid w:val="00A92B9F"/>
    <w:rsid w:val="00A94155"/>
    <w:rsid w:val="00A974A0"/>
    <w:rsid w:val="00AA0FF8"/>
    <w:rsid w:val="00AA1AF6"/>
    <w:rsid w:val="00AA61AB"/>
    <w:rsid w:val="00AB3A69"/>
    <w:rsid w:val="00AB607D"/>
    <w:rsid w:val="00AC0F2C"/>
    <w:rsid w:val="00AC3DA9"/>
    <w:rsid w:val="00AC502A"/>
    <w:rsid w:val="00AD0A33"/>
    <w:rsid w:val="00AD30A4"/>
    <w:rsid w:val="00AD624A"/>
    <w:rsid w:val="00AD6308"/>
    <w:rsid w:val="00AE0502"/>
    <w:rsid w:val="00AE523E"/>
    <w:rsid w:val="00AE5C61"/>
    <w:rsid w:val="00AE7EAD"/>
    <w:rsid w:val="00AF1ED3"/>
    <w:rsid w:val="00AF1F27"/>
    <w:rsid w:val="00AF58C1"/>
    <w:rsid w:val="00B04A3F"/>
    <w:rsid w:val="00B053AF"/>
    <w:rsid w:val="00B06643"/>
    <w:rsid w:val="00B06AC2"/>
    <w:rsid w:val="00B15055"/>
    <w:rsid w:val="00B17FD6"/>
    <w:rsid w:val="00B20551"/>
    <w:rsid w:val="00B20A49"/>
    <w:rsid w:val="00B23A9D"/>
    <w:rsid w:val="00B24325"/>
    <w:rsid w:val="00B2668F"/>
    <w:rsid w:val="00B27959"/>
    <w:rsid w:val="00B30179"/>
    <w:rsid w:val="00B30607"/>
    <w:rsid w:val="00B3298B"/>
    <w:rsid w:val="00B33FC7"/>
    <w:rsid w:val="00B34EFA"/>
    <w:rsid w:val="00B37B15"/>
    <w:rsid w:val="00B45580"/>
    <w:rsid w:val="00B45C02"/>
    <w:rsid w:val="00B56012"/>
    <w:rsid w:val="00B675B1"/>
    <w:rsid w:val="00B70B63"/>
    <w:rsid w:val="00B72A1E"/>
    <w:rsid w:val="00B769C9"/>
    <w:rsid w:val="00B77C7C"/>
    <w:rsid w:val="00B81E12"/>
    <w:rsid w:val="00B91DE2"/>
    <w:rsid w:val="00B9378B"/>
    <w:rsid w:val="00BA339B"/>
    <w:rsid w:val="00BA345B"/>
    <w:rsid w:val="00BA6237"/>
    <w:rsid w:val="00BA758E"/>
    <w:rsid w:val="00BB23CC"/>
    <w:rsid w:val="00BB4ABC"/>
    <w:rsid w:val="00BC0B06"/>
    <w:rsid w:val="00BC1E7E"/>
    <w:rsid w:val="00BC2C3D"/>
    <w:rsid w:val="00BC3304"/>
    <w:rsid w:val="00BC74E9"/>
    <w:rsid w:val="00BC792F"/>
    <w:rsid w:val="00BD2286"/>
    <w:rsid w:val="00BD2531"/>
    <w:rsid w:val="00BD3637"/>
    <w:rsid w:val="00BD4EF4"/>
    <w:rsid w:val="00BD535E"/>
    <w:rsid w:val="00BE0864"/>
    <w:rsid w:val="00BE36A9"/>
    <w:rsid w:val="00BE5CE4"/>
    <w:rsid w:val="00BE6144"/>
    <w:rsid w:val="00BE618E"/>
    <w:rsid w:val="00BE6583"/>
    <w:rsid w:val="00BE7BEC"/>
    <w:rsid w:val="00BF0A5A"/>
    <w:rsid w:val="00BF0E63"/>
    <w:rsid w:val="00BF12A3"/>
    <w:rsid w:val="00BF1306"/>
    <w:rsid w:val="00BF16D7"/>
    <w:rsid w:val="00BF1F15"/>
    <w:rsid w:val="00BF2373"/>
    <w:rsid w:val="00BF2750"/>
    <w:rsid w:val="00BF4971"/>
    <w:rsid w:val="00BF777D"/>
    <w:rsid w:val="00C01427"/>
    <w:rsid w:val="00C02543"/>
    <w:rsid w:val="00C0294F"/>
    <w:rsid w:val="00C03537"/>
    <w:rsid w:val="00C044E2"/>
    <w:rsid w:val="00C048CB"/>
    <w:rsid w:val="00C0534C"/>
    <w:rsid w:val="00C05C85"/>
    <w:rsid w:val="00C066F3"/>
    <w:rsid w:val="00C06744"/>
    <w:rsid w:val="00C13EC0"/>
    <w:rsid w:val="00C14021"/>
    <w:rsid w:val="00C16042"/>
    <w:rsid w:val="00C248DA"/>
    <w:rsid w:val="00C27F57"/>
    <w:rsid w:val="00C31006"/>
    <w:rsid w:val="00C314DD"/>
    <w:rsid w:val="00C35279"/>
    <w:rsid w:val="00C408B7"/>
    <w:rsid w:val="00C411EB"/>
    <w:rsid w:val="00C41792"/>
    <w:rsid w:val="00C41A91"/>
    <w:rsid w:val="00C463DD"/>
    <w:rsid w:val="00C506F4"/>
    <w:rsid w:val="00C508DF"/>
    <w:rsid w:val="00C50EC1"/>
    <w:rsid w:val="00C52BDF"/>
    <w:rsid w:val="00C6487A"/>
    <w:rsid w:val="00C71E0C"/>
    <w:rsid w:val="00C745C3"/>
    <w:rsid w:val="00C82228"/>
    <w:rsid w:val="00C83004"/>
    <w:rsid w:val="00C863C7"/>
    <w:rsid w:val="00C870EE"/>
    <w:rsid w:val="00C91066"/>
    <w:rsid w:val="00C937C6"/>
    <w:rsid w:val="00C94B44"/>
    <w:rsid w:val="00C94FA1"/>
    <w:rsid w:val="00C963A2"/>
    <w:rsid w:val="00C978F5"/>
    <w:rsid w:val="00CA24A4"/>
    <w:rsid w:val="00CA3B70"/>
    <w:rsid w:val="00CA420F"/>
    <w:rsid w:val="00CB2E27"/>
    <w:rsid w:val="00CB348D"/>
    <w:rsid w:val="00CB4D31"/>
    <w:rsid w:val="00CC2CB6"/>
    <w:rsid w:val="00CC3AF3"/>
    <w:rsid w:val="00CC42EA"/>
    <w:rsid w:val="00CC6172"/>
    <w:rsid w:val="00CD444F"/>
    <w:rsid w:val="00CD46F5"/>
    <w:rsid w:val="00CD5D81"/>
    <w:rsid w:val="00CD6FE6"/>
    <w:rsid w:val="00CE4A8F"/>
    <w:rsid w:val="00CE78F6"/>
    <w:rsid w:val="00CE7ED8"/>
    <w:rsid w:val="00CF071D"/>
    <w:rsid w:val="00CF0D68"/>
    <w:rsid w:val="00CF213D"/>
    <w:rsid w:val="00CF2B5A"/>
    <w:rsid w:val="00CF2D8B"/>
    <w:rsid w:val="00CF444B"/>
    <w:rsid w:val="00D0123D"/>
    <w:rsid w:val="00D053A2"/>
    <w:rsid w:val="00D05694"/>
    <w:rsid w:val="00D101B1"/>
    <w:rsid w:val="00D15B04"/>
    <w:rsid w:val="00D17F9B"/>
    <w:rsid w:val="00D2031B"/>
    <w:rsid w:val="00D25FE2"/>
    <w:rsid w:val="00D26621"/>
    <w:rsid w:val="00D32D4E"/>
    <w:rsid w:val="00D3608D"/>
    <w:rsid w:val="00D368BE"/>
    <w:rsid w:val="00D36FC1"/>
    <w:rsid w:val="00D37DA9"/>
    <w:rsid w:val="00D406A7"/>
    <w:rsid w:val="00D40765"/>
    <w:rsid w:val="00D43252"/>
    <w:rsid w:val="00D44D86"/>
    <w:rsid w:val="00D45B4C"/>
    <w:rsid w:val="00D50B7D"/>
    <w:rsid w:val="00D514C6"/>
    <w:rsid w:val="00D52012"/>
    <w:rsid w:val="00D543AE"/>
    <w:rsid w:val="00D61A03"/>
    <w:rsid w:val="00D6205E"/>
    <w:rsid w:val="00D62DBE"/>
    <w:rsid w:val="00D63D9E"/>
    <w:rsid w:val="00D704E5"/>
    <w:rsid w:val="00D70B3C"/>
    <w:rsid w:val="00D7256F"/>
    <w:rsid w:val="00D72727"/>
    <w:rsid w:val="00D77240"/>
    <w:rsid w:val="00D840CB"/>
    <w:rsid w:val="00D84AF1"/>
    <w:rsid w:val="00D92B26"/>
    <w:rsid w:val="00D95A96"/>
    <w:rsid w:val="00D97440"/>
    <w:rsid w:val="00D978C6"/>
    <w:rsid w:val="00DA0956"/>
    <w:rsid w:val="00DA1A39"/>
    <w:rsid w:val="00DA357F"/>
    <w:rsid w:val="00DA3E12"/>
    <w:rsid w:val="00DA499E"/>
    <w:rsid w:val="00DC0BA5"/>
    <w:rsid w:val="00DC1352"/>
    <w:rsid w:val="00DC18AD"/>
    <w:rsid w:val="00DC3A2C"/>
    <w:rsid w:val="00DC614F"/>
    <w:rsid w:val="00DD1F72"/>
    <w:rsid w:val="00DD4006"/>
    <w:rsid w:val="00DD4F55"/>
    <w:rsid w:val="00DE17A4"/>
    <w:rsid w:val="00DE740E"/>
    <w:rsid w:val="00DE74F2"/>
    <w:rsid w:val="00DF03E3"/>
    <w:rsid w:val="00DF1B79"/>
    <w:rsid w:val="00DF1C96"/>
    <w:rsid w:val="00DF1F0D"/>
    <w:rsid w:val="00DF45A7"/>
    <w:rsid w:val="00DF52AA"/>
    <w:rsid w:val="00DF7CAE"/>
    <w:rsid w:val="00E007D8"/>
    <w:rsid w:val="00E0341D"/>
    <w:rsid w:val="00E12782"/>
    <w:rsid w:val="00E1668D"/>
    <w:rsid w:val="00E179DD"/>
    <w:rsid w:val="00E263C8"/>
    <w:rsid w:val="00E32E45"/>
    <w:rsid w:val="00E36F5F"/>
    <w:rsid w:val="00E423C0"/>
    <w:rsid w:val="00E43DBA"/>
    <w:rsid w:val="00E451D7"/>
    <w:rsid w:val="00E50223"/>
    <w:rsid w:val="00E51C9E"/>
    <w:rsid w:val="00E52C16"/>
    <w:rsid w:val="00E5736C"/>
    <w:rsid w:val="00E623F3"/>
    <w:rsid w:val="00E6414C"/>
    <w:rsid w:val="00E7260F"/>
    <w:rsid w:val="00E74A58"/>
    <w:rsid w:val="00E82896"/>
    <w:rsid w:val="00E82C71"/>
    <w:rsid w:val="00E8702D"/>
    <w:rsid w:val="00E877F5"/>
    <w:rsid w:val="00E905F4"/>
    <w:rsid w:val="00E916A9"/>
    <w:rsid w:val="00E916DE"/>
    <w:rsid w:val="00E919FE"/>
    <w:rsid w:val="00E925AD"/>
    <w:rsid w:val="00E9363C"/>
    <w:rsid w:val="00E96630"/>
    <w:rsid w:val="00E97A8D"/>
    <w:rsid w:val="00EA3D50"/>
    <w:rsid w:val="00EB028F"/>
    <w:rsid w:val="00EB119D"/>
    <w:rsid w:val="00EB5727"/>
    <w:rsid w:val="00EB775C"/>
    <w:rsid w:val="00EC387F"/>
    <w:rsid w:val="00EC4EC9"/>
    <w:rsid w:val="00EC7F28"/>
    <w:rsid w:val="00ED18DC"/>
    <w:rsid w:val="00ED4C87"/>
    <w:rsid w:val="00ED4EA8"/>
    <w:rsid w:val="00ED6201"/>
    <w:rsid w:val="00ED7A2A"/>
    <w:rsid w:val="00EE0697"/>
    <w:rsid w:val="00EF1D7F"/>
    <w:rsid w:val="00EF5302"/>
    <w:rsid w:val="00F0137E"/>
    <w:rsid w:val="00F048DA"/>
    <w:rsid w:val="00F05E63"/>
    <w:rsid w:val="00F10058"/>
    <w:rsid w:val="00F1477C"/>
    <w:rsid w:val="00F162AF"/>
    <w:rsid w:val="00F163D2"/>
    <w:rsid w:val="00F21786"/>
    <w:rsid w:val="00F22790"/>
    <w:rsid w:val="00F23913"/>
    <w:rsid w:val="00F23DE2"/>
    <w:rsid w:val="00F304FB"/>
    <w:rsid w:val="00F3422A"/>
    <w:rsid w:val="00F35219"/>
    <w:rsid w:val="00F35546"/>
    <w:rsid w:val="00F3666F"/>
    <w:rsid w:val="00F36D16"/>
    <w:rsid w:val="00F36F29"/>
    <w:rsid w:val="00F3742B"/>
    <w:rsid w:val="00F41FDB"/>
    <w:rsid w:val="00F427EC"/>
    <w:rsid w:val="00F47576"/>
    <w:rsid w:val="00F47D79"/>
    <w:rsid w:val="00F50596"/>
    <w:rsid w:val="00F5104F"/>
    <w:rsid w:val="00F56D63"/>
    <w:rsid w:val="00F609A9"/>
    <w:rsid w:val="00F631FA"/>
    <w:rsid w:val="00F661DB"/>
    <w:rsid w:val="00F73875"/>
    <w:rsid w:val="00F73983"/>
    <w:rsid w:val="00F74E98"/>
    <w:rsid w:val="00F773A2"/>
    <w:rsid w:val="00F80C99"/>
    <w:rsid w:val="00F80F86"/>
    <w:rsid w:val="00F81F0F"/>
    <w:rsid w:val="00F83B90"/>
    <w:rsid w:val="00F8483D"/>
    <w:rsid w:val="00F867EC"/>
    <w:rsid w:val="00F86E34"/>
    <w:rsid w:val="00F91B2B"/>
    <w:rsid w:val="00F920C6"/>
    <w:rsid w:val="00F92209"/>
    <w:rsid w:val="00F946A8"/>
    <w:rsid w:val="00F95B47"/>
    <w:rsid w:val="00F96560"/>
    <w:rsid w:val="00FA323E"/>
    <w:rsid w:val="00FA4D14"/>
    <w:rsid w:val="00FB0D10"/>
    <w:rsid w:val="00FB3A65"/>
    <w:rsid w:val="00FB53B7"/>
    <w:rsid w:val="00FB618F"/>
    <w:rsid w:val="00FB61B8"/>
    <w:rsid w:val="00FB6BDA"/>
    <w:rsid w:val="00FC03CD"/>
    <w:rsid w:val="00FC0646"/>
    <w:rsid w:val="00FC10E8"/>
    <w:rsid w:val="00FC3697"/>
    <w:rsid w:val="00FC68B7"/>
    <w:rsid w:val="00FD5EA4"/>
    <w:rsid w:val="00FD625D"/>
    <w:rsid w:val="00FE0437"/>
    <w:rsid w:val="00FE0A57"/>
    <w:rsid w:val="00FE4AEF"/>
    <w:rsid w:val="00FE6985"/>
    <w:rsid w:val="00FF27E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7D095"/>
  <w15:docId w15:val="{83E1EED1-EC67-47C8-8578-EF2F0F3A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8A77AE"/>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qFormat/>
    <w:locked/>
    <w:rsid w:val="00264441"/>
    <w:rPr>
      <w:lang w:val="en-GB" w:eastAsia="en-US"/>
    </w:rPr>
  </w:style>
  <w:style w:type="paragraph" w:customStyle="1" w:styleId="ParNoG">
    <w:name w:val="_ParNo_G"/>
    <w:basedOn w:val="SingleTxtG"/>
    <w:qFormat/>
    <w:rsid w:val="007A478E"/>
    <w:pPr>
      <w:numPr>
        <w:numId w:val="20"/>
      </w:numPr>
      <w:suppressAutoHyphens w:val="0"/>
    </w:pPr>
  </w:style>
  <w:style w:type="character" w:customStyle="1" w:styleId="FootnoteTextChar">
    <w:name w:val="Footnote Text Char"/>
    <w:aliases w:val="5_G Char"/>
    <w:basedOn w:val="DefaultParagraphFont"/>
    <w:link w:val="FootnoteText"/>
    <w:rsid w:val="001E24FD"/>
    <w:rPr>
      <w:sz w:val="18"/>
      <w:lang w:val="en-GB"/>
    </w:rPr>
  </w:style>
  <w:style w:type="character" w:customStyle="1" w:styleId="HChGChar">
    <w:name w:val="_ H _Ch_G Char"/>
    <w:link w:val="HChG"/>
    <w:rsid w:val="001E24FD"/>
    <w:rPr>
      <w:b/>
      <w:sz w:val="28"/>
      <w:lang w:val="en-GB"/>
    </w:rPr>
  </w:style>
  <w:style w:type="character" w:customStyle="1" w:styleId="H1GChar">
    <w:name w:val="_ H_1_G Char"/>
    <w:link w:val="H1G"/>
    <w:rsid w:val="001E24FD"/>
    <w:rPr>
      <w:b/>
      <w:sz w:val="24"/>
      <w:lang w:val="en-GB"/>
    </w:rPr>
  </w:style>
  <w:style w:type="character" w:customStyle="1" w:styleId="H23GChar">
    <w:name w:val="_ H_2/3_G Char"/>
    <w:link w:val="H23G"/>
    <w:rsid w:val="001E24FD"/>
    <w:rPr>
      <w:b/>
      <w:lang w:val="en-GB"/>
    </w:rPr>
  </w:style>
  <w:style w:type="character" w:styleId="CommentReference">
    <w:name w:val="annotation reference"/>
    <w:basedOn w:val="DefaultParagraphFont"/>
    <w:uiPriority w:val="99"/>
    <w:semiHidden/>
    <w:unhideWhenUsed/>
    <w:rsid w:val="001E24FD"/>
    <w:rPr>
      <w:sz w:val="16"/>
      <w:szCs w:val="16"/>
    </w:rPr>
  </w:style>
  <w:style w:type="paragraph" w:styleId="CommentText">
    <w:name w:val="annotation text"/>
    <w:basedOn w:val="Normal"/>
    <w:link w:val="CommentTextChar"/>
    <w:uiPriority w:val="99"/>
    <w:unhideWhenUsed/>
    <w:rsid w:val="001E24FD"/>
    <w:pPr>
      <w:spacing w:line="240" w:lineRule="auto"/>
    </w:pPr>
    <w:rPr>
      <w:lang w:eastAsia="en-US"/>
    </w:rPr>
  </w:style>
  <w:style w:type="character" w:customStyle="1" w:styleId="CommentTextChar">
    <w:name w:val="Comment Text Char"/>
    <w:basedOn w:val="DefaultParagraphFont"/>
    <w:link w:val="CommentText"/>
    <w:uiPriority w:val="99"/>
    <w:rsid w:val="001E24FD"/>
    <w:rPr>
      <w:lang w:val="en-GB" w:eastAsia="en-US"/>
    </w:rPr>
  </w:style>
  <w:style w:type="paragraph" w:styleId="CommentSubject">
    <w:name w:val="annotation subject"/>
    <w:basedOn w:val="CommentText"/>
    <w:next w:val="CommentText"/>
    <w:link w:val="CommentSubjectChar"/>
    <w:semiHidden/>
    <w:unhideWhenUsed/>
    <w:rsid w:val="001E24FD"/>
    <w:rPr>
      <w:b/>
      <w:bCs/>
      <w:lang w:eastAsia="fr-FR"/>
    </w:rPr>
  </w:style>
  <w:style w:type="character" w:customStyle="1" w:styleId="CommentSubjectChar">
    <w:name w:val="Comment Subject Char"/>
    <w:basedOn w:val="CommentTextChar"/>
    <w:link w:val="CommentSubject"/>
    <w:semiHidden/>
    <w:rsid w:val="001E24FD"/>
    <w:rPr>
      <w:b/>
      <w:bCs/>
      <w:lang w:val="en-GB" w:eastAsia="en-US"/>
    </w:rPr>
  </w:style>
  <w:style w:type="paragraph" w:styleId="TOC1">
    <w:name w:val="toc 1"/>
    <w:basedOn w:val="Normal"/>
    <w:next w:val="Normal"/>
    <w:autoRedefine/>
    <w:uiPriority w:val="39"/>
    <w:unhideWhenUsed/>
    <w:rsid w:val="00BC3304"/>
    <w:pPr>
      <w:spacing w:after="100"/>
    </w:pPr>
  </w:style>
  <w:style w:type="paragraph" w:styleId="TOC2">
    <w:name w:val="toc 2"/>
    <w:basedOn w:val="Normal"/>
    <w:next w:val="Normal"/>
    <w:autoRedefine/>
    <w:uiPriority w:val="39"/>
    <w:unhideWhenUsed/>
    <w:rsid w:val="00BC3304"/>
    <w:pPr>
      <w:spacing w:after="100"/>
      <w:ind w:left="200"/>
    </w:pPr>
  </w:style>
  <w:style w:type="paragraph" w:styleId="TOC3">
    <w:name w:val="toc 3"/>
    <w:basedOn w:val="Normal"/>
    <w:next w:val="Normal"/>
    <w:autoRedefine/>
    <w:uiPriority w:val="39"/>
    <w:unhideWhenUsed/>
    <w:rsid w:val="00BC3304"/>
    <w:pPr>
      <w:spacing w:after="100"/>
      <w:ind w:left="400"/>
    </w:pPr>
  </w:style>
  <w:style w:type="paragraph" w:styleId="TOC4">
    <w:name w:val="toc 4"/>
    <w:basedOn w:val="Normal"/>
    <w:next w:val="Normal"/>
    <w:autoRedefine/>
    <w:uiPriority w:val="39"/>
    <w:unhideWhenUsed/>
    <w:rsid w:val="00BC3304"/>
    <w:pPr>
      <w:suppressAutoHyphens w:val="0"/>
      <w:spacing w:after="100" w:line="259" w:lineRule="auto"/>
      <w:ind w:left="66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BC3304"/>
    <w:pPr>
      <w:suppressAutoHyphens w:val="0"/>
      <w:spacing w:after="100" w:line="259" w:lineRule="auto"/>
      <w:ind w:left="88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BC3304"/>
    <w:pPr>
      <w:suppressAutoHyphens w:val="0"/>
      <w:spacing w:after="100" w:line="259"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BC3304"/>
    <w:pPr>
      <w:suppressAutoHyphens w:val="0"/>
      <w:spacing w:after="100" w:line="259"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BC3304"/>
    <w:pPr>
      <w:suppressAutoHyphens w:val="0"/>
      <w:spacing w:after="100" w:line="259"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BC3304"/>
    <w:pPr>
      <w:suppressAutoHyphens w:val="0"/>
      <w:spacing w:after="100" w:line="259" w:lineRule="auto"/>
      <w:ind w:left="1760"/>
    </w:pPr>
    <w:rPr>
      <w:rFonts w:asciiTheme="minorHAnsi" w:eastAsiaTheme="minorEastAsia" w:hAnsiTheme="minorHAnsi" w:cstheme="minorBidi"/>
      <w:sz w:val="22"/>
      <w:szCs w:val="22"/>
      <w:lang w:eastAsia="zh-CN"/>
    </w:rPr>
  </w:style>
  <w:style w:type="character" w:styleId="UnresolvedMention">
    <w:name w:val="Unresolved Mention"/>
    <w:basedOn w:val="DefaultParagraphFont"/>
    <w:uiPriority w:val="99"/>
    <w:semiHidden/>
    <w:unhideWhenUsed/>
    <w:rsid w:val="00BC3304"/>
    <w:rPr>
      <w:color w:val="605E5C"/>
      <w:shd w:val="clear" w:color="auto" w:fill="E1DFDD"/>
    </w:rPr>
  </w:style>
  <w:style w:type="character" w:customStyle="1" w:styleId="HeaderChar">
    <w:name w:val="Header Char"/>
    <w:aliases w:val="6_G Char"/>
    <w:basedOn w:val="DefaultParagraphFont"/>
    <w:link w:val="Header"/>
    <w:rsid w:val="008F2382"/>
    <w:rPr>
      <w:b/>
      <w:sz w:val="18"/>
      <w:lang w:val="en-GB"/>
    </w:rPr>
  </w:style>
  <w:style w:type="character" w:customStyle="1" w:styleId="FooterChar">
    <w:name w:val="Footer Char"/>
    <w:aliases w:val="3_G Char"/>
    <w:basedOn w:val="DefaultParagraphFont"/>
    <w:link w:val="Footer"/>
    <w:rsid w:val="008F2382"/>
    <w:rPr>
      <w:sz w:val="16"/>
      <w:lang w:val="en-GB"/>
    </w:rPr>
  </w:style>
  <w:style w:type="character" w:styleId="Emphasis">
    <w:name w:val="Emphasis"/>
    <w:qFormat/>
    <w:rsid w:val="008F23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nece.org/DAM/trans/doc/2020/dgadn/ECE-ADN-53g.pdf" TargetMode="External"/><Relationship Id="rId1" Type="http://schemas.openxmlformats.org/officeDocument/2006/relationships/hyperlink" Target="https://unece.org/DAM/trans/doc/2019/dgadn/ECE-ADN-51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4D1C5-A84B-441F-A8FF-1C2A482B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442F1-F20E-4EEF-9970-A38AD03D2B85}">
  <ds:schemaRefs>
    <ds:schemaRef ds:uri="http://schemas.microsoft.com/sharepoint/v3/contenttype/forms"/>
  </ds:schemaRefs>
</ds:datastoreItem>
</file>

<file path=customXml/itemProps3.xml><?xml version="1.0" encoding="utf-8"?>
<ds:datastoreItem xmlns:ds="http://schemas.openxmlformats.org/officeDocument/2006/customXml" ds:itemID="{0795D812-39A8-4C4C-981C-2197A5715C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TRANS_WP1_24_E.dotm</Template>
  <TotalTime>3</TotalTime>
  <Pages>3</Pages>
  <Words>7612</Words>
  <Characters>43394</Characters>
  <Application>Microsoft Office Word</Application>
  <DocSecurity>4</DocSecurity>
  <Lines>361</Lines>
  <Paragraphs>101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ECE/TRANS/WP.15/AC.2/78</vt:lpstr>
      <vt:lpstr>ECE/TRANS/WP.15/AC.2/78</vt:lpstr>
    </vt:vector>
  </TitlesOfParts>
  <Company>CSD</Company>
  <LinksUpToDate>false</LinksUpToDate>
  <CharactersWithSpaces>50905</CharactersWithSpaces>
  <SharedDoc>false</SharedDoc>
  <HLinks>
    <vt:vector size="318" baseType="variant">
      <vt:variant>
        <vt:i4>1179704</vt:i4>
      </vt:variant>
      <vt:variant>
        <vt:i4>302</vt:i4>
      </vt:variant>
      <vt:variant>
        <vt:i4>0</vt:i4>
      </vt:variant>
      <vt:variant>
        <vt:i4>5</vt:i4>
      </vt:variant>
      <vt:variant>
        <vt:lpwstr/>
      </vt:variant>
      <vt:variant>
        <vt:lpwstr>_Toc81410441</vt:lpwstr>
      </vt:variant>
      <vt:variant>
        <vt:i4>1245240</vt:i4>
      </vt:variant>
      <vt:variant>
        <vt:i4>296</vt:i4>
      </vt:variant>
      <vt:variant>
        <vt:i4>0</vt:i4>
      </vt:variant>
      <vt:variant>
        <vt:i4>5</vt:i4>
      </vt:variant>
      <vt:variant>
        <vt:lpwstr/>
      </vt:variant>
      <vt:variant>
        <vt:lpwstr>_Toc81410440</vt:lpwstr>
      </vt:variant>
      <vt:variant>
        <vt:i4>1769535</vt:i4>
      </vt:variant>
      <vt:variant>
        <vt:i4>290</vt:i4>
      </vt:variant>
      <vt:variant>
        <vt:i4>0</vt:i4>
      </vt:variant>
      <vt:variant>
        <vt:i4>5</vt:i4>
      </vt:variant>
      <vt:variant>
        <vt:lpwstr/>
      </vt:variant>
      <vt:variant>
        <vt:lpwstr>_Toc81410438</vt:lpwstr>
      </vt:variant>
      <vt:variant>
        <vt:i4>1376319</vt:i4>
      </vt:variant>
      <vt:variant>
        <vt:i4>284</vt:i4>
      </vt:variant>
      <vt:variant>
        <vt:i4>0</vt:i4>
      </vt:variant>
      <vt:variant>
        <vt:i4>5</vt:i4>
      </vt:variant>
      <vt:variant>
        <vt:lpwstr/>
      </vt:variant>
      <vt:variant>
        <vt:lpwstr>_Toc81410436</vt:lpwstr>
      </vt:variant>
      <vt:variant>
        <vt:i4>1441855</vt:i4>
      </vt:variant>
      <vt:variant>
        <vt:i4>278</vt:i4>
      </vt:variant>
      <vt:variant>
        <vt:i4>0</vt:i4>
      </vt:variant>
      <vt:variant>
        <vt:i4>5</vt:i4>
      </vt:variant>
      <vt:variant>
        <vt:lpwstr/>
      </vt:variant>
      <vt:variant>
        <vt:lpwstr>_Toc81410435</vt:lpwstr>
      </vt:variant>
      <vt:variant>
        <vt:i4>1507391</vt:i4>
      </vt:variant>
      <vt:variant>
        <vt:i4>272</vt:i4>
      </vt:variant>
      <vt:variant>
        <vt:i4>0</vt:i4>
      </vt:variant>
      <vt:variant>
        <vt:i4>5</vt:i4>
      </vt:variant>
      <vt:variant>
        <vt:lpwstr/>
      </vt:variant>
      <vt:variant>
        <vt:lpwstr>_Toc81410434</vt:lpwstr>
      </vt:variant>
      <vt:variant>
        <vt:i4>1114175</vt:i4>
      </vt:variant>
      <vt:variant>
        <vt:i4>266</vt:i4>
      </vt:variant>
      <vt:variant>
        <vt:i4>0</vt:i4>
      </vt:variant>
      <vt:variant>
        <vt:i4>5</vt:i4>
      </vt:variant>
      <vt:variant>
        <vt:lpwstr/>
      </vt:variant>
      <vt:variant>
        <vt:lpwstr>_Toc81410432</vt:lpwstr>
      </vt:variant>
      <vt:variant>
        <vt:i4>1703998</vt:i4>
      </vt:variant>
      <vt:variant>
        <vt:i4>260</vt:i4>
      </vt:variant>
      <vt:variant>
        <vt:i4>0</vt:i4>
      </vt:variant>
      <vt:variant>
        <vt:i4>5</vt:i4>
      </vt:variant>
      <vt:variant>
        <vt:lpwstr/>
      </vt:variant>
      <vt:variant>
        <vt:lpwstr>_Toc81410429</vt:lpwstr>
      </vt:variant>
      <vt:variant>
        <vt:i4>1769534</vt:i4>
      </vt:variant>
      <vt:variant>
        <vt:i4>254</vt:i4>
      </vt:variant>
      <vt:variant>
        <vt:i4>0</vt:i4>
      </vt:variant>
      <vt:variant>
        <vt:i4>5</vt:i4>
      </vt:variant>
      <vt:variant>
        <vt:lpwstr/>
      </vt:variant>
      <vt:variant>
        <vt:lpwstr>_Toc81410428</vt:lpwstr>
      </vt:variant>
      <vt:variant>
        <vt:i4>1441854</vt:i4>
      </vt:variant>
      <vt:variant>
        <vt:i4>248</vt:i4>
      </vt:variant>
      <vt:variant>
        <vt:i4>0</vt:i4>
      </vt:variant>
      <vt:variant>
        <vt:i4>5</vt:i4>
      </vt:variant>
      <vt:variant>
        <vt:lpwstr/>
      </vt:variant>
      <vt:variant>
        <vt:lpwstr>_Toc81410425</vt:lpwstr>
      </vt:variant>
      <vt:variant>
        <vt:i4>1048638</vt:i4>
      </vt:variant>
      <vt:variant>
        <vt:i4>242</vt:i4>
      </vt:variant>
      <vt:variant>
        <vt:i4>0</vt:i4>
      </vt:variant>
      <vt:variant>
        <vt:i4>5</vt:i4>
      </vt:variant>
      <vt:variant>
        <vt:lpwstr/>
      </vt:variant>
      <vt:variant>
        <vt:lpwstr>_Toc81410423</vt:lpwstr>
      </vt:variant>
      <vt:variant>
        <vt:i4>1179710</vt:i4>
      </vt:variant>
      <vt:variant>
        <vt:i4>236</vt:i4>
      </vt:variant>
      <vt:variant>
        <vt:i4>0</vt:i4>
      </vt:variant>
      <vt:variant>
        <vt:i4>5</vt:i4>
      </vt:variant>
      <vt:variant>
        <vt:lpwstr/>
      </vt:variant>
      <vt:variant>
        <vt:lpwstr>_Toc81410421</vt:lpwstr>
      </vt:variant>
      <vt:variant>
        <vt:i4>1703997</vt:i4>
      </vt:variant>
      <vt:variant>
        <vt:i4>230</vt:i4>
      </vt:variant>
      <vt:variant>
        <vt:i4>0</vt:i4>
      </vt:variant>
      <vt:variant>
        <vt:i4>5</vt:i4>
      </vt:variant>
      <vt:variant>
        <vt:lpwstr/>
      </vt:variant>
      <vt:variant>
        <vt:lpwstr>_Toc81410419</vt:lpwstr>
      </vt:variant>
      <vt:variant>
        <vt:i4>1310781</vt:i4>
      </vt:variant>
      <vt:variant>
        <vt:i4>224</vt:i4>
      </vt:variant>
      <vt:variant>
        <vt:i4>0</vt:i4>
      </vt:variant>
      <vt:variant>
        <vt:i4>5</vt:i4>
      </vt:variant>
      <vt:variant>
        <vt:lpwstr/>
      </vt:variant>
      <vt:variant>
        <vt:lpwstr>_Toc81410417</vt:lpwstr>
      </vt:variant>
      <vt:variant>
        <vt:i4>1441853</vt:i4>
      </vt:variant>
      <vt:variant>
        <vt:i4>218</vt:i4>
      </vt:variant>
      <vt:variant>
        <vt:i4>0</vt:i4>
      </vt:variant>
      <vt:variant>
        <vt:i4>5</vt:i4>
      </vt:variant>
      <vt:variant>
        <vt:lpwstr/>
      </vt:variant>
      <vt:variant>
        <vt:lpwstr>_Toc81410415</vt:lpwstr>
      </vt:variant>
      <vt:variant>
        <vt:i4>1048637</vt:i4>
      </vt:variant>
      <vt:variant>
        <vt:i4>212</vt:i4>
      </vt:variant>
      <vt:variant>
        <vt:i4>0</vt:i4>
      </vt:variant>
      <vt:variant>
        <vt:i4>5</vt:i4>
      </vt:variant>
      <vt:variant>
        <vt:lpwstr/>
      </vt:variant>
      <vt:variant>
        <vt:lpwstr>_Toc81410413</vt:lpwstr>
      </vt:variant>
      <vt:variant>
        <vt:i4>1179709</vt:i4>
      </vt:variant>
      <vt:variant>
        <vt:i4>206</vt:i4>
      </vt:variant>
      <vt:variant>
        <vt:i4>0</vt:i4>
      </vt:variant>
      <vt:variant>
        <vt:i4>5</vt:i4>
      </vt:variant>
      <vt:variant>
        <vt:lpwstr/>
      </vt:variant>
      <vt:variant>
        <vt:lpwstr>_Toc81410411</vt:lpwstr>
      </vt:variant>
      <vt:variant>
        <vt:i4>1703996</vt:i4>
      </vt:variant>
      <vt:variant>
        <vt:i4>200</vt:i4>
      </vt:variant>
      <vt:variant>
        <vt:i4>0</vt:i4>
      </vt:variant>
      <vt:variant>
        <vt:i4>5</vt:i4>
      </vt:variant>
      <vt:variant>
        <vt:lpwstr/>
      </vt:variant>
      <vt:variant>
        <vt:lpwstr>_Toc81410409</vt:lpwstr>
      </vt:variant>
      <vt:variant>
        <vt:i4>1310780</vt:i4>
      </vt:variant>
      <vt:variant>
        <vt:i4>194</vt:i4>
      </vt:variant>
      <vt:variant>
        <vt:i4>0</vt:i4>
      </vt:variant>
      <vt:variant>
        <vt:i4>5</vt:i4>
      </vt:variant>
      <vt:variant>
        <vt:lpwstr/>
      </vt:variant>
      <vt:variant>
        <vt:lpwstr>_Toc81410407</vt:lpwstr>
      </vt:variant>
      <vt:variant>
        <vt:i4>1441852</vt:i4>
      </vt:variant>
      <vt:variant>
        <vt:i4>188</vt:i4>
      </vt:variant>
      <vt:variant>
        <vt:i4>0</vt:i4>
      </vt:variant>
      <vt:variant>
        <vt:i4>5</vt:i4>
      </vt:variant>
      <vt:variant>
        <vt:lpwstr/>
      </vt:variant>
      <vt:variant>
        <vt:lpwstr>_Toc81410405</vt:lpwstr>
      </vt:variant>
      <vt:variant>
        <vt:i4>1048636</vt:i4>
      </vt:variant>
      <vt:variant>
        <vt:i4>182</vt:i4>
      </vt:variant>
      <vt:variant>
        <vt:i4>0</vt:i4>
      </vt:variant>
      <vt:variant>
        <vt:i4>5</vt:i4>
      </vt:variant>
      <vt:variant>
        <vt:lpwstr/>
      </vt:variant>
      <vt:variant>
        <vt:lpwstr>_Toc81410403</vt:lpwstr>
      </vt:variant>
      <vt:variant>
        <vt:i4>1245244</vt:i4>
      </vt:variant>
      <vt:variant>
        <vt:i4>176</vt:i4>
      </vt:variant>
      <vt:variant>
        <vt:i4>0</vt:i4>
      </vt:variant>
      <vt:variant>
        <vt:i4>5</vt:i4>
      </vt:variant>
      <vt:variant>
        <vt:lpwstr/>
      </vt:variant>
      <vt:variant>
        <vt:lpwstr>_Toc81410400</vt:lpwstr>
      </vt:variant>
      <vt:variant>
        <vt:i4>1835061</vt:i4>
      </vt:variant>
      <vt:variant>
        <vt:i4>170</vt:i4>
      </vt:variant>
      <vt:variant>
        <vt:i4>0</vt:i4>
      </vt:variant>
      <vt:variant>
        <vt:i4>5</vt:i4>
      </vt:variant>
      <vt:variant>
        <vt:lpwstr/>
      </vt:variant>
      <vt:variant>
        <vt:lpwstr>_Toc81410398</vt:lpwstr>
      </vt:variant>
      <vt:variant>
        <vt:i4>1179701</vt:i4>
      </vt:variant>
      <vt:variant>
        <vt:i4>164</vt:i4>
      </vt:variant>
      <vt:variant>
        <vt:i4>0</vt:i4>
      </vt:variant>
      <vt:variant>
        <vt:i4>5</vt:i4>
      </vt:variant>
      <vt:variant>
        <vt:lpwstr/>
      </vt:variant>
      <vt:variant>
        <vt:lpwstr>_Toc81410396</vt:lpwstr>
      </vt:variant>
      <vt:variant>
        <vt:i4>1048629</vt:i4>
      </vt:variant>
      <vt:variant>
        <vt:i4>158</vt:i4>
      </vt:variant>
      <vt:variant>
        <vt:i4>0</vt:i4>
      </vt:variant>
      <vt:variant>
        <vt:i4>5</vt:i4>
      </vt:variant>
      <vt:variant>
        <vt:lpwstr/>
      </vt:variant>
      <vt:variant>
        <vt:lpwstr>_Toc81410394</vt:lpwstr>
      </vt:variant>
      <vt:variant>
        <vt:i4>1376309</vt:i4>
      </vt:variant>
      <vt:variant>
        <vt:i4>152</vt:i4>
      </vt:variant>
      <vt:variant>
        <vt:i4>0</vt:i4>
      </vt:variant>
      <vt:variant>
        <vt:i4>5</vt:i4>
      </vt:variant>
      <vt:variant>
        <vt:lpwstr/>
      </vt:variant>
      <vt:variant>
        <vt:lpwstr>_Toc81410391</vt:lpwstr>
      </vt:variant>
      <vt:variant>
        <vt:i4>1900596</vt:i4>
      </vt:variant>
      <vt:variant>
        <vt:i4>146</vt:i4>
      </vt:variant>
      <vt:variant>
        <vt:i4>0</vt:i4>
      </vt:variant>
      <vt:variant>
        <vt:i4>5</vt:i4>
      </vt:variant>
      <vt:variant>
        <vt:lpwstr/>
      </vt:variant>
      <vt:variant>
        <vt:lpwstr>_Toc81410389</vt:lpwstr>
      </vt:variant>
      <vt:variant>
        <vt:i4>1245236</vt:i4>
      </vt:variant>
      <vt:variant>
        <vt:i4>140</vt:i4>
      </vt:variant>
      <vt:variant>
        <vt:i4>0</vt:i4>
      </vt:variant>
      <vt:variant>
        <vt:i4>5</vt:i4>
      </vt:variant>
      <vt:variant>
        <vt:lpwstr/>
      </vt:variant>
      <vt:variant>
        <vt:lpwstr>_Toc81410387</vt:lpwstr>
      </vt:variant>
      <vt:variant>
        <vt:i4>1114164</vt:i4>
      </vt:variant>
      <vt:variant>
        <vt:i4>134</vt:i4>
      </vt:variant>
      <vt:variant>
        <vt:i4>0</vt:i4>
      </vt:variant>
      <vt:variant>
        <vt:i4>5</vt:i4>
      </vt:variant>
      <vt:variant>
        <vt:lpwstr/>
      </vt:variant>
      <vt:variant>
        <vt:lpwstr>_Toc81410385</vt:lpwstr>
      </vt:variant>
      <vt:variant>
        <vt:i4>1048628</vt:i4>
      </vt:variant>
      <vt:variant>
        <vt:i4>128</vt:i4>
      </vt:variant>
      <vt:variant>
        <vt:i4>0</vt:i4>
      </vt:variant>
      <vt:variant>
        <vt:i4>5</vt:i4>
      </vt:variant>
      <vt:variant>
        <vt:lpwstr/>
      </vt:variant>
      <vt:variant>
        <vt:lpwstr>_Toc81410384</vt:lpwstr>
      </vt:variant>
      <vt:variant>
        <vt:i4>1507380</vt:i4>
      </vt:variant>
      <vt:variant>
        <vt:i4>122</vt:i4>
      </vt:variant>
      <vt:variant>
        <vt:i4>0</vt:i4>
      </vt:variant>
      <vt:variant>
        <vt:i4>5</vt:i4>
      </vt:variant>
      <vt:variant>
        <vt:lpwstr/>
      </vt:variant>
      <vt:variant>
        <vt:lpwstr>_Toc81410383</vt:lpwstr>
      </vt:variant>
      <vt:variant>
        <vt:i4>1441844</vt:i4>
      </vt:variant>
      <vt:variant>
        <vt:i4>116</vt:i4>
      </vt:variant>
      <vt:variant>
        <vt:i4>0</vt:i4>
      </vt:variant>
      <vt:variant>
        <vt:i4>5</vt:i4>
      </vt:variant>
      <vt:variant>
        <vt:lpwstr/>
      </vt:variant>
      <vt:variant>
        <vt:lpwstr>_Toc81410382</vt:lpwstr>
      </vt:variant>
      <vt:variant>
        <vt:i4>1376308</vt:i4>
      </vt:variant>
      <vt:variant>
        <vt:i4>110</vt:i4>
      </vt:variant>
      <vt:variant>
        <vt:i4>0</vt:i4>
      </vt:variant>
      <vt:variant>
        <vt:i4>5</vt:i4>
      </vt:variant>
      <vt:variant>
        <vt:lpwstr/>
      </vt:variant>
      <vt:variant>
        <vt:lpwstr>_Toc81410381</vt:lpwstr>
      </vt:variant>
      <vt:variant>
        <vt:i4>1310772</vt:i4>
      </vt:variant>
      <vt:variant>
        <vt:i4>104</vt:i4>
      </vt:variant>
      <vt:variant>
        <vt:i4>0</vt:i4>
      </vt:variant>
      <vt:variant>
        <vt:i4>5</vt:i4>
      </vt:variant>
      <vt:variant>
        <vt:lpwstr/>
      </vt:variant>
      <vt:variant>
        <vt:lpwstr>_Toc81410380</vt:lpwstr>
      </vt:variant>
      <vt:variant>
        <vt:i4>1835067</vt:i4>
      </vt:variant>
      <vt:variant>
        <vt:i4>98</vt:i4>
      </vt:variant>
      <vt:variant>
        <vt:i4>0</vt:i4>
      </vt:variant>
      <vt:variant>
        <vt:i4>5</vt:i4>
      </vt:variant>
      <vt:variant>
        <vt:lpwstr/>
      </vt:variant>
      <vt:variant>
        <vt:lpwstr>_Toc81410378</vt:lpwstr>
      </vt:variant>
      <vt:variant>
        <vt:i4>1179707</vt:i4>
      </vt:variant>
      <vt:variant>
        <vt:i4>92</vt:i4>
      </vt:variant>
      <vt:variant>
        <vt:i4>0</vt:i4>
      </vt:variant>
      <vt:variant>
        <vt:i4>5</vt:i4>
      </vt:variant>
      <vt:variant>
        <vt:lpwstr/>
      </vt:variant>
      <vt:variant>
        <vt:lpwstr>_Toc81410376</vt:lpwstr>
      </vt:variant>
      <vt:variant>
        <vt:i4>1114171</vt:i4>
      </vt:variant>
      <vt:variant>
        <vt:i4>86</vt:i4>
      </vt:variant>
      <vt:variant>
        <vt:i4>0</vt:i4>
      </vt:variant>
      <vt:variant>
        <vt:i4>5</vt:i4>
      </vt:variant>
      <vt:variant>
        <vt:lpwstr/>
      </vt:variant>
      <vt:variant>
        <vt:lpwstr>_Toc81410375</vt:lpwstr>
      </vt:variant>
      <vt:variant>
        <vt:i4>1048635</vt:i4>
      </vt:variant>
      <vt:variant>
        <vt:i4>80</vt:i4>
      </vt:variant>
      <vt:variant>
        <vt:i4>0</vt:i4>
      </vt:variant>
      <vt:variant>
        <vt:i4>5</vt:i4>
      </vt:variant>
      <vt:variant>
        <vt:lpwstr/>
      </vt:variant>
      <vt:variant>
        <vt:lpwstr>_Toc81410374</vt:lpwstr>
      </vt:variant>
      <vt:variant>
        <vt:i4>1441851</vt:i4>
      </vt:variant>
      <vt:variant>
        <vt:i4>74</vt:i4>
      </vt:variant>
      <vt:variant>
        <vt:i4>0</vt:i4>
      </vt:variant>
      <vt:variant>
        <vt:i4>5</vt:i4>
      </vt:variant>
      <vt:variant>
        <vt:lpwstr/>
      </vt:variant>
      <vt:variant>
        <vt:lpwstr>_Toc81410372</vt:lpwstr>
      </vt:variant>
      <vt:variant>
        <vt:i4>1900602</vt:i4>
      </vt:variant>
      <vt:variant>
        <vt:i4>68</vt:i4>
      </vt:variant>
      <vt:variant>
        <vt:i4>0</vt:i4>
      </vt:variant>
      <vt:variant>
        <vt:i4>5</vt:i4>
      </vt:variant>
      <vt:variant>
        <vt:lpwstr/>
      </vt:variant>
      <vt:variant>
        <vt:lpwstr>_Toc81410369</vt:lpwstr>
      </vt:variant>
      <vt:variant>
        <vt:i4>1835066</vt:i4>
      </vt:variant>
      <vt:variant>
        <vt:i4>62</vt:i4>
      </vt:variant>
      <vt:variant>
        <vt:i4>0</vt:i4>
      </vt:variant>
      <vt:variant>
        <vt:i4>5</vt:i4>
      </vt:variant>
      <vt:variant>
        <vt:lpwstr/>
      </vt:variant>
      <vt:variant>
        <vt:lpwstr>_Toc81410368</vt:lpwstr>
      </vt:variant>
      <vt:variant>
        <vt:i4>1245242</vt:i4>
      </vt:variant>
      <vt:variant>
        <vt:i4>56</vt:i4>
      </vt:variant>
      <vt:variant>
        <vt:i4>0</vt:i4>
      </vt:variant>
      <vt:variant>
        <vt:i4>5</vt:i4>
      </vt:variant>
      <vt:variant>
        <vt:lpwstr/>
      </vt:variant>
      <vt:variant>
        <vt:lpwstr>_Toc81410367</vt:lpwstr>
      </vt:variant>
      <vt:variant>
        <vt:i4>1179706</vt:i4>
      </vt:variant>
      <vt:variant>
        <vt:i4>50</vt:i4>
      </vt:variant>
      <vt:variant>
        <vt:i4>0</vt:i4>
      </vt:variant>
      <vt:variant>
        <vt:i4>5</vt:i4>
      </vt:variant>
      <vt:variant>
        <vt:lpwstr/>
      </vt:variant>
      <vt:variant>
        <vt:lpwstr>_Toc81410366</vt:lpwstr>
      </vt:variant>
      <vt:variant>
        <vt:i4>1048634</vt:i4>
      </vt:variant>
      <vt:variant>
        <vt:i4>44</vt:i4>
      </vt:variant>
      <vt:variant>
        <vt:i4>0</vt:i4>
      </vt:variant>
      <vt:variant>
        <vt:i4>5</vt:i4>
      </vt:variant>
      <vt:variant>
        <vt:lpwstr/>
      </vt:variant>
      <vt:variant>
        <vt:lpwstr>_Toc81410364</vt:lpwstr>
      </vt:variant>
      <vt:variant>
        <vt:i4>1441850</vt:i4>
      </vt:variant>
      <vt:variant>
        <vt:i4>38</vt:i4>
      </vt:variant>
      <vt:variant>
        <vt:i4>0</vt:i4>
      </vt:variant>
      <vt:variant>
        <vt:i4>5</vt:i4>
      </vt:variant>
      <vt:variant>
        <vt:lpwstr/>
      </vt:variant>
      <vt:variant>
        <vt:lpwstr>_Toc81410362</vt:lpwstr>
      </vt:variant>
      <vt:variant>
        <vt:i4>1310778</vt:i4>
      </vt:variant>
      <vt:variant>
        <vt:i4>32</vt:i4>
      </vt:variant>
      <vt:variant>
        <vt:i4>0</vt:i4>
      </vt:variant>
      <vt:variant>
        <vt:i4>5</vt:i4>
      </vt:variant>
      <vt:variant>
        <vt:lpwstr/>
      </vt:variant>
      <vt:variant>
        <vt:lpwstr>_Toc81410360</vt:lpwstr>
      </vt:variant>
      <vt:variant>
        <vt:i4>1900601</vt:i4>
      </vt:variant>
      <vt:variant>
        <vt:i4>26</vt:i4>
      </vt:variant>
      <vt:variant>
        <vt:i4>0</vt:i4>
      </vt:variant>
      <vt:variant>
        <vt:i4>5</vt:i4>
      </vt:variant>
      <vt:variant>
        <vt:lpwstr/>
      </vt:variant>
      <vt:variant>
        <vt:lpwstr>_Toc81410359</vt:lpwstr>
      </vt:variant>
      <vt:variant>
        <vt:i4>1835065</vt:i4>
      </vt:variant>
      <vt:variant>
        <vt:i4>20</vt:i4>
      </vt:variant>
      <vt:variant>
        <vt:i4>0</vt:i4>
      </vt:variant>
      <vt:variant>
        <vt:i4>5</vt:i4>
      </vt:variant>
      <vt:variant>
        <vt:lpwstr/>
      </vt:variant>
      <vt:variant>
        <vt:lpwstr>_Toc81410358</vt:lpwstr>
      </vt:variant>
      <vt:variant>
        <vt:i4>1245241</vt:i4>
      </vt:variant>
      <vt:variant>
        <vt:i4>14</vt:i4>
      </vt:variant>
      <vt:variant>
        <vt:i4>0</vt:i4>
      </vt:variant>
      <vt:variant>
        <vt:i4>5</vt:i4>
      </vt:variant>
      <vt:variant>
        <vt:lpwstr/>
      </vt:variant>
      <vt:variant>
        <vt:lpwstr>_Toc81410357</vt:lpwstr>
      </vt:variant>
      <vt:variant>
        <vt:i4>1179705</vt:i4>
      </vt:variant>
      <vt:variant>
        <vt:i4>8</vt:i4>
      </vt:variant>
      <vt:variant>
        <vt:i4>0</vt:i4>
      </vt:variant>
      <vt:variant>
        <vt:i4>5</vt:i4>
      </vt:variant>
      <vt:variant>
        <vt:lpwstr/>
      </vt:variant>
      <vt:variant>
        <vt:lpwstr>_Toc81410356</vt:lpwstr>
      </vt:variant>
      <vt:variant>
        <vt:i4>1114169</vt:i4>
      </vt:variant>
      <vt:variant>
        <vt:i4>2</vt:i4>
      </vt:variant>
      <vt:variant>
        <vt:i4>0</vt:i4>
      </vt:variant>
      <vt:variant>
        <vt:i4>5</vt:i4>
      </vt:variant>
      <vt:variant>
        <vt:lpwstr/>
      </vt:variant>
      <vt:variant>
        <vt:lpwstr>_Toc81410355</vt:lpwstr>
      </vt:variant>
      <vt:variant>
        <vt:i4>7340072</vt:i4>
      </vt:variant>
      <vt:variant>
        <vt:i4>3</vt:i4>
      </vt:variant>
      <vt:variant>
        <vt:i4>0</vt:i4>
      </vt:variant>
      <vt:variant>
        <vt:i4>5</vt:i4>
      </vt:variant>
      <vt:variant>
        <vt:lpwstr>https://unece.org/DAM/trans/doc/2020/dgadn/ECE-ADN-53e.pdf</vt:lpwstr>
      </vt:variant>
      <vt:variant>
        <vt:lpwstr/>
      </vt:variant>
      <vt:variant>
        <vt:i4>7929897</vt:i4>
      </vt:variant>
      <vt:variant>
        <vt:i4>0</vt:i4>
      </vt:variant>
      <vt:variant>
        <vt:i4>0</vt:i4>
      </vt:variant>
      <vt:variant>
        <vt:i4>5</vt:i4>
      </vt:variant>
      <vt:variant>
        <vt:lpwstr>https://unece.org/DAM/trans/doc/2019/dgadn/ECE-ADN-51e.pdf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ECE/TRANS/WP.15/AC.2/78</dc:title>
  <dc:subject/>
  <dc:creator>Lucille</dc:creator>
  <cp:keywords/>
  <cp:lastModifiedBy>Nadiya Dzyubynska</cp:lastModifiedBy>
  <cp:revision>2</cp:revision>
  <cp:lastPrinted>2021-10-01T11:24:00Z</cp:lastPrinted>
  <dcterms:created xsi:type="dcterms:W3CDTF">2021-11-30T15:02:00Z</dcterms:created>
  <dcterms:modified xsi:type="dcterms:W3CDTF">2021-11-30T15:02:00Z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