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0599" w14:textId="6B239167" w:rsidR="00881C09" w:rsidRPr="00676602" w:rsidRDefault="00881C09" w:rsidP="00881C09">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bidi="fr-FR"/>
        </w:rPr>
      </w:pPr>
      <w:r w:rsidRPr="00676602">
        <w:rPr>
          <w:rFonts w:ascii="Arial" w:eastAsia="Arial" w:hAnsi="Arial" w:cs="Arial"/>
          <w:bCs/>
          <w:noProof/>
          <w:szCs w:val="24"/>
        </w:rPr>
        <w:drawing>
          <wp:anchor distT="0" distB="0" distL="114300" distR="114300" simplePos="0" relativeHeight="251659264" behindDoc="0" locked="0" layoutInCell="1" allowOverlap="1" wp14:anchorId="29681C8F" wp14:editId="1A1C62D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676602">
        <w:rPr>
          <w:rFonts w:ascii="Arial" w:eastAsia="Arial" w:hAnsi="Arial" w:cs="Arial"/>
          <w:bCs/>
          <w:szCs w:val="24"/>
          <w:lang w:eastAsia="de-DE"/>
        </w:rPr>
        <w:t>CCNR-ZKR/ADN/WP.15/AC.2/2022/</w:t>
      </w:r>
      <w:r w:rsidR="00877F15" w:rsidRPr="00676602">
        <w:rPr>
          <w:rFonts w:ascii="Arial" w:eastAsia="Arial" w:hAnsi="Arial" w:cs="Arial"/>
          <w:bCs/>
          <w:szCs w:val="24"/>
          <w:lang w:eastAsia="de-DE"/>
        </w:rPr>
        <w:t>15</w:t>
      </w:r>
    </w:p>
    <w:p w14:paraId="492FBF89" w14:textId="77777777" w:rsidR="00881C09" w:rsidRPr="00676602" w:rsidRDefault="00881C09" w:rsidP="00881C0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676602">
        <w:rPr>
          <w:rFonts w:ascii="Arial" w:hAnsi="Arial" w:cs="Arial"/>
          <w:sz w:val="16"/>
          <w:szCs w:val="24"/>
          <w:lang w:eastAsia="de-DE"/>
        </w:rPr>
        <w:t>Allgemeine Verteilung</w:t>
      </w:r>
    </w:p>
    <w:p w14:paraId="47D3B579" w14:textId="1F49E2C8" w:rsidR="00881C09" w:rsidRPr="00676602" w:rsidRDefault="00E17434" w:rsidP="00881C0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676602">
        <w:rPr>
          <w:rFonts w:ascii="Arial" w:eastAsia="Arial" w:hAnsi="Arial" w:cs="Arial"/>
          <w:szCs w:val="24"/>
          <w:lang w:eastAsia="de-DE"/>
        </w:rPr>
        <w:t>1</w:t>
      </w:r>
      <w:r w:rsidR="0016472F" w:rsidRPr="00676602">
        <w:rPr>
          <w:rFonts w:ascii="Arial" w:eastAsia="Arial" w:hAnsi="Arial" w:cs="Arial"/>
          <w:szCs w:val="24"/>
          <w:lang w:eastAsia="de-DE"/>
        </w:rPr>
        <w:t>5</w:t>
      </w:r>
      <w:r w:rsidR="00881C09" w:rsidRPr="00676602">
        <w:rPr>
          <w:rFonts w:ascii="Arial" w:eastAsia="Arial" w:hAnsi="Arial" w:cs="Arial"/>
          <w:szCs w:val="24"/>
          <w:lang w:eastAsia="de-DE"/>
        </w:rPr>
        <w:t xml:space="preserve">. </w:t>
      </w:r>
      <w:r w:rsidRPr="00676602">
        <w:rPr>
          <w:rFonts w:ascii="Arial" w:eastAsia="Arial" w:hAnsi="Arial" w:cs="Arial"/>
          <w:szCs w:val="24"/>
          <w:lang w:eastAsia="de-DE"/>
        </w:rPr>
        <w:t>November</w:t>
      </w:r>
      <w:r w:rsidR="00881C09" w:rsidRPr="00676602">
        <w:rPr>
          <w:rFonts w:ascii="Arial" w:eastAsia="Arial" w:hAnsi="Arial" w:cs="Arial"/>
          <w:szCs w:val="24"/>
          <w:lang w:eastAsia="de-DE"/>
        </w:rPr>
        <w:t xml:space="preserve"> </w:t>
      </w:r>
      <w:r w:rsidR="00290C68" w:rsidRPr="00676602">
        <w:rPr>
          <w:rFonts w:ascii="Arial" w:eastAsia="Arial" w:hAnsi="Arial" w:cs="Arial"/>
          <w:szCs w:val="24"/>
          <w:lang w:eastAsia="de-DE"/>
        </w:rPr>
        <w:t>2021</w:t>
      </w:r>
    </w:p>
    <w:p w14:paraId="1FE5C078" w14:textId="484C637C" w:rsidR="00881C09" w:rsidRPr="00676602" w:rsidRDefault="00881C09" w:rsidP="00881C0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676602">
        <w:rPr>
          <w:rFonts w:ascii="Arial" w:eastAsia="Arial" w:hAnsi="Arial" w:cs="Arial"/>
          <w:sz w:val="16"/>
          <w:szCs w:val="24"/>
          <w:lang w:eastAsia="de-DE"/>
        </w:rPr>
        <w:t>Or</w:t>
      </w:r>
      <w:proofErr w:type="spellEnd"/>
      <w:r w:rsidRPr="00676602">
        <w:rPr>
          <w:rFonts w:ascii="Arial" w:eastAsia="Arial" w:hAnsi="Arial" w:cs="Arial"/>
          <w:sz w:val="16"/>
          <w:szCs w:val="24"/>
          <w:lang w:eastAsia="de-DE"/>
        </w:rPr>
        <w:t xml:space="preserve">. </w:t>
      </w:r>
      <w:r w:rsidR="0016472F" w:rsidRPr="00676602">
        <w:rPr>
          <w:rFonts w:ascii="Arial" w:eastAsia="Arial" w:hAnsi="Arial" w:cs="Arial"/>
          <w:sz w:val="16"/>
          <w:szCs w:val="24"/>
          <w:lang w:eastAsia="de-DE"/>
        </w:rPr>
        <w:t>ENGLISCH</w:t>
      </w:r>
    </w:p>
    <w:p w14:paraId="4C158972" w14:textId="77777777" w:rsidR="00881C09" w:rsidRPr="00676602" w:rsidRDefault="00881C09" w:rsidP="00881C09">
      <w:pPr>
        <w:widowControl/>
        <w:overflowPunct/>
        <w:autoSpaceDE/>
        <w:autoSpaceDN/>
        <w:adjustRightInd/>
        <w:snapToGrid w:val="0"/>
        <w:ind w:left="0" w:firstLine="0"/>
        <w:jc w:val="left"/>
        <w:textAlignment w:val="auto"/>
        <w:rPr>
          <w:rFonts w:ascii="Arial" w:hAnsi="Arial" w:cs="Arial"/>
          <w:sz w:val="16"/>
          <w:szCs w:val="24"/>
          <w:lang w:eastAsia="de-DE"/>
        </w:rPr>
      </w:pPr>
    </w:p>
    <w:p w14:paraId="7146A9AF" w14:textId="77777777" w:rsidR="00881C09" w:rsidRPr="00676602" w:rsidRDefault="00881C09" w:rsidP="00881C09">
      <w:pPr>
        <w:widowControl/>
        <w:overflowPunct/>
        <w:autoSpaceDE/>
        <w:autoSpaceDN/>
        <w:adjustRightInd/>
        <w:snapToGrid w:val="0"/>
        <w:ind w:left="0" w:firstLine="0"/>
        <w:jc w:val="left"/>
        <w:textAlignment w:val="auto"/>
        <w:rPr>
          <w:rFonts w:ascii="Arial" w:hAnsi="Arial" w:cs="Arial"/>
          <w:sz w:val="16"/>
          <w:szCs w:val="24"/>
          <w:lang w:eastAsia="de-DE"/>
        </w:rPr>
      </w:pPr>
    </w:p>
    <w:p w14:paraId="3EE8A585" w14:textId="77777777" w:rsidR="00881C09" w:rsidRPr="00676602" w:rsidRDefault="00881C09" w:rsidP="00881C09">
      <w:pPr>
        <w:tabs>
          <w:tab w:val="left" w:pos="2977"/>
        </w:tabs>
        <w:ind w:left="3960"/>
        <w:rPr>
          <w:rFonts w:ascii="Arial" w:hAnsi="Arial" w:cs="Arial"/>
          <w:b/>
          <w:sz w:val="16"/>
          <w:szCs w:val="16"/>
          <w:lang w:eastAsia="en-US"/>
        </w:rPr>
      </w:pPr>
    </w:p>
    <w:p w14:paraId="7E22BE66" w14:textId="77777777" w:rsidR="00881C09" w:rsidRPr="00676602" w:rsidRDefault="00881C09" w:rsidP="00881C09">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676602">
        <w:rPr>
          <w:rFonts w:ascii="Arial" w:hAnsi="Arial"/>
          <w:noProof/>
          <w:sz w:val="16"/>
          <w:szCs w:val="24"/>
        </w:rPr>
        <w:t xml:space="preserve">GEMEINSAME EXPERTENTAGUNG FÜR DIE DEM ÜBEREINKOMMEN ÜBER DIE INTERNATIONALE BEFÖRDERUNG VON GEFÄHRLICHEN GÜTERN AUF </w:t>
      </w:r>
      <w:r w:rsidRPr="00676602">
        <w:rPr>
          <w:rFonts w:ascii="Arial" w:eastAsia="Calibri" w:hAnsi="Arial" w:cs="Arial"/>
          <w:sz w:val="16"/>
          <w:szCs w:val="16"/>
          <w:lang w:eastAsia="en-US"/>
        </w:rPr>
        <w:t xml:space="preserve">BINNENWASSERSTRAẞEN (ADN) </w:t>
      </w:r>
      <w:r w:rsidRPr="00676602">
        <w:rPr>
          <w:rFonts w:ascii="Arial" w:hAnsi="Arial"/>
          <w:noProof/>
          <w:sz w:val="16"/>
          <w:szCs w:val="24"/>
        </w:rPr>
        <w:t>BEIGEFÜGTE VERORDNUNG (SICHERHEITSAUSSCHUSS)</w:t>
      </w:r>
    </w:p>
    <w:p w14:paraId="15EF3C27" w14:textId="77777777" w:rsidR="00881C09" w:rsidRPr="00676602" w:rsidRDefault="00881C09" w:rsidP="00881C09">
      <w:pPr>
        <w:widowControl/>
        <w:tabs>
          <w:tab w:val="left" w:pos="2977"/>
        </w:tabs>
        <w:overflowPunct/>
        <w:autoSpaceDE/>
        <w:autoSpaceDN/>
        <w:adjustRightInd/>
        <w:snapToGrid w:val="0"/>
        <w:ind w:left="3960" w:firstLine="0"/>
        <w:jc w:val="left"/>
        <w:textAlignment w:val="auto"/>
        <w:rPr>
          <w:rFonts w:ascii="Arial" w:hAnsi="Arial"/>
          <w:sz w:val="16"/>
          <w:szCs w:val="24"/>
        </w:rPr>
      </w:pPr>
      <w:r w:rsidRPr="00676602">
        <w:rPr>
          <w:rFonts w:ascii="Arial" w:hAnsi="Arial"/>
          <w:sz w:val="16"/>
          <w:szCs w:val="24"/>
        </w:rPr>
        <w:t>(39. Tagung, Genf, 24. – 28. Januar 2022)</w:t>
      </w:r>
    </w:p>
    <w:p w14:paraId="15E369A1" w14:textId="08CBDFA9" w:rsidR="00881C09" w:rsidRPr="00676602" w:rsidRDefault="00881C09" w:rsidP="00881C0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676602">
        <w:rPr>
          <w:rFonts w:ascii="Arial" w:hAnsi="Arial" w:cs="Arial"/>
          <w:sz w:val="16"/>
          <w:szCs w:val="16"/>
          <w:lang w:eastAsia="en-US"/>
        </w:rPr>
        <w:t xml:space="preserve">Punkt </w:t>
      </w:r>
      <w:r w:rsidR="00FE2BA4" w:rsidRPr="00676602">
        <w:rPr>
          <w:rFonts w:ascii="Arial" w:hAnsi="Arial" w:cs="Arial"/>
          <w:sz w:val="16"/>
          <w:szCs w:val="16"/>
          <w:lang w:eastAsia="en-US"/>
        </w:rPr>
        <w:t>4 c)</w:t>
      </w:r>
      <w:r w:rsidRPr="00676602">
        <w:rPr>
          <w:rFonts w:ascii="Arial" w:hAnsi="Arial" w:cs="Arial"/>
          <w:sz w:val="16"/>
          <w:szCs w:val="16"/>
          <w:lang w:eastAsia="en-US"/>
        </w:rPr>
        <w:t xml:space="preserve"> </w:t>
      </w:r>
      <w:r w:rsidR="004F61C2" w:rsidRPr="00676602">
        <w:rPr>
          <w:rFonts w:ascii="Arial" w:hAnsi="Arial" w:cs="Arial"/>
          <w:sz w:val="16"/>
          <w:szCs w:val="16"/>
          <w:lang w:eastAsia="en-US"/>
        </w:rPr>
        <w:t>der</w:t>
      </w:r>
      <w:r w:rsidRPr="00676602">
        <w:rPr>
          <w:rFonts w:ascii="Arial" w:hAnsi="Arial" w:cs="Arial"/>
          <w:sz w:val="16"/>
          <w:szCs w:val="16"/>
          <w:lang w:eastAsia="en-US"/>
        </w:rPr>
        <w:t xml:space="preserve"> vorläufigen Tagesordnung</w:t>
      </w:r>
    </w:p>
    <w:p w14:paraId="50580793" w14:textId="577A1969" w:rsidR="00881C09" w:rsidRPr="00676602" w:rsidRDefault="008D7BC3" w:rsidP="00881C09">
      <w:pPr>
        <w:tabs>
          <w:tab w:val="left" w:pos="2977"/>
        </w:tabs>
        <w:ind w:left="3960" w:firstLine="9"/>
        <w:rPr>
          <w:rFonts w:ascii="Arial" w:hAnsi="Arial" w:cs="Arial"/>
          <w:b/>
          <w:sz w:val="16"/>
          <w:szCs w:val="16"/>
          <w:lang w:eastAsia="en-US"/>
        </w:rPr>
      </w:pPr>
      <w:r w:rsidRPr="00676602">
        <w:rPr>
          <w:rFonts w:ascii="Arial" w:hAnsi="Arial" w:cs="Arial"/>
          <w:b/>
          <w:sz w:val="16"/>
          <w:szCs w:val="16"/>
          <w:lang w:eastAsia="en-US"/>
        </w:rPr>
        <w:t>Durchführung des Europäischen Übereinkommens über die internationale Beförderung von gefährlichen Gütern auf Binnenwasserstraßen (ADN): Auslegung der dem ADN beigefügten Verordnung</w:t>
      </w:r>
    </w:p>
    <w:p w14:paraId="77010963" w14:textId="33B5155D" w:rsidR="00495C88" w:rsidRPr="00676602" w:rsidRDefault="00C03B8B" w:rsidP="0024783F">
      <w:pPr>
        <w:keepNext/>
        <w:keepLines/>
        <w:widowControl/>
        <w:tabs>
          <w:tab w:val="left" w:pos="1134"/>
        </w:tabs>
        <w:suppressAutoHyphens/>
        <w:overflowPunct/>
        <w:autoSpaceDE/>
        <w:autoSpaceDN/>
        <w:adjustRightInd/>
        <w:spacing w:before="360" w:after="240" w:line="300" w:lineRule="exact"/>
        <w:ind w:right="1134" w:firstLine="0"/>
        <w:textAlignment w:val="auto"/>
        <w:rPr>
          <w:b/>
          <w:sz w:val="28"/>
        </w:rPr>
      </w:pPr>
      <w:r w:rsidRPr="00676602">
        <w:rPr>
          <w:b/>
          <w:sz w:val="28"/>
        </w:rPr>
        <w:t>Beförderung von Kohlendioxid (CO</w:t>
      </w:r>
      <w:r w:rsidRPr="00676602">
        <w:rPr>
          <w:b/>
          <w:sz w:val="28"/>
          <w:vertAlign w:val="subscript"/>
        </w:rPr>
        <w:t>2</w:t>
      </w:r>
      <w:r w:rsidRPr="00676602">
        <w:rPr>
          <w:b/>
          <w:sz w:val="28"/>
        </w:rPr>
        <w:t xml:space="preserve">) und </w:t>
      </w:r>
      <w:r w:rsidR="00F35FEB" w:rsidRPr="00676602">
        <w:rPr>
          <w:b/>
          <w:sz w:val="28"/>
        </w:rPr>
        <w:t>vorgeschriebenes</w:t>
      </w:r>
      <w:r w:rsidRPr="00676602">
        <w:rPr>
          <w:b/>
          <w:sz w:val="28"/>
        </w:rPr>
        <w:t xml:space="preserve"> Kühlsystem</w:t>
      </w:r>
    </w:p>
    <w:p w14:paraId="70A10A7C" w14:textId="65CF1E03" w:rsidR="00C951AF" w:rsidRPr="00676602" w:rsidRDefault="00C951AF" w:rsidP="00E020D8">
      <w:pPr>
        <w:keepNext/>
        <w:keepLines/>
        <w:widowControl/>
        <w:tabs>
          <w:tab w:val="right" w:pos="851"/>
        </w:tabs>
        <w:suppressAutoHyphens/>
        <w:overflowPunct/>
        <w:autoSpaceDE/>
        <w:autoSpaceDN/>
        <w:adjustRightInd/>
        <w:spacing w:before="360" w:after="240" w:line="300" w:lineRule="exact"/>
        <w:ind w:right="1134"/>
        <w:jc w:val="left"/>
        <w:textAlignment w:val="auto"/>
        <w:rPr>
          <w:b/>
          <w:sz w:val="24"/>
          <w:lang w:eastAsia="en-US"/>
        </w:rPr>
      </w:pPr>
      <w:r w:rsidRPr="00676602">
        <w:rPr>
          <w:b/>
          <w:sz w:val="24"/>
          <w:lang w:eastAsia="en-US"/>
        </w:rPr>
        <w:tab/>
      </w:r>
      <w:r w:rsidRPr="00676602">
        <w:rPr>
          <w:b/>
          <w:sz w:val="24"/>
          <w:lang w:eastAsia="en-US"/>
        </w:rPr>
        <w:tab/>
      </w:r>
      <w:r w:rsidR="00495C88" w:rsidRPr="00676602">
        <w:rPr>
          <w:b/>
          <w:sz w:val="24"/>
          <w:lang w:eastAsia="en-US"/>
        </w:rPr>
        <w:t>Eingereicht von der Europäischen Binnenschifffahrts-Union (EBU) und der Europäischen Schifferorganisation (ESO)</w:t>
      </w:r>
      <w:r w:rsidRPr="00676602">
        <w:rPr>
          <w:bCs/>
          <w:lang w:eastAsia="en-US"/>
        </w:rPr>
        <w:footnoteReference w:customMarkFollows="1" w:id="1"/>
        <w:t>*</w:t>
      </w:r>
      <w:r w:rsidRPr="00676602">
        <w:rPr>
          <w:bCs/>
          <w:vertAlign w:val="superscript"/>
          <w:lang w:eastAsia="en-US"/>
        </w:rPr>
        <w:t>,</w:t>
      </w:r>
      <w:r w:rsidRPr="00676602">
        <w:rPr>
          <w:b/>
          <w:vertAlign w:val="superscript"/>
          <w:lang w:eastAsia="en-US"/>
        </w:rPr>
        <w:t xml:space="preserve"> </w:t>
      </w:r>
      <w:r w:rsidRPr="00676602">
        <w:rPr>
          <w:bCs/>
          <w:lang w:eastAsia="en-US"/>
        </w:rPr>
        <w:footnoteReference w:customMarkFollows="1" w:id="2"/>
        <w:t>**</w:t>
      </w:r>
    </w:p>
    <w:p w14:paraId="70AD7724" w14:textId="5D51653F" w:rsidR="00495C88" w:rsidRPr="00676602" w:rsidRDefault="00495C88" w:rsidP="00495C88">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676602">
        <w:rPr>
          <w:b/>
          <w:sz w:val="28"/>
        </w:rPr>
        <w:tab/>
      </w:r>
      <w:r w:rsidRPr="00676602">
        <w:rPr>
          <w:b/>
          <w:sz w:val="28"/>
        </w:rPr>
        <w:tab/>
      </w:r>
      <w:r w:rsidR="002C74DD" w:rsidRPr="00676602">
        <w:rPr>
          <w:b/>
          <w:sz w:val="28"/>
        </w:rPr>
        <w:t>Einleitung</w:t>
      </w:r>
    </w:p>
    <w:p w14:paraId="4D50331C" w14:textId="6E173C63" w:rsidR="008D7BC3" w:rsidRPr="00676602" w:rsidRDefault="00FE2BA4" w:rsidP="00BB4CC9">
      <w:pPr>
        <w:widowControl/>
        <w:tabs>
          <w:tab w:val="left" w:pos="1701"/>
        </w:tabs>
        <w:suppressAutoHyphens/>
        <w:overflowPunct/>
        <w:autoSpaceDE/>
        <w:autoSpaceDN/>
        <w:adjustRightInd/>
        <w:spacing w:after="120" w:line="240" w:lineRule="atLeast"/>
        <w:ind w:right="1134" w:firstLine="0"/>
        <w:textAlignment w:val="auto"/>
        <w:rPr>
          <w:rFonts w:eastAsia="Calibri"/>
        </w:rPr>
      </w:pPr>
      <w:bookmarkStart w:id="0" w:name="_Hlk86396662"/>
      <w:r w:rsidRPr="00676602">
        <w:rPr>
          <w:rFonts w:eastAsia="Calibri"/>
        </w:rPr>
        <w:t>1.</w:t>
      </w:r>
      <w:r w:rsidRPr="00676602">
        <w:rPr>
          <w:rFonts w:eastAsia="Calibri"/>
        </w:rPr>
        <w:tab/>
      </w:r>
      <w:bookmarkEnd w:id="0"/>
      <w:r w:rsidR="000F18E8" w:rsidRPr="00676602">
        <w:rPr>
          <w:rFonts w:eastAsia="Calibri"/>
        </w:rPr>
        <w:t>Mit diesem Dokument möchten die Europäische Binnenschifffahrts-Union (EBU) und die Europäischen Schifferorganisation (ESO) die Aufmerksamkeit auf die Bestimmungen für d</w:t>
      </w:r>
      <w:r w:rsidR="008C05DD" w:rsidRPr="00676602">
        <w:rPr>
          <w:rFonts w:eastAsia="Calibri"/>
        </w:rPr>
        <w:t>i</w:t>
      </w:r>
      <w:r w:rsidR="000F18E8" w:rsidRPr="00676602">
        <w:rPr>
          <w:rFonts w:eastAsia="Calibri"/>
        </w:rPr>
        <w:t xml:space="preserve">e </w:t>
      </w:r>
      <w:r w:rsidR="008C05DD" w:rsidRPr="00676602">
        <w:rPr>
          <w:rFonts w:eastAsia="Calibri"/>
        </w:rPr>
        <w:t>Beförderung</w:t>
      </w:r>
      <w:r w:rsidR="000F18E8" w:rsidRPr="00676602">
        <w:rPr>
          <w:rFonts w:eastAsia="Calibri"/>
        </w:rPr>
        <w:t xml:space="preserve"> von CO</w:t>
      </w:r>
      <w:r w:rsidR="000F18E8" w:rsidRPr="00676602">
        <w:rPr>
          <w:rFonts w:eastAsia="Calibri"/>
          <w:vertAlign w:val="subscript"/>
        </w:rPr>
        <w:t>2</w:t>
      </w:r>
      <w:r w:rsidR="000F18E8" w:rsidRPr="00676602">
        <w:rPr>
          <w:rFonts w:eastAsia="Calibri"/>
        </w:rPr>
        <w:t xml:space="preserve"> lenken.</w:t>
      </w:r>
      <w:r w:rsidRPr="00676602">
        <w:rPr>
          <w:rFonts w:eastAsia="Calibri"/>
        </w:rPr>
        <w:t xml:space="preserve"> </w:t>
      </w:r>
      <w:r w:rsidR="00291FE3" w:rsidRPr="00676602">
        <w:rPr>
          <w:rFonts w:eastAsia="Calibri"/>
        </w:rPr>
        <w:t>Die Beförderungsbedingungen von CO</w:t>
      </w:r>
      <w:r w:rsidR="00291FE3" w:rsidRPr="00676602">
        <w:rPr>
          <w:rFonts w:eastAsia="Calibri"/>
          <w:vertAlign w:val="subscript"/>
        </w:rPr>
        <w:t>2</w:t>
      </w:r>
      <w:r w:rsidR="00291FE3" w:rsidRPr="00676602">
        <w:rPr>
          <w:rFonts w:eastAsia="Calibri"/>
        </w:rPr>
        <w:t xml:space="preserve">, Ethylen und verflüssigtem Erdgas (LNG) werden miteinander verglichen, da sie </w:t>
      </w:r>
      <w:r w:rsidR="006103B9" w:rsidRPr="00676602">
        <w:rPr>
          <w:rFonts w:eastAsia="Calibri"/>
        </w:rPr>
        <w:t xml:space="preserve">offenbar </w:t>
      </w:r>
      <w:r w:rsidR="00291FE3" w:rsidRPr="00676602">
        <w:rPr>
          <w:rFonts w:eastAsia="Calibri"/>
        </w:rPr>
        <w:t>auf unlogische Weise voneinander abweichen.</w:t>
      </w:r>
      <w:r w:rsidRPr="00676602">
        <w:rPr>
          <w:rFonts w:eastAsia="Calibri"/>
        </w:rPr>
        <w:t xml:space="preserve"> </w:t>
      </w:r>
      <w:r w:rsidR="006006AA" w:rsidRPr="00676602">
        <w:rPr>
          <w:rFonts w:eastAsia="Calibri"/>
        </w:rPr>
        <w:t>Abschließend</w:t>
      </w:r>
      <w:r w:rsidR="006103B9" w:rsidRPr="00676602">
        <w:rPr>
          <w:rFonts w:eastAsia="Calibri"/>
        </w:rPr>
        <w:t xml:space="preserve"> </w:t>
      </w:r>
      <w:r w:rsidR="006006AA" w:rsidRPr="00676602">
        <w:rPr>
          <w:rFonts w:eastAsia="Calibri"/>
        </w:rPr>
        <w:t>ersucht</w:t>
      </w:r>
      <w:r w:rsidR="006103B9" w:rsidRPr="00676602">
        <w:rPr>
          <w:rFonts w:eastAsia="Calibri"/>
        </w:rPr>
        <w:t xml:space="preserve"> EBU/ESO den ADN-Sicherheitsausschuss</w:t>
      </w:r>
      <w:r w:rsidR="00BB58B4" w:rsidRPr="00676602">
        <w:rPr>
          <w:rFonts w:eastAsia="Calibri"/>
        </w:rPr>
        <w:t xml:space="preserve"> um Prüfung</w:t>
      </w:r>
      <w:r w:rsidR="006103B9" w:rsidRPr="00676602">
        <w:rPr>
          <w:rFonts w:eastAsia="Calibri"/>
        </w:rPr>
        <w:t xml:space="preserve"> eine</w:t>
      </w:r>
      <w:r w:rsidR="00BB58B4" w:rsidRPr="00676602">
        <w:rPr>
          <w:rFonts w:eastAsia="Calibri"/>
        </w:rPr>
        <w:t>r</w:t>
      </w:r>
      <w:r w:rsidR="006103B9" w:rsidRPr="00676602">
        <w:rPr>
          <w:rFonts w:eastAsia="Calibri"/>
        </w:rPr>
        <w:t xml:space="preserve"> </w:t>
      </w:r>
      <w:r w:rsidR="00BB58B4" w:rsidRPr="00676602">
        <w:rPr>
          <w:rFonts w:eastAsia="Calibri"/>
        </w:rPr>
        <w:t>kleinen</w:t>
      </w:r>
      <w:r w:rsidR="006103B9" w:rsidRPr="00676602">
        <w:rPr>
          <w:rFonts w:eastAsia="Calibri"/>
        </w:rPr>
        <w:t xml:space="preserve"> Anpassung zur Harmonisierung der Beförderungsbedingungen.</w:t>
      </w:r>
    </w:p>
    <w:p w14:paraId="5754B149" w14:textId="77777777" w:rsidR="008D7BC3" w:rsidRPr="00676602" w:rsidRDefault="008D7BC3">
      <w:pPr>
        <w:widowControl/>
        <w:overflowPunct/>
        <w:autoSpaceDE/>
        <w:autoSpaceDN/>
        <w:adjustRightInd/>
        <w:ind w:left="0" w:firstLine="0"/>
        <w:jc w:val="left"/>
        <w:textAlignment w:val="auto"/>
        <w:rPr>
          <w:rFonts w:eastAsia="Calibri"/>
        </w:rPr>
      </w:pPr>
      <w:r w:rsidRPr="00676602">
        <w:rPr>
          <w:rFonts w:eastAsia="Calibri"/>
        </w:rPr>
        <w:br w:type="page"/>
      </w:r>
    </w:p>
    <w:p w14:paraId="18C596FC" w14:textId="2BC564E4" w:rsidR="00FE2BA4" w:rsidRPr="00676602" w:rsidRDefault="00BB4CC9" w:rsidP="00041631">
      <w:pPr>
        <w:keepNext/>
        <w:keepLines/>
        <w:widowControl/>
        <w:numPr>
          <w:ilvl w:val="0"/>
          <w:numId w:val="11"/>
        </w:numPr>
        <w:tabs>
          <w:tab w:val="right" w:pos="567"/>
          <w:tab w:val="left" w:pos="1701"/>
        </w:tabs>
        <w:suppressAutoHyphens/>
        <w:overflowPunct/>
        <w:autoSpaceDE/>
        <w:autoSpaceDN/>
        <w:adjustRightInd/>
        <w:spacing w:before="240" w:after="120" w:line="300" w:lineRule="exact"/>
        <w:ind w:right="1134"/>
        <w:jc w:val="left"/>
        <w:textAlignment w:val="auto"/>
        <w:rPr>
          <w:b/>
          <w:sz w:val="24"/>
          <w:szCs w:val="24"/>
        </w:rPr>
      </w:pPr>
      <w:r w:rsidRPr="00676602">
        <w:rPr>
          <w:b/>
          <w:sz w:val="24"/>
          <w:szCs w:val="24"/>
        </w:rPr>
        <w:lastRenderedPageBreak/>
        <w:t>Beförderungs</w:t>
      </w:r>
      <w:r w:rsidR="0017321C" w:rsidRPr="00676602">
        <w:rPr>
          <w:b/>
          <w:sz w:val="24"/>
          <w:szCs w:val="24"/>
        </w:rPr>
        <w:t>bestimmung</w:t>
      </w:r>
      <w:r w:rsidRPr="00676602">
        <w:rPr>
          <w:b/>
          <w:sz w:val="24"/>
          <w:szCs w:val="24"/>
        </w:rPr>
        <w:t xml:space="preserve">en für Kohlendioxid, </w:t>
      </w:r>
      <w:r w:rsidR="00401382">
        <w:rPr>
          <w:b/>
          <w:sz w:val="24"/>
          <w:szCs w:val="24"/>
        </w:rPr>
        <w:t>tief</w:t>
      </w:r>
      <w:r w:rsidRPr="00676602">
        <w:rPr>
          <w:b/>
          <w:sz w:val="24"/>
          <w:szCs w:val="24"/>
        </w:rPr>
        <w:t>gekühlt, flüssig – UN-Nr. 2187 („CO</w:t>
      </w:r>
      <w:r w:rsidRPr="00676602">
        <w:rPr>
          <w:b/>
          <w:sz w:val="24"/>
          <w:szCs w:val="24"/>
          <w:vertAlign w:val="subscript"/>
        </w:rPr>
        <w:t>2</w:t>
      </w:r>
      <w:r w:rsidRPr="00676602">
        <w:rPr>
          <w:b/>
          <w:sz w:val="24"/>
          <w:szCs w:val="24"/>
        </w:rPr>
        <w:t>“)</w:t>
      </w:r>
    </w:p>
    <w:p w14:paraId="6F3E04E8" w14:textId="33181500" w:rsidR="00FE2BA4" w:rsidRPr="00676602" w:rsidRDefault="00FE2BA4" w:rsidP="00DD58BF">
      <w:pPr>
        <w:widowControl/>
        <w:tabs>
          <w:tab w:val="left" w:pos="1701"/>
        </w:tabs>
        <w:suppressAutoHyphens/>
        <w:overflowPunct/>
        <w:autoSpaceDE/>
        <w:autoSpaceDN/>
        <w:adjustRightInd/>
        <w:spacing w:after="120" w:line="240" w:lineRule="atLeast"/>
        <w:ind w:right="1134" w:firstLine="0"/>
        <w:textAlignment w:val="auto"/>
        <w:rPr>
          <w:rFonts w:eastAsia="Calibri"/>
        </w:rPr>
      </w:pPr>
      <w:r w:rsidRPr="00676602">
        <w:rPr>
          <w:rFonts w:eastAsia="Calibri"/>
        </w:rPr>
        <w:t>2.</w:t>
      </w:r>
      <w:r w:rsidRPr="00676602">
        <w:rPr>
          <w:rFonts w:eastAsia="Calibri"/>
        </w:rPr>
        <w:tab/>
      </w:r>
      <w:r w:rsidR="00981604" w:rsidRPr="00676602">
        <w:rPr>
          <w:rFonts w:eastAsia="Calibri"/>
        </w:rPr>
        <w:t xml:space="preserve">Die vom Menschen ausgeatmete Luft besteht zu 0,04 % aus </w:t>
      </w:r>
      <w:r w:rsidR="00BB4CC9" w:rsidRPr="00676602">
        <w:rPr>
          <w:rFonts w:eastAsia="Calibri"/>
        </w:rPr>
        <w:t>CO</w:t>
      </w:r>
      <w:r w:rsidR="00BB4CC9" w:rsidRPr="00676602">
        <w:rPr>
          <w:rFonts w:eastAsia="Calibri"/>
          <w:vertAlign w:val="subscript"/>
        </w:rPr>
        <w:t>2</w:t>
      </w:r>
      <w:r w:rsidR="00BB4CC9" w:rsidRPr="00676602">
        <w:rPr>
          <w:rFonts w:eastAsia="Calibri"/>
        </w:rPr>
        <w:t>.</w:t>
      </w:r>
      <w:r w:rsidRPr="00676602">
        <w:rPr>
          <w:rFonts w:eastAsia="Calibri"/>
        </w:rPr>
        <w:t xml:space="preserve"> </w:t>
      </w:r>
      <w:r w:rsidR="009F44CC" w:rsidRPr="00676602">
        <w:rPr>
          <w:rFonts w:eastAsia="Calibri"/>
        </w:rPr>
        <w:t xml:space="preserve">Die festgestellten Risiken von tiefgekühltem, unter Druck stehendem Kohlendioxid beschränken sich auf die </w:t>
      </w:r>
      <w:proofErr w:type="spellStart"/>
      <w:r w:rsidR="009F44CC" w:rsidRPr="00676602">
        <w:rPr>
          <w:rFonts w:eastAsia="Calibri"/>
        </w:rPr>
        <w:t>kryogene</w:t>
      </w:r>
      <w:proofErr w:type="spellEnd"/>
      <w:r w:rsidR="009F44CC" w:rsidRPr="00676602">
        <w:rPr>
          <w:rFonts w:eastAsia="Calibri"/>
        </w:rPr>
        <w:t xml:space="preserve"> Wirkung und die Fähigkeit</w:t>
      </w:r>
      <w:r w:rsidR="006F4793" w:rsidRPr="00676602">
        <w:rPr>
          <w:rFonts w:eastAsia="Calibri"/>
        </w:rPr>
        <w:t xml:space="preserve"> zur</w:t>
      </w:r>
      <w:r w:rsidR="009F44CC" w:rsidRPr="00676602">
        <w:rPr>
          <w:rFonts w:eastAsia="Calibri"/>
        </w:rPr>
        <w:t xml:space="preserve"> lokal</w:t>
      </w:r>
      <w:r w:rsidR="006F4793" w:rsidRPr="00676602">
        <w:rPr>
          <w:rFonts w:eastAsia="Calibri"/>
        </w:rPr>
        <w:t>en Verdrängung von</w:t>
      </w:r>
      <w:r w:rsidR="009F44CC" w:rsidRPr="00676602">
        <w:rPr>
          <w:rFonts w:eastAsia="Calibri"/>
        </w:rPr>
        <w:t xml:space="preserve"> Sauerstoff, wenn es in großen Mengen freigesetzt wird.</w:t>
      </w:r>
    </w:p>
    <w:p w14:paraId="394F1D6F" w14:textId="66B3E492" w:rsidR="00FE2BA4" w:rsidRPr="00676602" w:rsidRDefault="00FE2BA4" w:rsidP="005314FA">
      <w:pPr>
        <w:widowControl/>
        <w:tabs>
          <w:tab w:val="left" w:pos="1701"/>
        </w:tabs>
        <w:suppressAutoHyphens/>
        <w:overflowPunct/>
        <w:autoSpaceDE/>
        <w:autoSpaceDN/>
        <w:adjustRightInd/>
        <w:spacing w:after="120" w:line="240" w:lineRule="atLeast"/>
        <w:ind w:right="1134" w:firstLine="0"/>
        <w:textAlignment w:val="auto"/>
        <w:rPr>
          <w:rFonts w:eastAsia="Calibri"/>
        </w:rPr>
      </w:pPr>
      <w:r w:rsidRPr="00676602">
        <w:rPr>
          <w:rFonts w:eastAsia="Calibri"/>
        </w:rPr>
        <w:t>3.</w:t>
      </w:r>
      <w:r w:rsidRPr="00676602">
        <w:rPr>
          <w:rFonts w:eastAsia="Calibri"/>
        </w:rPr>
        <w:tab/>
      </w:r>
      <w:r w:rsidR="007B1AFE" w:rsidRPr="00676602">
        <w:rPr>
          <w:rFonts w:eastAsia="Calibri"/>
        </w:rPr>
        <w:t>Gemäß ADN kann CO</w:t>
      </w:r>
      <w:r w:rsidR="007B1AFE" w:rsidRPr="00676602">
        <w:rPr>
          <w:rFonts w:eastAsia="Calibri"/>
          <w:vertAlign w:val="subscript"/>
        </w:rPr>
        <w:t>2</w:t>
      </w:r>
      <w:r w:rsidR="007B1AFE" w:rsidRPr="00676602">
        <w:rPr>
          <w:rFonts w:eastAsia="Calibri"/>
        </w:rPr>
        <w:t xml:space="preserve"> befördert werden; das Produkt ist als Gas eingestuft und in Kapitel 3.2 Tabelle C ist die folgende Position zugewiesen:</w:t>
      </w:r>
    </w:p>
    <w:tbl>
      <w:tblPr>
        <w:tblStyle w:val="Grilledutableau4"/>
        <w:tblW w:w="9205" w:type="dxa"/>
        <w:tblInd w:w="137" w:type="dxa"/>
        <w:tblLayout w:type="fixed"/>
        <w:tblLook w:val="04A0" w:firstRow="1" w:lastRow="0" w:firstColumn="1" w:lastColumn="0" w:noHBand="0" w:noVBand="1"/>
      </w:tblPr>
      <w:tblGrid>
        <w:gridCol w:w="567"/>
        <w:gridCol w:w="2410"/>
        <w:gridCol w:w="283"/>
        <w:gridCol w:w="426"/>
        <w:gridCol w:w="283"/>
        <w:gridCol w:w="425"/>
        <w:gridCol w:w="284"/>
        <w:gridCol w:w="237"/>
        <w:gridCol w:w="237"/>
        <w:gridCol w:w="238"/>
        <w:gridCol w:w="422"/>
        <w:gridCol w:w="145"/>
        <w:gridCol w:w="280"/>
        <w:gridCol w:w="425"/>
        <w:gridCol w:w="213"/>
        <w:gridCol w:w="213"/>
        <w:gridCol w:w="558"/>
        <w:gridCol w:w="567"/>
        <w:gridCol w:w="283"/>
        <w:gridCol w:w="709"/>
      </w:tblGrid>
      <w:tr w:rsidR="00FE2BA4" w:rsidRPr="00676602" w14:paraId="37FA4491" w14:textId="77777777" w:rsidTr="00290C68">
        <w:tc>
          <w:tcPr>
            <w:tcW w:w="567" w:type="dxa"/>
            <w:shd w:val="clear" w:color="auto" w:fill="auto"/>
          </w:tcPr>
          <w:p w14:paraId="2B290D8F"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2187</w:t>
            </w:r>
          </w:p>
        </w:tc>
        <w:tc>
          <w:tcPr>
            <w:tcW w:w="2410" w:type="dxa"/>
            <w:shd w:val="clear" w:color="auto" w:fill="auto"/>
          </w:tcPr>
          <w:p w14:paraId="60F9DF72" w14:textId="280868D5" w:rsidR="00FE2BA4" w:rsidRPr="00676602" w:rsidRDefault="00FE2BA4" w:rsidP="00FE2BA4">
            <w:pPr>
              <w:widowControl/>
              <w:overflowPunct/>
              <w:autoSpaceDE/>
              <w:autoSpaceDN/>
              <w:adjustRightInd/>
              <w:spacing w:before="80" w:after="80" w:line="200" w:lineRule="exact"/>
              <w:ind w:left="113" w:right="113" w:firstLine="0"/>
              <w:jc w:val="left"/>
              <w:textAlignment w:val="auto"/>
              <w:rPr>
                <w:rFonts w:eastAsia="Calibri"/>
                <w:iCs/>
                <w:lang w:val="de-DE"/>
              </w:rPr>
            </w:pPr>
            <w:r w:rsidRPr="00676602">
              <w:rPr>
                <w:rFonts w:eastAsia="Calibri"/>
                <w:iCs/>
                <w:lang w:val="de-DE"/>
              </w:rPr>
              <w:t>KOHLENDIOXID, TIEFGEKÜHLT, FLÜSSIG</w:t>
            </w:r>
          </w:p>
        </w:tc>
        <w:tc>
          <w:tcPr>
            <w:tcW w:w="283" w:type="dxa"/>
            <w:shd w:val="clear" w:color="auto" w:fill="auto"/>
          </w:tcPr>
          <w:p w14:paraId="6CFDF09A"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2</w:t>
            </w:r>
          </w:p>
        </w:tc>
        <w:tc>
          <w:tcPr>
            <w:tcW w:w="426" w:type="dxa"/>
            <w:shd w:val="clear" w:color="auto" w:fill="auto"/>
          </w:tcPr>
          <w:p w14:paraId="65043C21"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3A</w:t>
            </w:r>
          </w:p>
        </w:tc>
        <w:tc>
          <w:tcPr>
            <w:tcW w:w="283" w:type="dxa"/>
            <w:shd w:val="clear" w:color="auto" w:fill="auto"/>
          </w:tcPr>
          <w:p w14:paraId="6E83A550"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p>
        </w:tc>
        <w:tc>
          <w:tcPr>
            <w:tcW w:w="425" w:type="dxa"/>
            <w:shd w:val="clear" w:color="auto" w:fill="auto"/>
          </w:tcPr>
          <w:p w14:paraId="4B69DA69"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2.2</w:t>
            </w:r>
          </w:p>
        </w:tc>
        <w:tc>
          <w:tcPr>
            <w:tcW w:w="284" w:type="dxa"/>
            <w:shd w:val="clear" w:color="auto" w:fill="auto"/>
          </w:tcPr>
          <w:p w14:paraId="36ECBACC"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G</w:t>
            </w:r>
          </w:p>
        </w:tc>
        <w:tc>
          <w:tcPr>
            <w:tcW w:w="237" w:type="dxa"/>
            <w:shd w:val="clear" w:color="auto" w:fill="auto"/>
          </w:tcPr>
          <w:p w14:paraId="32C6F6FB"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1</w:t>
            </w:r>
          </w:p>
        </w:tc>
        <w:tc>
          <w:tcPr>
            <w:tcW w:w="237" w:type="dxa"/>
            <w:shd w:val="clear" w:color="auto" w:fill="auto"/>
          </w:tcPr>
          <w:p w14:paraId="15FDD0FB"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1</w:t>
            </w:r>
          </w:p>
        </w:tc>
        <w:tc>
          <w:tcPr>
            <w:tcW w:w="238" w:type="dxa"/>
            <w:shd w:val="clear" w:color="auto" w:fill="auto"/>
          </w:tcPr>
          <w:p w14:paraId="4546DFD6"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1</w:t>
            </w:r>
          </w:p>
        </w:tc>
        <w:tc>
          <w:tcPr>
            <w:tcW w:w="422" w:type="dxa"/>
            <w:shd w:val="clear" w:color="auto" w:fill="auto"/>
          </w:tcPr>
          <w:p w14:paraId="4B05E67D"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95</w:t>
            </w:r>
          </w:p>
        </w:tc>
        <w:tc>
          <w:tcPr>
            <w:tcW w:w="145" w:type="dxa"/>
            <w:shd w:val="clear" w:color="auto" w:fill="auto"/>
          </w:tcPr>
          <w:p w14:paraId="3C6829C5"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p>
        </w:tc>
        <w:tc>
          <w:tcPr>
            <w:tcW w:w="280" w:type="dxa"/>
            <w:shd w:val="clear" w:color="auto" w:fill="auto"/>
          </w:tcPr>
          <w:p w14:paraId="031734AD"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1</w:t>
            </w:r>
          </w:p>
        </w:tc>
        <w:tc>
          <w:tcPr>
            <w:tcW w:w="425" w:type="dxa"/>
            <w:shd w:val="clear" w:color="auto" w:fill="auto"/>
          </w:tcPr>
          <w:p w14:paraId="2C4C769D" w14:textId="46D62AE4" w:rsidR="00FE2BA4" w:rsidRPr="00676602" w:rsidRDefault="00981F9F"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ja</w:t>
            </w:r>
          </w:p>
        </w:tc>
        <w:tc>
          <w:tcPr>
            <w:tcW w:w="213" w:type="dxa"/>
            <w:shd w:val="clear" w:color="auto" w:fill="auto"/>
          </w:tcPr>
          <w:p w14:paraId="0C6F2D7F"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p>
        </w:tc>
        <w:tc>
          <w:tcPr>
            <w:tcW w:w="213" w:type="dxa"/>
            <w:shd w:val="clear" w:color="auto" w:fill="auto"/>
          </w:tcPr>
          <w:p w14:paraId="20311E0E"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p>
        </w:tc>
        <w:tc>
          <w:tcPr>
            <w:tcW w:w="558" w:type="dxa"/>
            <w:shd w:val="clear" w:color="auto" w:fill="auto"/>
          </w:tcPr>
          <w:p w14:paraId="175ACC6A" w14:textId="3E464529"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n</w:t>
            </w:r>
            <w:r w:rsidR="00981F9F" w:rsidRPr="00676602">
              <w:rPr>
                <w:rFonts w:eastAsia="Calibri"/>
                <w:iCs/>
                <w:lang w:val="de-DE"/>
              </w:rPr>
              <w:t>ein</w:t>
            </w:r>
          </w:p>
        </w:tc>
        <w:tc>
          <w:tcPr>
            <w:tcW w:w="567" w:type="dxa"/>
            <w:shd w:val="clear" w:color="auto" w:fill="auto"/>
          </w:tcPr>
          <w:p w14:paraId="1160C35F"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PP</w:t>
            </w:r>
          </w:p>
        </w:tc>
        <w:tc>
          <w:tcPr>
            <w:tcW w:w="283" w:type="dxa"/>
            <w:shd w:val="clear" w:color="auto" w:fill="auto"/>
          </w:tcPr>
          <w:p w14:paraId="4833C437"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0</w:t>
            </w:r>
          </w:p>
        </w:tc>
        <w:tc>
          <w:tcPr>
            <w:tcW w:w="709" w:type="dxa"/>
          </w:tcPr>
          <w:p w14:paraId="04FB4E5F" w14:textId="12C1817C"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lang w:val="de-DE"/>
              </w:rPr>
            </w:pPr>
            <w:r w:rsidRPr="00676602">
              <w:rPr>
                <w:rFonts w:eastAsia="Calibri"/>
                <w:iCs/>
                <w:lang w:val="de-DE"/>
              </w:rPr>
              <w:t>31,</w:t>
            </w:r>
            <w:r w:rsidR="00AD7833">
              <w:rPr>
                <w:rFonts w:eastAsia="Calibri"/>
                <w:iCs/>
                <w:lang w:val="de-DE"/>
              </w:rPr>
              <w:t xml:space="preserve"> </w:t>
            </w:r>
            <w:r w:rsidRPr="00676602">
              <w:rPr>
                <w:rFonts w:eastAsia="Calibri"/>
                <w:iCs/>
                <w:lang w:val="de-DE"/>
              </w:rPr>
              <w:t>39</w:t>
            </w:r>
          </w:p>
        </w:tc>
      </w:tr>
    </w:tbl>
    <w:p w14:paraId="17252F0B" w14:textId="21D74435" w:rsidR="00FE2BA4" w:rsidRPr="00676602" w:rsidRDefault="00FE2BA4" w:rsidP="00CA640A">
      <w:pPr>
        <w:widowControl/>
        <w:tabs>
          <w:tab w:val="left" w:pos="1701"/>
        </w:tabs>
        <w:suppressAutoHyphens/>
        <w:overflowPunct/>
        <w:autoSpaceDE/>
        <w:autoSpaceDN/>
        <w:adjustRightInd/>
        <w:spacing w:before="120" w:after="120" w:line="240" w:lineRule="atLeast"/>
        <w:ind w:right="1134" w:firstLine="0"/>
        <w:textAlignment w:val="auto"/>
        <w:rPr>
          <w:rFonts w:eastAsia="Calibri"/>
        </w:rPr>
      </w:pPr>
      <w:r w:rsidRPr="00676602">
        <w:rPr>
          <w:rFonts w:eastAsia="Calibri"/>
        </w:rPr>
        <w:t>4.</w:t>
      </w:r>
      <w:r w:rsidRPr="00676602">
        <w:rPr>
          <w:rFonts w:eastAsia="Calibri"/>
        </w:rPr>
        <w:tab/>
      </w:r>
      <w:r w:rsidR="005314FA" w:rsidRPr="00676602">
        <w:rPr>
          <w:rFonts w:eastAsia="Calibri"/>
        </w:rPr>
        <w:t xml:space="preserve">Dieser Eintrag findet sich seit der Einführung von Kohlendioxid in Kapitel 3.2 </w:t>
      </w:r>
      <w:r w:rsidR="00535218" w:rsidRPr="00676602">
        <w:rPr>
          <w:rFonts w:eastAsia="Calibri"/>
        </w:rPr>
        <w:t>Tabelle</w:t>
      </w:r>
      <w:r w:rsidR="000F1EC2" w:rsidRPr="00676602">
        <w:rPr>
          <w:rFonts w:eastAsia="Calibri"/>
        </w:rPr>
        <w:t> </w:t>
      </w:r>
      <w:r w:rsidR="00535218" w:rsidRPr="00676602">
        <w:rPr>
          <w:rFonts w:eastAsia="Calibri"/>
        </w:rPr>
        <w:t>C</w:t>
      </w:r>
      <w:r w:rsidR="005314FA" w:rsidRPr="00676602">
        <w:rPr>
          <w:rFonts w:eastAsia="Calibri"/>
        </w:rPr>
        <w:t xml:space="preserve"> der ADN-Fassung 2011.</w:t>
      </w:r>
    </w:p>
    <w:p w14:paraId="088A6D99" w14:textId="746515B2" w:rsidR="00FE2BA4" w:rsidRPr="00676602" w:rsidRDefault="00FE2BA4" w:rsidP="00D335FC">
      <w:pPr>
        <w:widowControl/>
        <w:tabs>
          <w:tab w:val="left" w:pos="1701"/>
        </w:tabs>
        <w:suppressAutoHyphens/>
        <w:overflowPunct/>
        <w:autoSpaceDE/>
        <w:autoSpaceDN/>
        <w:adjustRightInd/>
        <w:spacing w:after="120" w:line="240" w:lineRule="atLeast"/>
        <w:ind w:right="1134" w:firstLine="0"/>
        <w:textAlignment w:val="auto"/>
        <w:rPr>
          <w:rFonts w:eastAsia="Calibri"/>
        </w:rPr>
      </w:pPr>
      <w:r w:rsidRPr="00676602">
        <w:rPr>
          <w:rFonts w:eastAsia="Calibri"/>
        </w:rPr>
        <w:t>5.</w:t>
      </w:r>
      <w:r w:rsidRPr="00676602">
        <w:rPr>
          <w:rFonts w:eastAsia="Calibri"/>
        </w:rPr>
        <w:tab/>
      </w:r>
      <w:r w:rsidR="00CA640A" w:rsidRPr="00676602">
        <w:rPr>
          <w:rFonts w:eastAsia="Calibri"/>
        </w:rPr>
        <w:t xml:space="preserve">Die Beförderung kann mit Tankschiffen des Typs G,1,1 mit Kühlanlage (Nummer </w:t>
      </w:r>
      <w:r w:rsidR="00B64645" w:rsidRPr="00676602">
        <w:rPr>
          <w:rFonts w:eastAsia="Calibri"/>
        </w:rPr>
        <w:t>„</w:t>
      </w:r>
      <w:r w:rsidR="00CA640A" w:rsidRPr="00676602">
        <w:rPr>
          <w:rFonts w:eastAsia="Calibri"/>
        </w:rPr>
        <w:t>1</w:t>
      </w:r>
      <w:r w:rsidR="00B64645" w:rsidRPr="00676602">
        <w:rPr>
          <w:rFonts w:eastAsia="Calibri"/>
        </w:rPr>
        <w:t>“</w:t>
      </w:r>
      <w:r w:rsidR="00CA640A" w:rsidRPr="00676602">
        <w:rPr>
          <w:rFonts w:eastAsia="Calibri"/>
        </w:rPr>
        <w:t xml:space="preserve"> in Spalte</w:t>
      </w:r>
      <w:r w:rsidR="00290C68" w:rsidRPr="00676602">
        <w:rPr>
          <w:rFonts w:eastAsia="Calibri"/>
        </w:rPr>
        <w:t xml:space="preserve"> (</w:t>
      </w:r>
      <w:r w:rsidR="00CA640A" w:rsidRPr="00676602">
        <w:rPr>
          <w:rFonts w:eastAsia="Calibri"/>
        </w:rPr>
        <w:t>9)</w:t>
      </w:r>
      <w:r w:rsidR="00290C68" w:rsidRPr="00676602">
        <w:rPr>
          <w:rFonts w:eastAsia="Calibri"/>
        </w:rPr>
        <w:t>)</w:t>
      </w:r>
      <w:r w:rsidR="00CA640A" w:rsidRPr="00676602">
        <w:rPr>
          <w:rFonts w:eastAsia="Calibri"/>
        </w:rPr>
        <w:t xml:space="preserve"> durchgeführt werden.</w:t>
      </w:r>
      <w:r w:rsidRPr="00676602">
        <w:rPr>
          <w:rFonts w:eastAsia="Calibri"/>
        </w:rPr>
        <w:t xml:space="preserve"> </w:t>
      </w:r>
      <w:r w:rsidR="00D335FC" w:rsidRPr="00676602">
        <w:rPr>
          <w:rFonts w:eastAsia="Calibri"/>
        </w:rPr>
        <w:t xml:space="preserve">Die Bemerkungen 31 und 39 in Spalte </w:t>
      </w:r>
      <w:r w:rsidR="00290C68" w:rsidRPr="00676602">
        <w:rPr>
          <w:rFonts w:eastAsia="Calibri"/>
        </w:rPr>
        <w:t>(</w:t>
      </w:r>
      <w:r w:rsidR="00D335FC" w:rsidRPr="00676602">
        <w:rPr>
          <w:rFonts w:eastAsia="Calibri"/>
        </w:rPr>
        <w:t>20</w:t>
      </w:r>
      <w:r w:rsidR="00290C68" w:rsidRPr="00676602">
        <w:rPr>
          <w:rFonts w:eastAsia="Calibri"/>
        </w:rPr>
        <w:t>)</w:t>
      </w:r>
      <w:r w:rsidR="00D335FC" w:rsidRPr="00676602">
        <w:rPr>
          <w:rFonts w:eastAsia="Calibri"/>
        </w:rPr>
        <w:t xml:space="preserve"> enthalten die folgenden Beförderungsvorschriften:</w:t>
      </w:r>
    </w:p>
    <w:p w14:paraId="22F0B0A0" w14:textId="00BE2204" w:rsidR="00C827DD" w:rsidRPr="00676602" w:rsidRDefault="00C827DD" w:rsidP="00667780">
      <w:pPr>
        <w:widowControl/>
        <w:suppressAutoHyphens/>
        <w:overflowPunct/>
        <w:autoSpaceDE/>
        <w:autoSpaceDN/>
        <w:adjustRightInd/>
        <w:spacing w:after="120" w:line="240" w:lineRule="atLeast"/>
        <w:ind w:left="2410" w:right="1134" w:hanging="709"/>
        <w:textAlignment w:val="auto"/>
        <w:rPr>
          <w:rFonts w:eastAsia="Calibri"/>
        </w:rPr>
      </w:pPr>
      <w:r w:rsidRPr="00676602">
        <w:rPr>
          <w:rFonts w:eastAsia="Calibri"/>
        </w:rPr>
        <w:t>„31.</w:t>
      </w:r>
      <w:r w:rsidRPr="00676602">
        <w:rPr>
          <w:rFonts w:eastAsia="Calibri"/>
        </w:rPr>
        <w:tab/>
        <w:t>Bei der Beförderung dieser Stoffe muss das Schiff mit einem Schnellschlussventil direkt am Landanschluss versehen sein.</w:t>
      </w:r>
    </w:p>
    <w:p w14:paraId="73159FED" w14:textId="77777777" w:rsidR="00C827DD" w:rsidRPr="00676602" w:rsidRDefault="00C827DD" w:rsidP="00041631">
      <w:pPr>
        <w:tabs>
          <w:tab w:val="left" w:pos="2410"/>
          <w:tab w:val="left" w:pos="2694"/>
          <w:tab w:val="left" w:pos="8505"/>
        </w:tabs>
        <w:spacing w:before="60" w:line="240" w:lineRule="atLeast"/>
        <w:ind w:left="2694" w:right="1134" w:hanging="993"/>
        <w:rPr>
          <w:rFonts w:eastAsia="Calibri"/>
        </w:rPr>
      </w:pPr>
      <w:r w:rsidRPr="00676602">
        <w:rPr>
          <w:rFonts w:eastAsia="Calibri"/>
        </w:rPr>
        <w:t>39.</w:t>
      </w:r>
      <w:r w:rsidRPr="00676602">
        <w:rPr>
          <w:rFonts w:eastAsia="Calibri"/>
        </w:rPr>
        <w:tab/>
        <w:t>a)</w:t>
      </w:r>
      <w:r w:rsidRPr="00676602">
        <w:rPr>
          <w:rFonts w:eastAsia="Calibri"/>
        </w:rPr>
        <w:tab/>
        <w:t xml:space="preserve">Die Abdichtungen, Ablassöffnungen, Verschließvorrichtungen und andere technische Einrichtungen müssen so ausgeführt sein, dass unter normalen Beförderungsbedingungen kein Kohlendioxid austreten kann (Kälte, Brüchigkeit von Materialien, gefrorene Verkleidungen, </w:t>
      </w:r>
      <w:proofErr w:type="spellStart"/>
      <w:r w:rsidRPr="00676602">
        <w:rPr>
          <w:rFonts w:eastAsia="Calibri"/>
        </w:rPr>
        <w:t>Ausströmöffnungen</w:t>
      </w:r>
      <w:proofErr w:type="spellEnd"/>
      <w:r w:rsidRPr="00676602">
        <w:rPr>
          <w:rFonts w:eastAsia="Calibri"/>
        </w:rPr>
        <w:t xml:space="preserve"> </w:t>
      </w:r>
      <w:proofErr w:type="spellStart"/>
      <w:r w:rsidRPr="00676602">
        <w:rPr>
          <w:rFonts w:eastAsia="Calibri"/>
        </w:rPr>
        <w:t>usw</w:t>
      </w:r>
      <w:proofErr w:type="spellEnd"/>
      <w:r w:rsidRPr="00676602">
        <w:rPr>
          <w:rFonts w:eastAsia="Calibri"/>
        </w:rPr>
        <w:t>).</w:t>
      </w:r>
    </w:p>
    <w:p w14:paraId="1FA53552" w14:textId="77777777" w:rsidR="00C827DD" w:rsidRPr="00676602" w:rsidRDefault="00C827DD" w:rsidP="00041631">
      <w:pPr>
        <w:keepLines/>
        <w:widowControl/>
        <w:tabs>
          <w:tab w:val="left" w:pos="8505"/>
        </w:tabs>
        <w:suppressAutoHyphens/>
        <w:overflowPunct/>
        <w:autoSpaceDE/>
        <w:autoSpaceDN/>
        <w:adjustRightInd/>
        <w:spacing w:before="120" w:after="120" w:line="240" w:lineRule="atLeast"/>
        <w:ind w:left="2694" w:right="1134" w:hanging="284"/>
        <w:textAlignment w:val="auto"/>
        <w:rPr>
          <w:rFonts w:eastAsia="Calibri"/>
        </w:rPr>
      </w:pPr>
      <w:r w:rsidRPr="00676602">
        <w:rPr>
          <w:rFonts w:eastAsia="Calibri"/>
        </w:rPr>
        <w:t>b)</w:t>
      </w:r>
      <w:r w:rsidRPr="00676602">
        <w:rPr>
          <w:rFonts w:eastAsia="Calibri"/>
        </w:rPr>
        <w:tab/>
        <w:t xml:space="preserve">Im Beförderungspapier ist die Ladetemperatur (am </w:t>
      </w:r>
      <w:proofErr w:type="spellStart"/>
      <w:r w:rsidRPr="00676602">
        <w:rPr>
          <w:rFonts w:eastAsia="Calibri"/>
        </w:rPr>
        <w:t>Ladeort</w:t>
      </w:r>
      <w:proofErr w:type="spellEnd"/>
      <w:r w:rsidRPr="00676602">
        <w:rPr>
          <w:rFonts w:eastAsia="Calibri"/>
        </w:rPr>
        <w:t>) anzugeben.</w:t>
      </w:r>
    </w:p>
    <w:p w14:paraId="1FFB45C3" w14:textId="77777777" w:rsidR="00C827DD" w:rsidRPr="00676602" w:rsidRDefault="00C827DD" w:rsidP="00041631">
      <w:pPr>
        <w:keepLines/>
        <w:widowControl/>
        <w:tabs>
          <w:tab w:val="left" w:pos="8505"/>
        </w:tabs>
        <w:suppressAutoHyphens/>
        <w:overflowPunct/>
        <w:autoSpaceDE/>
        <w:autoSpaceDN/>
        <w:adjustRightInd/>
        <w:spacing w:after="120" w:line="240" w:lineRule="atLeast"/>
        <w:ind w:left="2694" w:right="1134" w:hanging="284"/>
        <w:textAlignment w:val="auto"/>
        <w:rPr>
          <w:rFonts w:eastAsia="Calibri"/>
        </w:rPr>
      </w:pPr>
      <w:r w:rsidRPr="00676602">
        <w:rPr>
          <w:rFonts w:eastAsia="Calibri"/>
        </w:rPr>
        <w:t>c)</w:t>
      </w:r>
      <w:r w:rsidRPr="00676602">
        <w:rPr>
          <w:rFonts w:eastAsia="Calibri"/>
        </w:rPr>
        <w:tab/>
        <w:t>Ein Sauerstoffmessgerät</w:t>
      </w:r>
      <w:r w:rsidRPr="00676602" w:rsidDel="00A0288D">
        <w:rPr>
          <w:rFonts w:eastAsia="Calibri"/>
        </w:rPr>
        <w:t xml:space="preserve"> </w:t>
      </w:r>
      <w:r w:rsidRPr="00676602">
        <w:rPr>
          <w:rFonts w:eastAsia="Calibri"/>
        </w:rPr>
        <w:t>mit einer Bedienungsanweisung, die von jedem an Bord gelesen werden kann, muss sich an Bord des Schiffes befinden. Das Sauerstoffmessgerät</w:t>
      </w:r>
      <w:r w:rsidRPr="00676602" w:rsidDel="00A0288D">
        <w:rPr>
          <w:rFonts w:eastAsia="Calibri"/>
        </w:rPr>
        <w:t xml:space="preserve"> </w:t>
      </w:r>
      <w:r w:rsidRPr="00676602">
        <w:rPr>
          <w:rFonts w:eastAsia="Calibri"/>
        </w:rPr>
        <w:t>muss beim Betreten von Laderäumen, Pumpenräumen, tief gelegenen Räumen und beim Verrichten von Arbeiten an Bord als Beweismittel gebraucht werden.</w:t>
      </w:r>
    </w:p>
    <w:p w14:paraId="05AFFB72" w14:textId="77777777" w:rsidR="00C827DD" w:rsidRPr="00676602" w:rsidRDefault="00C827DD" w:rsidP="00041631">
      <w:pPr>
        <w:keepLines/>
        <w:widowControl/>
        <w:tabs>
          <w:tab w:val="left" w:pos="8505"/>
        </w:tabs>
        <w:suppressAutoHyphens/>
        <w:overflowPunct/>
        <w:autoSpaceDE/>
        <w:autoSpaceDN/>
        <w:adjustRightInd/>
        <w:spacing w:after="120" w:line="240" w:lineRule="atLeast"/>
        <w:ind w:left="2694" w:right="1134" w:hanging="284"/>
        <w:textAlignment w:val="auto"/>
        <w:rPr>
          <w:rFonts w:eastAsia="Calibri"/>
        </w:rPr>
      </w:pPr>
      <w:r w:rsidRPr="00676602">
        <w:rPr>
          <w:rFonts w:eastAsia="Calibri"/>
        </w:rPr>
        <w:t>d)</w:t>
      </w:r>
      <w:r w:rsidRPr="00676602">
        <w:rPr>
          <w:rFonts w:eastAsia="Calibri"/>
        </w:rPr>
        <w:tab/>
        <w:t>Vor der Wohnung und anderen Räumen, in denen sich die Besatzung aufhält, muss ein geeignetes Messgerät angebracht sein, das bei einem zu niedrigen Sauerstoffgehalt oder zu hohem CO</w:t>
      </w:r>
      <w:r w:rsidRPr="00676602">
        <w:rPr>
          <w:rFonts w:eastAsia="Calibri"/>
          <w:vertAlign w:val="subscript"/>
        </w:rPr>
        <w:t>2</w:t>
      </w:r>
      <w:r w:rsidRPr="00676602">
        <w:rPr>
          <w:rFonts w:eastAsia="Calibri"/>
        </w:rPr>
        <w:t>-Gehalt einen Alarm auslöst.</w:t>
      </w:r>
    </w:p>
    <w:p w14:paraId="4B4E0155" w14:textId="35967227" w:rsidR="00C827DD" w:rsidRPr="00676602" w:rsidRDefault="00C827DD" w:rsidP="00041631">
      <w:pPr>
        <w:keepLines/>
        <w:widowControl/>
        <w:tabs>
          <w:tab w:val="left" w:pos="8505"/>
        </w:tabs>
        <w:suppressAutoHyphens/>
        <w:overflowPunct/>
        <w:autoSpaceDE/>
        <w:autoSpaceDN/>
        <w:adjustRightInd/>
        <w:spacing w:after="120" w:line="240" w:lineRule="atLeast"/>
        <w:ind w:left="2694" w:right="1134" w:hanging="284"/>
        <w:textAlignment w:val="auto"/>
        <w:rPr>
          <w:rFonts w:eastAsia="Calibri"/>
        </w:rPr>
      </w:pPr>
      <w:r w:rsidRPr="00676602">
        <w:rPr>
          <w:rFonts w:eastAsia="Calibri"/>
        </w:rPr>
        <w:t>e)</w:t>
      </w:r>
      <w:r w:rsidRPr="00676602">
        <w:rPr>
          <w:rFonts w:eastAsia="Calibri"/>
        </w:rPr>
        <w:tab/>
        <w:t>Im Beförderungspapier sind die (nach dem Laden gemessene) Ladetemperatur und die maximale Beförderungsdauer anzugeben.</w:t>
      </w:r>
      <w:r w:rsidR="00E530FC" w:rsidRPr="00676602">
        <w:rPr>
          <w:rFonts w:eastAsia="Calibri"/>
        </w:rPr>
        <w:t>“</w:t>
      </w:r>
      <w:r w:rsidRPr="00676602">
        <w:rPr>
          <w:rFonts w:eastAsia="Calibri"/>
        </w:rPr>
        <w:t>.</w:t>
      </w:r>
    </w:p>
    <w:p w14:paraId="6D0EB30F" w14:textId="2579404F" w:rsidR="00FE2BA4" w:rsidRPr="00676602" w:rsidRDefault="00FE2BA4" w:rsidP="00041631">
      <w:pPr>
        <w:keepNext/>
        <w:keepLines/>
        <w:widowControl/>
        <w:tabs>
          <w:tab w:val="right" w:pos="851"/>
        </w:tabs>
        <w:suppressAutoHyphens/>
        <w:overflowPunct/>
        <w:autoSpaceDE/>
        <w:autoSpaceDN/>
        <w:adjustRightInd/>
        <w:spacing w:before="240" w:after="120" w:line="300" w:lineRule="exact"/>
        <w:ind w:right="1134"/>
        <w:jc w:val="left"/>
        <w:textAlignment w:val="auto"/>
        <w:rPr>
          <w:b/>
          <w:sz w:val="28"/>
        </w:rPr>
      </w:pPr>
      <w:r w:rsidRPr="00676602">
        <w:rPr>
          <w:b/>
          <w:sz w:val="28"/>
        </w:rPr>
        <w:tab/>
        <w:t>II.</w:t>
      </w:r>
      <w:r w:rsidRPr="00676602">
        <w:rPr>
          <w:b/>
          <w:sz w:val="28"/>
        </w:rPr>
        <w:tab/>
      </w:r>
      <w:r w:rsidR="002A236D" w:rsidRPr="00676602">
        <w:rPr>
          <w:b/>
          <w:sz w:val="28"/>
        </w:rPr>
        <w:t xml:space="preserve">Analyse </w:t>
      </w:r>
      <w:r w:rsidR="00EE1530" w:rsidRPr="00676602">
        <w:rPr>
          <w:b/>
          <w:sz w:val="28"/>
        </w:rPr>
        <w:t xml:space="preserve">der Vorschrift </w:t>
      </w:r>
      <w:r w:rsidR="002A236D" w:rsidRPr="00676602">
        <w:rPr>
          <w:b/>
          <w:sz w:val="28"/>
        </w:rPr>
        <w:t xml:space="preserve">von Schiffen </w:t>
      </w:r>
      <w:r w:rsidR="00437A1A" w:rsidRPr="00676602">
        <w:rPr>
          <w:b/>
          <w:sz w:val="28"/>
        </w:rPr>
        <w:t xml:space="preserve">des Typs G,1,1 </w:t>
      </w:r>
      <w:r w:rsidR="002A236D" w:rsidRPr="00676602">
        <w:rPr>
          <w:b/>
          <w:sz w:val="28"/>
        </w:rPr>
        <w:t>mit Kühl</w:t>
      </w:r>
      <w:r w:rsidR="00EE1530" w:rsidRPr="00676602">
        <w:rPr>
          <w:b/>
          <w:sz w:val="28"/>
        </w:rPr>
        <w:softHyphen/>
      </w:r>
      <w:r w:rsidR="002A236D" w:rsidRPr="00676602">
        <w:rPr>
          <w:b/>
          <w:sz w:val="28"/>
        </w:rPr>
        <w:t>anlage</w:t>
      </w:r>
    </w:p>
    <w:p w14:paraId="67F8392A" w14:textId="5AD94590" w:rsidR="00FE2BA4" w:rsidRPr="00676602" w:rsidRDefault="00FE2BA4" w:rsidP="00C14ADD">
      <w:pPr>
        <w:widowControl/>
        <w:tabs>
          <w:tab w:val="left" w:pos="1701"/>
        </w:tabs>
        <w:suppressAutoHyphens/>
        <w:overflowPunct/>
        <w:autoSpaceDE/>
        <w:autoSpaceDN/>
        <w:adjustRightInd/>
        <w:spacing w:after="120" w:line="240" w:lineRule="atLeast"/>
        <w:ind w:right="1134" w:firstLine="0"/>
        <w:textAlignment w:val="auto"/>
        <w:rPr>
          <w:rFonts w:eastAsia="Calibri"/>
        </w:rPr>
      </w:pPr>
      <w:r w:rsidRPr="00676602">
        <w:rPr>
          <w:rFonts w:eastAsia="Calibri"/>
        </w:rPr>
        <w:t>6.</w:t>
      </w:r>
      <w:r w:rsidRPr="00676602">
        <w:rPr>
          <w:rFonts w:eastAsia="Calibri"/>
        </w:rPr>
        <w:tab/>
      </w:r>
      <w:r w:rsidR="005E1E6B" w:rsidRPr="00676602">
        <w:rPr>
          <w:rFonts w:eastAsia="Calibri"/>
        </w:rPr>
        <w:t xml:space="preserve">Nach der Analyse von Tabelle C in Kapitel 3.2 wurden die folgenden Stoffe identifiziert, für die ebenfalls ein Binnenschiff des Typs G,1,1 mit Kühlanlage </w:t>
      </w:r>
      <w:r w:rsidR="00A048C7" w:rsidRPr="00676602">
        <w:rPr>
          <w:rFonts w:eastAsia="Calibri"/>
        </w:rPr>
        <w:t>vorge</w:t>
      </w:r>
      <w:r w:rsidR="004D572E" w:rsidRPr="00676602">
        <w:rPr>
          <w:rFonts w:eastAsia="Calibri"/>
        </w:rPr>
        <w:softHyphen/>
      </w:r>
      <w:r w:rsidR="00A048C7" w:rsidRPr="00676602">
        <w:rPr>
          <w:rFonts w:eastAsia="Calibri"/>
        </w:rPr>
        <w:t>schrieben</w:t>
      </w:r>
      <w:r w:rsidR="005E1E6B" w:rsidRPr="00676602">
        <w:rPr>
          <w:rFonts w:eastAsia="Calibri"/>
        </w:rPr>
        <w:t xml:space="preserve"> ist:</w:t>
      </w:r>
      <w:r w:rsidRPr="00676602">
        <w:rPr>
          <w:rFonts w:eastAsia="Calibri"/>
        </w:rPr>
        <w:t xml:space="preserve"> </w:t>
      </w:r>
    </w:p>
    <w:tbl>
      <w:tblPr>
        <w:tblStyle w:val="Grilledutableau4"/>
        <w:tblW w:w="9639" w:type="dxa"/>
        <w:tblInd w:w="-5" w:type="dxa"/>
        <w:tblLayout w:type="fixed"/>
        <w:tblLook w:val="04A0" w:firstRow="1" w:lastRow="0" w:firstColumn="1" w:lastColumn="0" w:noHBand="0" w:noVBand="1"/>
      </w:tblPr>
      <w:tblGrid>
        <w:gridCol w:w="567"/>
        <w:gridCol w:w="1560"/>
        <w:gridCol w:w="283"/>
        <w:gridCol w:w="425"/>
        <w:gridCol w:w="284"/>
        <w:gridCol w:w="425"/>
        <w:gridCol w:w="284"/>
        <w:gridCol w:w="283"/>
        <w:gridCol w:w="284"/>
        <w:gridCol w:w="283"/>
        <w:gridCol w:w="284"/>
        <w:gridCol w:w="425"/>
        <w:gridCol w:w="283"/>
        <w:gridCol w:w="284"/>
        <w:gridCol w:w="425"/>
        <w:gridCol w:w="567"/>
        <w:gridCol w:w="567"/>
        <w:gridCol w:w="425"/>
        <w:gridCol w:w="709"/>
        <w:gridCol w:w="284"/>
        <w:gridCol w:w="708"/>
      </w:tblGrid>
      <w:tr w:rsidR="00FE2BA4" w:rsidRPr="00676602" w14:paraId="7BB1CD80" w14:textId="77777777" w:rsidTr="00B43E2F">
        <w:tc>
          <w:tcPr>
            <w:tcW w:w="567" w:type="dxa"/>
            <w:shd w:val="clear" w:color="auto" w:fill="auto"/>
          </w:tcPr>
          <w:p w14:paraId="38B5DDB2"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1038</w:t>
            </w:r>
          </w:p>
        </w:tc>
        <w:tc>
          <w:tcPr>
            <w:tcW w:w="1560" w:type="dxa"/>
            <w:shd w:val="clear" w:color="auto" w:fill="auto"/>
          </w:tcPr>
          <w:p w14:paraId="3406BC8C" w14:textId="01A451C8" w:rsidR="00FE2BA4" w:rsidRPr="00676602" w:rsidRDefault="008575CE" w:rsidP="00041631">
            <w:pPr>
              <w:widowControl/>
              <w:overflowPunct/>
              <w:autoSpaceDE/>
              <w:autoSpaceDN/>
              <w:adjustRightInd/>
              <w:spacing w:before="40"/>
              <w:ind w:left="0" w:right="113" w:firstLine="0"/>
              <w:jc w:val="center"/>
              <w:textAlignment w:val="auto"/>
              <w:rPr>
                <w:rFonts w:eastAsia="Calibri"/>
                <w:sz w:val="16"/>
                <w:szCs w:val="16"/>
                <w:lang w:val="de-DE"/>
              </w:rPr>
            </w:pPr>
            <w:r w:rsidRPr="00676602">
              <w:rPr>
                <w:rFonts w:eastAsia="Calibri"/>
                <w:sz w:val="16"/>
                <w:szCs w:val="16"/>
                <w:lang w:val="de-DE"/>
              </w:rPr>
              <w:t>ETHYLEN, TIEFGEKÜHLT, FLÜSSIG</w:t>
            </w:r>
          </w:p>
        </w:tc>
        <w:tc>
          <w:tcPr>
            <w:tcW w:w="283" w:type="dxa"/>
            <w:shd w:val="clear" w:color="auto" w:fill="auto"/>
          </w:tcPr>
          <w:p w14:paraId="017C1A42"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w:t>
            </w:r>
          </w:p>
        </w:tc>
        <w:tc>
          <w:tcPr>
            <w:tcW w:w="425" w:type="dxa"/>
            <w:shd w:val="clear" w:color="auto" w:fill="auto"/>
          </w:tcPr>
          <w:p w14:paraId="11080FD3"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3F</w:t>
            </w:r>
          </w:p>
        </w:tc>
        <w:tc>
          <w:tcPr>
            <w:tcW w:w="284" w:type="dxa"/>
            <w:shd w:val="clear" w:color="auto" w:fill="auto"/>
          </w:tcPr>
          <w:p w14:paraId="7D53CDD1"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425" w:type="dxa"/>
            <w:shd w:val="clear" w:color="auto" w:fill="auto"/>
          </w:tcPr>
          <w:p w14:paraId="130BD12A"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2.1</w:t>
            </w:r>
          </w:p>
        </w:tc>
        <w:tc>
          <w:tcPr>
            <w:tcW w:w="284" w:type="dxa"/>
            <w:shd w:val="clear" w:color="auto" w:fill="auto"/>
          </w:tcPr>
          <w:p w14:paraId="4763E849"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G</w:t>
            </w:r>
          </w:p>
        </w:tc>
        <w:tc>
          <w:tcPr>
            <w:tcW w:w="283" w:type="dxa"/>
            <w:shd w:val="clear" w:color="auto" w:fill="auto"/>
          </w:tcPr>
          <w:p w14:paraId="5ED322EB"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4" w:type="dxa"/>
            <w:shd w:val="clear" w:color="auto" w:fill="auto"/>
          </w:tcPr>
          <w:p w14:paraId="64EF6883"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3" w:type="dxa"/>
            <w:shd w:val="clear" w:color="auto" w:fill="auto"/>
          </w:tcPr>
          <w:p w14:paraId="4F894CF2"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4" w:type="dxa"/>
            <w:shd w:val="clear" w:color="auto" w:fill="auto"/>
          </w:tcPr>
          <w:p w14:paraId="6159B435"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425" w:type="dxa"/>
            <w:shd w:val="clear" w:color="auto" w:fill="auto"/>
          </w:tcPr>
          <w:p w14:paraId="49633C5B"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95</w:t>
            </w:r>
          </w:p>
        </w:tc>
        <w:tc>
          <w:tcPr>
            <w:tcW w:w="283" w:type="dxa"/>
            <w:shd w:val="clear" w:color="auto" w:fill="auto"/>
          </w:tcPr>
          <w:p w14:paraId="7F0F467F"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284" w:type="dxa"/>
            <w:shd w:val="clear" w:color="auto" w:fill="auto"/>
          </w:tcPr>
          <w:p w14:paraId="0810755E"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425" w:type="dxa"/>
            <w:shd w:val="clear" w:color="auto" w:fill="auto"/>
          </w:tcPr>
          <w:p w14:paraId="7A735B1B" w14:textId="73455CCF" w:rsidR="00FE2BA4" w:rsidRPr="00676602" w:rsidRDefault="00C827DD"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nein</w:t>
            </w:r>
          </w:p>
        </w:tc>
        <w:tc>
          <w:tcPr>
            <w:tcW w:w="567" w:type="dxa"/>
            <w:shd w:val="clear" w:color="auto" w:fill="auto"/>
          </w:tcPr>
          <w:p w14:paraId="367B1159"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T1</w:t>
            </w:r>
            <w:r w:rsidRPr="00676602">
              <w:rPr>
                <w:rFonts w:eastAsia="Calibri"/>
                <w:sz w:val="16"/>
                <w:szCs w:val="16"/>
                <w:vertAlign w:val="superscript"/>
                <w:lang w:val="de-DE"/>
              </w:rPr>
              <w:t>12)</w:t>
            </w:r>
          </w:p>
        </w:tc>
        <w:tc>
          <w:tcPr>
            <w:tcW w:w="567" w:type="dxa"/>
            <w:shd w:val="clear" w:color="auto" w:fill="auto"/>
          </w:tcPr>
          <w:p w14:paraId="2A554499"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IIB (IIB3)</w:t>
            </w:r>
          </w:p>
        </w:tc>
        <w:tc>
          <w:tcPr>
            <w:tcW w:w="425" w:type="dxa"/>
            <w:shd w:val="clear" w:color="auto" w:fill="auto"/>
          </w:tcPr>
          <w:p w14:paraId="24355D14" w14:textId="3F4B4EF3" w:rsidR="00FE2BA4" w:rsidRPr="00676602" w:rsidRDefault="00C827DD"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ja</w:t>
            </w:r>
          </w:p>
        </w:tc>
        <w:tc>
          <w:tcPr>
            <w:tcW w:w="709" w:type="dxa"/>
            <w:shd w:val="clear" w:color="auto" w:fill="auto"/>
          </w:tcPr>
          <w:p w14:paraId="2E408449"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PP, EX, A</w:t>
            </w:r>
          </w:p>
        </w:tc>
        <w:tc>
          <w:tcPr>
            <w:tcW w:w="284" w:type="dxa"/>
            <w:shd w:val="clear" w:color="auto" w:fill="auto"/>
          </w:tcPr>
          <w:p w14:paraId="7C1FAAF3"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708" w:type="dxa"/>
            <w:shd w:val="clear" w:color="auto" w:fill="auto"/>
          </w:tcPr>
          <w:p w14:paraId="65EE2296"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 31; 42</w:t>
            </w:r>
          </w:p>
        </w:tc>
      </w:tr>
      <w:tr w:rsidR="00FE2BA4" w:rsidRPr="00676602" w14:paraId="1464FCD4" w14:textId="77777777" w:rsidTr="00B43E2F">
        <w:tc>
          <w:tcPr>
            <w:tcW w:w="567" w:type="dxa"/>
            <w:shd w:val="clear" w:color="auto" w:fill="auto"/>
          </w:tcPr>
          <w:p w14:paraId="6F258EC0"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1972</w:t>
            </w:r>
          </w:p>
        </w:tc>
        <w:tc>
          <w:tcPr>
            <w:tcW w:w="1560" w:type="dxa"/>
            <w:shd w:val="clear" w:color="auto" w:fill="auto"/>
          </w:tcPr>
          <w:p w14:paraId="0EE24148" w14:textId="159A1FFE" w:rsidR="00FE2BA4" w:rsidRPr="00676602" w:rsidRDefault="008575CE" w:rsidP="00041631">
            <w:pPr>
              <w:widowControl/>
              <w:overflowPunct/>
              <w:autoSpaceDE/>
              <w:autoSpaceDN/>
              <w:adjustRightInd/>
              <w:spacing w:before="40"/>
              <w:ind w:left="0" w:right="113" w:firstLine="0"/>
              <w:jc w:val="center"/>
              <w:textAlignment w:val="auto"/>
              <w:rPr>
                <w:rFonts w:eastAsia="Calibri"/>
                <w:sz w:val="16"/>
                <w:szCs w:val="16"/>
                <w:lang w:val="de-DE"/>
              </w:rPr>
            </w:pPr>
            <w:r w:rsidRPr="00676602">
              <w:rPr>
                <w:rFonts w:eastAsia="Calibri"/>
                <w:sz w:val="16"/>
                <w:szCs w:val="16"/>
                <w:lang w:val="de-DE"/>
              </w:rPr>
              <w:t>METHAN, TIEFGEKÜHLT, FLÜSSIG oder ERDGAS, TIEFGEKÜHLT, FLÜSSIG, mit hohem Methangehalt</w:t>
            </w:r>
          </w:p>
        </w:tc>
        <w:tc>
          <w:tcPr>
            <w:tcW w:w="283" w:type="dxa"/>
            <w:shd w:val="clear" w:color="auto" w:fill="auto"/>
          </w:tcPr>
          <w:p w14:paraId="18EF1F6E"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w:t>
            </w:r>
          </w:p>
        </w:tc>
        <w:tc>
          <w:tcPr>
            <w:tcW w:w="425" w:type="dxa"/>
            <w:shd w:val="clear" w:color="auto" w:fill="auto"/>
          </w:tcPr>
          <w:p w14:paraId="28958240"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3F</w:t>
            </w:r>
          </w:p>
        </w:tc>
        <w:tc>
          <w:tcPr>
            <w:tcW w:w="284" w:type="dxa"/>
            <w:shd w:val="clear" w:color="auto" w:fill="auto"/>
          </w:tcPr>
          <w:p w14:paraId="0AB28913"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425" w:type="dxa"/>
            <w:shd w:val="clear" w:color="auto" w:fill="auto"/>
          </w:tcPr>
          <w:p w14:paraId="7E415DBD"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2.1</w:t>
            </w:r>
          </w:p>
        </w:tc>
        <w:tc>
          <w:tcPr>
            <w:tcW w:w="284" w:type="dxa"/>
            <w:shd w:val="clear" w:color="auto" w:fill="auto"/>
          </w:tcPr>
          <w:p w14:paraId="2CB61293"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G</w:t>
            </w:r>
          </w:p>
        </w:tc>
        <w:tc>
          <w:tcPr>
            <w:tcW w:w="283" w:type="dxa"/>
            <w:shd w:val="clear" w:color="auto" w:fill="auto"/>
          </w:tcPr>
          <w:p w14:paraId="5FF34F11"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4" w:type="dxa"/>
            <w:shd w:val="clear" w:color="auto" w:fill="auto"/>
          </w:tcPr>
          <w:p w14:paraId="142D2BD3"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3" w:type="dxa"/>
            <w:shd w:val="clear" w:color="auto" w:fill="auto"/>
          </w:tcPr>
          <w:p w14:paraId="23F6FFAB"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4" w:type="dxa"/>
            <w:shd w:val="clear" w:color="auto" w:fill="auto"/>
          </w:tcPr>
          <w:p w14:paraId="55BAF792"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425" w:type="dxa"/>
            <w:shd w:val="clear" w:color="auto" w:fill="auto"/>
          </w:tcPr>
          <w:p w14:paraId="00B87B94"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95</w:t>
            </w:r>
          </w:p>
        </w:tc>
        <w:tc>
          <w:tcPr>
            <w:tcW w:w="283" w:type="dxa"/>
            <w:shd w:val="clear" w:color="auto" w:fill="auto"/>
          </w:tcPr>
          <w:p w14:paraId="40698095"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284" w:type="dxa"/>
            <w:shd w:val="clear" w:color="auto" w:fill="auto"/>
          </w:tcPr>
          <w:p w14:paraId="2A76A73A"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425" w:type="dxa"/>
            <w:shd w:val="clear" w:color="auto" w:fill="auto"/>
          </w:tcPr>
          <w:p w14:paraId="24FA2BDF" w14:textId="62203107" w:rsidR="00FE2BA4" w:rsidRPr="00676602" w:rsidRDefault="00C827DD"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nein</w:t>
            </w:r>
          </w:p>
        </w:tc>
        <w:tc>
          <w:tcPr>
            <w:tcW w:w="567" w:type="dxa"/>
            <w:shd w:val="clear" w:color="auto" w:fill="auto"/>
          </w:tcPr>
          <w:p w14:paraId="2C71CEA6"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T1</w:t>
            </w:r>
            <w:r w:rsidRPr="00676602">
              <w:rPr>
                <w:rFonts w:eastAsia="Calibri"/>
                <w:sz w:val="16"/>
                <w:szCs w:val="16"/>
                <w:vertAlign w:val="superscript"/>
                <w:lang w:val="de-DE"/>
              </w:rPr>
              <w:t>12)</w:t>
            </w:r>
          </w:p>
        </w:tc>
        <w:tc>
          <w:tcPr>
            <w:tcW w:w="567" w:type="dxa"/>
            <w:shd w:val="clear" w:color="auto" w:fill="auto"/>
          </w:tcPr>
          <w:p w14:paraId="25117878"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IIA</w:t>
            </w:r>
          </w:p>
        </w:tc>
        <w:tc>
          <w:tcPr>
            <w:tcW w:w="425" w:type="dxa"/>
            <w:shd w:val="clear" w:color="auto" w:fill="auto"/>
          </w:tcPr>
          <w:p w14:paraId="2A4755FB" w14:textId="291284B3" w:rsidR="00FE2BA4" w:rsidRPr="00676602" w:rsidRDefault="00C827DD"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ja</w:t>
            </w:r>
          </w:p>
        </w:tc>
        <w:tc>
          <w:tcPr>
            <w:tcW w:w="709" w:type="dxa"/>
            <w:shd w:val="clear" w:color="auto" w:fill="auto"/>
          </w:tcPr>
          <w:p w14:paraId="0DBA557A"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PP, EX, A</w:t>
            </w:r>
          </w:p>
        </w:tc>
        <w:tc>
          <w:tcPr>
            <w:tcW w:w="284" w:type="dxa"/>
            <w:shd w:val="clear" w:color="auto" w:fill="auto"/>
          </w:tcPr>
          <w:p w14:paraId="406DF440"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708" w:type="dxa"/>
            <w:shd w:val="clear" w:color="auto" w:fill="auto"/>
          </w:tcPr>
          <w:p w14:paraId="5540074D"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 31; 42</w:t>
            </w:r>
          </w:p>
        </w:tc>
      </w:tr>
      <w:tr w:rsidR="00FE2BA4" w:rsidRPr="00676602" w14:paraId="0E401FE6" w14:textId="77777777" w:rsidTr="00B43E2F">
        <w:tc>
          <w:tcPr>
            <w:tcW w:w="567" w:type="dxa"/>
            <w:shd w:val="clear" w:color="auto" w:fill="auto"/>
          </w:tcPr>
          <w:p w14:paraId="0143FB0E"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lastRenderedPageBreak/>
              <w:t>2187</w:t>
            </w:r>
          </w:p>
        </w:tc>
        <w:tc>
          <w:tcPr>
            <w:tcW w:w="1560" w:type="dxa"/>
            <w:shd w:val="clear" w:color="auto" w:fill="auto"/>
          </w:tcPr>
          <w:p w14:paraId="2802F7BE" w14:textId="7C08A8CB" w:rsidR="00FE2BA4" w:rsidRPr="00676602" w:rsidRDefault="008575CE" w:rsidP="008575CE">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KOHLENDIOXID, TIEFGEKÜHLT, FLÜSSIG</w:t>
            </w:r>
          </w:p>
        </w:tc>
        <w:tc>
          <w:tcPr>
            <w:tcW w:w="283" w:type="dxa"/>
            <w:shd w:val="clear" w:color="auto" w:fill="auto"/>
          </w:tcPr>
          <w:p w14:paraId="14E6FB96"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w:t>
            </w:r>
          </w:p>
        </w:tc>
        <w:tc>
          <w:tcPr>
            <w:tcW w:w="425" w:type="dxa"/>
            <w:shd w:val="clear" w:color="auto" w:fill="auto"/>
          </w:tcPr>
          <w:p w14:paraId="7C4E5403"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3A</w:t>
            </w:r>
          </w:p>
        </w:tc>
        <w:tc>
          <w:tcPr>
            <w:tcW w:w="284" w:type="dxa"/>
            <w:shd w:val="clear" w:color="auto" w:fill="auto"/>
          </w:tcPr>
          <w:p w14:paraId="63F9E738"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425" w:type="dxa"/>
            <w:shd w:val="clear" w:color="auto" w:fill="auto"/>
          </w:tcPr>
          <w:p w14:paraId="052835C6"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2.2</w:t>
            </w:r>
          </w:p>
        </w:tc>
        <w:tc>
          <w:tcPr>
            <w:tcW w:w="284" w:type="dxa"/>
            <w:shd w:val="clear" w:color="auto" w:fill="auto"/>
          </w:tcPr>
          <w:p w14:paraId="72A3AC04"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G</w:t>
            </w:r>
          </w:p>
        </w:tc>
        <w:tc>
          <w:tcPr>
            <w:tcW w:w="283" w:type="dxa"/>
            <w:shd w:val="clear" w:color="auto" w:fill="auto"/>
          </w:tcPr>
          <w:p w14:paraId="0C0B1369"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4" w:type="dxa"/>
            <w:shd w:val="clear" w:color="auto" w:fill="auto"/>
          </w:tcPr>
          <w:p w14:paraId="1FF463A9"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3" w:type="dxa"/>
            <w:shd w:val="clear" w:color="auto" w:fill="auto"/>
          </w:tcPr>
          <w:p w14:paraId="7DA00CED"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4" w:type="dxa"/>
            <w:shd w:val="clear" w:color="auto" w:fill="auto"/>
          </w:tcPr>
          <w:p w14:paraId="001CEBB1"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425" w:type="dxa"/>
            <w:shd w:val="clear" w:color="auto" w:fill="auto"/>
          </w:tcPr>
          <w:p w14:paraId="708AA80F"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95</w:t>
            </w:r>
          </w:p>
        </w:tc>
        <w:tc>
          <w:tcPr>
            <w:tcW w:w="283" w:type="dxa"/>
            <w:shd w:val="clear" w:color="auto" w:fill="auto"/>
          </w:tcPr>
          <w:p w14:paraId="125E4196"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284" w:type="dxa"/>
            <w:shd w:val="clear" w:color="auto" w:fill="auto"/>
          </w:tcPr>
          <w:p w14:paraId="4506DC34"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425" w:type="dxa"/>
            <w:shd w:val="clear" w:color="auto" w:fill="auto"/>
          </w:tcPr>
          <w:p w14:paraId="333A8006" w14:textId="42AC4114" w:rsidR="00FE2BA4" w:rsidRPr="00676602" w:rsidRDefault="00C827DD"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ja</w:t>
            </w:r>
          </w:p>
        </w:tc>
        <w:tc>
          <w:tcPr>
            <w:tcW w:w="567" w:type="dxa"/>
            <w:shd w:val="clear" w:color="auto" w:fill="auto"/>
          </w:tcPr>
          <w:p w14:paraId="664E2471"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567" w:type="dxa"/>
            <w:shd w:val="clear" w:color="auto" w:fill="auto"/>
          </w:tcPr>
          <w:p w14:paraId="5ED90114"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425" w:type="dxa"/>
            <w:shd w:val="clear" w:color="auto" w:fill="auto"/>
          </w:tcPr>
          <w:p w14:paraId="460B4A09" w14:textId="349F3206" w:rsidR="00FE2BA4" w:rsidRPr="00676602" w:rsidRDefault="00C827DD"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nein</w:t>
            </w:r>
          </w:p>
        </w:tc>
        <w:tc>
          <w:tcPr>
            <w:tcW w:w="709" w:type="dxa"/>
            <w:shd w:val="clear" w:color="auto" w:fill="auto"/>
          </w:tcPr>
          <w:p w14:paraId="3A241915"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PP</w:t>
            </w:r>
          </w:p>
        </w:tc>
        <w:tc>
          <w:tcPr>
            <w:tcW w:w="284" w:type="dxa"/>
            <w:shd w:val="clear" w:color="auto" w:fill="auto"/>
          </w:tcPr>
          <w:p w14:paraId="15E2FDFE"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0</w:t>
            </w:r>
          </w:p>
        </w:tc>
        <w:tc>
          <w:tcPr>
            <w:tcW w:w="708" w:type="dxa"/>
            <w:shd w:val="clear" w:color="auto" w:fill="auto"/>
          </w:tcPr>
          <w:p w14:paraId="4036B810" w14:textId="24912320"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31,</w:t>
            </w:r>
            <w:r w:rsidR="00AD7833">
              <w:rPr>
                <w:rFonts w:eastAsia="Calibri"/>
                <w:sz w:val="16"/>
                <w:szCs w:val="16"/>
                <w:lang w:val="de-DE"/>
              </w:rPr>
              <w:t xml:space="preserve"> </w:t>
            </w:r>
            <w:r w:rsidRPr="00676602">
              <w:rPr>
                <w:rFonts w:eastAsia="Calibri"/>
                <w:sz w:val="16"/>
                <w:szCs w:val="16"/>
                <w:lang w:val="de-DE"/>
              </w:rPr>
              <w:t>39</w:t>
            </w:r>
          </w:p>
        </w:tc>
      </w:tr>
      <w:tr w:rsidR="00FE2BA4" w:rsidRPr="00676602" w14:paraId="3E338197" w14:textId="77777777" w:rsidTr="00B43E2F">
        <w:tc>
          <w:tcPr>
            <w:tcW w:w="567" w:type="dxa"/>
            <w:shd w:val="clear" w:color="auto" w:fill="auto"/>
          </w:tcPr>
          <w:p w14:paraId="4D14651D"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9000</w:t>
            </w:r>
          </w:p>
        </w:tc>
        <w:tc>
          <w:tcPr>
            <w:tcW w:w="1560" w:type="dxa"/>
            <w:shd w:val="clear" w:color="auto" w:fill="auto"/>
          </w:tcPr>
          <w:p w14:paraId="2277E9F8" w14:textId="754DC3FF" w:rsidR="00FE2BA4" w:rsidRPr="00676602" w:rsidRDefault="008575CE"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AMMONIAK, WASSERFREI, TIEFGEKÜHLT</w:t>
            </w:r>
          </w:p>
        </w:tc>
        <w:tc>
          <w:tcPr>
            <w:tcW w:w="283" w:type="dxa"/>
            <w:shd w:val="clear" w:color="auto" w:fill="auto"/>
          </w:tcPr>
          <w:p w14:paraId="6D57A02A"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w:t>
            </w:r>
          </w:p>
        </w:tc>
        <w:tc>
          <w:tcPr>
            <w:tcW w:w="425" w:type="dxa"/>
            <w:shd w:val="clear" w:color="auto" w:fill="auto"/>
          </w:tcPr>
          <w:p w14:paraId="55A859A0"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3TC</w:t>
            </w:r>
          </w:p>
        </w:tc>
        <w:tc>
          <w:tcPr>
            <w:tcW w:w="284" w:type="dxa"/>
            <w:shd w:val="clear" w:color="auto" w:fill="auto"/>
          </w:tcPr>
          <w:p w14:paraId="36833E65"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425" w:type="dxa"/>
            <w:shd w:val="clear" w:color="auto" w:fill="auto"/>
          </w:tcPr>
          <w:p w14:paraId="63FD786A"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2.1+2.3+8+ N1</w:t>
            </w:r>
          </w:p>
        </w:tc>
        <w:tc>
          <w:tcPr>
            <w:tcW w:w="284" w:type="dxa"/>
            <w:shd w:val="clear" w:color="auto" w:fill="auto"/>
          </w:tcPr>
          <w:p w14:paraId="0E015E8A"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G</w:t>
            </w:r>
          </w:p>
        </w:tc>
        <w:tc>
          <w:tcPr>
            <w:tcW w:w="283" w:type="dxa"/>
            <w:shd w:val="clear" w:color="auto" w:fill="auto"/>
          </w:tcPr>
          <w:p w14:paraId="65949A6A"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4" w:type="dxa"/>
            <w:shd w:val="clear" w:color="auto" w:fill="auto"/>
          </w:tcPr>
          <w:p w14:paraId="10F4BCE3"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3" w:type="dxa"/>
            <w:shd w:val="clear" w:color="auto" w:fill="auto"/>
          </w:tcPr>
          <w:p w14:paraId="17FF04EB"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1;3</w:t>
            </w:r>
          </w:p>
        </w:tc>
        <w:tc>
          <w:tcPr>
            <w:tcW w:w="284" w:type="dxa"/>
            <w:shd w:val="clear" w:color="auto" w:fill="auto"/>
          </w:tcPr>
          <w:p w14:paraId="2D6C648B"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425" w:type="dxa"/>
            <w:shd w:val="clear" w:color="auto" w:fill="auto"/>
          </w:tcPr>
          <w:p w14:paraId="3259F2AD"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95</w:t>
            </w:r>
          </w:p>
        </w:tc>
        <w:tc>
          <w:tcPr>
            <w:tcW w:w="283" w:type="dxa"/>
            <w:shd w:val="clear" w:color="auto" w:fill="auto"/>
          </w:tcPr>
          <w:p w14:paraId="3FBFA9F2"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284" w:type="dxa"/>
            <w:shd w:val="clear" w:color="auto" w:fill="auto"/>
          </w:tcPr>
          <w:p w14:paraId="36E76D40"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425" w:type="dxa"/>
            <w:shd w:val="clear" w:color="auto" w:fill="auto"/>
          </w:tcPr>
          <w:p w14:paraId="6756FCE6" w14:textId="686ADD87" w:rsidR="00FE2BA4" w:rsidRPr="00676602" w:rsidRDefault="00C827DD"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nein</w:t>
            </w:r>
          </w:p>
        </w:tc>
        <w:tc>
          <w:tcPr>
            <w:tcW w:w="567" w:type="dxa"/>
            <w:shd w:val="clear" w:color="auto" w:fill="auto"/>
          </w:tcPr>
          <w:p w14:paraId="0F30FCCB"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T1</w:t>
            </w:r>
            <w:r w:rsidRPr="00676602">
              <w:rPr>
                <w:rFonts w:eastAsia="Calibri"/>
                <w:sz w:val="16"/>
                <w:szCs w:val="16"/>
                <w:vertAlign w:val="superscript"/>
                <w:lang w:val="de-DE"/>
              </w:rPr>
              <w:t>12)</w:t>
            </w:r>
          </w:p>
        </w:tc>
        <w:tc>
          <w:tcPr>
            <w:tcW w:w="567" w:type="dxa"/>
            <w:shd w:val="clear" w:color="auto" w:fill="auto"/>
          </w:tcPr>
          <w:p w14:paraId="655EA72C"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IIA</w:t>
            </w:r>
          </w:p>
        </w:tc>
        <w:tc>
          <w:tcPr>
            <w:tcW w:w="425" w:type="dxa"/>
            <w:shd w:val="clear" w:color="auto" w:fill="auto"/>
          </w:tcPr>
          <w:p w14:paraId="7B40425C" w14:textId="0FF6ECB1" w:rsidR="00FE2BA4" w:rsidRPr="00676602" w:rsidRDefault="00C827DD"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ja</w:t>
            </w:r>
          </w:p>
        </w:tc>
        <w:tc>
          <w:tcPr>
            <w:tcW w:w="709" w:type="dxa"/>
            <w:shd w:val="clear" w:color="auto" w:fill="auto"/>
          </w:tcPr>
          <w:p w14:paraId="6B3EBB88"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PP, EP, EX, TOX, A</w:t>
            </w:r>
          </w:p>
        </w:tc>
        <w:tc>
          <w:tcPr>
            <w:tcW w:w="284" w:type="dxa"/>
            <w:shd w:val="clear" w:color="auto" w:fill="auto"/>
          </w:tcPr>
          <w:p w14:paraId="60AD30D6"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w:t>
            </w:r>
          </w:p>
        </w:tc>
        <w:tc>
          <w:tcPr>
            <w:tcW w:w="708" w:type="dxa"/>
            <w:shd w:val="clear" w:color="auto" w:fill="auto"/>
          </w:tcPr>
          <w:p w14:paraId="6F377940"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 2; 31</w:t>
            </w:r>
          </w:p>
        </w:tc>
      </w:tr>
    </w:tbl>
    <w:p w14:paraId="58FF42B7" w14:textId="29A43CA0" w:rsidR="00FE2BA4" w:rsidRPr="00676602" w:rsidRDefault="00FE2BA4" w:rsidP="0068191A">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bookmarkStart w:id="1" w:name="_Hlk86396957"/>
      <w:r w:rsidRPr="00676602">
        <w:rPr>
          <w:sz w:val="28"/>
        </w:rPr>
        <w:tab/>
      </w:r>
      <w:r w:rsidRPr="00676602">
        <w:rPr>
          <w:b/>
          <w:bCs/>
          <w:sz w:val="28"/>
        </w:rPr>
        <w:t>III.</w:t>
      </w:r>
      <w:r w:rsidRPr="00676602">
        <w:rPr>
          <w:b/>
          <w:sz w:val="28"/>
        </w:rPr>
        <w:tab/>
      </w:r>
      <w:bookmarkEnd w:id="1"/>
      <w:r w:rsidR="0017321C" w:rsidRPr="00676602">
        <w:rPr>
          <w:b/>
          <w:sz w:val="28"/>
        </w:rPr>
        <w:t xml:space="preserve">Beförderungsbestimmungen für Ethylen, </w:t>
      </w:r>
      <w:r w:rsidR="009D41DB" w:rsidRPr="00676602">
        <w:rPr>
          <w:b/>
          <w:sz w:val="28"/>
        </w:rPr>
        <w:t>tiefg</w:t>
      </w:r>
      <w:r w:rsidR="0017321C" w:rsidRPr="00676602">
        <w:rPr>
          <w:b/>
          <w:sz w:val="28"/>
        </w:rPr>
        <w:t>ekühlt</w:t>
      </w:r>
      <w:r w:rsidR="009D41DB" w:rsidRPr="00676602">
        <w:rPr>
          <w:b/>
          <w:sz w:val="28"/>
        </w:rPr>
        <w:t>,</w:t>
      </w:r>
      <w:r w:rsidR="0017321C" w:rsidRPr="00676602">
        <w:rPr>
          <w:b/>
          <w:sz w:val="28"/>
        </w:rPr>
        <w:t xml:space="preserve"> flüssig – UN-Nr. 1038 und Methan, </w:t>
      </w:r>
      <w:r w:rsidR="00664930" w:rsidRPr="00676602">
        <w:rPr>
          <w:b/>
          <w:sz w:val="28"/>
        </w:rPr>
        <w:t>ti</w:t>
      </w:r>
      <w:r w:rsidR="0017321C" w:rsidRPr="00676602">
        <w:rPr>
          <w:b/>
          <w:sz w:val="28"/>
        </w:rPr>
        <w:t>e</w:t>
      </w:r>
      <w:r w:rsidR="00664930" w:rsidRPr="00676602">
        <w:rPr>
          <w:b/>
          <w:sz w:val="28"/>
        </w:rPr>
        <w:t>fge</w:t>
      </w:r>
      <w:r w:rsidR="0017321C" w:rsidRPr="00676602">
        <w:rPr>
          <w:b/>
          <w:sz w:val="28"/>
        </w:rPr>
        <w:t>kühlt</w:t>
      </w:r>
      <w:r w:rsidR="00664930" w:rsidRPr="00676602">
        <w:rPr>
          <w:b/>
          <w:sz w:val="28"/>
        </w:rPr>
        <w:t>,</w:t>
      </w:r>
      <w:r w:rsidR="0017321C" w:rsidRPr="00676602">
        <w:rPr>
          <w:b/>
          <w:sz w:val="28"/>
        </w:rPr>
        <w:t xml:space="preserve"> flüssig – UN-Nr.</w:t>
      </w:r>
      <w:r w:rsidR="00DF697F" w:rsidRPr="00676602">
        <w:rPr>
          <w:b/>
          <w:sz w:val="28"/>
        </w:rPr>
        <w:t> </w:t>
      </w:r>
      <w:r w:rsidR="0017321C" w:rsidRPr="00676602">
        <w:rPr>
          <w:b/>
          <w:sz w:val="28"/>
        </w:rPr>
        <w:t>1972</w:t>
      </w:r>
    </w:p>
    <w:p w14:paraId="53AF3D8C" w14:textId="17C0A6AB" w:rsidR="00FE2BA4" w:rsidRPr="00676602" w:rsidRDefault="00FE2BA4" w:rsidP="00043EED">
      <w:pPr>
        <w:widowControl/>
        <w:tabs>
          <w:tab w:val="left" w:pos="1701"/>
        </w:tabs>
        <w:suppressAutoHyphens/>
        <w:overflowPunct/>
        <w:autoSpaceDE/>
        <w:autoSpaceDN/>
        <w:adjustRightInd/>
        <w:spacing w:after="120" w:line="240" w:lineRule="atLeast"/>
        <w:ind w:right="1134" w:firstLine="0"/>
        <w:textAlignment w:val="auto"/>
        <w:rPr>
          <w:rFonts w:eastAsia="Calibri"/>
        </w:rPr>
      </w:pPr>
      <w:r w:rsidRPr="00676602">
        <w:rPr>
          <w:rFonts w:eastAsia="Calibri"/>
        </w:rPr>
        <w:t>7.</w:t>
      </w:r>
      <w:r w:rsidRPr="00676602">
        <w:rPr>
          <w:rFonts w:eastAsia="Calibri"/>
        </w:rPr>
        <w:tab/>
      </w:r>
      <w:r w:rsidR="0048599F" w:rsidRPr="00676602">
        <w:rPr>
          <w:rFonts w:eastAsia="Calibri"/>
        </w:rPr>
        <w:t>Die Beförderungsbedingungen dieser beiden entzündbaren Gase wurden in die Tabelle C des Kapitels 3.2 aufgenommen, und zwar mehr oder weniger ähnlich wie bei CO</w:t>
      </w:r>
      <w:r w:rsidR="0048599F" w:rsidRPr="00676602">
        <w:rPr>
          <w:rFonts w:eastAsia="Calibri"/>
          <w:vertAlign w:val="subscript"/>
        </w:rPr>
        <w:t>2</w:t>
      </w:r>
      <w:r w:rsidR="0048599F" w:rsidRPr="00676602">
        <w:rPr>
          <w:rFonts w:eastAsia="Calibri"/>
        </w:rPr>
        <w:t xml:space="preserve">, jedoch wurde für diese beiden Stoffe </w:t>
      </w:r>
      <w:r w:rsidR="003874C3" w:rsidRPr="00676602">
        <w:rPr>
          <w:rFonts w:eastAsia="Calibri"/>
        </w:rPr>
        <w:t xml:space="preserve">in Spalte (20) </w:t>
      </w:r>
      <w:r w:rsidR="0048599F" w:rsidRPr="00676602">
        <w:rPr>
          <w:rFonts w:eastAsia="Calibri"/>
        </w:rPr>
        <w:t xml:space="preserve">die Bemerkung </w:t>
      </w:r>
      <w:r w:rsidR="00732123" w:rsidRPr="00676602">
        <w:rPr>
          <w:rFonts w:eastAsia="Calibri"/>
        </w:rPr>
        <w:t>„</w:t>
      </w:r>
      <w:r w:rsidR="0048599F" w:rsidRPr="00676602">
        <w:rPr>
          <w:rFonts w:eastAsia="Calibri"/>
        </w:rPr>
        <w:t>42</w:t>
      </w:r>
      <w:r w:rsidR="00732123" w:rsidRPr="00676602">
        <w:rPr>
          <w:rFonts w:eastAsia="Calibri"/>
        </w:rPr>
        <w:t>“</w:t>
      </w:r>
      <w:r w:rsidR="0048599F" w:rsidRPr="00676602">
        <w:rPr>
          <w:rFonts w:eastAsia="Calibri"/>
        </w:rPr>
        <w:t xml:space="preserve"> hinzugefügt.</w:t>
      </w:r>
    </w:p>
    <w:p w14:paraId="04D90040" w14:textId="79EED266" w:rsidR="00FE2BA4" w:rsidRPr="00676602" w:rsidRDefault="00FE2BA4" w:rsidP="002F57D9">
      <w:pPr>
        <w:widowControl/>
        <w:tabs>
          <w:tab w:val="left" w:pos="1701"/>
        </w:tabs>
        <w:suppressAutoHyphens/>
        <w:overflowPunct/>
        <w:autoSpaceDE/>
        <w:autoSpaceDN/>
        <w:adjustRightInd/>
        <w:spacing w:after="120" w:line="240" w:lineRule="atLeast"/>
        <w:ind w:right="1134" w:firstLine="0"/>
        <w:textAlignment w:val="auto"/>
        <w:rPr>
          <w:rFonts w:eastAsia="Calibri"/>
        </w:rPr>
      </w:pPr>
      <w:r w:rsidRPr="00676602">
        <w:rPr>
          <w:rFonts w:eastAsia="Calibri"/>
        </w:rPr>
        <w:t>8.</w:t>
      </w:r>
      <w:r w:rsidRPr="00676602">
        <w:rPr>
          <w:rFonts w:eastAsia="Calibri"/>
        </w:rPr>
        <w:tab/>
      </w:r>
      <w:r w:rsidR="00A90B14" w:rsidRPr="00676602">
        <w:rPr>
          <w:rFonts w:eastAsia="Calibri"/>
        </w:rPr>
        <w:t>Zum gleichen Zeitpunkt wurde die UN</w:t>
      </w:r>
      <w:r w:rsidR="002F57D9" w:rsidRPr="00676602">
        <w:rPr>
          <w:rFonts w:eastAsia="Calibri"/>
        </w:rPr>
        <w:t>-Nr.</w:t>
      </w:r>
      <w:r w:rsidR="00A90B14" w:rsidRPr="00676602">
        <w:rPr>
          <w:rFonts w:eastAsia="Calibri"/>
        </w:rPr>
        <w:t xml:space="preserve"> 1972, Methan</w:t>
      </w:r>
      <w:r w:rsidR="00CA52A7" w:rsidRPr="00676602">
        <w:rPr>
          <w:rFonts w:eastAsia="Calibri"/>
        </w:rPr>
        <w:t>,</w:t>
      </w:r>
      <w:r w:rsidR="00A90B14" w:rsidRPr="00676602">
        <w:rPr>
          <w:rFonts w:eastAsia="Calibri"/>
        </w:rPr>
        <w:t xml:space="preserve"> </w:t>
      </w:r>
      <w:r w:rsidR="002F57D9" w:rsidRPr="00676602">
        <w:rPr>
          <w:rFonts w:eastAsia="Calibri"/>
        </w:rPr>
        <w:t>tief</w:t>
      </w:r>
      <w:r w:rsidR="00A90B14" w:rsidRPr="00676602">
        <w:rPr>
          <w:rFonts w:eastAsia="Calibri"/>
        </w:rPr>
        <w:t>gekühlt</w:t>
      </w:r>
      <w:r w:rsidR="00CA52A7" w:rsidRPr="00676602">
        <w:rPr>
          <w:rFonts w:eastAsia="Calibri"/>
        </w:rPr>
        <w:t>,</w:t>
      </w:r>
      <w:r w:rsidR="00A90B14" w:rsidRPr="00676602">
        <w:rPr>
          <w:rFonts w:eastAsia="Calibri"/>
        </w:rPr>
        <w:t xml:space="preserve"> flüssig (LNG), in Kapitel 3.2 Tabelle C aufgenommen.</w:t>
      </w:r>
      <w:r w:rsidRPr="00676602">
        <w:rPr>
          <w:rFonts w:eastAsia="Calibri"/>
        </w:rPr>
        <w:t xml:space="preserve"> </w:t>
      </w:r>
      <w:r w:rsidR="002F57D9" w:rsidRPr="00676602">
        <w:rPr>
          <w:rFonts w:eastAsia="Calibri"/>
        </w:rPr>
        <w:t>Die Bemerkung „42“ und der Begriff der Haltezeit gemäß Absatz 7.2.4.16.17 ADN wurden in die ADN-Fassung 2015 aufgenommen.</w:t>
      </w:r>
    </w:p>
    <w:tbl>
      <w:tblPr>
        <w:tblStyle w:val="Grilledutableau4"/>
        <w:tblW w:w="9639" w:type="dxa"/>
        <w:tblInd w:w="-5" w:type="dxa"/>
        <w:tblLayout w:type="fixed"/>
        <w:tblLook w:val="04A0" w:firstRow="1" w:lastRow="0" w:firstColumn="1" w:lastColumn="0" w:noHBand="0" w:noVBand="1"/>
      </w:tblPr>
      <w:tblGrid>
        <w:gridCol w:w="567"/>
        <w:gridCol w:w="1701"/>
        <w:gridCol w:w="284"/>
        <w:gridCol w:w="425"/>
        <w:gridCol w:w="284"/>
        <w:gridCol w:w="425"/>
        <w:gridCol w:w="283"/>
        <w:gridCol w:w="284"/>
        <w:gridCol w:w="283"/>
        <w:gridCol w:w="284"/>
        <w:gridCol w:w="283"/>
        <w:gridCol w:w="284"/>
        <w:gridCol w:w="314"/>
        <w:gridCol w:w="351"/>
        <w:gridCol w:w="469"/>
        <w:gridCol w:w="567"/>
        <w:gridCol w:w="567"/>
        <w:gridCol w:w="283"/>
        <w:gridCol w:w="709"/>
        <w:gridCol w:w="284"/>
        <w:gridCol w:w="708"/>
      </w:tblGrid>
      <w:tr w:rsidR="00FE2BA4" w:rsidRPr="00676602" w14:paraId="470F725C" w14:textId="77777777" w:rsidTr="001B445C">
        <w:trPr>
          <w:trHeight w:val="182"/>
        </w:trPr>
        <w:tc>
          <w:tcPr>
            <w:tcW w:w="567" w:type="dxa"/>
            <w:shd w:val="clear" w:color="auto" w:fill="auto"/>
          </w:tcPr>
          <w:p w14:paraId="13EB494E"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1038</w:t>
            </w:r>
          </w:p>
        </w:tc>
        <w:tc>
          <w:tcPr>
            <w:tcW w:w="1701" w:type="dxa"/>
            <w:shd w:val="clear" w:color="auto" w:fill="auto"/>
          </w:tcPr>
          <w:p w14:paraId="4467F5B3" w14:textId="2C249F8B" w:rsidR="00FE2BA4" w:rsidRPr="00676602" w:rsidRDefault="00F5316B"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ETHYLEN, TIEFGEKÜHLT, FLÜSSIG</w:t>
            </w:r>
          </w:p>
        </w:tc>
        <w:tc>
          <w:tcPr>
            <w:tcW w:w="284" w:type="dxa"/>
            <w:shd w:val="clear" w:color="auto" w:fill="auto"/>
          </w:tcPr>
          <w:p w14:paraId="6349AEFD"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2</w:t>
            </w:r>
          </w:p>
        </w:tc>
        <w:tc>
          <w:tcPr>
            <w:tcW w:w="425" w:type="dxa"/>
            <w:shd w:val="clear" w:color="auto" w:fill="auto"/>
          </w:tcPr>
          <w:p w14:paraId="1CCB0D62"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3F</w:t>
            </w:r>
          </w:p>
        </w:tc>
        <w:tc>
          <w:tcPr>
            <w:tcW w:w="284" w:type="dxa"/>
            <w:shd w:val="clear" w:color="auto" w:fill="auto"/>
          </w:tcPr>
          <w:p w14:paraId="34CD2A8A"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p>
        </w:tc>
        <w:tc>
          <w:tcPr>
            <w:tcW w:w="425" w:type="dxa"/>
            <w:shd w:val="clear" w:color="auto" w:fill="auto"/>
          </w:tcPr>
          <w:p w14:paraId="3DE5C3FA"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2.1</w:t>
            </w:r>
          </w:p>
        </w:tc>
        <w:tc>
          <w:tcPr>
            <w:tcW w:w="283" w:type="dxa"/>
            <w:shd w:val="clear" w:color="auto" w:fill="auto"/>
          </w:tcPr>
          <w:p w14:paraId="329C317A"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G</w:t>
            </w:r>
          </w:p>
        </w:tc>
        <w:tc>
          <w:tcPr>
            <w:tcW w:w="284" w:type="dxa"/>
            <w:shd w:val="clear" w:color="auto" w:fill="auto"/>
          </w:tcPr>
          <w:p w14:paraId="2D22DF20"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1</w:t>
            </w:r>
          </w:p>
        </w:tc>
        <w:tc>
          <w:tcPr>
            <w:tcW w:w="283" w:type="dxa"/>
            <w:shd w:val="clear" w:color="auto" w:fill="auto"/>
          </w:tcPr>
          <w:p w14:paraId="2DD6A53E"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1</w:t>
            </w:r>
          </w:p>
        </w:tc>
        <w:tc>
          <w:tcPr>
            <w:tcW w:w="284" w:type="dxa"/>
            <w:shd w:val="clear" w:color="auto" w:fill="auto"/>
          </w:tcPr>
          <w:p w14:paraId="1E8E1477"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1</w:t>
            </w:r>
          </w:p>
        </w:tc>
        <w:tc>
          <w:tcPr>
            <w:tcW w:w="283" w:type="dxa"/>
            <w:shd w:val="clear" w:color="auto" w:fill="auto"/>
          </w:tcPr>
          <w:p w14:paraId="4BB3E402"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p>
        </w:tc>
        <w:tc>
          <w:tcPr>
            <w:tcW w:w="284" w:type="dxa"/>
            <w:shd w:val="clear" w:color="auto" w:fill="auto"/>
          </w:tcPr>
          <w:p w14:paraId="4F3F0534"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95</w:t>
            </w:r>
          </w:p>
        </w:tc>
        <w:tc>
          <w:tcPr>
            <w:tcW w:w="314" w:type="dxa"/>
            <w:shd w:val="clear" w:color="auto" w:fill="auto"/>
          </w:tcPr>
          <w:p w14:paraId="3FB78BFC"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p>
        </w:tc>
        <w:tc>
          <w:tcPr>
            <w:tcW w:w="351" w:type="dxa"/>
            <w:shd w:val="clear" w:color="auto" w:fill="auto"/>
          </w:tcPr>
          <w:p w14:paraId="7F821231"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1</w:t>
            </w:r>
          </w:p>
        </w:tc>
        <w:tc>
          <w:tcPr>
            <w:tcW w:w="469" w:type="dxa"/>
            <w:shd w:val="clear" w:color="auto" w:fill="auto"/>
          </w:tcPr>
          <w:p w14:paraId="3C00E53A" w14:textId="6F79F281" w:rsidR="00FE2BA4" w:rsidRPr="00676602" w:rsidRDefault="00C827DD"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nein</w:t>
            </w:r>
          </w:p>
        </w:tc>
        <w:tc>
          <w:tcPr>
            <w:tcW w:w="567" w:type="dxa"/>
            <w:shd w:val="clear" w:color="auto" w:fill="auto"/>
          </w:tcPr>
          <w:p w14:paraId="0966ACA1"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T1</w:t>
            </w:r>
            <w:r w:rsidRPr="00676602">
              <w:rPr>
                <w:rFonts w:eastAsia="Calibri"/>
                <w:sz w:val="16"/>
                <w:szCs w:val="16"/>
                <w:vertAlign w:val="superscript"/>
                <w:lang w:val="de-DE"/>
              </w:rPr>
              <w:t>12)</w:t>
            </w:r>
          </w:p>
        </w:tc>
        <w:tc>
          <w:tcPr>
            <w:tcW w:w="567" w:type="dxa"/>
            <w:shd w:val="clear" w:color="auto" w:fill="auto"/>
          </w:tcPr>
          <w:p w14:paraId="42F945B3"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IIB (IIB3)</w:t>
            </w:r>
          </w:p>
        </w:tc>
        <w:tc>
          <w:tcPr>
            <w:tcW w:w="283" w:type="dxa"/>
            <w:shd w:val="clear" w:color="auto" w:fill="auto"/>
          </w:tcPr>
          <w:p w14:paraId="6FF3BA1E" w14:textId="46FE75B4" w:rsidR="00FE2BA4" w:rsidRPr="00676602" w:rsidRDefault="00C827DD"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ja</w:t>
            </w:r>
          </w:p>
        </w:tc>
        <w:tc>
          <w:tcPr>
            <w:tcW w:w="709" w:type="dxa"/>
            <w:shd w:val="clear" w:color="auto" w:fill="auto"/>
          </w:tcPr>
          <w:p w14:paraId="743805C9"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PP, EX, A</w:t>
            </w:r>
          </w:p>
        </w:tc>
        <w:tc>
          <w:tcPr>
            <w:tcW w:w="284" w:type="dxa"/>
            <w:shd w:val="clear" w:color="auto" w:fill="auto"/>
          </w:tcPr>
          <w:p w14:paraId="2442D7A6"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1</w:t>
            </w:r>
          </w:p>
        </w:tc>
        <w:tc>
          <w:tcPr>
            <w:tcW w:w="708" w:type="dxa"/>
            <w:shd w:val="clear" w:color="auto" w:fill="auto"/>
          </w:tcPr>
          <w:p w14:paraId="3357B6E0" w14:textId="77777777" w:rsidR="00FE2BA4" w:rsidRPr="00676602" w:rsidRDefault="00FE2BA4" w:rsidP="00FE2BA4">
            <w:pPr>
              <w:widowControl/>
              <w:overflowPunct/>
              <w:autoSpaceDE/>
              <w:autoSpaceDN/>
              <w:adjustRightInd/>
              <w:spacing w:before="80" w:after="80" w:line="200" w:lineRule="exact"/>
              <w:ind w:left="0" w:right="113" w:firstLine="0"/>
              <w:jc w:val="center"/>
              <w:textAlignment w:val="auto"/>
              <w:rPr>
                <w:rFonts w:eastAsia="Calibri"/>
                <w:iCs/>
                <w:sz w:val="16"/>
                <w:szCs w:val="16"/>
                <w:lang w:val="de-DE"/>
              </w:rPr>
            </w:pPr>
            <w:r w:rsidRPr="00676602">
              <w:rPr>
                <w:rFonts w:eastAsia="Calibri"/>
                <w:sz w:val="16"/>
                <w:szCs w:val="16"/>
                <w:lang w:val="de-DE"/>
              </w:rPr>
              <w:t>2; 31; 42</w:t>
            </w:r>
          </w:p>
        </w:tc>
      </w:tr>
      <w:tr w:rsidR="00FE2BA4" w:rsidRPr="00676602" w14:paraId="490A79AC" w14:textId="77777777" w:rsidTr="001B445C">
        <w:tc>
          <w:tcPr>
            <w:tcW w:w="567" w:type="dxa"/>
            <w:shd w:val="clear" w:color="auto" w:fill="auto"/>
          </w:tcPr>
          <w:p w14:paraId="36A31C19"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1972</w:t>
            </w:r>
          </w:p>
        </w:tc>
        <w:tc>
          <w:tcPr>
            <w:tcW w:w="1701" w:type="dxa"/>
            <w:shd w:val="clear" w:color="auto" w:fill="auto"/>
          </w:tcPr>
          <w:p w14:paraId="2A79BB68" w14:textId="4801E69C" w:rsidR="00FE2BA4" w:rsidRPr="00676602" w:rsidRDefault="00F5316B" w:rsidP="001B445C">
            <w:pPr>
              <w:widowControl/>
              <w:overflowPunct/>
              <w:autoSpaceDE/>
              <w:autoSpaceDN/>
              <w:adjustRightInd/>
              <w:spacing w:before="40" w:after="40" w:line="240" w:lineRule="auto"/>
              <w:ind w:left="0" w:right="113" w:firstLine="0"/>
              <w:jc w:val="center"/>
              <w:textAlignment w:val="auto"/>
              <w:rPr>
                <w:rFonts w:eastAsia="Calibri"/>
                <w:sz w:val="16"/>
                <w:szCs w:val="16"/>
                <w:lang w:val="de-DE"/>
              </w:rPr>
            </w:pPr>
            <w:r w:rsidRPr="00676602">
              <w:rPr>
                <w:rFonts w:eastAsia="Calibri"/>
                <w:sz w:val="16"/>
                <w:szCs w:val="16"/>
                <w:lang w:val="de-DE"/>
              </w:rPr>
              <w:t>METHAN, TIEFGEKÜHLT, FLÜSSIG oder ERDGAS, TIEFGEKÜHLT, FLÜSSIG, mit hohem Methangehalt</w:t>
            </w:r>
          </w:p>
        </w:tc>
        <w:tc>
          <w:tcPr>
            <w:tcW w:w="284" w:type="dxa"/>
            <w:shd w:val="clear" w:color="auto" w:fill="auto"/>
          </w:tcPr>
          <w:p w14:paraId="1B1753D5"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w:t>
            </w:r>
          </w:p>
        </w:tc>
        <w:tc>
          <w:tcPr>
            <w:tcW w:w="425" w:type="dxa"/>
            <w:shd w:val="clear" w:color="auto" w:fill="auto"/>
          </w:tcPr>
          <w:p w14:paraId="68F7DE0E"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3F</w:t>
            </w:r>
          </w:p>
        </w:tc>
        <w:tc>
          <w:tcPr>
            <w:tcW w:w="284" w:type="dxa"/>
            <w:shd w:val="clear" w:color="auto" w:fill="auto"/>
          </w:tcPr>
          <w:p w14:paraId="080EAA76"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425" w:type="dxa"/>
            <w:shd w:val="clear" w:color="auto" w:fill="auto"/>
          </w:tcPr>
          <w:p w14:paraId="35AE2F82"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2.1</w:t>
            </w:r>
          </w:p>
        </w:tc>
        <w:tc>
          <w:tcPr>
            <w:tcW w:w="283" w:type="dxa"/>
            <w:shd w:val="clear" w:color="auto" w:fill="auto"/>
          </w:tcPr>
          <w:p w14:paraId="7661625E"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G</w:t>
            </w:r>
          </w:p>
        </w:tc>
        <w:tc>
          <w:tcPr>
            <w:tcW w:w="284" w:type="dxa"/>
            <w:shd w:val="clear" w:color="auto" w:fill="auto"/>
          </w:tcPr>
          <w:p w14:paraId="1107AFAE"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3" w:type="dxa"/>
            <w:shd w:val="clear" w:color="auto" w:fill="auto"/>
          </w:tcPr>
          <w:p w14:paraId="6EEB5FAE"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4" w:type="dxa"/>
            <w:shd w:val="clear" w:color="auto" w:fill="auto"/>
          </w:tcPr>
          <w:p w14:paraId="56C27C43"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283" w:type="dxa"/>
            <w:shd w:val="clear" w:color="auto" w:fill="auto"/>
          </w:tcPr>
          <w:p w14:paraId="7E25FF76"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284" w:type="dxa"/>
            <w:shd w:val="clear" w:color="auto" w:fill="auto"/>
          </w:tcPr>
          <w:p w14:paraId="12C64C01"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95</w:t>
            </w:r>
          </w:p>
        </w:tc>
        <w:tc>
          <w:tcPr>
            <w:tcW w:w="314" w:type="dxa"/>
            <w:shd w:val="clear" w:color="auto" w:fill="auto"/>
          </w:tcPr>
          <w:p w14:paraId="5C5E78D6"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p>
        </w:tc>
        <w:tc>
          <w:tcPr>
            <w:tcW w:w="351" w:type="dxa"/>
            <w:shd w:val="clear" w:color="auto" w:fill="auto"/>
          </w:tcPr>
          <w:p w14:paraId="2F4E859B"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469" w:type="dxa"/>
            <w:shd w:val="clear" w:color="auto" w:fill="auto"/>
          </w:tcPr>
          <w:p w14:paraId="7268594E" w14:textId="6BFF8655" w:rsidR="00FE2BA4" w:rsidRPr="00676602" w:rsidRDefault="00C827DD"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nein</w:t>
            </w:r>
          </w:p>
        </w:tc>
        <w:tc>
          <w:tcPr>
            <w:tcW w:w="567" w:type="dxa"/>
            <w:shd w:val="clear" w:color="auto" w:fill="auto"/>
          </w:tcPr>
          <w:p w14:paraId="283708E9"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T1</w:t>
            </w:r>
            <w:r w:rsidRPr="00676602">
              <w:rPr>
                <w:rFonts w:eastAsia="Calibri"/>
                <w:sz w:val="16"/>
                <w:szCs w:val="16"/>
                <w:vertAlign w:val="superscript"/>
                <w:lang w:val="de-DE"/>
              </w:rPr>
              <w:t>12)</w:t>
            </w:r>
          </w:p>
        </w:tc>
        <w:tc>
          <w:tcPr>
            <w:tcW w:w="567" w:type="dxa"/>
            <w:shd w:val="clear" w:color="auto" w:fill="auto"/>
          </w:tcPr>
          <w:p w14:paraId="625DAAFC"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IIA</w:t>
            </w:r>
          </w:p>
        </w:tc>
        <w:tc>
          <w:tcPr>
            <w:tcW w:w="283" w:type="dxa"/>
            <w:shd w:val="clear" w:color="auto" w:fill="auto"/>
          </w:tcPr>
          <w:p w14:paraId="3E75654E" w14:textId="6D964BBA" w:rsidR="00FE2BA4" w:rsidRPr="00676602" w:rsidRDefault="00C827DD"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ja</w:t>
            </w:r>
          </w:p>
        </w:tc>
        <w:tc>
          <w:tcPr>
            <w:tcW w:w="709" w:type="dxa"/>
            <w:shd w:val="clear" w:color="auto" w:fill="auto"/>
          </w:tcPr>
          <w:p w14:paraId="38BC406C"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PP, EX, A</w:t>
            </w:r>
          </w:p>
        </w:tc>
        <w:tc>
          <w:tcPr>
            <w:tcW w:w="284" w:type="dxa"/>
            <w:shd w:val="clear" w:color="auto" w:fill="auto"/>
          </w:tcPr>
          <w:p w14:paraId="290035F8"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1</w:t>
            </w:r>
          </w:p>
        </w:tc>
        <w:tc>
          <w:tcPr>
            <w:tcW w:w="708" w:type="dxa"/>
            <w:shd w:val="clear" w:color="auto" w:fill="auto"/>
          </w:tcPr>
          <w:p w14:paraId="0823308E" w14:textId="77777777" w:rsidR="00FE2BA4" w:rsidRPr="00676602" w:rsidRDefault="00FE2BA4" w:rsidP="00FE2BA4">
            <w:pPr>
              <w:widowControl/>
              <w:overflowPunct/>
              <w:autoSpaceDE/>
              <w:autoSpaceDN/>
              <w:adjustRightInd/>
              <w:spacing w:before="40" w:after="120"/>
              <w:ind w:left="0" w:right="113" w:firstLine="0"/>
              <w:jc w:val="center"/>
              <w:textAlignment w:val="auto"/>
              <w:rPr>
                <w:rFonts w:eastAsia="Calibri"/>
                <w:sz w:val="16"/>
                <w:szCs w:val="16"/>
                <w:lang w:val="de-DE"/>
              </w:rPr>
            </w:pPr>
            <w:r w:rsidRPr="00676602">
              <w:rPr>
                <w:rFonts w:eastAsia="Calibri"/>
                <w:sz w:val="16"/>
                <w:szCs w:val="16"/>
                <w:lang w:val="de-DE"/>
              </w:rPr>
              <w:t>2; 31; 42</w:t>
            </w:r>
          </w:p>
        </w:tc>
      </w:tr>
    </w:tbl>
    <w:p w14:paraId="31EA9D44" w14:textId="6297DE88" w:rsidR="00FE2BA4" w:rsidRPr="00676602" w:rsidRDefault="00FE2BA4" w:rsidP="002A37C7">
      <w:pPr>
        <w:widowControl/>
        <w:tabs>
          <w:tab w:val="left" w:pos="1701"/>
        </w:tabs>
        <w:suppressAutoHyphens/>
        <w:overflowPunct/>
        <w:autoSpaceDE/>
        <w:autoSpaceDN/>
        <w:adjustRightInd/>
        <w:spacing w:before="240" w:after="120" w:line="240" w:lineRule="atLeast"/>
        <w:ind w:right="1134" w:firstLine="0"/>
        <w:textAlignment w:val="auto"/>
        <w:rPr>
          <w:rFonts w:eastAsia="Calibri"/>
        </w:rPr>
      </w:pPr>
      <w:r w:rsidRPr="00676602">
        <w:rPr>
          <w:rFonts w:eastAsia="Calibri"/>
        </w:rPr>
        <w:t>9.</w:t>
      </w:r>
      <w:r w:rsidRPr="00676602">
        <w:rPr>
          <w:rFonts w:eastAsia="Calibri"/>
        </w:rPr>
        <w:tab/>
      </w:r>
      <w:r w:rsidR="00D56235" w:rsidRPr="00676602">
        <w:rPr>
          <w:rFonts w:eastAsia="Calibri"/>
        </w:rPr>
        <w:t>Die B</w:t>
      </w:r>
      <w:r w:rsidR="008444B4" w:rsidRPr="00676602">
        <w:rPr>
          <w:rFonts w:eastAsia="Calibri"/>
        </w:rPr>
        <w:t>emerkung „42“ be</w:t>
      </w:r>
      <w:r w:rsidR="002A37C7" w:rsidRPr="00676602">
        <w:rPr>
          <w:rFonts w:eastAsia="Calibri"/>
        </w:rPr>
        <w:t>sagt</w:t>
      </w:r>
      <w:r w:rsidR="008444B4" w:rsidRPr="00676602">
        <w:rPr>
          <w:rFonts w:eastAsia="Calibri"/>
        </w:rPr>
        <w:t>, dass für diese Stoffe keine Kühlanlage erforderlich ist, solange die Haltezeit in Bezug auf die Temperaturerhöhung und das Ansprechen gewährleistet und ausreichend ist.</w:t>
      </w:r>
      <w:r w:rsidRPr="00676602">
        <w:rPr>
          <w:rFonts w:eastAsia="Calibri"/>
        </w:rPr>
        <w:t xml:space="preserve"> </w:t>
      </w:r>
    </w:p>
    <w:p w14:paraId="10A0151E" w14:textId="43F69EB1" w:rsidR="00FE2BA4" w:rsidRPr="00676602" w:rsidRDefault="00FE2BA4" w:rsidP="00253CF5">
      <w:pPr>
        <w:keepNext/>
        <w:keepLines/>
        <w:widowControl/>
        <w:tabs>
          <w:tab w:val="right" w:pos="851"/>
          <w:tab w:val="left" w:pos="1701"/>
        </w:tabs>
        <w:suppressAutoHyphens/>
        <w:overflowPunct/>
        <w:autoSpaceDE/>
        <w:autoSpaceDN/>
        <w:adjustRightInd/>
        <w:spacing w:before="360" w:after="240" w:line="270" w:lineRule="exact"/>
        <w:ind w:right="1134"/>
        <w:jc w:val="left"/>
        <w:textAlignment w:val="auto"/>
        <w:rPr>
          <w:rFonts w:eastAsia="Calibri"/>
          <w:b/>
          <w:sz w:val="24"/>
        </w:rPr>
      </w:pPr>
      <w:r w:rsidRPr="00676602">
        <w:rPr>
          <w:rFonts w:eastAsia="Calibri"/>
          <w:b/>
          <w:sz w:val="24"/>
        </w:rPr>
        <w:tab/>
      </w:r>
      <w:r w:rsidRPr="00676602">
        <w:rPr>
          <w:rFonts w:eastAsia="Calibri"/>
          <w:b/>
          <w:sz w:val="24"/>
        </w:rPr>
        <w:tab/>
      </w:r>
      <w:r w:rsidR="006B1892" w:rsidRPr="00676602">
        <w:rPr>
          <w:rFonts w:eastAsia="Calibri"/>
          <w:b/>
          <w:sz w:val="24"/>
        </w:rPr>
        <w:t>Klassifizierung</w:t>
      </w:r>
    </w:p>
    <w:p w14:paraId="6856EA73" w14:textId="5B18D4B5" w:rsidR="00FE2BA4" w:rsidRPr="00676602" w:rsidRDefault="00FE2BA4" w:rsidP="00D56235">
      <w:pPr>
        <w:widowControl/>
        <w:tabs>
          <w:tab w:val="left" w:pos="1701"/>
        </w:tabs>
        <w:suppressAutoHyphens/>
        <w:overflowPunct/>
        <w:autoSpaceDE/>
        <w:autoSpaceDN/>
        <w:adjustRightInd/>
        <w:spacing w:after="120" w:line="240" w:lineRule="atLeast"/>
        <w:ind w:right="1134" w:firstLine="0"/>
        <w:textAlignment w:val="auto"/>
        <w:rPr>
          <w:rFonts w:eastAsia="Calibri"/>
        </w:rPr>
      </w:pPr>
      <w:r w:rsidRPr="00676602">
        <w:rPr>
          <w:rFonts w:eastAsia="Calibri"/>
        </w:rPr>
        <w:t>10.</w:t>
      </w:r>
      <w:r w:rsidRPr="00676602">
        <w:rPr>
          <w:rFonts w:eastAsia="Calibri"/>
        </w:rPr>
        <w:tab/>
      </w:r>
      <w:r w:rsidR="00586A79" w:rsidRPr="00676602">
        <w:rPr>
          <w:rFonts w:eastAsia="Calibri"/>
        </w:rPr>
        <w:t>Ethylen (UN</w:t>
      </w:r>
      <w:r w:rsidR="00FB1D05" w:rsidRPr="00676602">
        <w:rPr>
          <w:rFonts w:eastAsia="Calibri"/>
        </w:rPr>
        <w:t>-Nr.</w:t>
      </w:r>
      <w:r w:rsidR="00586A79" w:rsidRPr="00676602">
        <w:rPr>
          <w:rFonts w:eastAsia="Calibri"/>
        </w:rPr>
        <w:t xml:space="preserve"> 1038) und Methan (UN</w:t>
      </w:r>
      <w:r w:rsidR="00FB1D05" w:rsidRPr="00676602">
        <w:rPr>
          <w:rFonts w:eastAsia="Calibri"/>
        </w:rPr>
        <w:t>-Nr.</w:t>
      </w:r>
      <w:r w:rsidR="00586A79" w:rsidRPr="00676602">
        <w:rPr>
          <w:rFonts w:eastAsia="Calibri"/>
        </w:rPr>
        <w:t xml:space="preserve"> 1972) werden als 2.1 3F-Gase eingestuft, d. h. als tiefgekühlte entzünd</w:t>
      </w:r>
      <w:r w:rsidR="00827ECE" w:rsidRPr="00676602">
        <w:rPr>
          <w:rFonts w:eastAsia="Calibri"/>
        </w:rPr>
        <w:t>bar</w:t>
      </w:r>
      <w:r w:rsidR="00586A79" w:rsidRPr="00676602">
        <w:rPr>
          <w:rFonts w:eastAsia="Calibri"/>
        </w:rPr>
        <w:t>e Gase.</w:t>
      </w:r>
      <w:r w:rsidRPr="00676602">
        <w:rPr>
          <w:rFonts w:eastAsia="Calibri"/>
        </w:rPr>
        <w:t xml:space="preserve"> </w:t>
      </w:r>
      <w:r w:rsidR="005B0D38" w:rsidRPr="00676602">
        <w:rPr>
          <w:rFonts w:eastAsia="Calibri"/>
        </w:rPr>
        <w:t>Kohlendioxid (UN-Nr. 2187) ist als 2.2 3A-Gas eingestuft, d.</w:t>
      </w:r>
      <w:r w:rsidR="00257810" w:rsidRPr="00676602">
        <w:rPr>
          <w:rFonts w:eastAsia="Calibri"/>
        </w:rPr>
        <w:t> </w:t>
      </w:r>
      <w:r w:rsidR="005B0D38" w:rsidRPr="00676602">
        <w:rPr>
          <w:rFonts w:eastAsia="Calibri"/>
        </w:rPr>
        <w:t>h. als tiefgekühltes erstickendes Gas.</w:t>
      </w:r>
      <w:r w:rsidRPr="00676602">
        <w:rPr>
          <w:rFonts w:eastAsia="Calibri"/>
        </w:rPr>
        <w:t xml:space="preserve"> </w:t>
      </w:r>
      <w:r w:rsidR="00F72EAD" w:rsidRPr="00676602">
        <w:rPr>
          <w:rFonts w:eastAsia="Calibri"/>
        </w:rPr>
        <w:t xml:space="preserve">Nach der </w:t>
      </w:r>
      <w:r w:rsidR="00BC2658" w:rsidRPr="00676602">
        <w:rPr>
          <w:rFonts w:eastAsia="Calibri"/>
        </w:rPr>
        <w:t>Klassif</w:t>
      </w:r>
      <w:r w:rsidR="00AC5D66" w:rsidRPr="00676602">
        <w:rPr>
          <w:rFonts w:eastAsia="Calibri"/>
        </w:rPr>
        <w:t>i</w:t>
      </w:r>
      <w:r w:rsidR="00BC2658" w:rsidRPr="00676602">
        <w:rPr>
          <w:rFonts w:eastAsia="Calibri"/>
        </w:rPr>
        <w:t>zieru</w:t>
      </w:r>
      <w:r w:rsidR="000E6257" w:rsidRPr="00676602">
        <w:rPr>
          <w:rFonts w:eastAsia="Calibri"/>
        </w:rPr>
        <w:t>ngs</w:t>
      </w:r>
      <w:r w:rsidR="00B46A3B" w:rsidRPr="00676602">
        <w:rPr>
          <w:rFonts w:eastAsia="Calibri"/>
        </w:rPr>
        <w:softHyphen/>
      </w:r>
      <w:r w:rsidR="00F72EAD" w:rsidRPr="00676602">
        <w:rPr>
          <w:rFonts w:eastAsia="Calibri"/>
        </w:rPr>
        <w:t xml:space="preserve">hierarchie des Absatzes 2.2.2.1.3 haben die mit dem Buchstaben F bezeichneten Gruppen </w:t>
      </w:r>
      <w:proofErr w:type="gramStart"/>
      <w:r w:rsidR="00F72EAD" w:rsidRPr="00676602">
        <w:rPr>
          <w:rFonts w:eastAsia="Calibri"/>
        </w:rPr>
        <w:t>Vorrang</w:t>
      </w:r>
      <w:proofErr w:type="gramEnd"/>
      <w:r w:rsidR="00F72EAD" w:rsidRPr="00676602">
        <w:rPr>
          <w:rFonts w:eastAsia="Calibri"/>
        </w:rPr>
        <w:t xml:space="preserve"> vor den mit dem Buchstaben A oder O bezeichneten Gruppen.</w:t>
      </w:r>
    </w:p>
    <w:p w14:paraId="2693C02B" w14:textId="7D833436" w:rsidR="007863A3" w:rsidRPr="00676602" w:rsidRDefault="00FE2BA4" w:rsidP="00D56235">
      <w:pPr>
        <w:widowControl/>
        <w:tabs>
          <w:tab w:val="left" w:pos="1701"/>
        </w:tabs>
        <w:suppressAutoHyphens/>
        <w:overflowPunct/>
        <w:autoSpaceDE/>
        <w:autoSpaceDN/>
        <w:adjustRightInd/>
        <w:spacing w:after="120" w:line="240" w:lineRule="atLeast"/>
        <w:ind w:right="1134" w:firstLine="0"/>
        <w:textAlignment w:val="auto"/>
        <w:rPr>
          <w:rFonts w:eastAsia="Calibri"/>
        </w:rPr>
      </w:pPr>
      <w:r w:rsidRPr="00676602">
        <w:rPr>
          <w:rFonts w:eastAsia="Calibri"/>
        </w:rPr>
        <w:t>11.</w:t>
      </w:r>
      <w:r w:rsidRPr="00676602">
        <w:rPr>
          <w:rFonts w:eastAsia="Calibri"/>
        </w:rPr>
        <w:tab/>
      </w:r>
      <w:r w:rsidR="001F2E59" w:rsidRPr="00676602">
        <w:rPr>
          <w:rFonts w:eastAsia="Calibri"/>
        </w:rPr>
        <w:t>Auf der Grundlage der Klassifizierungsgruppe steht CO</w:t>
      </w:r>
      <w:r w:rsidR="001F2E59" w:rsidRPr="00676602">
        <w:rPr>
          <w:rFonts w:eastAsia="Calibri"/>
          <w:vertAlign w:val="subscript"/>
        </w:rPr>
        <w:t>2</w:t>
      </w:r>
      <w:r w:rsidR="001F2E59" w:rsidRPr="00676602">
        <w:rPr>
          <w:rFonts w:eastAsia="Calibri"/>
        </w:rPr>
        <w:t xml:space="preserve"> in einer niedrigeren Hierarchie als Ethylen und Methan.</w:t>
      </w:r>
      <w:r w:rsidRPr="00676602">
        <w:rPr>
          <w:rFonts w:eastAsia="Calibri"/>
        </w:rPr>
        <w:t xml:space="preserve"> </w:t>
      </w:r>
      <w:r w:rsidR="003D66BC" w:rsidRPr="00676602">
        <w:rPr>
          <w:rFonts w:eastAsia="Calibri"/>
        </w:rPr>
        <w:t>Obwohl CO</w:t>
      </w:r>
      <w:r w:rsidR="003D66BC" w:rsidRPr="00676602">
        <w:rPr>
          <w:rFonts w:eastAsia="Calibri"/>
          <w:vertAlign w:val="subscript"/>
        </w:rPr>
        <w:t>2</w:t>
      </w:r>
      <w:r w:rsidR="003D66BC" w:rsidRPr="00676602">
        <w:rPr>
          <w:rFonts w:eastAsia="Calibri"/>
        </w:rPr>
        <w:t xml:space="preserve"> und Ethylen </w:t>
      </w:r>
      <w:r w:rsidR="003F489E" w:rsidRPr="00676602">
        <w:rPr>
          <w:rFonts w:eastAsia="Calibri"/>
        </w:rPr>
        <w:t xml:space="preserve">2015 </w:t>
      </w:r>
      <w:r w:rsidR="003D66BC" w:rsidRPr="00676602">
        <w:rPr>
          <w:rFonts w:eastAsia="Calibri"/>
        </w:rPr>
        <w:t>in Kapitel 3.2 Tabelle C</w:t>
      </w:r>
      <w:r w:rsidR="003F489E" w:rsidRPr="00676602">
        <w:rPr>
          <w:rFonts w:eastAsia="Calibri"/>
        </w:rPr>
        <w:t xml:space="preserve"> bereits </w:t>
      </w:r>
      <w:r w:rsidR="003D66BC" w:rsidRPr="00676602">
        <w:rPr>
          <w:rFonts w:eastAsia="Calibri"/>
        </w:rPr>
        <w:t>enthalten waren, wurde Anmerkung 42 nur für Ethylen hinzugefügt.</w:t>
      </w:r>
      <w:r w:rsidRPr="00676602">
        <w:rPr>
          <w:rFonts w:eastAsia="Calibri"/>
        </w:rPr>
        <w:t xml:space="preserve"> </w:t>
      </w:r>
      <w:r w:rsidR="00365CD7" w:rsidRPr="00676602">
        <w:rPr>
          <w:rFonts w:eastAsia="Calibri"/>
        </w:rPr>
        <w:t>Der Eintrag für CO</w:t>
      </w:r>
      <w:r w:rsidR="00365CD7" w:rsidRPr="00676602">
        <w:rPr>
          <w:rFonts w:eastAsia="Calibri"/>
          <w:vertAlign w:val="subscript"/>
        </w:rPr>
        <w:t>2</w:t>
      </w:r>
      <w:r w:rsidR="00365CD7" w:rsidRPr="00676602">
        <w:rPr>
          <w:rFonts w:eastAsia="Calibri"/>
        </w:rPr>
        <w:t xml:space="preserve"> wurde also nicht entsprechend geändert.</w:t>
      </w:r>
      <w:r w:rsidR="007863A3" w:rsidRPr="00676602">
        <w:rPr>
          <w:rFonts w:eastAsia="Calibri"/>
        </w:rPr>
        <w:t xml:space="preserve"> </w:t>
      </w:r>
      <w:r w:rsidR="00365CD7" w:rsidRPr="00676602">
        <w:rPr>
          <w:rFonts w:eastAsia="Calibri"/>
        </w:rPr>
        <w:t>Angesichts der festgestellten Risiken und der Einstufung dieser drei tiefgekühlten Stoffe könnte es sein, dass CO</w:t>
      </w:r>
      <w:r w:rsidR="00365CD7" w:rsidRPr="00676602">
        <w:rPr>
          <w:rFonts w:eastAsia="Calibri"/>
          <w:vertAlign w:val="subscript"/>
        </w:rPr>
        <w:t>2</w:t>
      </w:r>
      <w:r w:rsidR="00365CD7" w:rsidRPr="00676602">
        <w:rPr>
          <w:rFonts w:eastAsia="Calibri"/>
        </w:rPr>
        <w:t xml:space="preserve"> bei der </w:t>
      </w:r>
      <w:r w:rsidR="006B1892" w:rsidRPr="00676602">
        <w:rPr>
          <w:rFonts w:eastAsia="Calibri"/>
        </w:rPr>
        <w:t>Aufnahme</w:t>
      </w:r>
      <w:r w:rsidR="00365CD7" w:rsidRPr="00676602">
        <w:rPr>
          <w:rFonts w:eastAsia="Calibri"/>
        </w:rPr>
        <w:t xml:space="preserve"> </w:t>
      </w:r>
      <w:r w:rsidR="005C1865" w:rsidRPr="00676602">
        <w:rPr>
          <w:rFonts w:eastAsia="Calibri"/>
        </w:rPr>
        <w:t>der</w:t>
      </w:r>
      <w:r w:rsidR="00365CD7" w:rsidRPr="00676602">
        <w:rPr>
          <w:rFonts w:eastAsia="Calibri"/>
        </w:rPr>
        <w:t xml:space="preserve"> Bemerkung 42 übersehen wurde.</w:t>
      </w:r>
    </w:p>
    <w:p w14:paraId="1D65C993" w14:textId="1F44C00E" w:rsidR="00FE2BA4" w:rsidRPr="00676602" w:rsidRDefault="00FE2BA4" w:rsidP="007863A3">
      <w:pPr>
        <w:widowControl/>
        <w:tabs>
          <w:tab w:val="left" w:pos="1701"/>
        </w:tabs>
        <w:suppressAutoHyphens/>
        <w:overflowPunct/>
        <w:autoSpaceDE/>
        <w:autoSpaceDN/>
        <w:adjustRightInd/>
        <w:spacing w:line="240" w:lineRule="atLeast"/>
        <w:ind w:right="1134" w:firstLine="0"/>
        <w:textAlignment w:val="auto"/>
        <w:rPr>
          <w:rFonts w:eastAsia="Calibri"/>
        </w:rPr>
      </w:pPr>
      <w:r w:rsidRPr="00676602">
        <w:rPr>
          <w:rFonts w:eastAsia="Calibri"/>
        </w:rPr>
        <w:t>12.</w:t>
      </w:r>
      <w:r w:rsidRPr="00676602">
        <w:rPr>
          <w:rFonts w:eastAsia="Calibri"/>
        </w:rPr>
        <w:tab/>
      </w:r>
      <w:r w:rsidR="00703E82" w:rsidRPr="00676602">
        <w:rPr>
          <w:rFonts w:eastAsia="Calibri"/>
        </w:rPr>
        <w:t>Dies bedeutet, dass im Falle der Beförderung von CO</w:t>
      </w:r>
      <w:r w:rsidR="00703E82" w:rsidRPr="00676602">
        <w:rPr>
          <w:rFonts w:eastAsia="Calibri"/>
          <w:vertAlign w:val="subscript"/>
        </w:rPr>
        <w:t>2</w:t>
      </w:r>
      <w:r w:rsidR="00703E82" w:rsidRPr="00676602">
        <w:rPr>
          <w:rFonts w:eastAsia="Calibri"/>
        </w:rPr>
        <w:t xml:space="preserve"> unter UN</w:t>
      </w:r>
      <w:r w:rsidR="00953424" w:rsidRPr="00676602">
        <w:rPr>
          <w:rFonts w:eastAsia="Calibri"/>
        </w:rPr>
        <w:t>-Nr.</w:t>
      </w:r>
      <w:r w:rsidR="00703E82" w:rsidRPr="00676602">
        <w:rPr>
          <w:rFonts w:eastAsia="Calibri"/>
        </w:rPr>
        <w:t xml:space="preserve"> 2187 </w:t>
      </w:r>
      <w:r w:rsidR="00953424" w:rsidRPr="00676602">
        <w:rPr>
          <w:rFonts w:eastAsia="Calibri"/>
        </w:rPr>
        <w:t>mit</w:t>
      </w:r>
      <w:r w:rsidR="00703E82" w:rsidRPr="00676602">
        <w:rPr>
          <w:rFonts w:eastAsia="Calibri"/>
        </w:rPr>
        <w:t xml:space="preserve"> de</w:t>
      </w:r>
      <w:r w:rsidR="00953424" w:rsidRPr="00676602">
        <w:rPr>
          <w:rFonts w:eastAsia="Calibri"/>
        </w:rPr>
        <w:t>m</w:t>
      </w:r>
      <w:r w:rsidR="00703E82" w:rsidRPr="00676602">
        <w:rPr>
          <w:rFonts w:eastAsia="Calibri"/>
        </w:rPr>
        <w:t xml:space="preserve"> gleichen </w:t>
      </w:r>
      <w:r w:rsidR="00953424" w:rsidRPr="00676602">
        <w:rPr>
          <w:rFonts w:eastAsia="Calibri"/>
        </w:rPr>
        <w:t>Schiffstyp</w:t>
      </w:r>
      <w:r w:rsidR="00703E82" w:rsidRPr="00676602">
        <w:rPr>
          <w:rFonts w:eastAsia="Calibri"/>
        </w:rPr>
        <w:t xml:space="preserve"> ein</w:t>
      </w:r>
      <w:r w:rsidR="00953424" w:rsidRPr="00676602">
        <w:rPr>
          <w:rFonts w:eastAsia="Calibri"/>
        </w:rPr>
        <w:t>e</w:t>
      </w:r>
      <w:r w:rsidR="00703E82" w:rsidRPr="00676602">
        <w:rPr>
          <w:rFonts w:eastAsia="Calibri"/>
        </w:rPr>
        <w:t xml:space="preserve"> Kühl</w:t>
      </w:r>
      <w:r w:rsidR="00953424" w:rsidRPr="00676602">
        <w:rPr>
          <w:rFonts w:eastAsia="Calibri"/>
        </w:rPr>
        <w:t>anlage</w:t>
      </w:r>
      <w:r w:rsidR="00703E82" w:rsidRPr="00676602">
        <w:rPr>
          <w:rFonts w:eastAsia="Calibri"/>
        </w:rPr>
        <w:t xml:space="preserve"> erforderlich ist, während für Methan und Ethylen die Alternative </w:t>
      </w:r>
      <w:r w:rsidR="008F5F2C" w:rsidRPr="00676602">
        <w:rPr>
          <w:rFonts w:eastAsia="Calibri"/>
        </w:rPr>
        <w:t>gemäß</w:t>
      </w:r>
      <w:r w:rsidR="00703E82" w:rsidRPr="00676602">
        <w:rPr>
          <w:rFonts w:eastAsia="Calibri"/>
        </w:rPr>
        <w:t xml:space="preserve"> Bemerkung 42 zur Verfügung steht.</w:t>
      </w:r>
      <w:r w:rsidRPr="00676602">
        <w:rPr>
          <w:rFonts w:eastAsia="Calibri"/>
        </w:rPr>
        <w:t xml:space="preserve"> </w:t>
      </w:r>
      <w:r w:rsidR="008F5F2C" w:rsidRPr="00676602">
        <w:rPr>
          <w:rFonts w:eastAsia="Calibri"/>
        </w:rPr>
        <w:t>Dies steht im Widerspruch zu den Klassifizierungskriterien und der Systematik.</w:t>
      </w:r>
    </w:p>
    <w:p w14:paraId="0E2C0037" w14:textId="20B58994" w:rsidR="008D7BC3" w:rsidRPr="00676602" w:rsidRDefault="008D7BC3">
      <w:pPr>
        <w:widowControl/>
        <w:overflowPunct/>
        <w:autoSpaceDE/>
        <w:autoSpaceDN/>
        <w:adjustRightInd/>
        <w:ind w:left="0" w:firstLine="0"/>
        <w:jc w:val="left"/>
        <w:textAlignment w:val="auto"/>
        <w:rPr>
          <w:rFonts w:eastAsia="Calibri"/>
          <w:b/>
          <w:bCs/>
        </w:rPr>
      </w:pPr>
    </w:p>
    <w:p w14:paraId="4E39A3FD" w14:textId="77777777" w:rsidR="001B445C" w:rsidRPr="00676602" w:rsidRDefault="001B445C">
      <w:pPr>
        <w:widowControl/>
        <w:overflowPunct/>
        <w:autoSpaceDE/>
        <w:autoSpaceDN/>
        <w:adjustRightInd/>
        <w:ind w:left="0" w:firstLine="0"/>
        <w:jc w:val="left"/>
        <w:textAlignment w:val="auto"/>
        <w:rPr>
          <w:rFonts w:eastAsia="Calibri"/>
          <w:b/>
          <w:bCs/>
        </w:rPr>
      </w:pPr>
      <w:r w:rsidRPr="00676602">
        <w:rPr>
          <w:rFonts w:eastAsia="Calibri"/>
          <w:b/>
          <w:bCs/>
        </w:rPr>
        <w:br w:type="page"/>
      </w:r>
    </w:p>
    <w:p w14:paraId="64F2DAED" w14:textId="013AF79B" w:rsidR="00FE2BA4" w:rsidRPr="00676602" w:rsidRDefault="006C10B3" w:rsidP="00FE2BA4">
      <w:pPr>
        <w:widowControl/>
        <w:suppressAutoHyphens/>
        <w:overflowPunct/>
        <w:autoSpaceDE/>
        <w:autoSpaceDN/>
        <w:adjustRightInd/>
        <w:spacing w:after="120" w:line="240" w:lineRule="atLeast"/>
        <w:ind w:right="1134" w:firstLine="0"/>
        <w:textAlignment w:val="auto"/>
        <w:rPr>
          <w:rFonts w:eastAsia="Calibri"/>
          <w:b/>
          <w:bCs/>
        </w:rPr>
      </w:pPr>
      <w:r w:rsidRPr="00676602">
        <w:rPr>
          <w:rFonts w:eastAsia="Calibri"/>
          <w:b/>
          <w:bCs/>
        </w:rPr>
        <w:lastRenderedPageBreak/>
        <w:t>Die Bemerkung „42“ in Spalte (20) lautet:</w:t>
      </w:r>
    </w:p>
    <w:p w14:paraId="39397327" w14:textId="17FE3838" w:rsidR="006C10B3" w:rsidRPr="00676602" w:rsidRDefault="006C10B3" w:rsidP="006C10B3">
      <w:pPr>
        <w:widowControl/>
        <w:tabs>
          <w:tab w:val="left" w:pos="2268"/>
        </w:tabs>
        <w:suppressAutoHyphens/>
        <w:overflowPunct/>
        <w:autoSpaceDE/>
        <w:autoSpaceDN/>
        <w:adjustRightInd/>
        <w:spacing w:after="120" w:line="240" w:lineRule="atLeast"/>
        <w:ind w:left="1701" w:right="1134" w:firstLine="0"/>
        <w:textAlignment w:val="auto"/>
        <w:rPr>
          <w:rFonts w:eastAsia="Calibri"/>
        </w:rPr>
      </w:pPr>
      <w:r w:rsidRPr="00676602">
        <w:rPr>
          <w:rFonts w:eastAsia="Calibri"/>
        </w:rPr>
        <w:t>„42.</w:t>
      </w:r>
      <w:r w:rsidRPr="00676602">
        <w:rPr>
          <w:rFonts w:eastAsia="Calibri"/>
        </w:rPr>
        <w:tab/>
        <w:t xml:space="preserve">Tiefgekühlt verflüssigte Gase sind so zu verladen, dass gewährleistet ist, dass in den Ladetanks, Rohrleitungen und Zubehörteilen keine ungünstigen Temperaturgradienten entstehen. Bei der (in Absatz 7.2.4.16.17 beschriebenen) Berechnung der Haltezeit muss sichergestellt sein, dass der Füllungsgrad 98 % nicht überschreitet, um zu verhindern, dass sich die Sicherheitsventile im flüssig gefüllten Zustand des Tanks öffnen. </w:t>
      </w:r>
    </w:p>
    <w:p w14:paraId="4ED9B1F2" w14:textId="71BEFB92" w:rsidR="006C10B3" w:rsidRPr="00676602" w:rsidRDefault="006C10B3" w:rsidP="006C10B3">
      <w:pPr>
        <w:widowControl/>
        <w:tabs>
          <w:tab w:val="left" w:pos="2268"/>
        </w:tabs>
        <w:suppressAutoHyphens/>
        <w:overflowPunct/>
        <w:autoSpaceDE/>
        <w:autoSpaceDN/>
        <w:adjustRightInd/>
        <w:spacing w:after="120" w:line="240" w:lineRule="atLeast"/>
        <w:ind w:left="1701" w:right="1134" w:firstLine="0"/>
        <w:textAlignment w:val="auto"/>
        <w:rPr>
          <w:rFonts w:eastAsia="Calibri"/>
        </w:rPr>
      </w:pPr>
      <w:r w:rsidRPr="00676602">
        <w:rPr>
          <w:rFonts w:eastAsia="Calibri"/>
        </w:rPr>
        <w:t>Wenn in 9.3.1.24.1 b) oder c) genannte Systeme für den Transport von tiefgekühlten verflüssigten Gasen verwendet werden, ist eine Kühlanlage nicht erforderlich.“.</w:t>
      </w:r>
    </w:p>
    <w:p w14:paraId="4021CAD6" w14:textId="186E06A1" w:rsidR="00667780" w:rsidRPr="00676602" w:rsidRDefault="00667780" w:rsidP="00667780">
      <w:pPr>
        <w:widowControl/>
        <w:suppressAutoHyphens/>
        <w:overflowPunct/>
        <w:autoSpaceDE/>
        <w:autoSpaceDN/>
        <w:adjustRightInd/>
        <w:spacing w:after="120" w:line="240" w:lineRule="atLeast"/>
        <w:ind w:right="1134" w:firstLine="0"/>
        <w:textAlignment w:val="auto"/>
        <w:rPr>
          <w:rFonts w:eastAsia="Calibri"/>
          <w:b/>
          <w:bCs/>
        </w:rPr>
      </w:pPr>
      <w:r w:rsidRPr="00676602">
        <w:rPr>
          <w:rFonts w:eastAsia="Calibri"/>
          <w:b/>
          <w:bCs/>
        </w:rPr>
        <w:t>„9.3.1.24</w:t>
      </w:r>
      <w:r w:rsidRPr="00676602">
        <w:rPr>
          <w:rFonts w:eastAsia="Calibri"/>
          <w:b/>
          <w:bCs/>
        </w:rPr>
        <w:tab/>
        <w:t>Druck- und Temperaturregelung der Ladung</w:t>
      </w:r>
    </w:p>
    <w:p w14:paraId="6B6F59DE" w14:textId="77777777" w:rsidR="00667780" w:rsidRPr="00676602" w:rsidRDefault="00667780" w:rsidP="00667780">
      <w:pPr>
        <w:widowControl/>
        <w:suppressAutoHyphens/>
        <w:overflowPunct/>
        <w:autoSpaceDE/>
        <w:autoSpaceDN/>
        <w:adjustRightInd/>
        <w:spacing w:after="120" w:line="240" w:lineRule="atLeast"/>
        <w:ind w:left="2268" w:right="1134"/>
        <w:textAlignment w:val="auto"/>
        <w:rPr>
          <w:rFonts w:eastAsia="Calibri"/>
        </w:rPr>
      </w:pPr>
      <w:r w:rsidRPr="00676602">
        <w:rPr>
          <w:rFonts w:eastAsia="Calibri"/>
        </w:rPr>
        <w:t>9.3.1.24.1</w:t>
      </w:r>
      <w:r w:rsidRPr="00676602">
        <w:rPr>
          <w:rFonts w:eastAsia="Calibri"/>
        </w:rPr>
        <w:tab/>
        <w:t>Wenn das gesamte Ladungssystem nicht für den vollen Dampfdruck bei den oberen Auslegungsgrenzwerten für die Umgebungstemperatur ausgelegt ist, muss der Ladetankdruck unterhalb des höchstzulässigen Öffnungsdrucks der Sicherheitsventile durch eine oder mehrere der folgenden Maßnahmen gehalten werden:</w:t>
      </w:r>
    </w:p>
    <w:p w14:paraId="29D78998" w14:textId="77777777" w:rsidR="00667780" w:rsidRPr="00676602" w:rsidRDefault="00667780" w:rsidP="00667780">
      <w:pPr>
        <w:spacing w:before="60" w:line="240" w:lineRule="atLeast"/>
        <w:ind w:left="2552" w:right="1134" w:hanging="284"/>
        <w:rPr>
          <w:rFonts w:eastAsia="Calibri"/>
        </w:rPr>
      </w:pPr>
      <w:r w:rsidRPr="00676602">
        <w:rPr>
          <w:rFonts w:eastAsia="Calibri"/>
        </w:rPr>
        <w:t>a)</w:t>
      </w:r>
      <w:r w:rsidRPr="00676602">
        <w:rPr>
          <w:rFonts w:eastAsia="Calibri"/>
        </w:rPr>
        <w:tab/>
        <w:t>ein System, das den Druck in den Ladetanks mittels mechanischer Kühlung regelt;</w:t>
      </w:r>
    </w:p>
    <w:p w14:paraId="4CC64E15" w14:textId="77777777" w:rsidR="00667780" w:rsidRPr="00676602" w:rsidRDefault="00667780" w:rsidP="00667780">
      <w:pPr>
        <w:spacing w:before="60" w:line="240" w:lineRule="atLeast"/>
        <w:ind w:left="2552" w:right="1134" w:hanging="284"/>
        <w:rPr>
          <w:rFonts w:eastAsia="Calibri"/>
        </w:rPr>
      </w:pPr>
      <w:r w:rsidRPr="00676602">
        <w:rPr>
          <w:rFonts w:eastAsia="Calibri"/>
        </w:rPr>
        <w:t>b)</w:t>
      </w:r>
      <w:r w:rsidRPr="00676602">
        <w:rPr>
          <w:rFonts w:eastAsia="Calibri"/>
        </w:rPr>
        <w:tab/>
        <w:t>ein System, welches bei einer Erwärmung oder Druckerhöhung der Ladung die Sicherheit gewährleistet. Die Isolierung und der Auslegungsdruck des Ladetanks müssen zusammen eine angemessene Sicherheit im Hinblick auf Betriebsdauer und Betriebstemperatur gewährleisten. Das System muss in jedem Einzelfall von einer anerkannten Klassifikationsgesellschaft zugelassen sein und für einen Zeitraum der dreifachen Betriebsdauer die Sicherheit gewährleisten;</w:t>
      </w:r>
    </w:p>
    <w:p w14:paraId="6EAE4881" w14:textId="77777777" w:rsidR="00667780" w:rsidRPr="00676602" w:rsidRDefault="00667780" w:rsidP="00667780">
      <w:pPr>
        <w:spacing w:before="60" w:line="240" w:lineRule="atLeast"/>
        <w:ind w:left="2552" w:right="1134" w:hanging="284"/>
        <w:rPr>
          <w:rFonts w:eastAsia="Calibri"/>
        </w:rPr>
      </w:pPr>
      <w:r w:rsidRPr="00676602">
        <w:rPr>
          <w:rFonts w:eastAsia="Calibri"/>
        </w:rPr>
        <w:t>c)</w:t>
      </w:r>
      <w:r w:rsidRPr="00676602">
        <w:rPr>
          <w:rFonts w:eastAsia="Calibri"/>
        </w:rPr>
        <w:tab/>
        <w:t xml:space="preserve">Nur für UN-Nr. 1972: ein System, das den Druck in den Ladetanks regelt, wobei die </w:t>
      </w:r>
      <w:proofErr w:type="spellStart"/>
      <w:r w:rsidRPr="00676602">
        <w:rPr>
          <w:rFonts w:eastAsia="Calibri"/>
        </w:rPr>
        <w:t>Boil</w:t>
      </w:r>
      <w:proofErr w:type="spellEnd"/>
      <w:r w:rsidRPr="00676602">
        <w:rPr>
          <w:rFonts w:eastAsia="Calibri"/>
        </w:rPr>
        <w:t>-Off-Gase als Brennstoff an Bord genutzt werden;</w:t>
      </w:r>
    </w:p>
    <w:p w14:paraId="2F2064A4" w14:textId="32E36AC5" w:rsidR="00667780" w:rsidRPr="00676602" w:rsidRDefault="00667780" w:rsidP="00667780">
      <w:pPr>
        <w:spacing w:before="60" w:line="240" w:lineRule="atLeast"/>
        <w:ind w:left="2552" w:right="1134" w:hanging="284"/>
        <w:rPr>
          <w:rFonts w:eastAsia="Calibri"/>
        </w:rPr>
      </w:pPr>
      <w:r w:rsidRPr="00676602">
        <w:rPr>
          <w:rFonts w:eastAsia="Calibri"/>
        </w:rPr>
        <w:t>d)</w:t>
      </w:r>
      <w:r w:rsidRPr="00676602">
        <w:rPr>
          <w:rFonts w:eastAsia="Calibri"/>
        </w:rPr>
        <w:tab/>
        <w:t>andere von einer anerkannten Klassifikationsgesellschaft zugelassene Systeme zur Regelung des Ladungsdrucks und der Ladungstemperatur.“.</w:t>
      </w:r>
    </w:p>
    <w:p w14:paraId="33DE1F48" w14:textId="77777777" w:rsidR="00667780" w:rsidRPr="00676602" w:rsidRDefault="00667780" w:rsidP="00FE2BA4">
      <w:pPr>
        <w:widowControl/>
        <w:tabs>
          <w:tab w:val="left" w:pos="1701"/>
        </w:tabs>
        <w:suppressAutoHyphens/>
        <w:overflowPunct/>
        <w:autoSpaceDE/>
        <w:autoSpaceDN/>
        <w:adjustRightInd/>
        <w:spacing w:after="120" w:line="240" w:lineRule="atLeast"/>
        <w:ind w:right="1134" w:firstLine="0"/>
        <w:textAlignment w:val="auto"/>
        <w:rPr>
          <w:rFonts w:eastAsia="Calibri"/>
        </w:rPr>
      </w:pPr>
    </w:p>
    <w:p w14:paraId="6BF1F529" w14:textId="3F59EBFB" w:rsidR="00FE2BA4" w:rsidRPr="00676602" w:rsidRDefault="00FE2BA4" w:rsidP="00FC3A9D">
      <w:pPr>
        <w:widowControl/>
        <w:tabs>
          <w:tab w:val="left" w:pos="1701"/>
        </w:tabs>
        <w:suppressAutoHyphens/>
        <w:overflowPunct/>
        <w:autoSpaceDE/>
        <w:autoSpaceDN/>
        <w:adjustRightInd/>
        <w:spacing w:after="120" w:line="240" w:lineRule="atLeast"/>
        <w:ind w:right="1134" w:firstLine="0"/>
        <w:textAlignment w:val="auto"/>
        <w:rPr>
          <w:rFonts w:eastAsia="Calibri"/>
        </w:rPr>
      </w:pPr>
      <w:r w:rsidRPr="00676602">
        <w:rPr>
          <w:rFonts w:eastAsia="Calibri"/>
        </w:rPr>
        <w:t>13.</w:t>
      </w:r>
      <w:r w:rsidRPr="00676602">
        <w:rPr>
          <w:rFonts w:eastAsia="Calibri"/>
        </w:rPr>
        <w:tab/>
      </w:r>
      <w:r w:rsidR="008F5F2C" w:rsidRPr="00676602">
        <w:rPr>
          <w:rFonts w:eastAsia="Calibri"/>
        </w:rPr>
        <w:t>Für die Beförderung von CO</w:t>
      </w:r>
      <w:r w:rsidR="008F5F2C" w:rsidRPr="00676602">
        <w:rPr>
          <w:rFonts w:eastAsia="Calibri"/>
          <w:vertAlign w:val="subscript"/>
        </w:rPr>
        <w:t>2</w:t>
      </w:r>
      <w:r w:rsidR="008F5F2C" w:rsidRPr="00676602">
        <w:rPr>
          <w:rFonts w:eastAsia="Calibri"/>
        </w:rPr>
        <w:t xml:space="preserve"> gemäß UN-Nr. 2187 ist der</w:t>
      </w:r>
      <w:r w:rsidR="004144C4" w:rsidRPr="00676602">
        <w:rPr>
          <w:rFonts w:eastAsia="Calibri"/>
        </w:rPr>
        <w:t xml:space="preserve"> gleich</w:t>
      </w:r>
      <w:r w:rsidR="008F5F2C" w:rsidRPr="00676602">
        <w:rPr>
          <w:rFonts w:eastAsia="Calibri"/>
        </w:rPr>
        <w:t xml:space="preserve">e Schiffstyp (G11 mit Kühlanlage) </w:t>
      </w:r>
      <w:r w:rsidR="00845886" w:rsidRPr="00676602">
        <w:rPr>
          <w:rFonts w:eastAsia="Calibri"/>
        </w:rPr>
        <w:t>erforderlich</w:t>
      </w:r>
      <w:r w:rsidR="008F5F2C" w:rsidRPr="00676602">
        <w:rPr>
          <w:rFonts w:eastAsia="Calibri"/>
        </w:rPr>
        <w:t>.</w:t>
      </w:r>
      <w:r w:rsidRPr="00676602">
        <w:rPr>
          <w:rFonts w:eastAsia="Calibri"/>
        </w:rPr>
        <w:t xml:space="preserve"> </w:t>
      </w:r>
      <w:r w:rsidR="00845886" w:rsidRPr="00676602">
        <w:rPr>
          <w:rFonts w:eastAsia="Calibri"/>
        </w:rPr>
        <w:t xml:space="preserve">Die bestehenden Schiffe des Typs G.1.1 sind </w:t>
      </w:r>
      <w:r w:rsidR="004B6A4C" w:rsidRPr="00676602">
        <w:rPr>
          <w:rFonts w:eastAsia="Calibri"/>
        </w:rPr>
        <w:t xml:space="preserve">(und müssen) </w:t>
      </w:r>
      <w:r w:rsidR="00845886" w:rsidRPr="00676602">
        <w:rPr>
          <w:rFonts w:eastAsia="Calibri"/>
        </w:rPr>
        <w:t>nicht mit eine</w:t>
      </w:r>
      <w:r w:rsidR="004B6A4C" w:rsidRPr="00676602">
        <w:rPr>
          <w:rFonts w:eastAsia="Calibri"/>
        </w:rPr>
        <w:t>r</w:t>
      </w:r>
      <w:r w:rsidR="00845886" w:rsidRPr="00676602">
        <w:rPr>
          <w:rFonts w:eastAsia="Calibri"/>
        </w:rPr>
        <w:t xml:space="preserve"> Kühl</w:t>
      </w:r>
      <w:r w:rsidR="004B6A4C" w:rsidRPr="00676602">
        <w:rPr>
          <w:rFonts w:eastAsia="Calibri"/>
        </w:rPr>
        <w:t>anlage</w:t>
      </w:r>
      <w:r w:rsidR="00845886" w:rsidRPr="00676602">
        <w:rPr>
          <w:rFonts w:eastAsia="Calibri"/>
        </w:rPr>
        <w:t xml:space="preserve"> ausgestattet</w:t>
      </w:r>
      <w:r w:rsidR="004B6A4C" w:rsidRPr="00676602">
        <w:rPr>
          <w:rFonts w:eastAsia="Calibri"/>
        </w:rPr>
        <w:t xml:space="preserve"> (sein)</w:t>
      </w:r>
      <w:r w:rsidR="00845886" w:rsidRPr="00676602">
        <w:rPr>
          <w:rFonts w:eastAsia="Calibri"/>
        </w:rPr>
        <w:t>.</w:t>
      </w:r>
    </w:p>
    <w:p w14:paraId="3C571457" w14:textId="04C743E1" w:rsidR="00FE2BA4" w:rsidRPr="00676602" w:rsidRDefault="00FE2BA4" w:rsidP="001B445C">
      <w:pPr>
        <w:keepNext/>
        <w:keepLines/>
        <w:widowControl/>
        <w:tabs>
          <w:tab w:val="right" w:pos="851"/>
        </w:tabs>
        <w:suppressAutoHyphens/>
        <w:overflowPunct/>
        <w:autoSpaceDE/>
        <w:autoSpaceDN/>
        <w:adjustRightInd/>
        <w:spacing w:before="360" w:after="240" w:line="300" w:lineRule="exact"/>
        <w:ind w:right="1134"/>
        <w:textAlignment w:val="auto"/>
        <w:rPr>
          <w:b/>
          <w:sz w:val="28"/>
        </w:rPr>
      </w:pPr>
      <w:r w:rsidRPr="00676602">
        <w:rPr>
          <w:b/>
          <w:sz w:val="28"/>
        </w:rPr>
        <w:tab/>
      </w:r>
      <w:r w:rsidR="00FC3A9D" w:rsidRPr="00676602">
        <w:rPr>
          <w:b/>
          <w:sz w:val="28"/>
        </w:rPr>
        <w:t>IV.</w:t>
      </w:r>
      <w:r w:rsidRPr="00676602">
        <w:rPr>
          <w:b/>
          <w:sz w:val="28"/>
        </w:rPr>
        <w:tab/>
      </w:r>
      <w:r w:rsidR="00FC3A9D" w:rsidRPr="00676602">
        <w:rPr>
          <w:b/>
          <w:sz w:val="28"/>
        </w:rPr>
        <w:t xml:space="preserve">Zusammenfassung und </w:t>
      </w:r>
      <w:r w:rsidR="00315CA5" w:rsidRPr="00676602">
        <w:rPr>
          <w:b/>
          <w:sz w:val="28"/>
        </w:rPr>
        <w:t>Bitte</w:t>
      </w:r>
      <w:r w:rsidR="00FC3A9D" w:rsidRPr="00676602">
        <w:rPr>
          <w:b/>
          <w:sz w:val="28"/>
        </w:rPr>
        <w:t xml:space="preserve"> an den ADN-Sicherheitsaus</w:t>
      </w:r>
      <w:r w:rsidR="00041741" w:rsidRPr="00676602">
        <w:rPr>
          <w:b/>
          <w:sz w:val="28"/>
        </w:rPr>
        <w:softHyphen/>
      </w:r>
      <w:r w:rsidR="00FC3A9D" w:rsidRPr="00676602">
        <w:rPr>
          <w:b/>
          <w:sz w:val="28"/>
        </w:rPr>
        <w:t>schuss</w:t>
      </w:r>
    </w:p>
    <w:p w14:paraId="73B41D8D" w14:textId="35F58172" w:rsidR="00FE2BA4" w:rsidRPr="00676602" w:rsidRDefault="00FE2BA4" w:rsidP="00C95EB0">
      <w:pPr>
        <w:widowControl/>
        <w:tabs>
          <w:tab w:val="left" w:pos="1701"/>
        </w:tabs>
        <w:suppressAutoHyphens/>
        <w:overflowPunct/>
        <w:autoSpaceDE/>
        <w:autoSpaceDN/>
        <w:adjustRightInd/>
        <w:spacing w:after="120" w:line="240" w:lineRule="atLeast"/>
        <w:ind w:right="1134" w:firstLine="0"/>
        <w:textAlignment w:val="auto"/>
        <w:rPr>
          <w:rFonts w:eastAsia="Calibri"/>
        </w:rPr>
      </w:pPr>
      <w:r w:rsidRPr="00676602">
        <w:rPr>
          <w:rFonts w:eastAsia="Calibri"/>
        </w:rPr>
        <w:t>14.</w:t>
      </w:r>
      <w:r w:rsidRPr="00676602">
        <w:rPr>
          <w:rFonts w:eastAsia="Calibri"/>
        </w:rPr>
        <w:tab/>
      </w:r>
      <w:r w:rsidR="00FC3A9D" w:rsidRPr="00676602">
        <w:rPr>
          <w:rFonts w:eastAsia="Calibri"/>
        </w:rPr>
        <w:t xml:space="preserve">EBU/ESO stellt fest, dass bei der </w:t>
      </w:r>
      <w:r w:rsidR="009C2CFF" w:rsidRPr="00676602">
        <w:rPr>
          <w:rFonts w:eastAsia="Calibri"/>
        </w:rPr>
        <w:t>Aufnahme</w:t>
      </w:r>
      <w:r w:rsidR="00FC3A9D" w:rsidRPr="00676602">
        <w:rPr>
          <w:rFonts w:eastAsia="Calibri"/>
        </w:rPr>
        <w:t xml:space="preserve"> der Bemerkung „42“ diese </w:t>
      </w:r>
      <w:r w:rsidR="009C2CFF" w:rsidRPr="00676602">
        <w:rPr>
          <w:rFonts w:eastAsia="Calibri"/>
        </w:rPr>
        <w:t xml:space="preserve">Bemerkung </w:t>
      </w:r>
      <w:r w:rsidR="00FC3A9D" w:rsidRPr="00676602">
        <w:rPr>
          <w:rFonts w:eastAsia="Calibri"/>
        </w:rPr>
        <w:t xml:space="preserve">in Spalte </w:t>
      </w:r>
      <w:r w:rsidR="001B445C" w:rsidRPr="00676602">
        <w:rPr>
          <w:rFonts w:eastAsia="Calibri"/>
        </w:rPr>
        <w:t>(</w:t>
      </w:r>
      <w:r w:rsidR="00FC3A9D" w:rsidRPr="00676602">
        <w:rPr>
          <w:rFonts w:eastAsia="Calibri"/>
        </w:rPr>
        <w:t>20</w:t>
      </w:r>
      <w:r w:rsidR="001B445C" w:rsidRPr="00676602">
        <w:rPr>
          <w:rFonts w:eastAsia="Calibri"/>
        </w:rPr>
        <w:t>)</w:t>
      </w:r>
      <w:r w:rsidR="00FC3A9D" w:rsidRPr="00676602">
        <w:rPr>
          <w:rFonts w:eastAsia="Calibri"/>
        </w:rPr>
        <w:t xml:space="preserve"> für Ethylen und Methan hinzugefügt wurde.</w:t>
      </w:r>
      <w:r w:rsidRPr="00676602">
        <w:rPr>
          <w:rFonts w:eastAsia="Calibri"/>
        </w:rPr>
        <w:t xml:space="preserve"> </w:t>
      </w:r>
      <w:r w:rsidR="00AA3EBC" w:rsidRPr="00676602">
        <w:rPr>
          <w:rFonts w:eastAsia="Calibri"/>
        </w:rPr>
        <w:t xml:space="preserve">Dies bedeutet, dass diese Stoffe </w:t>
      </w:r>
      <w:r w:rsidR="00F15364" w:rsidRPr="00676602">
        <w:rPr>
          <w:rFonts w:eastAsia="Calibri"/>
        </w:rPr>
        <w:t>aufgrund</w:t>
      </w:r>
      <w:r w:rsidR="00AA3EBC" w:rsidRPr="00676602">
        <w:rPr>
          <w:rFonts w:eastAsia="Calibri"/>
        </w:rPr>
        <w:t xml:space="preserve"> der vergleichbaren Wärmeleitfähigkeit und der Anforderungen an die Haltedauer ohne Kühlanlage befördert werden können.</w:t>
      </w:r>
      <w:r w:rsidRPr="00676602">
        <w:rPr>
          <w:rFonts w:eastAsia="Calibri"/>
        </w:rPr>
        <w:t xml:space="preserve"> </w:t>
      </w:r>
      <w:r w:rsidR="00F15364" w:rsidRPr="00676602">
        <w:rPr>
          <w:rFonts w:eastAsia="Calibri"/>
        </w:rPr>
        <w:t>Dies gilt jedoch nicht für CO</w:t>
      </w:r>
      <w:r w:rsidR="00F15364" w:rsidRPr="00676602">
        <w:rPr>
          <w:rFonts w:eastAsia="Calibri"/>
          <w:vertAlign w:val="subscript"/>
        </w:rPr>
        <w:t>2</w:t>
      </w:r>
      <w:r w:rsidR="00F15364" w:rsidRPr="00676602">
        <w:rPr>
          <w:rFonts w:eastAsia="Calibri"/>
        </w:rPr>
        <w:t xml:space="preserve">. </w:t>
      </w:r>
      <w:r w:rsidR="00832CF4" w:rsidRPr="00676602">
        <w:rPr>
          <w:rFonts w:eastAsia="Calibri"/>
        </w:rPr>
        <w:t xml:space="preserve">Die Schiffe erfüllen die gleichen Anforderungen an </w:t>
      </w:r>
      <w:r w:rsidR="00C95EB0" w:rsidRPr="00676602">
        <w:rPr>
          <w:rFonts w:eastAsia="Calibri"/>
        </w:rPr>
        <w:t>Auslegung</w:t>
      </w:r>
      <w:r w:rsidR="00832CF4" w:rsidRPr="00676602">
        <w:rPr>
          <w:rFonts w:eastAsia="Calibri"/>
        </w:rPr>
        <w:t xml:space="preserve"> und </w:t>
      </w:r>
      <w:r w:rsidR="007820E6" w:rsidRPr="00676602">
        <w:rPr>
          <w:rFonts w:eastAsia="Calibri"/>
        </w:rPr>
        <w:t>intrinsische</w:t>
      </w:r>
      <w:r w:rsidR="00832CF4" w:rsidRPr="00676602">
        <w:rPr>
          <w:rFonts w:eastAsia="Calibri"/>
        </w:rPr>
        <w:t xml:space="preserve"> Isolier</w:t>
      </w:r>
      <w:r w:rsidR="007820E6" w:rsidRPr="00676602">
        <w:rPr>
          <w:rFonts w:eastAsia="Calibri"/>
        </w:rPr>
        <w:t>ung</w:t>
      </w:r>
      <w:r w:rsidR="00832CF4" w:rsidRPr="00676602">
        <w:rPr>
          <w:rFonts w:eastAsia="Calibri"/>
        </w:rPr>
        <w:t xml:space="preserve"> in Bezug auf die Haltedauer.</w:t>
      </w:r>
    </w:p>
    <w:p w14:paraId="5FDEA328" w14:textId="35FB26FA" w:rsidR="00FE2BA4" w:rsidRPr="00676602" w:rsidRDefault="00FE2BA4" w:rsidP="004A4DC8">
      <w:pPr>
        <w:widowControl/>
        <w:tabs>
          <w:tab w:val="left" w:pos="1701"/>
        </w:tabs>
        <w:suppressAutoHyphens/>
        <w:overflowPunct/>
        <w:autoSpaceDE/>
        <w:autoSpaceDN/>
        <w:adjustRightInd/>
        <w:spacing w:after="120" w:line="240" w:lineRule="atLeast"/>
        <w:ind w:right="1134" w:firstLine="0"/>
        <w:textAlignment w:val="auto"/>
        <w:rPr>
          <w:rFonts w:eastAsia="Calibri"/>
        </w:rPr>
      </w:pPr>
      <w:r w:rsidRPr="00676602">
        <w:rPr>
          <w:rFonts w:eastAsia="Calibri"/>
        </w:rPr>
        <w:t>15.</w:t>
      </w:r>
      <w:r w:rsidRPr="00676602">
        <w:rPr>
          <w:rFonts w:eastAsia="Calibri"/>
        </w:rPr>
        <w:tab/>
      </w:r>
      <w:r w:rsidR="00304565" w:rsidRPr="00676602">
        <w:rPr>
          <w:rFonts w:eastAsia="Calibri"/>
        </w:rPr>
        <w:t xml:space="preserve">Wenn keine Kühlanlage vorhanden ist, </w:t>
      </w:r>
      <w:r w:rsidR="006C2E8D" w:rsidRPr="00676602">
        <w:rPr>
          <w:rFonts w:eastAsia="Calibri"/>
        </w:rPr>
        <w:t>ist</w:t>
      </w:r>
      <w:r w:rsidR="00304565" w:rsidRPr="00676602">
        <w:rPr>
          <w:rFonts w:eastAsia="Calibri"/>
        </w:rPr>
        <w:t xml:space="preserve"> </w:t>
      </w:r>
      <w:r w:rsidR="006C2E8D" w:rsidRPr="00676602">
        <w:rPr>
          <w:rFonts w:eastAsia="Calibri"/>
        </w:rPr>
        <w:t>e</w:t>
      </w:r>
      <w:r w:rsidR="00304565" w:rsidRPr="00676602">
        <w:rPr>
          <w:rFonts w:eastAsia="Calibri"/>
        </w:rPr>
        <w:t>i</w:t>
      </w:r>
      <w:r w:rsidR="006C2E8D" w:rsidRPr="00676602">
        <w:rPr>
          <w:rFonts w:eastAsia="Calibri"/>
        </w:rPr>
        <w:t>n</w:t>
      </w:r>
      <w:r w:rsidR="00304565" w:rsidRPr="00676602">
        <w:rPr>
          <w:rFonts w:eastAsia="Calibri"/>
        </w:rPr>
        <w:t xml:space="preserve">e </w:t>
      </w:r>
      <w:r w:rsidR="006C2E8D" w:rsidRPr="00676602">
        <w:rPr>
          <w:rFonts w:eastAsia="Calibri"/>
        </w:rPr>
        <w:t xml:space="preserve">sichere </w:t>
      </w:r>
      <w:r w:rsidR="00304565" w:rsidRPr="00676602">
        <w:rPr>
          <w:rFonts w:eastAsia="Calibri"/>
        </w:rPr>
        <w:t>Beförderung von Kohlendioxid nach den Vorschriften des Absatzes 7.2.4.16.17 ADN (Be</w:t>
      </w:r>
      <w:r w:rsidR="006C2E8D" w:rsidRPr="00676602">
        <w:rPr>
          <w:rFonts w:eastAsia="Calibri"/>
        </w:rPr>
        <w:t>rechn</w:t>
      </w:r>
      <w:r w:rsidR="00304565" w:rsidRPr="00676602">
        <w:rPr>
          <w:rFonts w:eastAsia="Calibri"/>
        </w:rPr>
        <w:t xml:space="preserve">ung der Haltezeit unter Berücksichtigung der voraussichtlichen Dauer der Beförderung) unter den gleichen Anforderungen wie für Methan und Ethylen </w:t>
      </w:r>
      <w:r w:rsidR="006C2E8D" w:rsidRPr="00676602">
        <w:rPr>
          <w:rFonts w:eastAsia="Calibri"/>
        </w:rPr>
        <w:t>möglich</w:t>
      </w:r>
      <w:r w:rsidR="00304565" w:rsidRPr="00676602">
        <w:rPr>
          <w:rFonts w:eastAsia="Calibri"/>
        </w:rPr>
        <w:t>.</w:t>
      </w:r>
    </w:p>
    <w:p w14:paraId="7B2615F6" w14:textId="1B8C0B12" w:rsidR="00FE2BA4" w:rsidRPr="00676602" w:rsidRDefault="00FE2BA4" w:rsidP="00F50E8B">
      <w:pPr>
        <w:keepNext/>
        <w:widowControl/>
        <w:tabs>
          <w:tab w:val="left" w:pos="1701"/>
        </w:tabs>
        <w:suppressAutoHyphens/>
        <w:overflowPunct/>
        <w:autoSpaceDE/>
        <w:autoSpaceDN/>
        <w:adjustRightInd/>
        <w:spacing w:after="120" w:line="240" w:lineRule="atLeast"/>
        <w:ind w:right="1134" w:firstLine="0"/>
        <w:textAlignment w:val="auto"/>
        <w:rPr>
          <w:rFonts w:eastAsia="Calibri"/>
        </w:rPr>
      </w:pPr>
      <w:r w:rsidRPr="00676602">
        <w:rPr>
          <w:rFonts w:eastAsia="Calibri"/>
        </w:rPr>
        <w:t>16.</w:t>
      </w:r>
      <w:r w:rsidRPr="00676602">
        <w:rPr>
          <w:rFonts w:eastAsia="Calibri"/>
        </w:rPr>
        <w:tab/>
      </w:r>
      <w:r w:rsidR="004A4DC8" w:rsidRPr="00676602">
        <w:rPr>
          <w:rFonts w:eastAsia="Calibri"/>
        </w:rPr>
        <w:t xml:space="preserve">EBU/ESO bittet den ADN-Sicherheitsausschuss zu prüfen, die Bemerkung </w:t>
      </w:r>
      <w:r w:rsidR="00C60E10" w:rsidRPr="00676602">
        <w:rPr>
          <w:rFonts w:eastAsia="Calibri"/>
        </w:rPr>
        <w:t>„</w:t>
      </w:r>
      <w:r w:rsidR="004A4DC8" w:rsidRPr="00676602">
        <w:rPr>
          <w:rFonts w:eastAsia="Calibri"/>
        </w:rPr>
        <w:t>42</w:t>
      </w:r>
      <w:r w:rsidR="00C60E10" w:rsidRPr="00676602">
        <w:rPr>
          <w:rFonts w:eastAsia="Calibri"/>
        </w:rPr>
        <w:t>“</w:t>
      </w:r>
      <w:r w:rsidR="004A4DC8" w:rsidRPr="00676602">
        <w:rPr>
          <w:rFonts w:eastAsia="Calibri"/>
        </w:rPr>
        <w:t xml:space="preserve"> auch </w:t>
      </w:r>
      <w:r w:rsidR="00F50E8B" w:rsidRPr="00676602">
        <w:rPr>
          <w:rFonts w:eastAsia="Calibri"/>
        </w:rPr>
        <w:t>in den</w:t>
      </w:r>
      <w:r w:rsidR="004A4DC8" w:rsidRPr="00676602">
        <w:rPr>
          <w:rFonts w:eastAsia="Calibri"/>
        </w:rPr>
        <w:t xml:space="preserve"> Eintrag </w:t>
      </w:r>
      <w:r w:rsidR="00F50E8B" w:rsidRPr="00676602">
        <w:rPr>
          <w:rFonts w:eastAsia="Calibri"/>
        </w:rPr>
        <w:t>für</w:t>
      </w:r>
      <w:r w:rsidR="004A4DC8" w:rsidRPr="00676602">
        <w:rPr>
          <w:rFonts w:eastAsia="Calibri"/>
        </w:rPr>
        <w:t xml:space="preserve"> CO</w:t>
      </w:r>
      <w:r w:rsidR="004A4DC8" w:rsidRPr="00676602">
        <w:rPr>
          <w:rFonts w:eastAsia="Calibri"/>
          <w:vertAlign w:val="subscript"/>
        </w:rPr>
        <w:t>2</w:t>
      </w:r>
      <w:r w:rsidR="004A4DC8" w:rsidRPr="00676602">
        <w:rPr>
          <w:rFonts w:eastAsia="Calibri"/>
        </w:rPr>
        <w:t xml:space="preserve"> (UN</w:t>
      </w:r>
      <w:r w:rsidR="00C60E10" w:rsidRPr="00676602">
        <w:rPr>
          <w:rFonts w:eastAsia="Calibri"/>
        </w:rPr>
        <w:t xml:space="preserve">-Nr. </w:t>
      </w:r>
      <w:r w:rsidR="004A4DC8" w:rsidRPr="00676602">
        <w:rPr>
          <w:rFonts w:eastAsia="Calibri"/>
        </w:rPr>
        <w:t xml:space="preserve">2187) </w:t>
      </w:r>
      <w:r w:rsidR="00F50E8B" w:rsidRPr="00676602">
        <w:rPr>
          <w:rFonts w:eastAsia="Calibri"/>
        </w:rPr>
        <w:t>aufzunehmen</w:t>
      </w:r>
      <w:r w:rsidR="004A4DC8" w:rsidRPr="00676602">
        <w:rPr>
          <w:rFonts w:eastAsia="Calibri"/>
        </w:rPr>
        <w:t>, um die Beförderungsbedingungen zu harmonisieren.</w:t>
      </w:r>
    </w:p>
    <w:p w14:paraId="3F7C94E0" w14:textId="79C72A83" w:rsidR="00D405D0" w:rsidRPr="00676602" w:rsidRDefault="00495C88" w:rsidP="00B3094B">
      <w:pPr>
        <w:keepNext/>
        <w:keepLines/>
        <w:widowControl/>
        <w:tabs>
          <w:tab w:val="right" w:pos="851"/>
          <w:tab w:val="left" w:pos="1701"/>
        </w:tabs>
        <w:suppressAutoHyphens/>
        <w:kinsoku w:val="0"/>
        <w:snapToGrid w:val="0"/>
        <w:spacing w:before="360" w:after="240" w:line="300" w:lineRule="exact"/>
        <w:ind w:right="1134"/>
        <w:jc w:val="center"/>
        <w:textAlignment w:val="auto"/>
        <w:rPr>
          <w:rFonts w:ascii="Arial" w:hAnsi="Arial" w:cs="Arial"/>
          <w:color w:val="FFFFFF"/>
        </w:rPr>
      </w:pPr>
      <w:r w:rsidRPr="00676602">
        <w:rPr>
          <w:rFonts w:ascii="Arial" w:hAnsi="Arial" w:cs="Arial"/>
        </w:rPr>
        <w:t>***</w:t>
      </w:r>
    </w:p>
    <w:sectPr w:rsidR="00D405D0" w:rsidRPr="00676602" w:rsidSect="00041631">
      <w:headerReference w:type="even" r:id="rId12"/>
      <w:headerReference w:type="default" r:id="rId13"/>
      <w:footerReference w:type="even" r:id="rId14"/>
      <w:footerReference w:type="default" r:id="rId15"/>
      <w:endnotePr>
        <w:numFmt w:val="decimal"/>
      </w:endnotePr>
      <w:pgSz w:w="11906" w:h="16838" w:code="9"/>
      <w:pgMar w:top="1304"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34EB5" w14:textId="77777777" w:rsidR="00C3092A" w:rsidRDefault="00C3092A" w:rsidP="00277F70">
      <w:r>
        <w:separator/>
      </w:r>
    </w:p>
  </w:endnote>
  <w:endnote w:type="continuationSeparator" w:id="0">
    <w:p w14:paraId="04CE3600" w14:textId="77777777" w:rsidR="00C3092A" w:rsidRDefault="00C3092A"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A220" w14:textId="201BB4C2" w:rsidR="00D36741" w:rsidRPr="000671E2" w:rsidRDefault="00C350A9" w:rsidP="00D36741">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w:t>
    </w:r>
    <w:r w:rsidR="00B741AB">
      <w:rPr>
        <w:rFonts w:ascii="Arial" w:hAnsi="Arial"/>
        <w:noProof/>
        <w:snapToGrid w:val="0"/>
        <w:sz w:val="12"/>
        <w:szCs w:val="24"/>
        <w:lang w:val="fr-FR"/>
      </w:rPr>
      <w:t>m</w:t>
    </w:r>
    <w:r>
      <w:rPr>
        <w:rFonts w:ascii="Arial" w:hAnsi="Arial"/>
        <w:noProof/>
        <w:snapToGrid w:val="0"/>
        <w:sz w:val="12"/>
        <w:szCs w:val="24"/>
        <w:lang w:val="fr-FR"/>
      </w:rPr>
      <w:t>_ba</w:t>
    </w:r>
    <w:r w:rsidR="00D36741" w:rsidRPr="000671E2">
      <w:rPr>
        <w:rFonts w:ascii="Arial" w:hAnsi="Arial"/>
        <w:noProof/>
        <w:snapToGrid w:val="0"/>
        <w:sz w:val="12"/>
        <w:szCs w:val="24"/>
        <w:lang w:val="fr-FR"/>
      </w:rPr>
      <w:t>/adn_wp15_ac2_202</w:t>
    </w:r>
    <w:r w:rsidR="00881C09">
      <w:rPr>
        <w:rFonts w:ascii="Arial" w:hAnsi="Arial"/>
        <w:noProof/>
        <w:snapToGrid w:val="0"/>
        <w:sz w:val="12"/>
        <w:szCs w:val="24"/>
        <w:lang w:val="fr-FR"/>
      </w:rPr>
      <w:t>2</w:t>
    </w:r>
    <w:r w:rsidR="00D36741" w:rsidRPr="000671E2">
      <w:rPr>
        <w:rFonts w:ascii="Arial" w:hAnsi="Arial"/>
        <w:noProof/>
        <w:snapToGrid w:val="0"/>
        <w:sz w:val="12"/>
        <w:szCs w:val="24"/>
        <w:lang w:val="fr-FR"/>
      </w:rPr>
      <w:t>_</w:t>
    </w:r>
    <w:r>
      <w:rPr>
        <w:rFonts w:ascii="Arial" w:hAnsi="Arial"/>
        <w:noProof/>
        <w:snapToGrid w:val="0"/>
        <w:sz w:val="12"/>
        <w:szCs w:val="24"/>
        <w:lang w:val="fr-FR"/>
      </w:rPr>
      <w:t>1</w:t>
    </w:r>
    <w:r w:rsidR="00FE2BA4">
      <w:rPr>
        <w:rFonts w:ascii="Arial" w:hAnsi="Arial"/>
        <w:noProof/>
        <w:snapToGrid w:val="0"/>
        <w:sz w:val="12"/>
        <w:szCs w:val="24"/>
        <w:lang w:val="fr-FR"/>
      </w:rPr>
      <w:t>5</w:t>
    </w:r>
    <w:r w:rsidR="00D36741" w:rsidRPr="000671E2">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EF51" w14:textId="7AA250AC" w:rsidR="00881C09" w:rsidRPr="000671E2" w:rsidRDefault="00E82172" w:rsidP="00881C09">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mm_ba</w:t>
    </w:r>
    <w:r w:rsidR="00881C09" w:rsidRPr="000671E2">
      <w:rPr>
        <w:rFonts w:ascii="Arial" w:hAnsi="Arial"/>
        <w:noProof/>
        <w:snapToGrid w:val="0"/>
        <w:sz w:val="12"/>
        <w:szCs w:val="24"/>
        <w:lang w:val="fr-FR"/>
      </w:rPr>
      <w:t>/adn_wp15_ac2_202</w:t>
    </w:r>
    <w:r w:rsidR="00881C09">
      <w:rPr>
        <w:rFonts w:ascii="Arial" w:hAnsi="Arial"/>
        <w:noProof/>
        <w:snapToGrid w:val="0"/>
        <w:sz w:val="12"/>
        <w:szCs w:val="24"/>
        <w:lang w:val="fr-FR"/>
      </w:rPr>
      <w:t>2</w:t>
    </w:r>
    <w:r w:rsidR="00881C09" w:rsidRPr="000671E2">
      <w:rPr>
        <w:rFonts w:ascii="Arial" w:hAnsi="Arial"/>
        <w:noProof/>
        <w:snapToGrid w:val="0"/>
        <w:sz w:val="12"/>
        <w:szCs w:val="24"/>
        <w:lang w:val="fr-FR"/>
      </w:rPr>
      <w:t>_</w:t>
    </w:r>
    <w:r>
      <w:rPr>
        <w:rFonts w:ascii="Arial" w:hAnsi="Arial"/>
        <w:noProof/>
        <w:snapToGrid w:val="0"/>
        <w:sz w:val="12"/>
        <w:szCs w:val="24"/>
        <w:lang w:val="fr-FR"/>
      </w:rPr>
      <w:t>1</w:t>
    </w:r>
    <w:r w:rsidR="006F2E34">
      <w:rPr>
        <w:rFonts w:ascii="Arial" w:hAnsi="Arial"/>
        <w:noProof/>
        <w:snapToGrid w:val="0"/>
        <w:sz w:val="12"/>
        <w:szCs w:val="24"/>
        <w:lang w:val="fr-FR"/>
      </w:rPr>
      <w:t>5</w:t>
    </w:r>
    <w:r w:rsidR="00881C09" w:rsidRPr="000671E2">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11EDB" w14:textId="77777777" w:rsidR="00C3092A" w:rsidRDefault="00C3092A" w:rsidP="00277F70">
      <w:r>
        <w:separator/>
      </w:r>
    </w:p>
  </w:footnote>
  <w:footnote w:type="continuationSeparator" w:id="0">
    <w:p w14:paraId="1E4EFE9F" w14:textId="77777777" w:rsidR="00C3092A" w:rsidRDefault="00C3092A" w:rsidP="00277F70">
      <w:r>
        <w:continuationSeparator/>
      </w:r>
    </w:p>
  </w:footnote>
  <w:footnote w:id="1">
    <w:p w14:paraId="00665A02" w14:textId="663685B9" w:rsidR="00C951AF" w:rsidRPr="00C951AF" w:rsidRDefault="00C951AF" w:rsidP="00C951AF">
      <w:pPr>
        <w:pStyle w:val="FootnoteText"/>
        <w:rPr>
          <w:sz w:val="16"/>
          <w:szCs w:val="16"/>
        </w:rPr>
      </w:pPr>
      <w:r w:rsidRPr="00D378DC">
        <w:rPr>
          <w:rStyle w:val="FootnoteReference"/>
        </w:rPr>
        <w:tab/>
        <w:t>*</w:t>
      </w:r>
      <w:r w:rsidRPr="00D378DC">
        <w:rPr>
          <w:rStyle w:val="FootnoteReference"/>
        </w:rPr>
        <w:tab/>
      </w:r>
      <w:r w:rsidRPr="00C951AF">
        <w:rPr>
          <w:sz w:val="16"/>
          <w:szCs w:val="16"/>
        </w:rPr>
        <w:t>Von der UNECE in Englisch, Französisch und Russisch unter dem Aktenzeichen ECE/TRANS/WP.15/AC.2/202</w:t>
      </w:r>
      <w:r w:rsidR="00881C09">
        <w:rPr>
          <w:sz w:val="16"/>
          <w:szCs w:val="16"/>
        </w:rPr>
        <w:t>2</w:t>
      </w:r>
      <w:r w:rsidR="00A0781A">
        <w:rPr>
          <w:sz w:val="16"/>
          <w:szCs w:val="16"/>
        </w:rPr>
        <w:t>/</w:t>
      </w:r>
      <w:r w:rsidR="00FE2BA4">
        <w:rPr>
          <w:sz w:val="16"/>
          <w:szCs w:val="16"/>
        </w:rPr>
        <w:t>15</w:t>
      </w:r>
      <w:r w:rsidRPr="00C951AF">
        <w:rPr>
          <w:sz w:val="16"/>
          <w:szCs w:val="16"/>
        </w:rPr>
        <w:t xml:space="preserve"> verteilt.</w:t>
      </w:r>
    </w:p>
  </w:footnote>
  <w:footnote w:id="2">
    <w:p w14:paraId="7197BECA" w14:textId="77777777" w:rsidR="00C951AF" w:rsidRPr="00C951AF" w:rsidRDefault="00C951AF" w:rsidP="00C951AF">
      <w:pPr>
        <w:pStyle w:val="FootnoteText"/>
        <w:rPr>
          <w:sz w:val="16"/>
          <w:szCs w:val="16"/>
        </w:rPr>
      </w:pPr>
      <w:r w:rsidRPr="00D378DC">
        <w:rPr>
          <w:rStyle w:val="FootnoteReference"/>
        </w:rPr>
        <w:tab/>
        <w:t>**</w:t>
      </w:r>
      <w:r w:rsidRPr="00D378DC">
        <w:rPr>
          <w:rStyle w:val="FootnoteReference"/>
        </w:rPr>
        <w:tab/>
      </w:r>
      <w:r w:rsidRPr="00C951AF">
        <w:rPr>
          <w:sz w:val="16"/>
          <w:szCs w:val="16"/>
        </w:rPr>
        <w:t>Entsprechend dem Arbeitsprogramm des Binnenverkehrsausschusses für 2021 gemäß dem Entwurf des Programmhaushalts für 2021 (A/75/6 (Kap. 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54353" w14:textId="6BCD863F"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81C09">
      <w:rPr>
        <w:rFonts w:ascii="Arial" w:hAnsi="Arial"/>
        <w:snapToGrid w:val="0"/>
        <w:sz w:val="16"/>
        <w:szCs w:val="16"/>
        <w:lang w:val="en-US"/>
      </w:rPr>
      <w:t>2</w:t>
    </w:r>
    <w:r w:rsidRPr="00FF3208">
      <w:rPr>
        <w:rFonts w:ascii="Arial" w:hAnsi="Arial"/>
        <w:snapToGrid w:val="0"/>
        <w:sz w:val="16"/>
        <w:szCs w:val="16"/>
        <w:lang w:val="en-US"/>
      </w:rPr>
      <w:t>/</w:t>
    </w:r>
    <w:r w:rsidR="0016472F">
      <w:rPr>
        <w:rFonts w:ascii="Arial" w:hAnsi="Arial"/>
        <w:snapToGrid w:val="0"/>
        <w:sz w:val="16"/>
        <w:szCs w:val="16"/>
        <w:lang w:val="en-US"/>
      </w:rPr>
      <w:t>1</w:t>
    </w:r>
    <w:r w:rsidR="00FE2BA4">
      <w:rPr>
        <w:rFonts w:ascii="Arial" w:hAnsi="Arial"/>
        <w:snapToGrid w:val="0"/>
        <w:sz w:val="16"/>
        <w:szCs w:val="16"/>
        <w:lang w:val="en-US"/>
      </w:rPr>
      <w:t>5</w:t>
    </w:r>
  </w:p>
  <w:p w14:paraId="25B4A304" w14:textId="77777777"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CD0EA8">
      <w:rPr>
        <w:rFonts w:ascii="Arial" w:hAnsi="Arial"/>
        <w:noProof/>
        <w:snapToGrid w:val="0"/>
        <w:sz w:val="16"/>
        <w:szCs w:val="16"/>
      </w:rPr>
      <w:t>2</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A55B" w14:textId="3CEB6BFE"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2" w:name="_Hlk19605293"/>
    <w:bookmarkStart w:id="3"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81C09">
      <w:rPr>
        <w:rFonts w:ascii="Arial" w:hAnsi="Arial"/>
        <w:snapToGrid w:val="0"/>
        <w:sz w:val="16"/>
        <w:szCs w:val="16"/>
        <w:lang w:val="en-US"/>
      </w:rPr>
      <w:t>2</w:t>
    </w:r>
    <w:r w:rsidRPr="00FF3208">
      <w:rPr>
        <w:rFonts w:ascii="Arial" w:hAnsi="Arial"/>
        <w:snapToGrid w:val="0"/>
        <w:sz w:val="16"/>
        <w:szCs w:val="16"/>
        <w:lang w:val="en-US"/>
      </w:rPr>
      <w:t>/</w:t>
    </w:r>
    <w:r w:rsidR="00495C88">
      <w:rPr>
        <w:rFonts w:ascii="Arial" w:hAnsi="Arial"/>
        <w:snapToGrid w:val="0"/>
        <w:sz w:val="16"/>
        <w:szCs w:val="16"/>
        <w:lang w:val="en-US"/>
      </w:rPr>
      <w:t>1</w:t>
    </w:r>
    <w:r w:rsidR="006F2E34">
      <w:rPr>
        <w:rFonts w:ascii="Arial" w:hAnsi="Arial"/>
        <w:snapToGrid w:val="0"/>
        <w:sz w:val="16"/>
        <w:szCs w:val="16"/>
        <w:lang w:val="en-US"/>
      </w:rPr>
      <w:t>5</w:t>
    </w:r>
  </w:p>
  <w:p w14:paraId="22E1460A" w14:textId="77777777"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66B383E"/>
    <w:multiLevelType w:val="hybridMultilevel"/>
    <w:tmpl w:val="B0D42F54"/>
    <w:lvl w:ilvl="0" w:tplc="8314060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2BDB327C"/>
    <w:multiLevelType w:val="hybridMultilevel"/>
    <w:tmpl w:val="2802190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42E17D30"/>
    <w:multiLevelType w:val="hybridMultilevel"/>
    <w:tmpl w:val="DA1E2C7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4AAC6410"/>
    <w:multiLevelType w:val="hybridMultilevel"/>
    <w:tmpl w:val="26AA9F8E"/>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61CB66F1"/>
    <w:multiLevelType w:val="hybridMultilevel"/>
    <w:tmpl w:val="0EA079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719B0DAB"/>
    <w:multiLevelType w:val="hybridMultilevel"/>
    <w:tmpl w:val="FA787476"/>
    <w:lvl w:ilvl="0" w:tplc="755E2BDE">
      <w:start w:val="11"/>
      <w:numFmt w:val="bullet"/>
      <w:lvlText w:val="-"/>
      <w:lvlJc w:val="left"/>
      <w:pPr>
        <w:ind w:left="1854" w:hanging="360"/>
      </w:pPr>
      <w:rPr>
        <w:rFonts w:ascii="Calibri" w:eastAsiaTheme="minorHAnsi"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15:restartNumberingAfterBreak="0">
    <w:nsid w:val="7C342D45"/>
    <w:multiLevelType w:val="hybridMultilevel"/>
    <w:tmpl w:val="E618C832"/>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
  </w:num>
  <w:num w:numId="6">
    <w:abstractNumId w:val="6"/>
  </w:num>
  <w:num w:numId="7">
    <w:abstractNumId w:val="4"/>
  </w:num>
  <w:num w:numId="8">
    <w:abstractNumId w:val="1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032A6"/>
    <w:rsid w:val="00010B8A"/>
    <w:rsid w:val="00016D83"/>
    <w:rsid w:val="0002135C"/>
    <w:rsid w:val="00041631"/>
    <w:rsid w:val="00041741"/>
    <w:rsid w:val="00043EED"/>
    <w:rsid w:val="0006082C"/>
    <w:rsid w:val="000671E2"/>
    <w:rsid w:val="0009215A"/>
    <w:rsid w:val="00094A98"/>
    <w:rsid w:val="000961BC"/>
    <w:rsid w:val="000A2C21"/>
    <w:rsid w:val="000A563B"/>
    <w:rsid w:val="000B2B01"/>
    <w:rsid w:val="000C5863"/>
    <w:rsid w:val="000C6E63"/>
    <w:rsid w:val="000D0917"/>
    <w:rsid w:val="000D45A5"/>
    <w:rsid w:val="000E12CF"/>
    <w:rsid w:val="000E6257"/>
    <w:rsid w:val="000F18E8"/>
    <w:rsid w:val="000F1EC2"/>
    <w:rsid w:val="00101582"/>
    <w:rsid w:val="001244EC"/>
    <w:rsid w:val="00131A8F"/>
    <w:rsid w:val="0014060D"/>
    <w:rsid w:val="00155C7C"/>
    <w:rsid w:val="00160AF1"/>
    <w:rsid w:val="0016472F"/>
    <w:rsid w:val="00164C52"/>
    <w:rsid w:val="0017321C"/>
    <w:rsid w:val="00193A1A"/>
    <w:rsid w:val="001B445C"/>
    <w:rsid w:val="001C60D6"/>
    <w:rsid w:val="001D3E13"/>
    <w:rsid w:val="001D72E8"/>
    <w:rsid w:val="001E54C0"/>
    <w:rsid w:val="001F0C89"/>
    <w:rsid w:val="001F2E59"/>
    <w:rsid w:val="00206B17"/>
    <w:rsid w:val="00222245"/>
    <w:rsid w:val="00225E1F"/>
    <w:rsid w:val="0024783F"/>
    <w:rsid w:val="00252E9A"/>
    <w:rsid w:val="00253CF5"/>
    <w:rsid w:val="00254551"/>
    <w:rsid w:val="00257810"/>
    <w:rsid w:val="002624B3"/>
    <w:rsid w:val="00277F70"/>
    <w:rsid w:val="00287913"/>
    <w:rsid w:val="00290C68"/>
    <w:rsid w:val="00291FE3"/>
    <w:rsid w:val="0029715A"/>
    <w:rsid w:val="00297CFA"/>
    <w:rsid w:val="002A236D"/>
    <w:rsid w:val="002A37C7"/>
    <w:rsid w:val="002A6A40"/>
    <w:rsid w:val="002B2C9B"/>
    <w:rsid w:val="002C74DD"/>
    <w:rsid w:val="002D41D5"/>
    <w:rsid w:val="002E6F67"/>
    <w:rsid w:val="002F0473"/>
    <w:rsid w:val="002F4CDF"/>
    <w:rsid w:val="002F57D9"/>
    <w:rsid w:val="00300274"/>
    <w:rsid w:val="00304565"/>
    <w:rsid w:val="00315CA5"/>
    <w:rsid w:val="003467AF"/>
    <w:rsid w:val="00365CD7"/>
    <w:rsid w:val="00371F66"/>
    <w:rsid w:val="00371FFA"/>
    <w:rsid w:val="00386633"/>
    <w:rsid w:val="003874C3"/>
    <w:rsid w:val="00387BCB"/>
    <w:rsid w:val="003B3B76"/>
    <w:rsid w:val="003D2EC0"/>
    <w:rsid w:val="003D66BC"/>
    <w:rsid w:val="003E12AD"/>
    <w:rsid w:val="003E30A5"/>
    <w:rsid w:val="003E5BF9"/>
    <w:rsid w:val="003E6913"/>
    <w:rsid w:val="003F489E"/>
    <w:rsid w:val="003F5E68"/>
    <w:rsid w:val="00401382"/>
    <w:rsid w:val="004076CE"/>
    <w:rsid w:val="004144C4"/>
    <w:rsid w:val="00426B46"/>
    <w:rsid w:val="004370A1"/>
    <w:rsid w:val="00437A1A"/>
    <w:rsid w:val="00452C31"/>
    <w:rsid w:val="00454F9B"/>
    <w:rsid w:val="00483782"/>
    <w:rsid w:val="0048599F"/>
    <w:rsid w:val="00495C88"/>
    <w:rsid w:val="004A311C"/>
    <w:rsid w:val="004A4DC8"/>
    <w:rsid w:val="004A7663"/>
    <w:rsid w:val="004B6A4C"/>
    <w:rsid w:val="004B7582"/>
    <w:rsid w:val="004C1F19"/>
    <w:rsid w:val="004D45D9"/>
    <w:rsid w:val="004D572E"/>
    <w:rsid w:val="004E0F8C"/>
    <w:rsid w:val="004E2AEF"/>
    <w:rsid w:val="004E64FE"/>
    <w:rsid w:val="004F06F2"/>
    <w:rsid w:val="004F61C2"/>
    <w:rsid w:val="004F7315"/>
    <w:rsid w:val="004F7910"/>
    <w:rsid w:val="00510C03"/>
    <w:rsid w:val="005314FA"/>
    <w:rsid w:val="00534C8A"/>
    <w:rsid w:val="00535218"/>
    <w:rsid w:val="00570A39"/>
    <w:rsid w:val="005731C3"/>
    <w:rsid w:val="00586A79"/>
    <w:rsid w:val="00591A7D"/>
    <w:rsid w:val="005933DF"/>
    <w:rsid w:val="00597CF2"/>
    <w:rsid w:val="00597F37"/>
    <w:rsid w:val="005B0D38"/>
    <w:rsid w:val="005C1865"/>
    <w:rsid w:val="005C2135"/>
    <w:rsid w:val="005D0CC8"/>
    <w:rsid w:val="005D3159"/>
    <w:rsid w:val="005D34FF"/>
    <w:rsid w:val="005D3E46"/>
    <w:rsid w:val="005E13D8"/>
    <w:rsid w:val="005E1E6B"/>
    <w:rsid w:val="005E6B64"/>
    <w:rsid w:val="005F1353"/>
    <w:rsid w:val="005F5098"/>
    <w:rsid w:val="00600507"/>
    <w:rsid w:val="006006AA"/>
    <w:rsid w:val="00607AC6"/>
    <w:rsid w:val="006103B9"/>
    <w:rsid w:val="0063076E"/>
    <w:rsid w:val="00635226"/>
    <w:rsid w:val="00643AEA"/>
    <w:rsid w:val="00646C90"/>
    <w:rsid w:val="006527C0"/>
    <w:rsid w:val="00664930"/>
    <w:rsid w:val="00667780"/>
    <w:rsid w:val="00676602"/>
    <w:rsid w:val="0068191A"/>
    <w:rsid w:val="00685194"/>
    <w:rsid w:val="0069704F"/>
    <w:rsid w:val="006B10A8"/>
    <w:rsid w:val="006B1892"/>
    <w:rsid w:val="006B4C70"/>
    <w:rsid w:val="006B4FAE"/>
    <w:rsid w:val="006B79A9"/>
    <w:rsid w:val="006C10B3"/>
    <w:rsid w:val="006C2E8D"/>
    <w:rsid w:val="006E35BA"/>
    <w:rsid w:val="006E493E"/>
    <w:rsid w:val="006F2E34"/>
    <w:rsid w:val="006F4793"/>
    <w:rsid w:val="00700D37"/>
    <w:rsid w:val="00703E82"/>
    <w:rsid w:val="00720516"/>
    <w:rsid w:val="007210FE"/>
    <w:rsid w:val="00724E6F"/>
    <w:rsid w:val="007275B4"/>
    <w:rsid w:val="00732123"/>
    <w:rsid w:val="00744F34"/>
    <w:rsid w:val="00751575"/>
    <w:rsid w:val="00753C76"/>
    <w:rsid w:val="0076301C"/>
    <w:rsid w:val="007820E6"/>
    <w:rsid w:val="007863A3"/>
    <w:rsid w:val="0079554D"/>
    <w:rsid w:val="007A224F"/>
    <w:rsid w:val="007B1AFE"/>
    <w:rsid w:val="007C4366"/>
    <w:rsid w:val="007C72B0"/>
    <w:rsid w:val="007D2568"/>
    <w:rsid w:val="007D2C1E"/>
    <w:rsid w:val="00817534"/>
    <w:rsid w:val="008243CD"/>
    <w:rsid w:val="008245D5"/>
    <w:rsid w:val="00827D8E"/>
    <w:rsid w:val="00827ECE"/>
    <w:rsid w:val="00830501"/>
    <w:rsid w:val="00832CF4"/>
    <w:rsid w:val="008444B4"/>
    <w:rsid w:val="00845886"/>
    <w:rsid w:val="008575CE"/>
    <w:rsid w:val="00863D48"/>
    <w:rsid w:val="00877812"/>
    <w:rsid w:val="00877F15"/>
    <w:rsid w:val="00881C09"/>
    <w:rsid w:val="00884338"/>
    <w:rsid w:val="008950EF"/>
    <w:rsid w:val="00895F87"/>
    <w:rsid w:val="008A4259"/>
    <w:rsid w:val="008A4F51"/>
    <w:rsid w:val="008B473A"/>
    <w:rsid w:val="008C05DD"/>
    <w:rsid w:val="008D704B"/>
    <w:rsid w:val="008D7BC3"/>
    <w:rsid w:val="008E0E25"/>
    <w:rsid w:val="008F4F6A"/>
    <w:rsid w:val="008F5F2C"/>
    <w:rsid w:val="0090426C"/>
    <w:rsid w:val="00917B55"/>
    <w:rsid w:val="00927A37"/>
    <w:rsid w:val="00942CB5"/>
    <w:rsid w:val="00953424"/>
    <w:rsid w:val="009545CD"/>
    <w:rsid w:val="0096340F"/>
    <w:rsid w:val="0096394F"/>
    <w:rsid w:val="009758DF"/>
    <w:rsid w:val="00981604"/>
    <w:rsid w:val="00981F9F"/>
    <w:rsid w:val="009873A1"/>
    <w:rsid w:val="009A5ADD"/>
    <w:rsid w:val="009C033F"/>
    <w:rsid w:val="009C2CFF"/>
    <w:rsid w:val="009D41DB"/>
    <w:rsid w:val="009D5560"/>
    <w:rsid w:val="009E2B4D"/>
    <w:rsid w:val="009F44CC"/>
    <w:rsid w:val="009F6E42"/>
    <w:rsid w:val="00A0258A"/>
    <w:rsid w:val="00A02FB6"/>
    <w:rsid w:val="00A0357B"/>
    <w:rsid w:val="00A048C7"/>
    <w:rsid w:val="00A0781A"/>
    <w:rsid w:val="00A30447"/>
    <w:rsid w:val="00A30CD2"/>
    <w:rsid w:val="00A52A61"/>
    <w:rsid w:val="00A548C2"/>
    <w:rsid w:val="00A857CC"/>
    <w:rsid w:val="00A86CBF"/>
    <w:rsid w:val="00A90B14"/>
    <w:rsid w:val="00A916E3"/>
    <w:rsid w:val="00A97CEA"/>
    <w:rsid w:val="00A97F6F"/>
    <w:rsid w:val="00AA0995"/>
    <w:rsid w:val="00AA3EBC"/>
    <w:rsid w:val="00AC5D66"/>
    <w:rsid w:val="00AC78AF"/>
    <w:rsid w:val="00AC7F3E"/>
    <w:rsid w:val="00AD7833"/>
    <w:rsid w:val="00AE0AFB"/>
    <w:rsid w:val="00AE5AF2"/>
    <w:rsid w:val="00AF1A9A"/>
    <w:rsid w:val="00AF1F43"/>
    <w:rsid w:val="00B302EA"/>
    <w:rsid w:val="00B3094B"/>
    <w:rsid w:val="00B4533C"/>
    <w:rsid w:val="00B46A3B"/>
    <w:rsid w:val="00B56BC7"/>
    <w:rsid w:val="00B60BBC"/>
    <w:rsid w:val="00B64645"/>
    <w:rsid w:val="00B72BC1"/>
    <w:rsid w:val="00B741AB"/>
    <w:rsid w:val="00B74E20"/>
    <w:rsid w:val="00B76310"/>
    <w:rsid w:val="00B82974"/>
    <w:rsid w:val="00B849A1"/>
    <w:rsid w:val="00B84B6D"/>
    <w:rsid w:val="00B87AB7"/>
    <w:rsid w:val="00B93698"/>
    <w:rsid w:val="00BA54FF"/>
    <w:rsid w:val="00BB0DBC"/>
    <w:rsid w:val="00BB4CC9"/>
    <w:rsid w:val="00BB58B4"/>
    <w:rsid w:val="00BC2658"/>
    <w:rsid w:val="00BD4DE1"/>
    <w:rsid w:val="00BE3AD1"/>
    <w:rsid w:val="00C03B8B"/>
    <w:rsid w:val="00C07195"/>
    <w:rsid w:val="00C125FE"/>
    <w:rsid w:val="00C14ADD"/>
    <w:rsid w:val="00C2636A"/>
    <w:rsid w:val="00C3092A"/>
    <w:rsid w:val="00C350A9"/>
    <w:rsid w:val="00C5439E"/>
    <w:rsid w:val="00C5468A"/>
    <w:rsid w:val="00C57E51"/>
    <w:rsid w:val="00C60E10"/>
    <w:rsid w:val="00C66A9E"/>
    <w:rsid w:val="00C820AB"/>
    <w:rsid w:val="00C827DD"/>
    <w:rsid w:val="00C94048"/>
    <w:rsid w:val="00C951AF"/>
    <w:rsid w:val="00C95EB0"/>
    <w:rsid w:val="00CA52A7"/>
    <w:rsid w:val="00CA640A"/>
    <w:rsid w:val="00CD0EA8"/>
    <w:rsid w:val="00CD1FEF"/>
    <w:rsid w:val="00CE69DE"/>
    <w:rsid w:val="00CF1246"/>
    <w:rsid w:val="00D07584"/>
    <w:rsid w:val="00D12776"/>
    <w:rsid w:val="00D15348"/>
    <w:rsid w:val="00D25F16"/>
    <w:rsid w:val="00D335FC"/>
    <w:rsid w:val="00D36741"/>
    <w:rsid w:val="00D405D0"/>
    <w:rsid w:val="00D45DD4"/>
    <w:rsid w:val="00D4726C"/>
    <w:rsid w:val="00D56235"/>
    <w:rsid w:val="00D63E14"/>
    <w:rsid w:val="00D64C07"/>
    <w:rsid w:val="00D703CD"/>
    <w:rsid w:val="00D92848"/>
    <w:rsid w:val="00DA0DA3"/>
    <w:rsid w:val="00DA230E"/>
    <w:rsid w:val="00DA42D3"/>
    <w:rsid w:val="00DB52E7"/>
    <w:rsid w:val="00DB57E7"/>
    <w:rsid w:val="00DC29DD"/>
    <w:rsid w:val="00DD58BF"/>
    <w:rsid w:val="00DF0943"/>
    <w:rsid w:val="00DF697F"/>
    <w:rsid w:val="00E020D8"/>
    <w:rsid w:val="00E03BF3"/>
    <w:rsid w:val="00E04049"/>
    <w:rsid w:val="00E1204F"/>
    <w:rsid w:val="00E14F14"/>
    <w:rsid w:val="00E17434"/>
    <w:rsid w:val="00E37FFD"/>
    <w:rsid w:val="00E41049"/>
    <w:rsid w:val="00E43C09"/>
    <w:rsid w:val="00E530FC"/>
    <w:rsid w:val="00E53F04"/>
    <w:rsid w:val="00E565DE"/>
    <w:rsid w:val="00E569AC"/>
    <w:rsid w:val="00E576D5"/>
    <w:rsid w:val="00E727CB"/>
    <w:rsid w:val="00E82172"/>
    <w:rsid w:val="00E824B3"/>
    <w:rsid w:val="00E83D57"/>
    <w:rsid w:val="00E94E2A"/>
    <w:rsid w:val="00EB6AB9"/>
    <w:rsid w:val="00ED557F"/>
    <w:rsid w:val="00EE1530"/>
    <w:rsid w:val="00EE66ED"/>
    <w:rsid w:val="00EF540E"/>
    <w:rsid w:val="00F00F14"/>
    <w:rsid w:val="00F15364"/>
    <w:rsid w:val="00F35FEB"/>
    <w:rsid w:val="00F50E8B"/>
    <w:rsid w:val="00F5316B"/>
    <w:rsid w:val="00F72EAD"/>
    <w:rsid w:val="00FA20A1"/>
    <w:rsid w:val="00FB1D05"/>
    <w:rsid w:val="00FC3A9D"/>
    <w:rsid w:val="00FE16E8"/>
    <w:rsid w:val="00FE2BA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0E74DFDA"/>
  <w15:docId w15:val="{E808E2C0-A215-4C5D-B6A2-A596B65E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uiPriority w:val="99"/>
    <w:qFormat/>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table" w:customStyle="1" w:styleId="Grilledutableau1">
    <w:name w:val="Grille du tableau1"/>
    <w:basedOn w:val="TableNormal"/>
    <w:next w:val="TableGrid"/>
    <w:uiPriority w:val="59"/>
    <w:rsid w:val="00E43C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534C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rsid w:val="001D3E13"/>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semiHidden/>
    <w:unhideWhenUsed/>
    <w:rsid w:val="00A30CD2"/>
    <w:rPr>
      <w:sz w:val="16"/>
      <w:szCs w:val="16"/>
    </w:rPr>
  </w:style>
  <w:style w:type="paragraph" w:styleId="CommentText">
    <w:name w:val="annotation text"/>
    <w:basedOn w:val="Normal"/>
    <w:link w:val="CommentTextChar"/>
    <w:semiHidden/>
    <w:unhideWhenUsed/>
    <w:rsid w:val="00A30CD2"/>
  </w:style>
  <w:style w:type="character" w:customStyle="1" w:styleId="CommentTextChar">
    <w:name w:val="Comment Text Char"/>
    <w:basedOn w:val="DefaultParagraphFont"/>
    <w:link w:val="CommentText"/>
    <w:semiHidden/>
    <w:rsid w:val="00A30CD2"/>
    <w:rPr>
      <w:lang w:eastAsia="fr-FR"/>
    </w:rPr>
  </w:style>
  <w:style w:type="paragraph" w:styleId="CommentSubject">
    <w:name w:val="annotation subject"/>
    <w:basedOn w:val="CommentText"/>
    <w:next w:val="CommentText"/>
    <w:link w:val="CommentSubjectChar"/>
    <w:semiHidden/>
    <w:unhideWhenUsed/>
    <w:rsid w:val="00A30CD2"/>
    <w:rPr>
      <w:b/>
      <w:bCs/>
    </w:rPr>
  </w:style>
  <w:style w:type="character" w:customStyle="1" w:styleId="CommentSubjectChar">
    <w:name w:val="Comment Subject Char"/>
    <w:basedOn w:val="CommentTextChar"/>
    <w:link w:val="CommentSubject"/>
    <w:semiHidden/>
    <w:rsid w:val="00A30CD2"/>
    <w:rPr>
      <w:b/>
      <w:bCs/>
      <w:lang w:eastAsia="fr-FR"/>
    </w:rPr>
  </w:style>
  <w:style w:type="paragraph" w:customStyle="1" w:styleId="a">
    <w:name w:val="a_"/>
    <w:basedOn w:val="BodyTextIndent2"/>
    <w:rsid w:val="005F1353"/>
    <w:pPr>
      <w:widowControl/>
      <w:tabs>
        <w:tab w:val="left" w:pos="426"/>
        <w:tab w:val="left" w:pos="709"/>
      </w:tabs>
      <w:overflowPunct/>
      <w:autoSpaceDE/>
      <w:autoSpaceDN/>
      <w:adjustRightInd/>
      <w:spacing w:after="0" w:line="240" w:lineRule="atLeast"/>
      <w:ind w:left="709" w:hanging="709"/>
      <w:textAlignment w:val="auto"/>
    </w:pPr>
    <w:rPr>
      <w:rFonts w:ascii="Arial" w:hAnsi="Arial" w:cs="Arial"/>
      <w:snapToGrid w:val="0"/>
    </w:rPr>
  </w:style>
  <w:style w:type="paragraph" w:styleId="BodyTextIndent2">
    <w:name w:val="Body Text Indent 2"/>
    <w:basedOn w:val="Normal"/>
    <w:link w:val="BodyTextIndent2Char"/>
    <w:semiHidden/>
    <w:unhideWhenUsed/>
    <w:rsid w:val="005F1353"/>
    <w:pPr>
      <w:spacing w:after="120" w:line="480" w:lineRule="auto"/>
      <w:ind w:left="283"/>
    </w:pPr>
  </w:style>
  <w:style w:type="character" w:customStyle="1" w:styleId="BodyTextIndent2Char">
    <w:name w:val="Body Text Indent 2 Char"/>
    <w:basedOn w:val="DefaultParagraphFont"/>
    <w:link w:val="BodyTextIndent2"/>
    <w:semiHidden/>
    <w:rsid w:val="005F1353"/>
    <w:rPr>
      <w:lang w:eastAsia="fr-FR"/>
    </w:rPr>
  </w:style>
  <w:style w:type="paragraph" w:styleId="BodyTextIndent">
    <w:name w:val="Body Text Indent"/>
    <w:basedOn w:val="Normal"/>
    <w:link w:val="BodyTextIndentChar"/>
    <w:semiHidden/>
    <w:unhideWhenUsed/>
    <w:rsid w:val="00F00F14"/>
    <w:pPr>
      <w:spacing w:after="120"/>
      <w:ind w:left="283"/>
    </w:pPr>
  </w:style>
  <w:style w:type="character" w:customStyle="1" w:styleId="BodyTextIndentChar">
    <w:name w:val="Body Text Indent Char"/>
    <w:basedOn w:val="DefaultParagraphFont"/>
    <w:link w:val="BodyTextIndent"/>
    <w:semiHidden/>
    <w:rsid w:val="00F00F14"/>
    <w:rPr>
      <w:lang w:eastAsia="fr-FR"/>
    </w:rPr>
  </w:style>
  <w:style w:type="table" w:customStyle="1" w:styleId="Grilledutableau2">
    <w:name w:val="Grille du tableau2"/>
    <w:basedOn w:val="TableNormal"/>
    <w:next w:val="TableGrid"/>
    <w:rsid w:val="00A0781A"/>
    <w:pPr>
      <w:suppressAutoHyphens/>
      <w:spacing w:line="240" w:lineRule="atLeast"/>
    </w:pPr>
    <w:rPr>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uiPriority w:val="99"/>
    <w:rsid w:val="00A0781A"/>
    <w:rPr>
      <w:b/>
      <w:sz w:val="28"/>
      <w:lang w:val="fr-CH" w:eastAsia="fr-FR"/>
    </w:rPr>
  </w:style>
  <w:style w:type="table" w:customStyle="1" w:styleId="Grilledutableau3">
    <w:name w:val="Grille du tableau3"/>
    <w:basedOn w:val="TableNormal"/>
    <w:next w:val="TableGrid"/>
    <w:rsid w:val="00495C88"/>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4">
    <w:name w:val="Grille du tableau4"/>
    <w:basedOn w:val="TableNormal"/>
    <w:next w:val="TableGrid"/>
    <w:semiHidden/>
    <w:rsid w:val="00FE2B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AD034-DB05-4C59-A691-64470E10D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192E6-76FB-4D75-93E2-B6D7AB94E034}">
  <ds:schemaRefs>
    <ds:schemaRef ds:uri="http://schemas.openxmlformats.org/officeDocument/2006/bibliography"/>
  </ds:schemaRefs>
</ds:datastoreItem>
</file>

<file path=customXml/itemProps4.xml><?xml version="1.0" encoding="utf-8"?>
<ds:datastoreItem xmlns:ds="http://schemas.openxmlformats.org/officeDocument/2006/customXml" ds:itemID="{7533DFF0-7559-46C7-B177-C55DE4E11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7961</Characters>
  <Application>Microsoft Office Word</Application>
  <DocSecurity>4</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Nadiya Dzyubynska</cp:lastModifiedBy>
  <cp:revision>2</cp:revision>
  <cp:lastPrinted>2019-11-12T10:07:00Z</cp:lastPrinted>
  <dcterms:created xsi:type="dcterms:W3CDTF">2021-12-08T16:21:00Z</dcterms:created>
  <dcterms:modified xsi:type="dcterms:W3CDTF">2021-12-08T16:21:00Z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