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0599" w14:textId="7FE4F924" w:rsidR="00881C09" w:rsidRPr="00800240" w:rsidRDefault="00881C09" w:rsidP="00881C09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 w:bidi="fr-FR"/>
        </w:rPr>
      </w:pPr>
      <w:r w:rsidRPr="00800240">
        <w:rPr>
          <w:rFonts w:ascii="Arial" w:eastAsia="Arial" w:hAnsi="Arial" w:cs="Arial"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9681C8F" wp14:editId="1A1C62DB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240">
        <w:rPr>
          <w:rFonts w:ascii="Arial" w:eastAsia="Arial" w:hAnsi="Arial" w:cs="Arial"/>
          <w:bCs/>
          <w:szCs w:val="24"/>
          <w:lang w:eastAsia="de-DE"/>
        </w:rPr>
        <w:t>CCNR-ZKR/ADN/WP.15/AC.2/2022/</w:t>
      </w:r>
      <w:r w:rsidR="00DC29DD" w:rsidRPr="00800240">
        <w:rPr>
          <w:rFonts w:ascii="Arial" w:eastAsia="Arial" w:hAnsi="Arial" w:cs="Arial"/>
          <w:bCs/>
          <w:szCs w:val="24"/>
          <w:lang w:eastAsia="de-DE"/>
        </w:rPr>
        <w:t>1</w:t>
      </w:r>
      <w:r w:rsidR="0090426C" w:rsidRPr="00800240">
        <w:rPr>
          <w:rFonts w:ascii="Arial" w:eastAsia="Arial" w:hAnsi="Arial" w:cs="Arial"/>
          <w:bCs/>
          <w:szCs w:val="24"/>
          <w:lang w:eastAsia="de-DE"/>
        </w:rPr>
        <w:t>3</w:t>
      </w:r>
    </w:p>
    <w:p w14:paraId="492FBF89" w14:textId="77777777" w:rsidR="00881C09" w:rsidRPr="00800240" w:rsidRDefault="00881C09" w:rsidP="00272597">
      <w:pPr>
        <w:widowControl/>
        <w:tabs>
          <w:tab w:val="left" w:pos="5670"/>
        </w:tabs>
        <w:overflowPunct/>
        <w:autoSpaceDE/>
        <w:autoSpaceDN/>
        <w:adjustRightInd/>
        <w:snapToGrid w:val="0"/>
        <w:spacing w:after="4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800240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47D3B579" w14:textId="57E5C3C9" w:rsidR="00881C09" w:rsidRPr="00800240" w:rsidRDefault="00E17434" w:rsidP="00881C0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800240">
        <w:rPr>
          <w:rFonts w:ascii="Arial" w:eastAsia="Arial" w:hAnsi="Arial" w:cs="Arial"/>
          <w:szCs w:val="24"/>
          <w:lang w:eastAsia="de-DE"/>
        </w:rPr>
        <w:t>1</w:t>
      </w:r>
      <w:r w:rsidR="00E1204F" w:rsidRPr="00800240">
        <w:rPr>
          <w:rFonts w:ascii="Arial" w:eastAsia="Arial" w:hAnsi="Arial" w:cs="Arial"/>
          <w:szCs w:val="24"/>
          <w:lang w:eastAsia="de-DE"/>
        </w:rPr>
        <w:t>2</w:t>
      </w:r>
      <w:r w:rsidR="00881C09" w:rsidRPr="00800240">
        <w:rPr>
          <w:rFonts w:ascii="Arial" w:eastAsia="Arial" w:hAnsi="Arial" w:cs="Arial"/>
          <w:szCs w:val="24"/>
          <w:lang w:eastAsia="de-DE"/>
        </w:rPr>
        <w:t xml:space="preserve">. </w:t>
      </w:r>
      <w:r w:rsidRPr="00800240">
        <w:rPr>
          <w:rFonts w:ascii="Arial" w:eastAsia="Arial" w:hAnsi="Arial" w:cs="Arial"/>
          <w:szCs w:val="24"/>
          <w:lang w:eastAsia="de-DE"/>
        </w:rPr>
        <w:t>November</w:t>
      </w:r>
      <w:r w:rsidR="00881C09" w:rsidRPr="00800240">
        <w:rPr>
          <w:rFonts w:ascii="Arial" w:eastAsia="Arial" w:hAnsi="Arial" w:cs="Arial"/>
          <w:szCs w:val="24"/>
          <w:lang w:eastAsia="de-DE"/>
        </w:rPr>
        <w:t xml:space="preserve"> 2021</w:t>
      </w:r>
    </w:p>
    <w:p w14:paraId="1FE5C078" w14:textId="1AB5D634" w:rsidR="00881C09" w:rsidRPr="00800240" w:rsidRDefault="00881C09" w:rsidP="00881C0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800240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800240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A0781A" w:rsidRPr="00800240">
        <w:rPr>
          <w:rFonts w:ascii="Arial" w:eastAsia="Arial" w:hAnsi="Arial" w:cs="Arial"/>
          <w:sz w:val="16"/>
          <w:szCs w:val="24"/>
          <w:lang w:eastAsia="de-DE"/>
        </w:rPr>
        <w:t>FRANZÖSISCH</w:t>
      </w:r>
    </w:p>
    <w:p w14:paraId="4C158972" w14:textId="77777777" w:rsidR="00881C09" w:rsidRPr="00800240" w:rsidRDefault="00881C09" w:rsidP="00881C0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7146A9AF" w14:textId="77777777" w:rsidR="00881C09" w:rsidRPr="00800240" w:rsidRDefault="00881C09" w:rsidP="00881C0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EE8A585" w14:textId="77777777" w:rsidR="00881C09" w:rsidRPr="00800240" w:rsidRDefault="00881C09" w:rsidP="00881C09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</w:p>
    <w:p w14:paraId="7E22BE66" w14:textId="77777777" w:rsidR="00881C09" w:rsidRPr="00800240" w:rsidRDefault="00881C09" w:rsidP="00881C0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800240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800240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800240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15EF3C27" w14:textId="77777777" w:rsidR="00881C09" w:rsidRPr="00800240" w:rsidRDefault="00881C09" w:rsidP="00881C0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800240">
        <w:rPr>
          <w:rFonts w:ascii="Arial" w:hAnsi="Arial"/>
          <w:sz w:val="16"/>
          <w:szCs w:val="24"/>
        </w:rPr>
        <w:t>(39. Tagung, Genf, 24. – 28. Januar 2022)</w:t>
      </w:r>
    </w:p>
    <w:p w14:paraId="15E369A1" w14:textId="3CC61681" w:rsidR="00881C09" w:rsidRPr="00800240" w:rsidRDefault="00881C09" w:rsidP="00881C0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800240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E1204F" w:rsidRPr="00800240">
        <w:rPr>
          <w:rFonts w:ascii="Arial" w:hAnsi="Arial" w:cs="Arial"/>
          <w:sz w:val="16"/>
          <w:szCs w:val="16"/>
          <w:lang w:eastAsia="en-US"/>
        </w:rPr>
        <w:t>5</w:t>
      </w:r>
      <w:r w:rsidR="00A0781A" w:rsidRPr="00800240">
        <w:rPr>
          <w:rFonts w:ascii="Arial" w:hAnsi="Arial" w:cs="Arial"/>
          <w:sz w:val="16"/>
          <w:szCs w:val="16"/>
          <w:lang w:eastAsia="en-US"/>
        </w:rPr>
        <w:t xml:space="preserve"> b</w:t>
      </w:r>
      <w:r w:rsidRPr="00800240">
        <w:rPr>
          <w:rFonts w:ascii="Arial" w:hAnsi="Arial" w:cs="Arial"/>
          <w:sz w:val="16"/>
          <w:szCs w:val="16"/>
          <w:lang w:eastAsia="en-US"/>
        </w:rPr>
        <w:t xml:space="preserve">) </w:t>
      </w:r>
      <w:r w:rsidR="0047081C" w:rsidRPr="00800240">
        <w:rPr>
          <w:rFonts w:ascii="Arial" w:hAnsi="Arial" w:cs="Arial"/>
          <w:sz w:val="16"/>
          <w:szCs w:val="16"/>
          <w:lang w:eastAsia="en-US"/>
        </w:rPr>
        <w:t>der</w:t>
      </w:r>
      <w:r w:rsidRPr="00800240">
        <w:rPr>
          <w:rFonts w:ascii="Arial" w:hAnsi="Arial" w:cs="Arial"/>
          <w:sz w:val="16"/>
          <w:szCs w:val="16"/>
          <w:lang w:eastAsia="en-US"/>
        </w:rPr>
        <w:t xml:space="preserve"> vorläufigen Tagesordnung</w:t>
      </w:r>
    </w:p>
    <w:p w14:paraId="50580793" w14:textId="77777777" w:rsidR="00881C09" w:rsidRPr="00800240" w:rsidRDefault="00881C09" w:rsidP="00881C09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800240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Änderungsvorschläge</w:t>
      </w:r>
    </w:p>
    <w:p w14:paraId="757A9CF1" w14:textId="2B792437" w:rsidR="00E17434" w:rsidRPr="00800240" w:rsidRDefault="00C951AF" w:rsidP="006E7FEC">
      <w:pPr>
        <w:pStyle w:val="HChG"/>
        <w:rPr>
          <w:lang w:val="de-DE"/>
        </w:rPr>
      </w:pPr>
      <w:r w:rsidRPr="00800240">
        <w:rPr>
          <w:lang w:val="de-DE" w:eastAsia="en-US"/>
        </w:rPr>
        <w:tab/>
      </w:r>
      <w:r w:rsidRPr="00800240">
        <w:rPr>
          <w:lang w:val="de-DE" w:eastAsia="en-US"/>
        </w:rPr>
        <w:tab/>
      </w:r>
      <w:r w:rsidR="006E7FEC" w:rsidRPr="00800240">
        <w:rPr>
          <w:lang w:val="de-DE" w:eastAsia="zh-CN"/>
        </w:rPr>
        <w:t>Zulassungszeugnisse und Seeschiffe</w:t>
      </w:r>
    </w:p>
    <w:p w14:paraId="70A10A7C" w14:textId="475176A6" w:rsidR="00C951AF" w:rsidRPr="00800240" w:rsidRDefault="00C951AF" w:rsidP="00E020D8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800240">
        <w:rPr>
          <w:b/>
          <w:sz w:val="24"/>
          <w:lang w:eastAsia="en-US"/>
        </w:rPr>
        <w:tab/>
      </w:r>
      <w:r w:rsidRPr="00800240">
        <w:rPr>
          <w:b/>
          <w:sz w:val="24"/>
          <w:lang w:eastAsia="en-US"/>
        </w:rPr>
        <w:tab/>
        <w:t xml:space="preserve">Eingereicht von </w:t>
      </w:r>
      <w:r w:rsidR="00A0781A" w:rsidRPr="00800240">
        <w:rPr>
          <w:b/>
          <w:sz w:val="24"/>
          <w:lang w:eastAsia="en-US"/>
        </w:rPr>
        <w:t>Frankreich</w:t>
      </w:r>
      <w:r w:rsidRPr="00800240">
        <w:rPr>
          <w:bCs/>
          <w:lang w:eastAsia="en-US"/>
        </w:rPr>
        <w:footnoteReference w:customMarkFollows="1" w:id="1"/>
        <w:t>*</w:t>
      </w:r>
      <w:r w:rsidRPr="00800240">
        <w:rPr>
          <w:bCs/>
          <w:vertAlign w:val="superscript"/>
          <w:lang w:eastAsia="en-US"/>
        </w:rPr>
        <w:t>,</w:t>
      </w:r>
      <w:r w:rsidRPr="00800240">
        <w:rPr>
          <w:b/>
          <w:vertAlign w:val="superscript"/>
          <w:lang w:eastAsia="en-US"/>
        </w:rPr>
        <w:t xml:space="preserve"> </w:t>
      </w:r>
      <w:r w:rsidRPr="00800240">
        <w:rPr>
          <w:bCs/>
          <w:lang w:eastAsia="en-US"/>
        </w:rPr>
        <w:footnoteReference w:customMarkFollows="1" w:id="2"/>
        <w:t>**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309"/>
      </w:tblGrid>
      <w:tr w:rsidR="00A0781A" w:rsidRPr="00800240" w14:paraId="01DF961B" w14:textId="77777777" w:rsidTr="000F7883">
        <w:trPr>
          <w:trHeight w:val="240"/>
          <w:jc w:val="center"/>
        </w:trPr>
        <w:tc>
          <w:tcPr>
            <w:tcW w:w="2330" w:type="dxa"/>
            <w:tcBorders>
              <w:bottom w:val="nil"/>
              <w:right w:val="nil"/>
            </w:tcBorders>
            <w:shd w:val="clear" w:color="auto" w:fill="auto"/>
          </w:tcPr>
          <w:p w14:paraId="2A9BEBBF" w14:textId="4063386A" w:rsidR="00A0781A" w:rsidRPr="00800240" w:rsidRDefault="00A0781A" w:rsidP="00A0781A">
            <w:pPr>
              <w:tabs>
                <w:tab w:val="left" w:pos="284"/>
              </w:tabs>
              <w:kinsoku w:val="0"/>
              <w:snapToGrid w:val="0"/>
              <w:spacing w:before="120" w:after="120"/>
              <w:rPr>
                <w:i/>
              </w:rPr>
            </w:pPr>
            <w:bookmarkStart w:id="0" w:name="_Hlk515009299"/>
            <w:r w:rsidRPr="00800240">
              <w:rPr>
                <w:i/>
                <w:sz w:val="24"/>
                <w:szCs w:val="24"/>
              </w:rPr>
              <w:t>Zusammenfassung</w:t>
            </w:r>
          </w:p>
        </w:tc>
        <w:tc>
          <w:tcPr>
            <w:tcW w:w="7309" w:type="dxa"/>
            <w:tcBorders>
              <w:left w:val="nil"/>
              <w:bottom w:val="nil"/>
            </w:tcBorders>
            <w:shd w:val="clear" w:color="auto" w:fill="auto"/>
          </w:tcPr>
          <w:p w14:paraId="3AAFB5D6" w14:textId="17B2CF96" w:rsidR="00A0781A" w:rsidRPr="00800240" w:rsidRDefault="006E7FEC" w:rsidP="006E7FEC">
            <w:pPr>
              <w:kinsoku w:val="0"/>
              <w:snapToGrid w:val="0"/>
              <w:spacing w:before="120" w:after="120"/>
            </w:pPr>
            <w:r w:rsidRPr="00800240">
              <w:t>Frankreich schlägt eine Änderung des Kapitels 1.16 über Seeschiffe vor.</w:t>
            </w:r>
          </w:p>
        </w:tc>
      </w:tr>
      <w:tr w:rsidR="00A0781A" w:rsidRPr="00800240" w14:paraId="7BC11CAE" w14:textId="77777777" w:rsidTr="000F7883">
        <w:trPr>
          <w:trHeight w:val="240"/>
          <w:jc w:val="center"/>
        </w:trPr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8E4898" w14:textId="7CAFB25B" w:rsidR="00A0781A" w:rsidRPr="00800240" w:rsidRDefault="00A0781A" w:rsidP="006E7FEC">
            <w:pPr>
              <w:kinsoku w:val="0"/>
              <w:snapToGrid w:val="0"/>
              <w:spacing w:before="40" w:after="120"/>
              <w:ind w:left="0" w:firstLine="0"/>
              <w:jc w:val="left"/>
              <w:rPr>
                <w:b/>
              </w:rPr>
            </w:pPr>
            <w:r w:rsidRPr="00800240">
              <w:rPr>
                <w:b/>
              </w:rPr>
              <w:t>Analytische Zusammenfassung: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83F7AA" w14:textId="401B0D8A" w:rsidR="00A0781A" w:rsidRPr="00800240" w:rsidRDefault="00456E86" w:rsidP="000F7883">
            <w:pPr>
              <w:widowControl/>
              <w:kinsoku w:val="0"/>
              <w:snapToGrid w:val="0"/>
              <w:spacing w:before="40" w:after="120"/>
              <w:ind w:left="0" w:firstLine="0"/>
              <w:textAlignment w:val="auto"/>
              <w:rPr>
                <w:rFonts w:cs="Arial"/>
              </w:rPr>
            </w:pPr>
            <w:r w:rsidRPr="00800240">
              <w:rPr>
                <w:lang w:eastAsia="zh-CN"/>
              </w:rPr>
              <w:t xml:space="preserve">Frankreich möchte die Möglichkeit schaffen, Seeschiffe, die auf Binnenwasserstraßen verkehren, vom Besitz eines Zulassungszeugnisses zu befreien, sofern diese Schiffe über die einschlägigen Zeugnisse </w:t>
            </w:r>
            <w:r w:rsidR="00893BD9" w:rsidRPr="00800240">
              <w:rPr>
                <w:lang w:eastAsia="zh-CN"/>
              </w:rPr>
              <w:t xml:space="preserve">für die Seeschifffahrt </w:t>
            </w:r>
            <w:r w:rsidRPr="00800240">
              <w:rPr>
                <w:lang w:eastAsia="zh-CN"/>
              </w:rPr>
              <w:t>verfügen.</w:t>
            </w:r>
          </w:p>
        </w:tc>
      </w:tr>
      <w:tr w:rsidR="00A0781A" w:rsidRPr="00800240" w14:paraId="3485B273" w14:textId="77777777" w:rsidTr="000F7883">
        <w:trPr>
          <w:jc w:val="center"/>
        </w:trPr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63CF1" w14:textId="7A0D2677" w:rsidR="00A0781A" w:rsidRPr="00800240" w:rsidRDefault="00A0781A" w:rsidP="00A0781A">
            <w:pPr>
              <w:kinsoku w:val="0"/>
              <w:snapToGrid w:val="0"/>
              <w:spacing w:before="40" w:after="120"/>
              <w:ind w:left="0" w:firstLine="0"/>
              <w:jc w:val="left"/>
              <w:rPr>
                <w:b/>
              </w:rPr>
            </w:pPr>
            <w:r w:rsidRPr="00800240">
              <w:rPr>
                <w:b/>
              </w:rPr>
              <w:t>Zu ergreifende Maßnahme: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0CBB98" w14:textId="2243ED66" w:rsidR="00A0781A" w:rsidRPr="00800240" w:rsidRDefault="00A0781A" w:rsidP="00A0781A">
            <w:pPr>
              <w:kinsoku w:val="0"/>
              <w:snapToGrid w:val="0"/>
              <w:spacing w:before="40" w:after="120"/>
              <w:ind w:left="11" w:firstLine="0"/>
            </w:pPr>
            <w:r w:rsidRPr="00800240">
              <w:rPr>
                <w:lang w:eastAsia="zh-CN"/>
              </w:rPr>
              <w:t xml:space="preserve">Siehe </w:t>
            </w:r>
            <w:r w:rsidR="001417EB" w:rsidRPr="00800240">
              <w:rPr>
                <w:lang w:eastAsia="zh-CN"/>
              </w:rPr>
              <w:t xml:space="preserve">Absätze </w:t>
            </w:r>
            <w:r w:rsidRPr="00800240">
              <w:rPr>
                <w:lang w:eastAsia="zh-CN"/>
              </w:rPr>
              <w:t>5 bis 7 und die Anlage</w:t>
            </w:r>
          </w:p>
        </w:tc>
      </w:tr>
      <w:tr w:rsidR="00A0781A" w:rsidRPr="00800240" w14:paraId="0F8590F7" w14:textId="77777777" w:rsidTr="000F7883">
        <w:trPr>
          <w:jc w:val="center"/>
        </w:trPr>
        <w:tc>
          <w:tcPr>
            <w:tcW w:w="2330" w:type="dxa"/>
            <w:tcBorders>
              <w:top w:val="nil"/>
              <w:right w:val="nil"/>
            </w:tcBorders>
            <w:shd w:val="clear" w:color="auto" w:fill="auto"/>
          </w:tcPr>
          <w:p w14:paraId="081BC5C4" w14:textId="6C33292D" w:rsidR="00A0781A" w:rsidRPr="00800240" w:rsidRDefault="00A0781A" w:rsidP="00A0781A">
            <w:pPr>
              <w:tabs>
                <w:tab w:val="left" w:pos="284"/>
              </w:tabs>
              <w:kinsoku w:val="0"/>
              <w:snapToGrid w:val="0"/>
              <w:spacing w:before="40" w:after="120"/>
              <w:ind w:left="0" w:firstLine="0"/>
              <w:jc w:val="left"/>
              <w:rPr>
                <w:b/>
              </w:rPr>
            </w:pPr>
            <w:r w:rsidRPr="00800240">
              <w:rPr>
                <w:b/>
              </w:rPr>
              <w:t>Referenzdokumente:</w:t>
            </w:r>
          </w:p>
        </w:tc>
        <w:tc>
          <w:tcPr>
            <w:tcW w:w="7309" w:type="dxa"/>
            <w:tcBorders>
              <w:top w:val="nil"/>
              <w:left w:val="nil"/>
            </w:tcBorders>
            <w:shd w:val="clear" w:color="auto" w:fill="auto"/>
          </w:tcPr>
          <w:p w14:paraId="2C7E9778" w14:textId="6A8FFE61" w:rsidR="00A0781A" w:rsidRPr="00800240" w:rsidRDefault="00A0781A" w:rsidP="00A0781A">
            <w:pPr>
              <w:kinsoku w:val="0"/>
              <w:snapToGrid w:val="0"/>
              <w:spacing w:before="40" w:after="120"/>
              <w:ind w:left="11" w:firstLine="0"/>
            </w:pPr>
            <w:r w:rsidRPr="00800240">
              <w:rPr>
                <w:lang w:eastAsia="de-DE"/>
              </w:rPr>
              <w:t>Keine</w:t>
            </w:r>
          </w:p>
        </w:tc>
      </w:tr>
    </w:tbl>
    <w:bookmarkEnd w:id="0"/>
    <w:p w14:paraId="12171A51" w14:textId="4E70FC27" w:rsidR="00A0781A" w:rsidRPr="00800240" w:rsidRDefault="00A0781A" w:rsidP="00A0781A">
      <w:pPr>
        <w:keepNext/>
        <w:keepLines/>
        <w:widowControl/>
        <w:tabs>
          <w:tab w:val="right" w:pos="851"/>
          <w:tab w:val="left" w:pos="170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b/>
          <w:sz w:val="28"/>
          <w:lang w:eastAsia="zh-CN"/>
        </w:rPr>
      </w:pPr>
      <w:r w:rsidRPr="00800240">
        <w:rPr>
          <w:b/>
          <w:sz w:val="28"/>
          <w:lang w:eastAsia="zh-CN"/>
        </w:rPr>
        <w:tab/>
        <w:t>I.</w:t>
      </w:r>
      <w:r w:rsidRPr="00800240">
        <w:rPr>
          <w:b/>
          <w:sz w:val="28"/>
          <w:lang w:eastAsia="zh-CN"/>
        </w:rPr>
        <w:tab/>
      </w:r>
      <w:r w:rsidR="00E1204F" w:rsidRPr="00800240">
        <w:rPr>
          <w:b/>
          <w:sz w:val="28"/>
          <w:lang w:eastAsia="zh-CN"/>
        </w:rPr>
        <w:t>Problemanalyse</w:t>
      </w:r>
    </w:p>
    <w:p w14:paraId="1B594CF3" w14:textId="3635CBC2" w:rsidR="00A0781A" w:rsidRPr="00800240" w:rsidRDefault="00A0781A" w:rsidP="0019311D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lang w:eastAsia="zh-CN"/>
        </w:rPr>
      </w:pPr>
      <w:r w:rsidRPr="00800240">
        <w:rPr>
          <w:lang w:eastAsia="zh-CN"/>
        </w:rPr>
        <w:t>1.</w:t>
      </w:r>
      <w:r w:rsidRPr="00800240">
        <w:rPr>
          <w:lang w:eastAsia="zh-CN"/>
        </w:rPr>
        <w:tab/>
      </w:r>
      <w:r w:rsidR="004A6855" w:rsidRPr="00800240">
        <w:rPr>
          <w:lang w:eastAsia="zh-CN"/>
        </w:rPr>
        <w:t>Im geltenden ADN-Übereinkommen und de</w:t>
      </w:r>
      <w:r w:rsidR="00B948C7" w:rsidRPr="00800240">
        <w:rPr>
          <w:lang w:eastAsia="zh-CN"/>
        </w:rPr>
        <w:t>r</w:t>
      </w:r>
      <w:r w:rsidR="004A6855" w:rsidRPr="00800240">
        <w:rPr>
          <w:lang w:eastAsia="zh-CN"/>
        </w:rPr>
        <w:t xml:space="preserve"> </w:t>
      </w:r>
      <w:r w:rsidR="00B948C7" w:rsidRPr="00800240">
        <w:rPr>
          <w:lang w:eastAsia="zh-CN"/>
        </w:rPr>
        <w:t>ihm</w:t>
      </w:r>
      <w:r w:rsidR="004A6855" w:rsidRPr="00800240">
        <w:rPr>
          <w:lang w:eastAsia="zh-CN"/>
        </w:rPr>
        <w:t xml:space="preserve"> beigefügten V</w:t>
      </w:r>
      <w:r w:rsidR="00B948C7" w:rsidRPr="00800240">
        <w:rPr>
          <w:lang w:eastAsia="zh-CN"/>
        </w:rPr>
        <w:t>e</w:t>
      </w:r>
      <w:r w:rsidR="004A6855" w:rsidRPr="00800240">
        <w:rPr>
          <w:lang w:eastAsia="zh-CN"/>
        </w:rPr>
        <w:t>r</w:t>
      </w:r>
      <w:r w:rsidR="00B948C7" w:rsidRPr="00800240">
        <w:rPr>
          <w:lang w:eastAsia="zh-CN"/>
        </w:rPr>
        <w:t>ordnung</w:t>
      </w:r>
      <w:r w:rsidR="004A6855" w:rsidRPr="00800240">
        <w:rPr>
          <w:lang w:eastAsia="zh-CN"/>
        </w:rPr>
        <w:t xml:space="preserve"> finden sich nur wenige Sonderbestimmungen, die auf Seeschiffe anwendbar sind.</w:t>
      </w:r>
    </w:p>
    <w:p w14:paraId="4BE9D09B" w14:textId="6BED7153" w:rsidR="00A0781A" w:rsidRPr="00800240" w:rsidRDefault="0019311D" w:rsidP="00CB0F04">
      <w:pPr>
        <w:pStyle w:val="ListParagraph"/>
        <w:widowControl/>
        <w:numPr>
          <w:ilvl w:val="0"/>
          <w:numId w:val="8"/>
        </w:numPr>
        <w:tabs>
          <w:tab w:val="left" w:pos="1701"/>
        </w:tabs>
        <w:suppressAutoHyphens/>
        <w:kinsoku w:val="0"/>
        <w:snapToGrid w:val="0"/>
        <w:spacing w:after="120" w:line="240" w:lineRule="atLeast"/>
        <w:ind w:left="2127" w:right="1134"/>
        <w:textAlignment w:val="auto"/>
        <w:rPr>
          <w:lang w:eastAsia="zh-CN"/>
        </w:rPr>
      </w:pPr>
      <w:r w:rsidRPr="00800240">
        <w:rPr>
          <w:lang w:eastAsia="zh-CN"/>
        </w:rPr>
        <w:t xml:space="preserve">Artikel 1 Absatz 2 des ADN-Übereinkommens sieht vor, dass das ADN keine </w:t>
      </w:r>
      <w:r w:rsidR="00CB0F04" w:rsidRPr="00800240">
        <w:rPr>
          <w:lang w:eastAsia="zh-CN"/>
        </w:rPr>
        <w:t>Anwendung findet „auf die Beförderung von gefährlichen Gütern mit Seeschiffen auf Seeschifffahrtsstraßen, die zu den Binnenwasserstraßen gehören“.</w:t>
      </w:r>
    </w:p>
    <w:p w14:paraId="63F4AB57" w14:textId="0E9A0E6F" w:rsidR="00A0781A" w:rsidRPr="00800240" w:rsidRDefault="00060623" w:rsidP="00612A45">
      <w:pPr>
        <w:pStyle w:val="ListParagraph"/>
        <w:widowControl/>
        <w:numPr>
          <w:ilvl w:val="0"/>
          <w:numId w:val="8"/>
        </w:numPr>
        <w:tabs>
          <w:tab w:val="left" w:pos="1701"/>
        </w:tabs>
        <w:suppressAutoHyphens/>
        <w:kinsoku w:val="0"/>
        <w:snapToGrid w:val="0"/>
        <w:spacing w:after="120" w:line="240" w:lineRule="atLeast"/>
        <w:ind w:left="2127" w:right="1134"/>
        <w:textAlignment w:val="auto"/>
        <w:rPr>
          <w:lang w:eastAsia="zh-CN"/>
        </w:rPr>
      </w:pPr>
      <w:r w:rsidRPr="00800240">
        <w:rPr>
          <w:lang w:eastAsia="zh-CN"/>
        </w:rPr>
        <w:t xml:space="preserve">Artikel 3 Buchstabe e des Übereinkommens definiert Seeschifffahrtsstraßen als </w:t>
      </w:r>
      <w:r w:rsidR="00384F12" w:rsidRPr="00800240">
        <w:rPr>
          <w:lang w:eastAsia="zh-CN"/>
        </w:rPr>
        <w:t>„</w:t>
      </w:r>
      <w:r w:rsidR="00612A45" w:rsidRPr="00800240">
        <w:rPr>
          <w:lang w:eastAsia="zh-CN"/>
        </w:rPr>
        <w:t xml:space="preserve">Binnenwasserstraßen, die mit dem Meer verbunden sind, im </w:t>
      </w:r>
      <w:proofErr w:type="spellStart"/>
      <w:proofErr w:type="gramStart"/>
      <w:r w:rsidR="00612A45" w:rsidRPr="00800240">
        <w:rPr>
          <w:lang w:eastAsia="zh-CN"/>
        </w:rPr>
        <w:t>wesentlichen</w:t>
      </w:r>
      <w:proofErr w:type="spellEnd"/>
      <w:proofErr w:type="gramEnd"/>
      <w:r w:rsidR="00612A45" w:rsidRPr="00800240">
        <w:rPr>
          <w:lang w:eastAsia="zh-CN"/>
        </w:rPr>
        <w:t xml:space="preserve"> dem Verkehr mit Seeschiffen dienen und durch das innerstaatliche Recht als solche bestimmt sind</w:t>
      </w:r>
      <w:r w:rsidR="00384F12" w:rsidRPr="00800240">
        <w:rPr>
          <w:lang w:eastAsia="zh-CN"/>
        </w:rPr>
        <w:t>“</w:t>
      </w:r>
      <w:r w:rsidRPr="00800240">
        <w:rPr>
          <w:lang w:eastAsia="zh-CN"/>
        </w:rPr>
        <w:t>.</w:t>
      </w:r>
    </w:p>
    <w:p w14:paraId="3C5E0B10" w14:textId="77F56406" w:rsidR="00A0781A" w:rsidRPr="00800240" w:rsidRDefault="00F2415A" w:rsidP="000B1586">
      <w:pPr>
        <w:pStyle w:val="ListParagraph"/>
        <w:widowControl/>
        <w:numPr>
          <w:ilvl w:val="0"/>
          <w:numId w:val="8"/>
        </w:numPr>
        <w:tabs>
          <w:tab w:val="left" w:pos="1701"/>
        </w:tabs>
        <w:suppressAutoHyphens/>
        <w:kinsoku w:val="0"/>
        <w:snapToGrid w:val="0"/>
        <w:spacing w:after="120" w:line="240" w:lineRule="atLeast"/>
        <w:ind w:left="2127" w:right="1134"/>
        <w:textAlignment w:val="auto"/>
        <w:rPr>
          <w:lang w:eastAsia="zh-CN"/>
        </w:rPr>
      </w:pPr>
      <w:r w:rsidRPr="00800240">
        <w:rPr>
          <w:lang w:eastAsia="zh-CN"/>
        </w:rPr>
        <w:t>In de</w:t>
      </w:r>
      <w:r w:rsidR="0021740F" w:rsidRPr="00800240">
        <w:rPr>
          <w:lang w:eastAsia="zh-CN"/>
        </w:rPr>
        <w:t>r</w:t>
      </w:r>
      <w:r w:rsidRPr="00800240">
        <w:rPr>
          <w:lang w:eastAsia="zh-CN"/>
        </w:rPr>
        <w:t xml:space="preserve"> dem ADN beigefügten V</w:t>
      </w:r>
      <w:r w:rsidR="0021740F" w:rsidRPr="00800240">
        <w:rPr>
          <w:lang w:eastAsia="zh-CN"/>
        </w:rPr>
        <w:t>e</w:t>
      </w:r>
      <w:r w:rsidRPr="00800240">
        <w:rPr>
          <w:lang w:eastAsia="zh-CN"/>
        </w:rPr>
        <w:t>r</w:t>
      </w:r>
      <w:r w:rsidR="0021740F" w:rsidRPr="00800240">
        <w:rPr>
          <w:lang w:eastAsia="zh-CN"/>
        </w:rPr>
        <w:t>ordnung</w:t>
      </w:r>
      <w:r w:rsidRPr="00800240">
        <w:rPr>
          <w:lang w:eastAsia="zh-CN"/>
        </w:rPr>
        <w:t xml:space="preserve"> findet sich, abgesehen von einigen auf Seeschiffe anwendbaren Vorschriften in Kapitel 7.1 oder 7.2, der </w:t>
      </w:r>
      <w:r w:rsidR="00303889" w:rsidRPr="00800240">
        <w:rPr>
          <w:lang w:eastAsia="zh-CN"/>
        </w:rPr>
        <w:t>wichtigste V</w:t>
      </w:r>
      <w:r w:rsidRPr="00800240">
        <w:rPr>
          <w:lang w:eastAsia="zh-CN"/>
        </w:rPr>
        <w:t xml:space="preserve">erweis auf Seeschiffe </w:t>
      </w:r>
      <w:r w:rsidR="00F50955" w:rsidRPr="00800240">
        <w:rPr>
          <w:lang w:eastAsia="zh-CN"/>
        </w:rPr>
        <w:t xml:space="preserve">in Abschnitt 9.2.0 </w:t>
      </w:r>
      <w:r w:rsidR="000B1586" w:rsidRPr="00800240">
        <w:rPr>
          <w:lang w:eastAsia="zh-CN"/>
        </w:rPr>
        <w:t>in Bezug auf Bauvorschriften</w:t>
      </w:r>
      <w:r w:rsidRPr="00800240">
        <w:rPr>
          <w:lang w:eastAsia="zh-CN"/>
        </w:rPr>
        <w:t>.</w:t>
      </w:r>
    </w:p>
    <w:p w14:paraId="5D78FD62" w14:textId="77777777" w:rsidR="00272597" w:rsidRPr="00800240" w:rsidRDefault="00272597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eastAsia="zh-CN"/>
        </w:rPr>
      </w:pPr>
      <w:r w:rsidRPr="00800240">
        <w:rPr>
          <w:lang w:eastAsia="zh-CN"/>
        </w:rPr>
        <w:br w:type="page"/>
      </w:r>
    </w:p>
    <w:p w14:paraId="7EDB3236" w14:textId="2C0F2E89" w:rsidR="00A0781A" w:rsidRPr="00800240" w:rsidRDefault="00A0781A" w:rsidP="00AA3620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lang w:eastAsia="zh-CN"/>
        </w:rPr>
      </w:pPr>
      <w:r w:rsidRPr="00800240">
        <w:rPr>
          <w:lang w:eastAsia="zh-CN"/>
        </w:rPr>
        <w:lastRenderedPageBreak/>
        <w:t>2.</w:t>
      </w:r>
      <w:r w:rsidRPr="00800240">
        <w:rPr>
          <w:lang w:eastAsia="zh-CN"/>
        </w:rPr>
        <w:tab/>
      </w:r>
      <w:r w:rsidR="004E0148" w:rsidRPr="00800240">
        <w:rPr>
          <w:lang w:eastAsia="zh-CN"/>
        </w:rPr>
        <w:t>Im Übrigen</w:t>
      </w:r>
      <w:r w:rsidR="002E2396" w:rsidRPr="00800240">
        <w:rPr>
          <w:lang w:eastAsia="zh-CN"/>
        </w:rPr>
        <w:t xml:space="preserve"> schließt </w:t>
      </w:r>
      <w:r w:rsidR="00B025D0" w:rsidRPr="00800240">
        <w:rPr>
          <w:lang w:eastAsia="zh-CN"/>
        </w:rPr>
        <w:t xml:space="preserve">die Definition von „Schiff“ </w:t>
      </w:r>
      <w:r w:rsidR="002E2396" w:rsidRPr="00800240">
        <w:rPr>
          <w:lang w:eastAsia="zh-CN"/>
        </w:rPr>
        <w:t>sowohl in Artikel 3 Buchstabe a des ADN-Übereinkommens als auch in Abschnitt 1.2.1 der beigefügten V</w:t>
      </w:r>
      <w:r w:rsidR="00B025D0" w:rsidRPr="00800240">
        <w:rPr>
          <w:lang w:eastAsia="zh-CN"/>
        </w:rPr>
        <w:t>e</w:t>
      </w:r>
      <w:r w:rsidR="002E2396" w:rsidRPr="00800240">
        <w:rPr>
          <w:lang w:eastAsia="zh-CN"/>
        </w:rPr>
        <w:t>r</w:t>
      </w:r>
      <w:r w:rsidR="00B025D0" w:rsidRPr="00800240">
        <w:rPr>
          <w:lang w:eastAsia="zh-CN"/>
        </w:rPr>
        <w:t>ordnung</w:t>
      </w:r>
      <w:r w:rsidR="002E2396" w:rsidRPr="00800240">
        <w:rPr>
          <w:lang w:eastAsia="zh-CN"/>
        </w:rPr>
        <w:t xml:space="preserve"> Seeschiffe ein.</w:t>
      </w:r>
    </w:p>
    <w:p w14:paraId="3A2233CF" w14:textId="69ED5016" w:rsidR="00A0781A" w:rsidRPr="00800240" w:rsidRDefault="00A0781A" w:rsidP="00B0011E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lang w:eastAsia="zh-CN"/>
        </w:rPr>
      </w:pPr>
      <w:r w:rsidRPr="00800240">
        <w:rPr>
          <w:lang w:eastAsia="zh-CN"/>
        </w:rPr>
        <w:t>3.</w:t>
      </w:r>
      <w:r w:rsidRPr="00800240">
        <w:rPr>
          <w:lang w:eastAsia="zh-CN"/>
        </w:rPr>
        <w:tab/>
      </w:r>
      <w:r w:rsidR="00D53526" w:rsidRPr="00800240">
        <w:rPr>
          <w:lang w:eastAsia="zh-CN"/>
        </w:rPr>
        <w:t>Aufgrund der obigen Ausführungen ergibt sich bei strenger Anwendung des Absatzes 1.16.1.1</w:t>
      </w:r>
      <w:r w:rsidR="00B03834" w:rsidRPr="00800240">
        <w:rPr>
          <w:lang w:eastAsia="zh-CN"/>
        </w:rPr>
        <w:t>.1</w:t>
      </w:r>
      <w:r w:rsidR="00D53526" w:rsidRPr="00800240">
        <w:rPr>
          <w:lang w:eastAsia="zh-CN"/>
        </w:rPr>
        <w:t xml:space="preserve"> der </w:t>
      </w:r>
      <w:r w:rsidR="00F54A10" w:rsidRPr="00800240">
        <w:rPr>
          <w:lang w:eastAsia="zh-CN"/>
        </w:rPr>
        <w:t>beigefügten Verordnung</w:t>
      </w:r>
      <w:r w:rsidR="00D53526" w:rsidRPr="00800240">
        <w:rPr>
          <w:lang w:eastAsia="zh-CN"/>
        </w:rPr>
        <w:t xml:space="preserve">, dass ein Seeschiff, das gefährliche Güter befördert, ein Zulassungszeugnis besitzen muss, wenn es auf einer Binnenwasserstraße fährt, die nicht als Seeschifffahrtsstraße </w:t>
      </w:r>
      <w:r w:rsidR="00B0011E" w:rsidRPr="00800240">
        <w:rPr>
          <w:lang w:eastAsia="zh-CN"/>
        </w:rPr>
        <w:t>anzusehen ist</w:t>
      </w:r>
      <w:r w:rsidR="00D53526" w:rsidRPr="00800240">
        <w:rPr>
          <w:lang w:eastAsia="zh-CN"/>
        </w:rPr>
        <w:t>.</w:t>
      </w:r>
    </w:p>
    <w:p w14:paraId="4D2A5F25" w14:textId="68250FEF" w:rsidR="00A0781A" w:rsidRPr="00800240" w:rsidRDefault="00A0781A" w:rsidP="00873A80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lang w:eastAsia="zh-CN"/>
        </w:rPr>
      </w:pPr>
      <w:r w:rsidRPr="00800240">
        <w:rPr>
          <w:lang w:eastAsia="zh-CN"/>
        </w:rPr>
        <w:t>4.</w:t>
      </w:r>
      <w:r w:rsidRPr="00800240">
        <w:rPr>
          <w:lang w:eastAsia="zh-CN"/>
        </w:rPr>
        <w:tab/>
      </w:r>
      <w:r w:rsidR="00915F24" w:rsidRPr="00800240">
        <w:rPr>
          <w:lang w:eastAsia="zh-CN"/>
        </w:rPr>
        <w:t xml:space="preserve">Allerdings sehen die verschiedenen einschlägigen Instrumente der Internationalen Seeschifffahrtsorganisation (IMO) </w:t>
      </w:r>
      <w:r w:rsidR="003B4970" w:rsidRPr="00800240">
        <w:rPr>
          <w:lang w:eastAsia="zh-CN"/>
        </w:rPr>
        <w:t>die Existenz</w:t>
      </w:r>
      <w:r w:rsidR="00915F24" w:rsidRPr="00800240">
        <w:rPr>
          <w:lang w:eastAsia="zh-CN"/>
        </w:rPr>
        <w:t xml:space="preserve"> und die obligatorische Ausstellung von </w:t>
      </w:r>
      <w:r w:rsidR="001E2BA1" w:rsidRPr="00800240">
        <w:rPr>
          <w:lang w:eastAsia="zh-CN"/>
        </w:rPr>
        <w:t>„</w:t>
      </w:r>
      <w:r w:rsidR="00915F24" w:rsidRPr="00800240">
        <w:rPr>
          <w:lang w:eastAsia="zh-CN"/>
        </w:rPr>
        <w:t>Eignungszeugnissen</w:t>
      </w:r>
      <w:r w:rsidR="001E2BA1" w:rsidRPr="00800240">
        <w:rPr>
          <w:lang w:eastAsia="zh-CN"/>
        </w:rPr>
        <w:t>“</w:t>
      </w:r>
      <w:r w:rsidR="00915F24" w:rsidRPr="00800240">
        <w:rPr>
          <w:lang w:eastAsia="zh-CN"/>
        </w:rPr>
        <w:t xml:space="preserve"> für die Beförderung gefährlicher Güter auf See vor, und die Übereinstimmung zwischen den </w:t>
      </w:r>
      <w:r w:rsidR="001E2BA1" w:rsidRPr="00800240">
        <w:rPr>
          <w:lang w:eastAsia="zh-CN"/>
        </w:rPr>
        <w:t>„</w:t>
      </w:r>
      <w:r w:rsidR="00915F24" w:rsidRPr="00800240">
        <w:rPr>
          <w:lang w:eastAsia="zh-CN"/>
        </w:rPr>
        <w:t>Seezeugnissen</w:t>
      </w:r>
      <w:r w:rsidR="001E2BA1" w:rsidRPr="00800240">
        <w:rPr>
          <w:lang w:eastAsia="zh-CN"/>
        </w:rPr>
        <w:t>“</w:t>
      </w:r>
      <w:r w:rsidR="00915F24" w:rsidRPr="00800240">
        <w:rPr>
          <w:lang w:eastAsia="zh-CN"/>
        </w:rPr>
        <w:t xml:space="preserve"> und den </w:t>
      </w:r>
      <w:r w:rsidR="001E2BA1" w:rsidRPr="00800240">
        <w:rPr>
          <w:lang w:eastAsia="zh-CN"/>
        </w:rPr>
        <w:t>„</w:t>
      </w:r>
      <w:r w:rsidR="00915F24" w:rsidRPr="00800240">
        <w:rPr>
          <w:lang w:eastAsia="zh-CN"/>
        </w:rPr>
        <w:t>ADN-Zulassungszeugnissen</w:t>
      </w:r>
      <w:r w:rsidR="001E2BA1" w:rsidRPr="00800240">
        <w:rPr>
          <w:lang w:eastAsia="zh-CN"/>
        </w:rPr>
        <w:t>“</w:t>
      </w:r>
      <w:r w:rsidR="00915F24" w:rsidRPr="00800240">
        <w:rPr>
          <w:lang w:eastAsia="zh-CN"/>
        </w:rPr>
        <w:t xml:space="preserve"> ist relativ einfach </w:t>
      </w:r>
      <w:r w:rsidR="00873A80" w:rsidRPr="00800240">
        <w:rPr>
          <w:lang w:eastAsia="zh-CN"/>
        </w:rPr>
        <w:t>f</w:t>
      </w:r>
      <w:r w:rsidR="00915F24" w:rsidRPr="00800240">
        <w:rPr>
          <w:lang w:eastAsia="zh-CN"/>
        </w:rPr>
        <w:t>e</w:t>
      </w:r>
      <w:r w:rsidR="00873A80" w:rsidRPr="00800240">
        <w:rPr>
          <w:lang w:eastAsia="zh-CN"/>
        </w:rPr>
        <w:t>st</w:t>
      </w:r>
      <w:r w:rsidR="00915F24" w:rsidRPr="00800240">
        <w:rPr>
          <w:lang w:eastAsia="zh-CN"/>
        </w:rPr>
        <w:t>zustellen.</w:t>
      </w:r>
    </w:p>
    <w:p w14:paraId="6D90EB33" w14:textId="0C889764" w:rsidR="00A0781A" w:rsidRPr="00800240" w:rsidRDefault="00A0781A" w:rsidP="00873A80">
      <w:pPr>
        <w:keepLines/>
        <w:widowControl/>
        <w:tabs>
          <w:tab w:val="right" w:pos="851"/>
          <w:tab w:val="left" w:pos="170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b/>
          <w:sz w:val="28"/>
          <w:lang w:eastAsia="zh-CN"/>
        </w:rPr>
      </w:pPr>
      <w:r w:rsidRPr="00800240">
        <w:rPr>
          <w:b/>
          <w:sz w:val="28"/>
          <w:lang w:eastAsia="zh-CN"/>
        </w:rPr>
        <w:tab/>
      </w:r>
      <w:r w:rsidR="00873A80" w:rsidRPr="00800240">
        <w:rPr>
          <w:b/>
          <w:sz w:val="28"/>
          <w:lang w:eastAsia="zh-CN"/>
        </w:rPr>
        <w:t>II.</w:t>
      </w:r>
      <w:r w:rsidRPr="00800240">
        <w:rPr>
          <w:b/>
          <w:sz w:val="28"/>
          <w:lang w:eastAsia="zh-CN"/>
        </w:rPr>
        <w:tab/>
        <w:t>Vorschlag</w:t>
      </w:r>
    </w:p>
    <w:p w14:paraId="6B9BFEC8" w14:textId="6A66D695" w:rsidR="00A0781A" w:rsidRPr="00800240" w:rsidRDefault="00A0781A" w:rsidP="000D48EB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lang w:eastAsia="zh-CN"/>
        </w:rPr>
      </w:pPr>
      <w:r w:rsidRPr="00800240">
        <w:rPr>
          <w:lang w:eastAsia="zh-CN"/>
        </w:rPr>
        <w:t>5.</w:t>
      </w:r>
      <w:r w:rsidRPr="00800240">
        <w:rPr>
          <w:lang w:eastAsia="zh-CN"/>
        </w:rPr>
        <w:tab/>
      </w:r>
      <w:r w:rsidR="00873A80" w:rsidRPr="00800240">
        <w:rPr>
          <w:lang w:eastAsia="zh-CN"/>
        </w:rPr>
        <w:t>Der vorliegende Vorschlag zielt darauf ab, in die dem ADN beigefügte V</w:t>
      </w:r>
      <w:r w:rsidR="000A037F" w:rsidRPr="00800240">
        <w:rPr>
          <w:lang w:eastAsia="zh-CN"/>
        </w:rPr>
        <w:t>e</w:t>
      </w:r>
      <w:r w:rsidR="00873A80" w:rsidRPr="00800240">
        <w:rPr>
          <w:lang w:eastAsia="zh-CN"/>
        </w:rPr>
        <w:t>r</w:t>
      </w:r>
      <w:r w:rsidR="000A037F" w:rsidRPr="00800240">
        <w:rPr>
          <w:lang w:eastAsia="zh-CN"/>
        </w:rPr>
        <w:t>ordnung</w:t>
      </w:r>
      <w:r w:rsidR="00873A80" w:rsidRPr="00800240">
        <w:rPr>
          <w:lang w:eastAsia="zh-CN"/>
        </w:rPr>
        <w:t xml:space="preserve"> einen </w:t>
      </w:r>
      <w:r w:rsidR="007C5D89" w:rsidRPr="00800240">
        <w:rPr>
          <w:lang w:eastAsia="zh-CN"/>
        </w:rPr>
        <w:t>Absatz</w:t>
      </w:r>
      <w:r w:rsidR="00873A80" w:rsidRPr="00800240">
        <w:rPr>
          <w:lang w:eastAsia="zh-CN"/>
        </w:rPr>
        <w:t xml:space="preserve"> 1.16.1.</w:t>
      </w:r>
      <w:r w:rsidR="007C5D89" w:rsidRPr="00800240">
        <w:rPr>
          <w:lang w:eastAsia="zh-CN"/>
        </w:rPr>
        <w:t>1.</w:t>
      </w:r>
      <w:r w:rsidR="00873A80" w:rsidRPr="00800240">
        <w:rPr>
          <w:lang w:eastAsia="zh-CN"/>
        </w:rPr>
        <w:t>3 einzufügen, dessen Wortlaut i</w:t>
      </w:r>
      <w:r w:rsidR="000D48EB" w:rsidRPr="00800240">
        <w:rPr>
          <w:lang w:eastAsia="zh-CN"/>
        </w:rPr>
        <w:t>n der</w:t>
      </w:r>
      <w:r w:rsidR="00873A80" w:rsidRPr="00800240">
        <w:rPr>
          <w:lang w:eastAsia="zh-CN"/>
        </w:rPr>
        <w:t xml:space="preserve"> An</w:t>
      </w:r>
      <w:r w:rsidR="000D48EB" w:rsidRPr="00800240">
        <w:rPr>
          <w:lang w:eastAsia="zh-CN"/>
        </w:rPr>
        <w:t>l</w:t>
      </w:r>
      <w:r w:rsidR="00873A80" w:rsidRPr="00800240">
        <w:rPr>
          <w:lang w:eastAsia="zh-CN"/>
        </w:rPr>
        <w:t>ag</w:t>
      </w:r>
      <w:r w:rsidR="000D48EB" w:rsidRPr="00800240">
        <w:rPr>
          <w:lang w:eastAsia="zh-CN"/>
        </w:rPr>
        <w:t>e</w:t>
      </w:r>
      <w:r w:rsidR="00873A80" w:rsidRPr="00800240">
        <w:rPr>
          <w:lang w:eastAsia="zh-CN"/>
        </w:rPr>
        <w:t xml:space="preserve"> enthalten ist.</w:t>
      </w:r>
    </w:p>
    <w:p w14:paraId="5A8A3737" w14:textId="534BD945" w:rsidR="00A0781A" w:rsidRPr="00800240" w:rsidRDefault="00A0781A" w:rsidP="002628A7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lang w:eastAsia="en-US"/>
        </w:rPr>
      </w:pPr>
      <w:r w:rsidRPr="00800240">
        <w:rPr>
          <w:lang w:eastAsia="zh-CN"/>
        </w:rPr>
        <w:t>6.</w:t>
      </w:r>
      <w:r w:rsidRPr="00800240">
        <w:rPr>
          <w:lang w:eastAsia="zh-CN"/>
        </w:rPr>
        <w:tab/>
      </w:r>
      <w:r w:rsidR="00F7139B" w:rsidRPr="00800240">
        <w:rPr>
          <w:lang w:eastAsia="en-US"/>
        </w:rPr>
        <w:t>Die im ersten Punkt des Vorschlags für den neuen Absatz 1.16.1.1.3 genannten Sicherheits</w:t>
      </w:r>
      <w:r w:rsidR="007E6644" w:rsidRPr="00800240">
        <w:rPr>
          <w:lang w:eastAsia="en-US"/>
        </w:rPr>
        <w:t>zeugnisse</w:t>
      </w:r>
      <w:r w:rsidR="00F7139B" w:rsidRPr="00800240">
        <w:rPr>
          <w:lang w:eastAsia="en-US"/>
        </w:rPr>
        <w:t xml:space="preserve"> bilden das Gegenstück zum </w:t>
      </w:r>
      <w:r w:rsidR="007E6644" w:rsidRPr="00800240">
        <w:rPr>
          <w:lang w:eastAsia="en-US"/>
        </w:rPr>
        <w:t>„</w:t>
      </w:r>
      <w:r w:rsidR="00F7139B" w:rsidRPr="00800240">
        <w:rPr>
          <w:lang w:eastAsia="en-US"/>
        </w:rPr>
        <w:t>Schiffszeugnis</w:t>
      </w:r>
      <w:r w:rsidR="007E6644" w:rsidRPr="00800240">
        <w:rPr>
          <w:lang w:eastAsia="en-US"/>
        </w:rPr>
        <w:t>“</w:t>
      </w:r>
      <w:r w:rsidR="00F7139B" w:rsidRPr="00800240">
        <w:rPr>
          <w:lang w:eastAsia="en-US"/>
        </w:rPr>
        <w:t>, auf das in de</w:t>
      </w:r>
      <w:r w:rsidR="008B2B8E" w:rsidRPr="00800240">
        <w:rPr>
          <w:lang w:eastAsia="en-US"/>
        </w:rPr>
        <w:t>r</w:t>
      </w:r>
      <w:r w:rsidR="00F7139B" w:rsidRPr="00800240">
        <w:rPr>
          <w:lang w:eastAsia="en-US"/>
        </w:rPr>
        <w:t xml:space="preserve"> ADN-Verordnung Bezug genommen wird.</w:t>
      </w:r>
    </w:p>
    <w:p w14:paraId="03751CDD" w14:textId="65EBFB77" w:rsidR="00A0781A" w:rsidRPr="00800240" w:rsidRDefault="00A0781A" w:rsidP="001F4C9C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lang w:eastAsia="zh-CN"/>
        </w:rPr>
      </w:pPr>
      <w:r w:rsidRPr="00800240">
        <w:rPr>
          <w:lang w:eastAsia="zh-CN"/>
        </w:rPr>
        <w:t>7.</w:t>
      </w:r>
      <w:r w:rsidRPr="00800240">
        <w:rPr>
          <w:lang w:eastAsia="zh-CN"/>
        </w:rPr>
        <w:tab/>
      </w:r>
      <w:r w:rsidR="00C35D51" w:rsidRPr="00800240">
        <w:rPr>
          <w:lang w:eastAsia="zh-CN"/>
        </w:rPr>
        <w:t>Mit</w:t>
      </w:r>
      <w:r w:rsidR="00364DAA" w:rsidRPr="00800240">
        <w:rPr>
          <w:lang w:eastAsia="zh-CN"/>
        </w:rPr>
        <w:t xml:space="preserve"> </w:t>
      </w:r>
      <w:r w:rsidR="00C35D51" w:rsidRPr="00800240">
        <w:rPr>
          <w:lang w:eastAsia="zh-CN"/>
        </w:rPr>
        <w:t>dem</w:t>
      </w:r>
      <w:r w:rsidR="00364DAA" w:rsidRPr="00800240">
        <w:rPr>
          <w:lang w:eastAsia="zh-CN"/>
        </w:rPr>
        <w:t xml:space="preserve"> i</w:t>
      </w:r>
      <w:r w:rsidR="00C35D51" w:rsidRPr="00800240">
        <w:rPr>
          <w:lang w:eastAsia="zh-CN"/>
        </w:rPr>
        <w:t>n der</w:t>
      </w:r>
      <w:r w:rsidR="00364DAA" w:rsidRPr="00800240">
        <w:rPr>
          <w:lang w:eastAsia="zh-CN"/>
        </w:rPr>
        <w:t xml:space="preserve"> An</w:t>
      </w:r>
      <w:r w:rsidR="00C35D51" w:rsidRPr="00800240">
        <w:rPr>
          <w:lang w:eastAsia="zh-CN"/>
        </w:rPr>
        <w:t>l</w:t>
      </w:r>
      <w:r w:rsidR="00364DAA" w:rsidRPr="00800240">
        <w:rPr>
          <w:lang w:eastAsia="zh-CN"/>
        </w:rPr>
        <w:t>ag</w:t>
      </w:r>
      <w:r w:rsidR="00C35D51" w:rsidRPr="00800240">
        <w:rPr>
          <w:lang w:eastAsia="zh-CN"/>
        </w:rPr>
        <w:t>e</w:t>
      </w:r>
      <w:r w:rsidR="00364DAA" w:rsidRPr="00800240">
        <w:rPr>
          <w:lang w:eastAsia="zh-CN"/>
        </w:rPr>
        <w:t xml:space="preserve"> enthaltenen Vorschlag </w:t>
      </w:r>
      <w:r w:rsidR="00D35A19" w:rsidRPr="00800240">
        <w:rPr>
          <w:lang w:eastAsia="zh-CN"/>
        </w:rPr>
        <w:t>möchte</w:t>
      </w:r>
      <w:r w:rsidR="00364DAA" w:rsidRPr="00800240">
        <w:rPr>
          <w:lang w:eastAsia="zh-CN"/>
        </w:rPr>
        <w:t xml:space="preserve"> Frankreich</w:t>
      </w:r>
      <w:r w:rsidR="001A072F" w:rsidRPr="00800240">
        <w:rPr>
          <w:lang w:eastAsia="zh-CN"/>
        </w:rPr>
        <w:t xml:space="preserve"> </w:t>
      </w:r>
      <w:r w:rsidR="006D21D7" w:rsidRPr="00800240">
        <w:rPr>
          <w:lang w:eastAsia="zh-CN"/>
        </w:rPr>
        <w:t>eine bessere und</w:t>
      </w:r>
      <w:r w:rsidR="00364DAA" w:rsidRPr="00800240">
        <w:rPr>
          <w:lang w:eastAsia="zh-CN"/>
        </w:rPr>
        <w:t xml:space="preserve"> </w:t>
      </w:r>
      <w:r w:rsidR="006D21D7" w:rsidRPr="00800240">
        <w:rPr>
          <w:lang w:eastAsia="zh-CN"/>
        </w:rPr>
        <w:t xml:space="preserve">harmonisierte Behandlung dieser </w:t>
      </w:r>
      <w:proofErr w:type="gramStart"/>
      <w:r w:rsidR="00364DAA" w:rsidRPr="00800240">
        <w:rPr>
          <w:lang w:eastAsia="zh-CN"/>
        </w:rPr>
        <w:t>Problematik</w:t>
      </w:r>
      <w:proofErr w:type="gramEnd"/>
      <w:r w:rsidR="00364DAA" w:rsidRPr="00800240">
        <w:rPr>
          <w:lang w:eastAsia="zh-CN"/>
        </w:rPr>
        <w:t xml:space="preserve"> </w:t>
      </w:r>
      <w:r w:rsidR="001A072F" w:rsidRPr="00800240">
        <w:rPr>
          <w:lang w:eastAsia="zh-CN"/>
        </w:rPr>
        <w:t xml:space="preserve">in der dem ADN beigefügten Verordnung </w:t>
      </w:r>
      <w:r w:rsidR="006D21D7" w:rsidRPr="00800240">
        <w:rPr>
          <w:lang w:eastAsia="zh-CN"/>
        </w:rPr>
        <w:t>gewährleisten</w:t>
      </w:r>
      <w:r w:rsidR="00364DAA" w:rsidRPr="00800240">
        <w:rPr>
          <w:lang w:eastAsia="zh-CN"/>
        </w:rPr>
        <w:t>.</w:t>
      </w:r>
      <w:r w:rsidRPr="00800240">
        <w:rPr>
          <w:lang w:eastAsia="zh-CN"/>
        </w:rPr>
        <w:t xml:space="preserve"> </w:t>
      </w:r>
      <w:r w:rsidR="000E644F" w:rsidRPr="00800240">
        <w:rPr>
          <w:lang w:eastAsia="zh-CN"/>
        </w:rPr>
        <w:t>Einige Vertragsparteien könnten jedoch</w:t>
      </w:r>
      <w:r w:rsidR="00B322A5" w:rsidRPr="00800240">
        <w:rPr>
          <w:lang w:eastAsia="zh-CN"/>
        </w:rPr>
        <w:t xml:space="preserve"> </w:t>
      </w:r>
      <w:r w:rsidR="000E644F" w:rsidRPr="00800240">
        <w:rPr>
          <w:lang w:eastAsia="zh-CN"/>
        </w:rPr>
        <w:t>die Annahme nationaler Lösungen oder Doktrinen vorziehen</w:t>
      </w:r>
      <w:r w:rsidR="001F4C9C" w:rsidRPr="00800240">
        <w:rPr>
          <w:lang w:eastAsia="zh-CN"/>
        </w:rPr>
        <w:t>, entsprechend ihren internen Gesetzen und Vorschriften</w:t>
      </w:r>
      <w:r w:rsidR="000E644F" w:rsidRPr="00800240">
        <w:rPr>
          <w:lang w:eastAsia="zh-CN"/>
        </w:rPr>
        <w:t>.</w:t>
      </w:r>
    </w:p>
    <w:p w14:paraId="3EE102A2" w14:textId="7FB60CF8" w:rsidR="00A0781A" w:rsidRPr="00800240" w:rsidRDefault="00A0781A" w:rsidP="00A0781A">
      <w:pPr>
        <w:keepNext/>
        <w:keepLines/>
        <w:widowControl/>
        <w:tabs>
          <w:tab w:val="right" w:pos="851"/>
          <w:tab w:val="left" w:pos="170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b/>
          <w:sz w:val="28"/>
          <w:lang w:eastAsia="zh-CN"/>
        </w:rPr>
      </w:pPr>
      <w:r w:rsidRPr="00800240">
        <w:rPr>
          <w:b/>
          <w:sz w:val="28"/>
          <w:lang w:eastAsia="zh-CN"/>
        </w:rPr>
        <w:tab/>
        <w:t>III.</w:t>
      </w:r>
      <w:r w:rsidRPr="00800240">
        <w:rPr>
          <w:b/>
          <w:sz w:val="28"/>
          <w:lang w:eastAsia="zh-CN"/>
        </w:rPr>
        <w:tab/>
      </w:r>
      <w:r w:rsidR="00E1204F" w:rsidRPr="00800240">
        <w:rPr>
          <w:b/>
          <w:sz w:val="28"/>
          <w:lang w:eastAsia="zh-CN"/>
        </w:rPr>
        <w:t>Weiteres Vorgehen</w:t>
      </w:r>
    </w:p>
    <w:p w14:paraId="592ECB1B" w14:textId="22F72FFB" w:rsidR="00A0781A" w:rsidRPr="00800240" w:rsidRDefault="00A0781A" w:rsidP="00A0781A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lang w:eastAsia="zh-CN"/>
        </w:rPr>
      </w:pPr>
      <w:r w:rsidRPr="00800240">
        <w:rPr>
          <w:lang w:eastAsia="zh-CN"/>
        </w:rPr>
        <w:t>8.</w:t>
      </w:r>
      <w:r w:rsidRPr="00800240">
        <w:rPr>
          <w:lang w:eastAsia="zh-CN"/>
        </w:rPr>
        <w:tab/>
      </w:r>
      <w:r w:rsidR="00E1204F" w:rsidRPr="00800240">
        <w:rPr>
          <w:lang w:eastAsia="zh-CN"/>
        </w:rPr>
        <w:t xml:space="preserve">Der ADN-Sicherheitsausschuss wird gebeten, die o.g. Absätze 5 bis 7 sowie die nachstehende Anlage zur Kenntnis zu nehmen und die aus seiner Sicht notwendigen Maßnahmen zu ergreifen. </w:t>
      </w:r>
    </w:p>
    <w:p w14:paraId="7332A4DF" w14:textId="77777777" w:rsidR="00A0781A" w:rsidRPr="00800240" w:rsidRDefault="00A0781A" w:rsidP="00A0781A">
      <w:pPr>
        <w:widowControl/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lang w:eastAsia="zh-CN"/>
        </w:rPr>
        <w:sectPr w:rsidR="00A0781A" w:rsidRPr="00800240" w:rsidSect="008575FB">
          <w:headerReference w:type="even" r:id="rId12"/>
          <w:headerReference w:type="default" r:id="rId13"/>
          <w:footerReference w:type="even" r:id="rId14"/>
          <w:footerReference w:type="default" r:id="rId15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78EBE596" w14:textId="52C0D4B4" w:rsidR="00A0781A" w:rsidRPr="00800240" w:rsidRDefault="00A0781A" w:rsidP="00A0781A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b/>
          <w:sz w:val="28"/>
          <w:lang w:eastAsia="zh-CN"/>
        </w:rPr>
      </w:pPr>
      <w:r w:rsidRPr="00800240">
        <w:rPr>
          <w:b/>
          <w:sz w:val="28"/>
          <w:lang w:eastAsia="zh-CN"/>
        </w:rPr>
        <w:lastRenderedPageBreak/>
        <w:t>Anlage</w:t>
      </w:r>
    </w:p>
    <w:p w14:paraId="0CD39EF6" w14:textId="0684DB5F" w:rsidR="00A0781A" w:rsidRPr="00800240" w:rsidRDefault="001F4C9C" w:rsidP="001F4C9C">
      <w:pPr>
        <w:widowControl/>
        <w:suppressAutoHyphens/>
        <w:kinsoku w:val="0"/>
        <w:snapToGrid w:val="0"/>
        <w:spacing w:line="240" w:lineRule="atLeast"/>
        <w:ind w:left="1701" w:right="1134" w:firstLine="0"/>
        <w:textAlignment w:val="auto"/>
        <w:rPr>
          <w:lang w:eastAsia="zh-CN"/>
        </w:rPr>
      </w:pPr>
      <w:r w:rsidRPr="00800240">
        <w:rPr>
          <w:rFonts w:ascii="Arial" w:hAnsi="Arial" w:cs="Arial"/>
          <w:lang w:eastAsia="zh-CN"/>
        </w:rPr>
        <w:t>„</w:t>
      </w:r>
      <w:r w:rsidR="00A0781A" w:rsidRPr="00800240">
        <w:rPr>
          <w:lang w:eastAsia="zh-CN"/>
        </w:rPr>
        <w:t xml:space="preserve">1.16.1.1.3 </w:t>
      </w:r>
      <w:r w:rsidR="00A0781A" w:rsidRPr="00800240">
        <w:rPr>
          <w:lang w:eastAsia="zh-CN"/>
        </w:rPr>
        <w:tab/>
      </w:r>
      <w:r w:rsidR="007D2E75" w:rsidRPr="00800240">
        <w:rPr>
          <w:lang w:eastAsia="zh-CN"/>
        </w:rPr>
        <w:t>Ungeachtet der Vorschriften des Absatzes 1.16.1.1.1 kann ein Seeschiff, das gefährliche Güter auf einer Binnenwasserstraße befördert, vom Besitz eines Zulassungszeugnisses befreit werden, wenn die folgenden Bestimmungen erfüllt sind:</w:t>
      </w:r>
    </w:p>
    <w:p w14:paraId="2D85F366" w14:textId="0C15B43A" w:rsidR="00A0781A" w:rsidRPr="00800240" w:rsidRDefault="00A3389F" w:rsidP="00552689">
      <w:pPr>
        <w:pStyle w:val="ListParagraph"/>
        <w:widowControl/>
        <w:numPr>
          <w:ilvl w:val="0"/>
          <w:numId w:val="9"/>
        </w:numPr>
        <w:tabs>
          <w:tab w:val="num" w:pos="1985"/>
        </w:tabs>
        <w:suppressAutoHyphens/>
        <w:kinsoku w:val="0"/>
        <w:snapToGrid w:val="0"/>
        <w:spacing w:line="240" w:lineRule="atLeast"/>
        <w:ind w:left="1985" w:right="1134" w:hanging="284"/>
        <w:textAlignment w:val="auto"/>
        <w:rPr>
          <w:lang w:eastAsia="zh-CN"/>
        </w:rPr>
      </w:pPr>
      <w:r w:rsidRPr="00800240">
        <w:rPr>
          <w:lang w:eastAsia="zh-CN"/>
        </w:rPr>
        <w:t xml:space="preserve">Das Seeschiff ist im Besitz seiner Sicherheitszeugnisse, </w:t>
      </w:r>
      <w:r w:rsidR="00552689" w:rsidRPr="00800240">
        <w:rPr>
          <w:lang w:eastAsia="zh-CN"/>
        </w:rPr>
        <w:t>ausgestellt</w:t>
      </w:r>
      <w:r w:rsidRPr="00800240">
        <w:rPr>
          <w:lang w:eastAsia="zh-CN"/>
        </w:rPr>
        <w:t xml:space="preserve"> nach dem Internationalen Übereinkommen von 1974 zum Schutz des menschlichen Lebens auf See in der Fassung des Protokolls von 1988 zu diesem Übereinkommen (SOLAS 74);</w:t>
      </w:r>
      <w:r w:rsidR="000A1111" w:rsidRPr="00800240">
        <w:rPr>
          <w:lang w:eastAsia="zh-CN"/>
        </w:rPr>
        <w:t xml:space="preserve"> und</w:t>
      </w:r>
    </w:p>
    <w:p w14:paraId="06D75418" w14:textId="6C981102" w:rsidR="00A0781A" w:rsidRPr="00800240" w:rsidRDefault="00552689" w:rsidP="00A77F27">
      <w:pPr>
        <w:pStyle w:val="ListParagraph"/>
        <w:widowControl/>
        <w:numPr>
          <w:ilvl w:val="0"/>
          <w:numId w:val="9"/>
        </w:numPr>
        <w:tabs>
          <w:tab w:val="num" w:pos="1985"/>
        </w:tabs>
        <w:suppressAutoHyphens/>
        <w:kinsoku w:val="0"/>
        <w:snapToGrid w:val="0"/>
        <w:spacing w:after="120" w:line="240" w:lineRule="atLeast"/>
        <w:ind w:left="1985" w:right="1134" w:hanging="284"/>
        <w:textAlignment w:val="auto"/>
        <w:rPr>
          <w:lang w:eastAsia="zh-CN"/>
        </w:rPr>
      </w:pPr>
      <w:r w:rsidRPr="00800240">
        <w:rPr>
          <w:lang w:eastAsia="zh-CN"/>
        </w:rPr>
        <w:t xml:space="preserve">Das Seeschiff ist im Besitz eines </w:t>
      </w:r>
      <w:r w:rsidR="006A3A48" w:rsidRPr="00800240">
        <w:rPr>
          <w:lang w:eastAsia="zh-CN"/>
        </w:rPr>
        <w:t xml:space="preserve">Zeugnisses über die Erfüllung der einschlägigen Vorschriften </w:t>
      </w:r>
      <w:r w:rsidR="00511DB5" w:rsidRPr="00800240">
        <w:rPr>
          <w:lang w:eastAsia="zh-CN"/>
        </w:rPr>
        <w:t xml:space="preserve">des </w:t>
      </w:r>
      <w:r w:rsidR="006A3A48" w:rsidRPr="00800240">
        <w:rPr>
          <w:lang w:eastAsia="zh-CN"/>
        </w:rPr>
        <w:t xml:space="preserve">Übereinkommens </w:t>
      </w:r>
      <w:r w:rsidRPr="00800240">
        <w:rPr>
          <w:lang w:eastAsia="zh-CN"/>
        </w:rPr>
        <w:t xml:space="preserve">oder eines </w:t>
      </w:r>
      <w:r w:rsidR="000941BD" w:rsidRPr="00800240">
        <w:rPr>
          <w:lang w:eastAsia="zh-CN"/>
        </w:rPr>
        <w:t>Z</w:t>
      </w:r>
      <w:r w:rsidRPr="00800240">
        <w:rPr>
          <w:lang w:eastAsia="zh-CN"/>
        </w:rPr>
        <w:t>eugnisses</w:t>
      </w:r>
      <w:r w:rsidR="000941BD" w:rsidRPr="00800240">
        <w:rPr>
          <w:lang w:eastAsia="zh-CN"/>
        </w:rPr>
        <w:t xml:space="preserve"> über die Eignung zur Beförderung gefährlicher Güter</w:t>
      </w:r>
      <w:r w:rsidRPr="00800240">
        <w:rPr>
          <w:lang w:eastAsia="zh-CN"/>
        </w:rPr>
        <w:t xml:space="preserve"> gemäß der folgenden Entsprechungstabelle:</w:t>
      </w:r>
    </w:p>
    <w:tbl>
      <w:tblPr>
        <w:tblStyle w:val="Grilledutableau2"/>
        <w:tblW w:w="13776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2008"/>
        <w:gridCol w:w="4736"/>
        <w:gridCol w:w="4453"/>
      </w:tblGrid>
      <w:tr w:rsidR="00A0781A" w:rsidRPr="00800240" w14:paraId="36F51C3C" w14:textId="77777777" w:rsidTr="00DC2310">
        <w:trPr>
          <w:cantSplit/>
          <w:tblHeader/>
        </w:trPr>
        <w:tc>
          <w:tcPr>
            <w:tcW w:w="25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C1CD80" w14:textId="1E67DAD6" w:rsidR="00A0781A" w:rsidRPr="00800240" w:rsidRDefault="00651C88" w:rsidP="00651C88">
            <w:pPr>
              <w:widowControl/>
              <w:kinsoku w:val="0"/>
              <w:snapToGrid w:val="0"/>
              <w:spacing w:before="80" w:after="80" w:line="200" w:lineRule="exact"/>
              <w:ind w:left="0" w:right="113" w:firstLine="0"/>
              <w:jc w:val="left"/>
              <w:textAlignment w:val="auto"/>
              <w:rPr>
                <w:i/>
                <w:sz w:val="16"/>
                <w:lang w:val="de-DE" w:eastAsia="zh-CN"/>
              </w:rPr>
            </w:pPr>
            <w:r w:rsidRPr="00800240">
              <w:rPr>
                <w:i/>
                <w:sz w:val="16"/>
                <w:lang w:val="de-DE" w:eastAsia="zh-CN"/>
              </w:rPr>
              <w:t>Dem ADN beigefügte Verordnung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EF5647D" w14:textId="51550E0A" w:rsidR="00A0781A" w:rsidRPr="00800240" w:rsidRDefault="005360B7" w:rsidP="005360B7">
            <w:pPr>
              <w:widowControl/>
              <w:kinsoku w:val="0"/>
              <w:snapToGrid w:val="0"/>
              <w:spacing w:before="80" w:after="80" w:line="200" w:lineRule="exact"/>
              <w:ind w:left="0" w:right="113" w:firstLine="0"/>
              <w:jc w:val="left"/>
              <w:textAlignment w:val="auto"/>
              <w:rPr>
                <w:i/>
                <w:sz w:val="16"/>
                <w:lang w:val="de-DE" w:eastAsia="zh-CN"/>
              </w:rPr>
            </w:pPr>
            <w:r w:rsidRPr="00800240">
              <w:rPr>
                <w:i/>
                <w:sz w:val="16"/>
                <w:lang w:val="de-DE" w:eastAsia="zh-CN"/>
              </w:rPr>
              <w:t>Ladungsart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1D0A12" w14:textId="2CA3045C" w:rsidR="00A0781A" w:rsidRPr="00800240" w:rsidRDefault="005360B7" w:rsidP="005360B7">
            <w:pPr>
              <w:widowControl/>
              <w:kinsoku w:val="0"/>
              <w:snapToGrid w:val="0"/>
              <w:spacing w:before="80" w:after="80" w:line="200" w:lineRule="exact"/>
              <w:ind w:left="0" w:right="113" w:firstLine="0"/>
              <w:jc w:val="left"/>
              <w:textAlignment w:val="auto"/>
              <w:rPr>
                <w:i/>
                <w:sz w:val="16"/>
                <w:lang w:val="de-DE" w:eastAsia="zh-CN"/>
              </w:rPr>
            </w:pPr>
            <w:r w:rsidRPr="00800240">
              <w:rPr>
                <w:i/>
                <w:sz w:val="16"/>
                <w:lang w:val="de-DE" w:eastAsia="zh-CN"/>
              </w:rPr>
              <w:t>Titel des IMO-</w:t>
            </w:r>
            <w:r w:rsidR="00B3563F" w:rsidRPr="00800240">
              <w:rPr>
                <w:i/>
                <w:sz w:val="16"/>
                <w:lang w:val="de-DE" w:eastAsia="zh-CN"/>
              </w:rPr>
              <w:t>Zeugnisses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181548" w14:textId="4727F6B2" w:rsidR="00A0781A" w:rsidRPr="00800240" w:rsidRDefault="005360B7" w:rsidP="005360B7">
            <w:pPr>
              <w:widowControl/>
              <w:kinsoku w:val="0"/>
              <w:snapToGrid w:val="0"/>
              <w:spacing w:before="80" w:after="80" w:line="200" w:lineRule="exact"/>
              <w:ind w:left="0" w:right="113" w:firstLine="0"/>
              <w:jc w:val="left"/>
              <w:textAlignment w:val="auto"/>
              <w:rPr>
                <w:i/>
                <w:sz w:val="16"/>
                <w:lang w:val="de-DE" w:eastAsia="zh-CN"/>
              </w:rPr>
            </w:pPr>
            <w:r w:rsidRPr="00800240">
              <w:rPr>
                <w:i/>
                <w:sz w:val="16"/>
                <w:lang w:val="de-DE" w:eastAsia="zh-CN"/>
              </w:rPr>
              <w:t>Einschlägiges IMO-Instrument</w:t>
            </w:r>
          </w:p>
        </w:tc>
      </w:tr>
      <w:tr w:rsidR="00A0781A" w:rsidRPr="00800240" w14:paraId="6EA35AC4" w14:textId="77777777" w:rsidTr="00DC2310">
        <w:trPr>
          <w:cantSplit/>
          <w:trHeight w:hRule="exact" w:val="113"/>
        </w:trPr>
        <w:tc>
          <w:tcPr>
            <w:tcW w:w="2579" w:type="dxa"/>
            <w:tcBorders>
              <w:top w:val="single" w:sz="12" w:space="0" w:color="auto"/>
            </w:tcBorders>
            <w:shd w:val="clear" w:color="auto" w:fill="auto"/>
          </w:tcPr>
          <w:p w14:paraId="744902A9" w14:textId="77777777" w:rsidR="00A0781A" w:rsidRPr="00800240" w:rsidRDefault="00A0781A" w:rsidP="00A0781A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</w:p>
        </w:tc>
        <w:tc>
          <w:tcPr>
            <w:tcW w:w="2008" w:type="dxa"/>
            <w:tcBorders>
              <w:top w:val="single" w:sz="12" w:space="0" w:color="auto"/>
            </w:tcBorders>
            <w:shd w:val="clear" w:color="auto" w:fill="auto"/>
          </w:tcPr>
          <w:p w14:paraId="2FF80535" w14:textId="77777777" w:rsidR="00A0781A" w:rsidRPr="00800240" w:rsidRDefault="00A0781A" w:rsidP="00A0781A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</w:p>
        </w:tc>
        <w:tc>
          <w:tcPr>
            <w:tcW w:w="4736" w:type="dxa"/>
            <w:tcBorders>
              <w:top w:val="single" w:sz="12" w:space="0" w:color="auto"/>
            </w:tcBorders>
            <w:shd w:val="clear" w:color="auto" w:fill="auto"/>
          </w:tcPr>
          <w:p w14:paraId="58EC86D0" w14:textId="77777777" w:rsidR="00A0781A" w:rsidRPr="00800240" w:rsidRDefault="00A0781A" w:rsidP="00A0781A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</w:p>
        </w:tc>
        <w:tc>
          <w:tcPr>
            <w:tcW w:w="4453" w:type="dxa"/>
            <w:tcBorders>
              <w:top w:val="single" w:sz="12" w:space="0" w:color="auto"/>
            </w:tcBorders>
            <w:shd w:val="clear" w:color="auto" w:fill="auto"/>
          </w:tcPr>
          <w:p w14:paraId="04FCBB20" w14:textId="77777777" w:rsidR="00A0781A" w:rsidRPr="00800240" w:rsidRDefault="00A0781A" w:rsidP="00A0781A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</w:p>
        </w:tc>
      </w:tr>
      <w:tr w:rsidR="00A0781A" w:rsidRPr="00800240" w14:paraId="48208D37" w14:textId="77777777" w:rsidTr="00DC2310">
        <w:trPr>
          <w:cantSplit/>
        </w:trPr>
        <w:tc>
          <w:tcPr>
            <w:tcW w:w="2579" w:type="dxa"/>
            <w:shd w:val="clear" w:color="auto" w:fill="auto"/>
          </w:tcPr>
          <w:p w14:paraId="0BDE0E7D" w14:textId="4121463B" w:rsidR="00A0781A" w:rsidRPr="00800240" w:rsidRDefault="00A77D56" w:rsidP="00A77D56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lang w:val="de-DE" w:eastAsia="zh-CN"/>
              </w:rPr>
              <w:t xml:space="preserve">Zulassungszeugnis </w:t>
            </w:r>
            <w:r w:rsidR="006C3CFB" w:rsidRPr="00800240">
              <w:rPr>
                <w:lang w:val="de-DE" w:eastAsia="zh-CN"/>
              </w:rPr>
              <w:t xml:space="preserve">für </w:t>
            </w:r>
            <w:r w:rsidRPr="00800240">
              <w:rPr>
                <w:lang w:val="de-DE" w:eastAsia="zh-CN"/>
              </w:rPr>
              <w:t>Trockengüterschiff</w:t>
            </w:r>
          </w:p>
        </w:tc>
        <w:tc>
          <w:tcPr>
            <w:tcW w:w="2008" w:type="dxa"/>
            <w:shd w:val="clear" w:color="auto" w:fill="auto"/>
          </w:tcPr>
          <w:p w14:paraId="60DE797F" w14:textId="18C1A9F5" w:rsidR="00A0781A" w:rsidRPr="00800240" w:rsidRDefault="00A77D56" w:rsidP="00A77D56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lang w:val="de-DE" w:eastAsia="zh-CN"/>
              </w:rPr>
              <w:t>Versandstück</w:t>
            </w:r>
          </w:p>
        </w:tc>
        <w:tc>
          <w:tcPr>
            <w:tcW w:w="4736" w:type="dxa"/>
            <w:shd w:val="clear" w:color="auto" w:fill="auto"/>
          </w:tcPr>
          <w:p w14:paraId="51E7DDCB" w14:textId="53E644BE" w:rsidR="00A0781A" w:rsidRPr="00800240" w:rsidRDefault="00B3563F" w:rsidP="00D5633A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lang w:val="de-DE" w:eastAsia="zh-CN"/>
              </w:rPr>
              <w:t xml:space="preserve">Zeugnis über die Erfüllung der </w:t>
            </w:r>
            <w:r w:rsidR="00155992" w:rsidRPr="00800240">
              <w:rPr>
                <w:lang w:val="de-DE" w:eastAsia="zh-CN"/>
              </w:rPr>
              <w:t>Sonderv</w:t>
            </w:r>
            <w:r w:rsidRPr="00800240">
              <w:rPr>
                <w:lang w:val="de-DE" w:eastAsia="zh-CN"/>
              </w:rPr>
              <w:t xml:space="preserve">orschriften </w:t>
            </w:r>
            <w:r w:rsidR="00155992" w:rsidRPr="00800240">
              <w:rPr>
                <w:lang w:val="de-DE" w:eastAsia="zh-CN"/>
              </w:rPr>
              <w:t>für Seeschiffe, die gefährliche Güter befördern</w:t>
            </w:r>
          </w:p>
        </w:tc>
        <w:tc>
          <w:tcPr>
            <w:tcW w:w="4453" w:type="dxa"/>
            <w:shd w:val="clear" w:color="auto" w:fill="auto"/>
          </w:tcPr>
          <w:p w14:paraId="47349AB9" w14:textId="367EC7EA" w:rsidR="00A0781A" w:rsidRPr="00800240" w:rsidRDefault="00F53148" w:rsidP="00F53148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lang w:val="de-DE" w:eastAsia="zh-CN"/>
              </w:rPr>
              <w:t>SOLAS-Regel II-2/19 (oder SOLAS-Regel II-2/54 für Schiffe, die vor dem 1. Juli 2002 gebaut wurden)</w:t>
            </w:r>
          </w:p>
        </w:tc>
      </w:tr>
      <w:tr w:rsidR="00A0781A" w:rsidRPr="00800240" w14:paraId="52E14DC9" w14:textId="77777777" w:rsidTr="00DC2310">
        <w:trPr>
          <w:cantSplit/>
        </w:trPr>
        <w:tc>
          <w:tcPr>
            <w:tcW w:w="2579" w:type="dxa"/>
            <w:shd w:val="clear" w:color="auto" w:fill="auto"/>
          </w:tcPr>
          <w:p w14:paraId="23D640F0" w14:textId="7544E64D" w:rsidR="00A0781A" w:rsidRPr="00800240" w:rsidRDefault="00F53148" w:rsidP="00F53148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lang w:val="de-DE" w:eastAsia="zh-CN"/>
              </w:rPr>
              <w:t xml:space="preserve">Zulassungszeugnis </w:t>
            </w:r>
            <w:r w:rsidR="006C3CFB" w:rsidRPr="00800240">
              <w:rPr>
                <w:lang w:val="de-DE" w:eastAsia="zh-CN"/>
              </w:rPr>
              <w:t xml:space="preserve">für </w:t>
            </w:r>
            <w:r w:rsidRPr="00800240">
              <w:rPr>
                <w:lang w:val="de-DE" w:eastAsia="zh-CN"/>
              </w:rPr>
              <w:t>Trockengüterschiff</w:t>
            </w:r>
          </w:p>
        </w:tc>
        <w:tc>
          <w:tcPr>
            <w:tcW w:w="2008" w:type="dxa"/>
            <w:shd w:val="clear" w:color="auto" w:fill="auto"/>
          </w:tcPr>
          <w:p w14:paraId="6D85F560" w14:textId="20A87BF5" w:rsidR="00A0781A" w:rsidRPr="00800240" w:rsidRDefault="00F53148" w:rsidP="00F53148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lang w:val="de-DE" w:eastAsia="zh-CN"/>
              </w:rPr>
              <w:t>Schüttgut</w:t>
            </w:r>
          </w:p>
        </w:tc>
        <w:tc>
          <w:tcPr>
            <w:tcW w:w="4736" w:type="dxa"/>
            <w:shd w:val="clear" w:color="auto" w:fill="auto"/>
          </w:tcPr>
          <w:p w14:paraId="47235AF0" w14:textId="226FA11C" w:rsidR="00A0781A" w:rsidRPr="00800240" w:rsidRDefault="00F53148" w:rsidP="00F53148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lang w:val="de-DE" w:eastAsia="zh-CN"/>
              </w:rPr>
              <w:t>Zeugnis über die Erfüllung der Sondervorschriften für Seeschiffe, die gefährliche Güter befördern</w:t>
            </w:r>
          </w:p>
        </w:tc>
        <w:tc>
          <w:tcPr>
            <w:tcW w:w="4453" w:type="dxa"/>
            <w:shd w:val="clear" w:color="auto" w:fill="auto"/>
          </w:tcPr>
          <w:p w14:paraId="326474CB" w14:textId="083324AA" w:rsidR="00A0781A" w:rsidRPr="00800240" w:rsidRDefault="00F53148" w:rsidP="00F53148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lang w:val="de-DE" w:eastAsia="zh-CN"/>
              </w:rPr>
              <w:t>SOLAS-Regel II-2/19 (oder SOLAS-Regel II-2/54 für Schiffe, die vor dem 1. Juli 2002 gebaut wurden)</w:t>
            </w:r>
          </w:p>
        </w:tc>
      </w:tr>
      <w:tr w:rsidR="00A0781A" w:rsidRPr="00800240" w14:paraId="0F55E696" w14:textId="77777777" w:rsidTr="00DC2310">
        <w:trPr>
          <w:cantSplit/>
        </w:trPr>
        <w:tc>
          <w:tcPr>
            <w:tcW w:w="2579" w:type="dxa"/>
            <w:shd w:val="clear" w:color="auto" w:fill="auto"/>
          </w:tcPr>
          <w:p w14:paraId="28720125" w14:textId="3246167C" w:rsidR="00A0781A" w:rsidRPr="00800240" w:rsidRDefault="00F53148" w:rsidP="006C3CFB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lang w:val="de-DE" w:eastAsia="zh-CN"/>
              </w:rPr>
              <w:t xml:space="preserve">Zulassungszeugnis </w:t>
            </w:r>
            <w:r w:rsidR="006C3CFB" w:rsidRPr="00800240">
              <w:rPr>
                <w:lang w:val="de-DE" w:eastAsia="zh-CN"/>
              </w:rPr>
              <w:t xml:space="preserve">für </w:t>
            </w:r>
            <w:r w:rsidRPr="00800240">
              <w:rPr>
                <w:lang w:val="de-DE" w:eastAsia="zh-CN"/>
              </w:rPr>
              <w:t>Tankschiff des Typs N</w:t>
            </w:r>
          </w:p>
        </w:tc>
        <w:tc>
          <w:tcPr>
            <w:tcW w:w="2008" w:type="dxa"/>
            <w:shd w:val="clear" w:color="auto" w:fill="auto"/>
          </w:tcPr>
          <w:p w14:paraId="38A2BC36" w14:textId="3FA0A43E" w:rsidR="00A0781A" w:rsidRPr="00800240" w:rsidRDefault="006C3CFB" w:rsidP="00A253BE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lang w:val="de-DE" w:eastAsia="zh-CN"/>
              </w:rPr>
              <w:t>Flüssige Kohlenwasserstoffe</w:t>
            </w:r>
          </w:p>
        </w:tc>
        <w:tc>
          <w:tcPr>
            <w:tcW w:w="4736" w:type="dxa"/>
            <w:shd w:val="clear" w:color="auto" w:fill="auto"/>
          </w:tcPr>
          <w:p w14:paraId="561B404D" w14:textId="25DAD7A6" w:rsidR="00A0781A" w:rsidRPr="00800240" w:rsidRDefault="00A253BE" w:rsidP="00966A54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lang w:val="de-DE" w:eastAsia="zh-CN"/>
              </w:rPr>
              <w:t xml:space="preserve">Internationales Zeugnis über die Verhütung der Ölverschmutzung (IOPP) + Ergänzung </w:t>
            </w:r>
            <w:r w:rsidR="00966A54" w:rsidRPr="00800240">
              <w:rPr>
                <w:lang w:val="de-DE" w:eastAsia="zh-CN"/>
              </w:rPr>
              <w:t>Muster</w:t>
            </w:r>
            <w:r w:rsidRPr="00800240">
              <w:rPr>
                <w:lang w:val="de-DE" w:eastAsia="zh-CN"/>
              </w:rPr>
              <w:t xml:space="preserve"> B (Ausrüstungsblatt für Öltankschiffe)</w:t>
            </w:r>
          </w:p>
        </w:tc>
        <w:tc>
          <w:tcPr>
            <w:tcW w:w="4453" w:type="dxa"/>
            <w:shd w:val="clear" w:color="auto" w:fill="auto"/>
          </w:tcPr>
          <w:p w14:paraId="6E7EBE42" w14:textId="40F9E041" w:rsidR="00A0781A" w:rsidRPr="00800240" w:rsidRDefault="00966A54" w:rsidP="00966A54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lang w:val="de-DE" w:eastAsia="zh-CN"/>
              </w:rPr>
              <w:t>MARPOL Anhang I</w:t>
            </w:r>
          </w:p>
        </w:tc>
      </w:tr>
      <w:tr w:rsidR="00A0781A" w:rsidRPr="00800240" w14:paraId="5124A93B" w14:textId="77777777" w:rsidTr="00DC2310">
        <w:trPr>
          <w:cantSplit/>
        </w:trPr>
        <w:tc>
          <w:tcPr>
            <w:tcW w:w="2579" w:type="dxa"/>
            <w:vMerge w:val="restart"/>
            <w:shd w:val="clear" w:color="auto" w:fill="auto"/>
          </w:tcPr>
          <w:p w14:paraId="6D7BBEAA" w14:textId="3E9F9C38" w:rsidR="00A0781A" w:rsidRPr="00800240" w:rsidRDefault="00966A54" w:rsidP="0021460D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lang w:val="de-DE" w:eastAsia="zh-CN"/>
              </w:rPr>
              <w:t xml:space="preserve">Zulassungszeugnis für Tankschiff des Typs </w:t>
            </w:r>
            <w:r w:rsidR="004C4E73">
              <w:rPr>
                <w:lang w:val="de-DE" w:eastAsia="zh-CN"/>
              </w:rPr>
              <w:t>C</w:t>
            </w:r>
          </w:p>
        </w:tc>
        <w:tc>
          <w:tcPr>
            <w:tcW w:w="2008" w:type="dxa"/>
            <w:vMerge w:val="restart"/>
            <w:shd w:val="clear" w:color="auto" w:fill="auto"/>
          </w:tcPr>
          <w:p w14:paraId="3F4E661C" w14:textId="28BC7509" w:rsidR="00A0781A" w:rsidRPr="00800240" w:rsidRDefault="0021460D" w:rsidP="0021460D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lang w:val="de-DE" w:eastAsia="zh-CN"/>
              </w:rPr>
              <w:t>Flüssige Chemikalien</w:t>
            </w:r>
          </w:p>
        </w:tc>
        <w:tc>
          <w:tcPr>
            <w:tcW w:w="4736" w:type="dxa"/>
            <w:shd w:val="clear" w:color="auto" w:fill="auto"/>
          </w:tcPr>
          <w:p w14:paraId="3DB01ECF" w14:textId="711F2AA1" w:rsidR="00A0781A" w:rsidRPr="00800240" w:rsidRDefault="0084664B" w:rsidP="0084664B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lang w:val="de-DE" w:eastAsia="zh-CN"/>
              </w:rPr>
              <w:t>Internationales Zeugnis über die Eignung zur Beförderung gefährlicher Chemikalien als Massengut</w:t>
            </w:r>
          </w:p>
        </w:tc>
        <w:tc>
          <w:tcPr>
            <w:tcW w:w="4453" w:type="dxa"/>
            <w:shd w:val="clear" w:color="auto" w:fill="auto"/>
          </w:tcPr>
          <w:p w14:paraId="289AAE7D" w14:textId="2334599B" w:rsidR="00A0781A" w:rsidRPr="00800240" w:rsidRDefault="005852BB" w:rsidP="005573C3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lang w:val="de-DE" w:eastAsia="zh-CN"/>
              </w:rPr>
              <w:t>Internationaler Code für den Bau und die Ausrüstung von Schiffen</w:t>
            </w:r>
            <w:r w:rsidR="00D849FE" w:rsidRPr="00800240">
              <w:rPr>
                <w:lang w:val="de-DE" w:eastAsia="zh-CN"/>
              </w:rPr>
              <w:t xml:space="preserve"> zur Beförderung</w:t>
            </w:r>
            <w:r w:rsidRPr="00800240">
              <w:rPr>
                <w:lang w:val="de-DE" w:eastAsia="zh-CN"/>
              </w:rPr>
              <w:t xml:space="preserve"> gefährliche</w:t>
            </w:r>
            <w:r w:rsidR="00D849FE" w:rsidRPr="00800240">
              <w:rPr>
                <w:lang w:val="de-DE" w:eastAsia="zh-CN"/>
              </w:rPr>
              <w:t>r</w:t>
            </w:r>
            <w:r w:rsidRPr="00800240">
              <w:rPr>
                <w:lang w:val="de-DE" w:eastAsia="zh-CN"/>
              </w:rPr>
              <w:t xml:space="preserve"> Chemikalien als Massengut (IBC-Code)</w:t>
            </w:r>
          </w:p>
        </w:tc>
      </w:tr>
      <w:tr w:rsidR="00A0781A" w:rsidRPr="00800240" w14:paraId="01D477BC" w14:textId="77777777" w:rsidTr="00DC2310">
        <w:trPr>
          <w:cantSplit/>
        </w:trPr>
        <w:tc>
          <w:tcPr>
            <w:tcW w:w="2579" w:type="dxa"/>
            <w:vMerge/>
            <w:shd w:val="clear" w:color="auto" w:fill="auto"/>
          </w:tcPr>
          <w:p w14:paraId="067D22A4" w14:textId="77777777" w:rsidR="00A0781A" w:rsidRPr="00800240" w:rsidRDefault="00A0781A" w:rsidP="00A0781A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14:paraId="09A697C4" w14:textId="77777777" w:rsidR="00A0781A" w:rsidRPr="00800240" w:rsidRDefault="00A0781A" w:rsidP="00A0781A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</w:p>
        </w:tc>
        <w:tc>
          <w:tcPr>
            <w:tcW w:w="4736" w:type="dxa"/>
            <w:shd w:val="clear" w:color="auto" w:fill="auto"/>
          </w:tcPr>
          <w:p w14:paraId="5718F7CB" w14:textId="7F14F517" w:rsidR="00A0781A" w:rsidRPr="00800240" w:rsidRDefault="005573C3" w:rsidP="008B038D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bCs/>
                <w:lang w:val="de-DE" w:eastAsia="zh-CN"/>
              </w:rPr>
              <w:t>Internationales Zeugnis über die Verhütung der Meeresverschmutzung bei der Beförderung schädlicher flüssiger Stoffe als Massengut (NLS-Zeugnis)</w:t>
            </w:r>
          </w:p>
        </w:tc>
        <w:tc>
          <w:tcPr>
            <w:tcW w:w="4453" w:type="dxa"/>
            <w:shd w:val="clear" w:color="auto" w:fill="auto"/>
          </w:tcPr>
          <w:p w14:paraId="73E70C6C" w14:textId="6CA4E363" w:rsidR="00A0781A" w:rsidRPr="00800240" w:rsidRDefault="008B038D" w:rsidP="008B038D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lang w:val="de-DE" w:eastAsia="zh-CN"/>
              </w:rPr>
              <w:t>MARPOL Anhang II</w:t>
            </w:r>
          </w:p>
        </w:tc>
      </w:tr>
      <w:tr w:rsidR="00A0781A" w:rsidRPr="00800240" w14:paraId="39098BBC" w14:textId="77777777" w:rsidTr="00DC2310">
        <w:trPr>
          <w:cantSplit/>
        </w:trPr>
        <w:tc>
          <w:tcPr>
            <w:tcW w:w="2579" w:type="dxa"/>
            <w:tcBorders>
              <w:bottom w:val="single" w:sz="12" w:space="0" w:color="auto"/>
            </w:tcBorders>
            <w:shd w:val="clear" w:color="auto" w:fill="auto"/>
          </w:tcPr>
          <w:p w14:paraId="4F021B5F" w14:textId="77FF0A9C" w:rsidR="00A0781A" w:rsidRPr="00800240" w:rsidRDefault="008B038D" w:rsidP="008B038D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lang w:val="de-DE" w:eastAsia="zh-CN"/>
              </w:rPr>
              <w:t>Zulassungszeugnis für Tankschiff des Typs G</w:t>
            </w:r>
          </w:p>
        </w:tc>
        <w:tc>
          <w:tcPr>
            <w:tcW w:w="2008" w:type="dxa"/>
            <w:tcBorders>
              <w:bottom w:val="single" w:sz="12" w:space="0" w:color="auto"/>
            </w:tcBorders>
            <w:shd w:val="clear" w:color="auto" w:fill="auto"/>
          </w:tcPr>
          <w:p w14:paraId="1EE0EE92" w14:textId="538E50FC" w:rsidR="00A0781A" w:rsidRPr="00800240" w:rsidRDefault="008B038D" w:rsidP="008B038D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lang w:val="de-DE" w:eastAsia="zh-CN"/>
              </w:rPr>
              <w:t>Gas</w:t>
            </w:r>
          </w:p>
        </w:tc>
        <w:tc>
          <w:tcPr>
            <w:tcW w:w="4736" w:type="dxa"/>
            <w:tcBorders>
              <w:bottom w:val="single" w:sz="12" w:space="0" w:color="auto"/>
            </w:tcBorders>
            <w:shd w:val="clear" w:color="auto" w:fill="auto"/>
          </w:tcPr>
          <w:p w14:paraId="362D2677" w14:textId="5A602EBB" w:rsidR="00A0781A" w:rsidRPr="00800240" w:rsidRDefault="008B038D" w:rsidP="008B038D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lang w:val="de-DE" w:eastAsia="zh-CN"/>
              </w:rPr>
              <w:t>Internationales Zeugnis über die Eignung zur Beförderung von verflüssigten Gasen als Massengut</w:t>
            </w:r>
          </w:p>
        </w:tc>
        <w:tc>
          <w:tcPr>
            <w:tcW w:w="4453" w:type="dxa"/>
            <w:tcBorders>
              <w:bottom w:val="single" w:sz="12" w:space="0" w:color="auto"/>
            </w:tcBorders>
            <w:shd w:val="clear" w:color="auto" w:fill="auto"/>
          </w:tcPr>
          <w:p w14:paraId="7D296B62" w14:textId="47082AAD" w:rsidR="00A0781A" w:rsidRPr="00800240" w:rsidRDefault="008B038D" w:rsidP="00D849FE">
            <w:pPr>
              <w:widowControl/>
              <w:kinsoku w:val="0"/>
              <w:snapToGrid w:val="0"/>
              <w:spacing w:before="40" w:after="120"/>
              <w:ind w:left="0" w:right="113" w:firstLine="0"/>
              <w:jc w:val="left"/>
              <w:textAlignment w:val="auto"/>
              <w:rPr>
                <w:lang w:val="de-DE" w:eastAsia="zh-CN"/>
              </w:rPr>
            </w:pPr>
            <w:r w:rsidRPr="00800240">
              <w:rPr>
                <w:bCs/>
                <w:lang w:val="de-DE" w:eastAsia="zh-CN"/>
              </w:rPr>
              <w:t>Internationaler Code für den Bau und die Ausrüstung von Schiffen</w:t>
            </w:r>
            <w:r w:rsidR="00D849FE" w:rsidRPr="00800240">
              <w:rPr>
                <w:bCs/>
                <w:lang w:val="de-DE" w:eastAsia="zh-CN"/>
              </w:rPr>
              <w:t xml:space="preserve"> zur Beförderung </w:t>
            </w:r>
            <w:r w:rsidRPr="00800240">
              <w:rPr>
                <w:bCs/>
                <w:lang w:val="de-DE" w:eastAsia="zh-CN"/>
              </w:rPr>
              <w:t>verflüssigte</w:t>
            </w:r>
            <w:r w:rsidR="00D849FE" w:rsidRPr="00800240">
              <w:rPr>
                <w:bCs/>
                <w:lang w:val="de-DE" w:eastAsia="zh-CN"/>
              </w:rPr>
              <w:t>r</w:t>
            </w:r>
            <w:r w:rsidRPr="00800240">
              <w:rPr>
                <w:bCs/>
                <w:lang w:val="de-DE" w:eastAsia="zh-CN"/>
              </w:rPr>
              <w:t xml:space="preserve"> Gase als Massengut (IGC-Code)</w:t>
            </w:r>
            <w:r w:rsidR="00E51448" w:rsidRPr="00800240">
              <w:rPr>
                <w:bCs/>
                <w:lang w:val="de-DE" w:eastAsia="zh-CN"/>
              </w:rPr>
              <w:t>“</w:t>
            </w:r>
          </w:p>
        </w:tc>
      </w:tr>
    </w:tbl>
    <w:p w14:paraId="53EC414A" w14:textId="7F8090A5" w:rsidR="008727E5" w:rsidRDefault="008727E5" w:rsidP="008727E5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after="240" w:line="300" w:lineRule="exact"/>
        <w:ind w:right="1134"/>
        <w:jc w:val="right"/>
        <w:textAlignment w:val="auto"/>
        <w:rPr>
          <w:rFonts w:ascii="Arial" w:hAnsi="Arial" w:cs="Arial"/>
        </w:rPr>
      </w:pPr>
      <w:r w:rsidRPr="00800240">
        <w:rPr>
          <w:lang w:eastAsia="zh-CN"/>
        </w:rPr>
        <w:t>“</w:t>
      </w:r>
      <w:r>
        <w:rPr>
          <w:lang w:eastAsia="zh-CN"/>
        </w:rPr>
        <w:t>.</w:t>
      </w:r>
    </w:p>
    <w:p w14:paraId="3F7C94E0" w14:textId="35DF55D3" w:rsidR="00D405D0" w:rsidRPr="00800240" w:rsidRDefault="00A0781A" w:rsidP="00A0781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center"/>
        <w:textAlignment w:val="auto"/>
        <w:rPr>
          <w:rFonts w:ascii="Arial" w:hAnsi="Arial" w:cs="Arial"/>
        </w:rPr>
      </w:pPr>
      <w:r w:rsidRPr="00800240">
        <w:rPr>
          <w:rFonts w:ascii="Arial" w:hAnsi="Arial" w:cs="Arial"/>
        </w:rPr>
        <w:t>***</w:t>
      </w:r>
    </w:p>
    <w:sectPr w:rsidR="00D405D0" w:rsidRPr="00800240" w:rsidSect="00A078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9553C" w14:textId="77777777" w:rsidR="00833A20" w:rsidRDefault="00833A20" w:rsidP="00277F70">
      <w:r>
        <w:separator/>
      </w:r>
    </w:p>
  </w:endnote>
  <w:endnote w:type="continuationSeparator" w:id="0">
    <w:p w14:paraId="100B65A2" w14:textId="77777777" w:rsidR="00833A20" w:rsidRDefault="00833A20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F149" w14:textId="143CE648" w:rsidR="006527C0" w:rsidRPr="000671E2" w:rsidRDefault="006527C0" w:rsidP="006527C0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13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36FA1" w14:textId="77777777" w:rsidR="00A0781A" w:rsidRPr="008575FB" w:rsidRDefault="00A0781A" w:rsidP="008575FB">
    <w:pPr>
      <w:pStyle w:val="Footer"/>
      <w:tabs>
        <w:tab w:val="right" w:pos="9638"/>
      </w:tabs>
      <w:rPr>
        <w:b/>
        <w:sz w:val="18"/>
      </w:rPr>
    </w:pPr>
    <w:r>
      <w:tab/>
    </w:r>
    <w:r w:rsidRPr="008575FB">
      <w:rPr>
        <w:b/>
        <w:sz w:val="18"/>
      </w:rPr>
      <w:fldChar w:fldCharType="begin"/>
    </w:r>
    <w:r w:rsidRPr="008575FB">
      <w:rPr>
        <w:b/>
        <w:sz w:val="18"/>
      </w:rPr>
      <w:instrText xml:space="preserve"> PAGE  \* MERGEFORMAT </w:instrText>
    </w:r>
    <w:r w:rsidRPr="008575FB">
      <w:rPr>
        <w:b/>
        <w:sz w:val="18"/>
      </w:rPr>
      <w:fldChar w:fldCharType="separate"/>
    </w:r>
    <w:r w:rsidRPr="008575FB">
      <w:rPr>
        <w:b/>
        <w:noProof/>
        <w:sz w:val="18"/>
      </w:rPr>
      <w:t>3</w:t>
    </w:r>
    <w:r w:rsidRPr="008575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A220" w14:textId="13D68402" w:rsidR="00D36741" w:rsidRPr="000671E2" w:rsidRDefault="00C350A9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</w:t>
    </w:r>
    <w:r w:rsidR="00B741AB">
      <w:rPr>
        <w:rFonts w:ascii="Arial" w:hAnsi="Arial"/>
        <w:noProof/>
        <w:snapToGrid w:val="0"/>
        <w:sz w:val="12"/>
        <w:szCs w:val="24"/>
        <w:lang w:val="fr-FR"/>
      </w:rPr>
      <w:t>m</w:t>
    </w:r>
    <w:r>
      <w:rPr>
        <w:rFonts w:ascii="Arial" w:hAnsi="Arial"/>
        <w:noProof/>
        <w:snapToGrid w:val="0"/>
        <w:sz w:val="12"/>
        <w:szCs w:val="24"/>
        <w:lang w:val="fr-FR"/>
      </w:rPr>
      <w:t>_ba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 w:rsidR="00881C09">
      <w:rPr>
        <w:rFonts w:ascii="Arial" w:hAnsi="Arial"/>
        <w:noProof/>
        <w:snapToGrid w:val="0"/>
        <w:sz w:val="12"/>
        <w:szCs w:val="24"/>
        <w:lang w:val="fr-FR"/>
      </w:rPr>
      <w:t>2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17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EF51" w14:textId="77777777" w:rsidR="00881C09" w:rsidRPr="000671E2" w:rsidRDefault="00881C09" w:rsidP="00881C0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lk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LK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EBB86" w14:textId="77777777" w:rsidR="001417EB" w:rsidRPr="000671E2" w:rsidRDefault="001417EB" w:rsidP="001417EB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13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60D53" w14:textId="77777777" w:rsidR="00833A20" w:rsidRDefault="00833A20" w:rsidP="00277F70">
      <w:r>
        <w:separator/>
      </w:r>
    </w:p>
  </w:footnote>
  <w:footnote w:type="continuationSeparator" w:id="0">
    <w:p w14:paraId="2FCD9DF6" w14:textId="77777777" w:rsidR="00833A20" w:rsidRDefault="00833A20" w:rsidP="00277F70">
      <w:r>
        <w:continuationSeparator/>
      </w:r>
    </w:p>
  </w:footnote>
  <w:footnote w:id="1">
    <w:p w14:paraId="00665A02" w14:textId="39781AA4" w:rsidR="00C951AF" w:rsidRPr="00C951AF" w:rsidRDefault="00C951AF" w:rsidP="00C951AF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Von der UNECE in Englisch, Französisch und Russisch unter dem Aktenzeichen ECE/TRANS/WP.15/AC.2/202</w:t>
      </w:r>
      <w:r w:rsidR="00881C09">
        <w:rPr>
          <w:sz w:val="16"/>
          <w:szCs w:val="16"/>
        </w:rPr>
        <w:t>2</w:t>
      </w:r>
      <w:r w:rsidR="00A0781A">
        <w:rPr>
          <w:sz w:val="16"/>
          <w:szCs w:val="16"/>
        </w:rPr>
        <w:t>/13</w:t>
      </w:r>
      <w:r w:rsidRPr="00C951AF">
        <w:rPr>
          <w:sz w:val="16"/>
          <w:szCs w:val="16"/>
        </w:rPr>
        <w:t xml:space="preserve"> verteilt.</w:t>
      </w:r>
    </w:p>
  </w:footnote>
  <w:footnote w:id="2">
    <w:p w14:paraId="7197BECA" w14:textId="77777777" w:rsidR="00C951AF" w:rsidRPr="00C951AF" w:rsidRDefault="00C951AF" w:rsidP="004A6855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Entsprechend dem Arbeitsprogramm des Binnenverkehrsausschusses für 2021 gemäß dem Entwurf des Programmhaushalts für 2021 (A/75/6 (Kap. 20) Abs.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898E0" w14:textId="6A6D6718" w:rsidR="006527C0" w:rsidRPr="00FF3208" w:rsidRDefault="006527C0" w:rsidP="006527C0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22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>
      <w:rPr>
        <w:rFonts w:ascii="Arial" w:hAnsi="Arial"/>
        <w:snapToGrid w:val="0"/>
        <w:sz w:val="16"/>
        <w:szCs w:val="16"/>
        <w:lang w:val="en-US"/>
      </w:rPr>
      <w:t>13</w:t>
    </w:r>
  </w:p>
  <w:p w14:paraId="507144C5" w14:textId="36993E67" w:rsidR="00A0781A" w:rsidRPr="008575FB" w:rsidRDefault="006527C0" w:rsidP="006527C0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5E3AA" w14:textId="7DF7CA35" w:rsidR="00A0781A" w:rsidRPr="008575FB" w:rsidRDefault="00D367F6" w:rsidP="008575F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4353" w14:textId="3909CC54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81C09">
      <w:rPr>
        <w:rFonts w:ascii="Arial" w:hAnsi="Arial"/>
        <w:snapToGrid w:val="0"/>
        <w:sz w:val="16"/>
        <w:szCs w:val="16"/>
        <w:lang w:val="en-US"/>
      </w:rPr>
      <w:t>2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E17434">
      <w:rPr>
        <w:rFonts w:ascii="Arial" w:hAnsi="Arial"/>
        <w:snapToGrid w:val="0"/>
        <w:sz w:val="16"/>
        <w:szCs w:val="16"/>
        <w:lang w:val="en-US"/>
      </w:rPr>
      <w:t>17</w:t>
    </w:r>
  </w:p>
  <w:p w14:paraId="25B4A304" w14:textId="77777777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 w:rsidR="00CD0EA8">
      <w:rPr>
        <w:rFonts w:ascii="Arial" w:hAnsi="Arial"/>
        <w:noProof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A55B" w14:textId="77777777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1" w:name="_Hlk19605293"/>
    <w:bookmarkStart w:id="2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81C09">
      <w:rPr>
        <w:rFonts w:ascii="Arial" w:hAnsi="Arial"/>
        <w:snapToGrid w:val="0"/>
        <w:sz w:val="16"/>
        <w:szCs w:val="16"/>
        <w:lang w:val="en-US"/>
      </w:rPr>
      <w:t>2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881C09">
      <w:rPr>
        <w:rFonts w:ascii="Arial" w:hAnsi="Arial"/>
        <w:snapToGrid w:val="0"/>
        <w:sz w:val="16"/>
        <w:szCs w:val="16"/>
        <w:lang w:val="en-US"/>
      </w:rPr>
      <w:t>LK</w:t>
    </w:r>
  </w:p>
  <w:p w14:paraId="22E1460A" w14:textId="77777777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1"/>
    <w:bookmarkEnd w:id="2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B505" w14:textId="77777777" w:rsidR="001417EB" w:rsidRPr="00FF3208" w:rsidRDefault="001417EB" w:rsidP="001417EB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22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>
      <w:rPr>
        <w:rFonts w:ascii="Arial" w:hAnsi="Arial"/>
        <w:snapToGrid w:val="0"/>
        <w:sz w:val="16"/>
        <w:szCs w:val="16"/>
        <w:lang w:val="en-US"/>
      </w:rPr>
      <w:t>13</w:t>
    </w:r>
  </w:p>
  <w:p w14:paraId="5D5DCE35" w14:textId="6CEFC7A2" w:rsidR="001417EB" w:rsidRDefault="001417EB" w:rsidP="001417EB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8F3"/>
    <w:multiLevelType w:val="hybridMultilevel"/>
    <w:tmpl w:val="39AE2808"/>
    <w:lvl w:ilvl="0" w:tplc="BB8EB098">
      <w:numFmt w:val="bullet"/>
      <w:lvlText w:val="-"/>
      <w:lvlJc w:val="left"/>
      <w:pPr>
        <w:ind w:left="1494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66B383E"/>
    <w:multiLevelType w:val="hybridMultilevel"/>
    <w:tmpl w:val="B0D42F54"/>
    <w:lvl w:ilvl="0" w:tplc="831406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6033CC0"/>
    <w:multiLevelType w:val="hybridMultilevel"/>
    <w:tmpl w:val="A28EB10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2E17D30"/>
    <w:multiLevelType w:val="hybridMultilevel"/>
    <w:tmpl w:val="DA1E2C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AAC6410"/>
    <w:multiLevelType w:val="hybridMultilevel"/>
    <w:tmpl w:val="26AA9F8E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61CB66F1"/>
    <w:multiLevelType w:val="hybridMultilevel"/>
    <w:tmpl w:val="0EA079B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C342D45"/>
    <w:multiLevelType w:val="hybridMultilevel"/>
    <w:tmpl w:val="E618C832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16D83"/>
    <w:rsid w:val="0002135C"/>
    <w:rsid w:val="00060623"/>
    <w:rsid w:val="000671E2"/>
    <w:rsid w:val="00073A40"/>
    <w:rsid w:val="0009215A"/>
    <w:rsid w:val="000941BD"/>
    <w:rsid w:val="00094A98"/>
    <w:rsid w:val="000961BC"/>
    <w:rsid w:val="000A037F"/>
    <w:rsid w:val="000A1111"/>
    <w:rsid w:val="000A563B"/>
    <w:rsid w:val="000B1586"/>
    <w:rsid w:val="000B2B01"/>
    <w:rsid w:val="000C558A"/>
    <w:rsid w:val="000C6E63"/>
    <w:rsid w:val="000C7D74"/>
    <w:rsid w:val="000D0917"/>
    <w:rsid w:val="000D45A5"/>
    <w:rsid w:val="000D48EB"/>
    <w:rsid w:val="000E12CF"/>
    <w:rsid w:val="000E644F"/>
    <w:rsid w:val="000F7883"/>
    <w:rsid w:val="00101582"/>
    <w:rsid w:val="001244EC"/>
    <w:rsid w:val="00126ED8"/>
    <w:rsid w:val="00131A8F"/>
    <w:rsid w:val="0014060D"/>
    <w:rsid w:val="001417EB"/>
    <w:rsid w:val="00155992"/>
    <w:rsid w:val="00155C7C"/>
    <w:rsid w:val="00160AF1"/>
    <w:rsid w:val="0018272E"/>
    <w:rsid w:val="0019311D"/>
    <w:rsid w:val="00193A1A"/>
    <w:rsid w:val="001A072F"/>
    <w:rsid w:val="001B04BB"/>
    <w:rsid w:val="001C60D6"/>
    <w:rsid w:val="001D3E13"/>
    <w:rsid w:val="001E2BA1"/>
    <w:rsid w:val="001F0C89"/>
    <w:rsid w:val="001F4C9C"/>
    <w:rsid w:val="0021460D"/>
    <w:rsid w:val="0021740F"/>
    <w:rsid w:val="00222245"/>
    <w:rsid w:val="00225E1F"/>
    <w:rsid w:val="002373A2"/>
    <w:rsid w:val="0024380B"/>
    <w:rsid w:val="00254551"/>
    <w:rsid w:val="002624B3"/>
    <w:rsid w:val="002628A7"/>
    <w:rsid w:val="00272597"/>
    <w:rsid w:val="00277F70"/>
    <w:rsid w:val="00287913"/>
    <w:rsid w:val="0029715A"/>
    <w:rsid w:val="002A6A40"/>
    <w:rsid w:val="002E2396"/>
    <w:rsid w:val="002E2565"/>
    <w:rsid w:val="002E6F67"/>
    <w:rsid w:val="002F0473"/>
    <w:rsid w:val="002F4CDF"/>
    <w:rsid w:val="00300274"/>
    <w:rsid w:val="00303889"/>
    <w:rsid w:val="0031586C"/>
    <w:rsid w:val="003467AF"/>
    <w:rsid w:val="00364DAA"/>
    <w:rsid w:val="00371F66"/>
    <w:rsid w:val="00384F12"/>
    <w:rsid w:val="00386633"/>
    <w:rsid w:val="00387BCB"/>
    <w:rsid w:val="003B3B76"/>
    <w:rsid w:val="003B4970"/>
    <w:rsid w:val="003D2EC0"/>
    <w:rsid w:val="003E12AD"/>
    <w:rsid w:val="003E30A5"/>
    <w:rsid w:val="003E6913"/>
    <w:rsid w:val="003F5E68"/>
    <w:rsid w:val="004076CE"/>
    <w:rsid w:val="00426B46"/>
    <w:rsid w:val="00452C31"/>
    <w:rsid w:val="00454F9B"/>
    <w:rsid w:val="00456E86"/>
    <w:rsid w:val="00460BA2"/>
    <w:rsid w:val="0047081C"/>
    <w:rsid w:val="00483782"/>
    <w:rsid w:val="00490CAB"/>
    <w:rsid w:val="004A311C"/>
    <w:rsid w:val="004A6855"/>
    <w:rsid w:val="004A7663"/>
    <w:rsid w:val="004B7582"/>
    <w:rsid w:val="004C1F19"/>
    <w:rsid w:val="004C4E73"/>
    <w:rsid w:val="004D45D9"/>
    <w:rsid w:val="004E0148"/>
    <w:rsid w:val="004E2AEF"/>
    <w:rsid w:val="004E64FE"/>
    <w:rsid w:val="004F06F2"/>
    <w:rsid w:val="004F7315"/>
    <w:rsid w:val="004F7910"/>
    <w:rsid w:val="00510C03"/>
    <w:rsid w:val="00511DB5"/>
    <w:rsid w:val="0051578A"/>
    <w:rsid w:val="005263CA"/>
    <w:rsid w:val="00534C8A"/>
    <w:rsid w:val="0053581B"/>
    <w:rsid w:val="005360B7"/>
    <w:rsid w:val="00540664"/>
    <w:rsid w:val="00552689"/>
    <w:rsid w:val="005573C3"/>
    <w:rsid w:val="00570A39"/>
    <w:rsid w:val="005731C3"/>
    <w:rsid w:val="005852BB"/>
    <w:rsid w:val="00591A7D"/>
    <w:rsid w:val="005C2135"/>
    <w:rsid w:val="005D34FF"/>
    <w:rsid w:val="005D3E46"/>
    <w:rsid w:val="005E13D8"/>
    <w:rsid w:val="005E6B64"/>
    <w:rsid w:val="005F1353"/>
    <w:rsid w:val="00600507"/>
    <w:rsid w:val="00607A9F"/>
    <w:rsid w:val="00607AC6"/>
    <w:rsid w:val="00612A45"/>
    <w:rsid w:val="0063076E"/>
    <w:rsid w:val="00635226"/>
    <w:rsid w:val="00643AEA"/>
    <w:rsid w:val="00651C88"/>
    <w:rsid w:val="006527C0"/>
    <w:rsid w:val="00681230"/>
    <w:rsid w:val="00685194"/>
    <w:rsid w:val="0069704F"/>
    <w:rsid w:val="006A3A48"/>
    <w:rsid w:val="006B10A8"/>
    <w:rsid w:val="006B4C70"/>
    <w:rsid w:val="006B4FAE"/>
    <w:rsid w:val="006B79A9"/>
    <w:rsid w:val="006C3CFB"/>
    <w:rsid w:val="006D11F6"/>
    <w:rsid w:val="006D21D7"/>
    <w:rsid w:val="006E493E"/>
    <w:rsid w:val="006E7FEC"/>
    <w:rsid w:val="00700D37"/>
    <w:rsid w:val="00720516"/>
    <w:rsid w:val="007210FE"/>
    <w:rsid w:val="00724E6F"/>
    <w:rsid w:val="00751575"/>
    <w:rsid w:val="00753C76"/>
    <w:rsid w:val="00762A7D"/>
    <w:rsid w:val="0076301C"/>
    <w:rsid w:val="007A79C0"/>
    <w:rsid w:val="007C1BA4"/>
    <w:rsid w:val="007C4366"/>
    <w:rsid w:val="007C5D89"/>
    <w:rsid w:val="007C72B0"/>
    <w:rsid w:val="007D2568"/>
    <w:rsid w:val="007D2C1E"/>
    <w:rsid w:val="007D2E75"/>
    <w:rsid w:val="007E6644"/>
    <w:rsid w:val="00800240"/>
    <w:rsid w:val="00817534"/>
    <w:rsid w:val="008245D5"/>
    <w:rsid w:val="008274C5"/>
    <w:rsid w:val="00827D8E"/>
    <w:rsid w:val="00830501"/>
    <w:rsid w:val="008317D1"/>
    <w:rsid w:val="00833A20"/>
    <w:rsid w:val="0084664B"/>
    <w:rsid w:val="00863D48"/>
    <w:rsid w:val="008727E5"/>
    <w:rsid w:val="0087388E"/>
    <w:rsid w:val="00873A80"/>
    <w:rsid w:val="00881C09"/>
    <w:rsid w:val="00884338"/>
    <w:rsid w:val="00893BD9"/>
    <w:rsid w:val="00895F87"/>
    <w:rsid w:val="008A4259"/>
    <w:rsid w:val="008A4F51"/>
    <w:rsid w:val="008B038D"/>
    <w:rsid w:val="008B2B8E"/>
    <w:rsid w:val="008E0E25"/>
    <w:rsid w:val="008F4F6A"/>
    <w:rsid w:val="008F7362"/>
    <w:rsid w:val="0090426C"/>
    <w:rsid w:val="00915F24"/>
    <w:rsid w:val="00917B55"/>
    <w:rsid w:val="00927A37"/>
    <w:rsid w:val="00942CB5"/>
    <w:rsid w:val="009545CD"/>
    <w:rsid w:val="0096340F"/>
    <w:rsid w:val="0096394F"/>
    <w:rsid w:val="00966A54"/>
    <w:rsid w:val="009758DF"/>
    <w:rsid w:val="009873A1"/>
    <w:rsid w:val="009A5ADD"/>
    <w:rsid w:val="009B775B"/>
    <w:rsid w:val="009C033F"/>
    <w:rsid w:val="009D5560"/>
    <w:rsid w:val="009E2B4D"/>
    <w:rsid w:val="00A0258A"/>
    <w:rsid w:val="00A02FB6"/>
    <w:rsid w:val="00A0357B"/>
    <w:rsid w:val="00A05A4C"/>
    <w:rsid w:val="00A0781A"/>
    <w:rsid w:val="00A253BE"/>
    <w:rsid w:val="00A30447"/>
    <w:rsid w:val="00A30CD2"/>
    <w:rsid w:val="00A3389F"/>
    <w:rsid w:val="00A52A61"/>
    <w:rsid w:val="00A548C2"/>
    <w:rsid w:val="00A604DB"/>
    <w:rsid w:val="00A77D56"/>
    <w:rsid w:val="00A77F27"/>
    <w:rsid w:val="00A834CC"/>
    <w:rsid w:val="00A857CC"/>
    <w:rsid w:val="00A86CBF"/>
    <w:rsid w:val="00A97CEA"/>
    <w:rsid w:val="00A97F6F"/>
    <w:rsid w:val="00AA3620"/>
    <w:rsid w:val="00AB1842"/>
    <w:rsid w:val="00AC78AF"/>
    <w:rsid w:val="00AC7F3E"/>
    <w:rsid w:val="00AE0AFB"/>
    <w:rsid w:val="00AE5AF2"/>
    <w:rsid w:val="00AF1A9A"/>
    <w:rsid w:val="00AF1F43"/>
    <w:rsid w:val="00AF465A"/>
    <w:rsid w:val="00B0011E"/>
    <w:rsid w:val="00B025D0"/>
    <w:rsid w:val="00B03834"/>
    <w:rsid w:val="00B302EA"/>
    <w:rsid w:val="00B322A5"/>
    <w:rsid w:val="00B3563F"/>
    <w:rsid w:val="00B35C1C"/>
    <w:rsid w:val="00B4533C"/>
    <w:rsid w:val="00B56BC7"/>
    <w:rsid w:val="00B60BBC"/>
    <w:rsid w:val="00B6708C"/>
    <w:rsid w:val="00B72BC1"/>
    <w:rsid w:val="00B73610"/>
    <w:rsid w:val="00B741AB"/>
    <w:rsid w:val="00B74E20"/>
    <w:rsid w:val="00B755AF"/>
    <w:rsid w:val="00B76310"/>
    <w:rsid w:val="00B82974"/>
    <w:rsid w:val="00B849A1"/>
    <w:rsid w:val="00B84B6D"/>
    <w:rsid w:val="00B87AB7"/>
    <w:rsid w:val="00B93698"/>
    <w:rsid w:val="00B948C7"/>
    <w:rsid w:val="00BA54FF"/>
    <w:rsid w:val="00BB0DBC"/>
    <w:rsid w:val="00BB22EF"/>
    <w:rsid w:val="00BC2905"/>
    <w:rsid w:val="00BD4DE1"/>
    <w:rsid w:val="00BE3AD1"/>
    <w:rsid w:val="00C07195"/>
    <w:rsid w:val="00C125FE"/>
    <w:rsid w:val="00C2636A"/>
    <w:rsid w:val="00C3092A"/>
    <w:rsid w:val="00C350A9"/>
    <w:rsid w:val="00C35D51"/>
    <w:rsid w:val="00C4500D"/>
    <w:rsid w:val="00C57E51"/>
    <w:rsid w:val="00C66A9E"/>
    <w:rsid w:val="00C94048"/>
    <w:rsid w:val="00C951AF"/>
    <w:rsid w:val="00CB0F04"/>
    <w:rsid w:val="00CD0EA8"/>
    <w:rsid w:val="00CF1246"/>
    <w:rsid w:val="00D12776"/>
    <w:rsid w:val="00D15348"/>
    <w:rsid w:val="00D16F2B"/>
    <w:rsid w:val="00D25F16"/>
    <w:rsid w:val="00D35A19"/>
    <w:rsid w:val="00D36741"/>
    <w:rsid w:val="00D367F6"/>
    <w:rsid w:val="00D405D0"/>
    <w:rsid w:val="00D45DD4"/>
    <w:rsid w:val="00D4726C"/>
    <w:rsid w:val="00D53526"/>
    <w:rsid w:val="00D5633A"/>
    <w:rsid w:val="00D63E14"/>
    <w:rsid w:val="00D64C07"/>
    <w:rsid w:val="00D703CD"/>
    <w:rsid w:val="00D7143E"/>
    <w:rsid w:val="00D849FE"/>
    <w:rsid w:val="00D92848"/>
    <w:rsid w:val="00DA230E"/>
    <w:rsid w:val="00DA42D3"/>
    <w:rsid w:val="00DB52E7"/>
    <w:rsid w:val="00DB57E7"/>
    <w:rsid w:val="00DC29DD"/>
    <w:rsid w:val="00DD0FE3"/>
    <w:rsid w:val="00E020D8"/>
    <w:rsid w:val="00E03BF3"/>
    <w:rsid w:val="00E04049"/>
    <w:rsid w:val="00E1204F"/>
    <w:rsid w:val="00E14F14"/>
    <w:rsid w:val="00E17434"/>
    <w:rsid w:val="00E3691E"/>
    <w:rsid w:val="00E37FFD"/>
    <w:rsid w:val="00E41049"/>
    <w:rsid w:val="00E43C09"/>
    <w:rsid w:val="00E51448"/>
    <w:rsid w:val="00E565DE"/>
    <w:rsid w:val="00E569AC"/>
    <w:rsid w:val="00E727CB"/>
    <w:rsid w:val="00E824B3"/>
    <w:rsid w:val="00E83D57"/>
    <w:rsid w:val="00E94E2A"/>
    <w:rsid w:val="00E96FF4"/>
    <w:rsid w:val="00EB6AB9"/>
    <w:rsid w:val="00ED557F"/>
    <w:rsid w:val="00EE22CE"/>
    <w:rsid w:val="00EE66ED"/>
    <w:rsid w:val="00F00F14"/>
    <w:rsid w:val="00F03E28"/>
    <w:rsid w:val="00F2415A"/>
    <w:rsid w:val="00F50955"/>
    <w:rsid w:val="00F53148"/>
    <w:rsid w:val="00F54A10"/>
    <w:rsid w:val="00F7139B"/>
    <w:rsid w:val="00F74594"/>
    <w:rsid w:val="00FA20A1"/>
    <w:rsid w:val="00FC2133"/>
    <w:rsid w:val="00FD0DE6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E74DFDA"/>
  <w15:docId w15:val="{E808E2C0-A215-4C5D-B6A2-A596B65E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BC1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uiPriority w:val="99"/>
    <w:qFormat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aliases w:val="5_G"/>
    <w:basedOn w:val="Normal"/>
    <w:link w:val="FootnoteTextChar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TableGrid">
    <w:name w:val="Table Grid"/>
    <w:basedOn w:val="Table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lattetekstinspringen31">
    <w:name w:val="Platte tekst inspringen 31"/>
    <w:basedOn w:val="Normal"/>
    <w:rsid w:val="007D2C1E"/>
    <w:pPr>
      <w:widowControl/>
      <w:tabs>
        <w:tab w:val="left" w:pos="284"/>
        <w:tab w:val="left" w:pos="1134"/>
        <w:tab w:val="left" w:pos="1418"/>
        <w:tab w:val="left" w:pos="1701"/>
        <w:tab w:val="left" w:pos="8222"/>
      </w:tabs>
      <w:spacing w:line="240" w:lineRule="atLeast"/>
      <w:ind w:left="1701" w:hanging="1417"/>
    </w:pPr>
    <w:rPr>
      <w:lang w:eastAsia="nl-NL"/>
    </w:rPr>
  </w:style>
  <w:style w:type="table" w:customStyle="1" w:styleId="Grilledutableau1">
    <w:name w:val="Grille du tableau1"/>
    <w:basedOn w:val="TableNormal"/>
    <w:next w:val="TableGrid"/>
    <w:uiPriority w:val="59"/>
    <w:rsid w:val="00E43C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534C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Normal"/>
    <w:next w:val="TableGrid"/>
    <w:rsid w:val="001D3E13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A30C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0CD2"/>
  </w:style>
  <w:style w:type="character" w:customStyle="1" w:styleId="CommentTextChar">
    <w:name w:val="Comment Text Char"/>
    <w:basedOn w:val="DefaultParagraphFont"/>
    <w:link w:val="CommentText"/>
    <w:semiHidden/>
    <w:rsid w:val="00A30CD2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0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CD2"/>
    <w:rPr>
      <w:b/>
      <w:bCs/>
      <w:lang w:eastAsia="fr-FR"/>
    </w:rPr>
  </w:style>
  <w:style w:type="paragraph" w:customStyle="1" w:styleId="a">
    <w:name w:val="a_"/>
    <w:basedOn w:val="BodyTextIndent2"/>
    <w:rsid w:val="005F1353"/>
    <w:pPr>
      <w:widowControl/>
      <w:tabs>
        <w:tab w:val="left" w:pos="426"/>
        <w:tab w:val="left" w:pos="709"/>
      </w:tabs>
      <w:overflowPunct/>
      <w:autoSpaceDE/>
      <w:autoSpaceDN/>
      <w:adjustRightInd/>
      <w:spacing w:after="0" w:line="240" w:lineRule="atLeast"/>
      <w:ind w:left="709" w:hanging="709"/>
      <w:textAlignment w:val="auto"/>
    </w:pPr>
    <w:rPr>
      <w:rFonts w:ascii="Arial" w:hAnsi="Arial" w:cs="Arial"/>
      <w:snapToGrid w:val="0"/>
    </w:rPr>
  </w:style>
  <w:style w:type="paragraph" w:styleId="BodyTextIndent2">
    <w:name w:val="Body Text Indent 2"/>
    <w:basedOn w:val="Normal"/>
    <w:link w:val="BodyTextIndent2Char"/>
    <w:semiHidden/>
    <w:unhideWhenUsed/>
    <w:rsid w:val="005F13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F1353"/>
    <w:rPr>
      <w:lang w:eastAsia="fr-FR"/>
    </w:rPr>
  </w:style>
  <w:style w:type="paragraph" w:styleId="BodyTextIndent">
    <w:name w:val="Body Text Indent"/>
    <w:basedOn w:val="Normal"/>
    <w:link w:val="BodyTextIndentChar"/>
    <w:semiHidden/>
    <w:unhideWhenUsed/>
    <w:rsid w:val="00F00F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00F14"/>
    <w:rPr>
      <w:lang w:eastAsia="fr-FR"/>
    </w:rPr>
  </w:style>
  <w:style w:type="table" w:customStyle="1" w:styleId="Grilledutableau2">
    <w:name w:val="Grille du tableau2"/>
    <w:basedOn w:val="TableNormal"/>
    <w:next w:val="TableGrid"/>
    <w:rsid w:val="00A0781A"/>
    <w:pPr>
      <w:suppressAutoHyphens/>
      <w:spacing w:line="240" w:lineRule="atLeast"/>
    </w:pPr>
    <w:rPr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uiPriority w:val="99"/>
    <w:rsid w:val="00A0781A"/>
    <w:rPr>
      <w:b/>
      <w:sz w:val="28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AD034-DB05-4C59-A691-64470E10D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192E6-76FB-4D75-93E2-B6D7AB94E0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33DFF0-7559-46C7-B177-C55DE4E112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BE46A-36DB-4B8E-93AF-9AE62EAB370B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b4a1c0d-4a69-4996-a84a-fc699b9f49de"/>
    <ds:schemaRef ds:uri="http://purl.org/dc/terms/"/>
    <ds:schemaRef ds:uri="http://schemas.openxmlformats.org/package/2006/metadata/core-properties"/>
    <ds:schemaRef ds:uri="http://purl.org/dc/dcmitype/"/>
    <ds:schemaRef ds:uri="acccb6d4-dbe5-46d2-b4d3-5733603d8cc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Nadiya Dzyubynska</cp:lastModifiedBy>
  <cp:revision>3</cp:revision>
  <cp:lastPrinted>2021-12-08T16:24:00Z</cp:lastPrinted>
  <dcterms:created xsi:type="dcterms:W3CDTF">2021-12-08T16:02:00Z</dcterms:created>
  <dcterms:modified xsi:type="dcterms:W3CDTF">2021-12-08T16:25:00Z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